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C6B351" w14:textId="77777777" w:rsidR="00762CAE" w:rsidRDefault="00762CAE" w:rsidP="67E1CCD0">
      <w:pPr>
        <w:rPr>
          <w:b/>
          <w:bCs/>
        </w:rPr>
      </w:pPr>
    </w:p>
    <w:tbl>
      <w:tblPr>
        <w:tblStyle w:val="TableGrid"/>
        <w:tblW w:w="0" w:type="auto"/>
        <w:tblLook w:val="04A0" w:firstRow="1" w:lastRow="0" w:firstColumn="1" w:lastColumn="0" w:noHBand="0" w:noVBand="1"/>
      </w:tblPr>
      <w:tblGrid>
        <w:gridCol w:w="846"/>
        <w:gridCol w:w="7371"/>
        <w:gridCol w:w="799"/>
      </w:tblGrid>
      <w:tr w:rsidR="00A7019F" w:rsidRPr="00AD674B" w14:paraId="3384C4BB" w14:textId="77777777" w:rsidTr="00EF5C09">
        <w:tc>
          <w:tcPr>
            <w:tcW w:w="846" w:type="dxa"/>
          </w:tcPr>
          <w:p w14:paraId="54D9ED7C" w14:textId="77777777" w:rsidR="00A7019F" w:rsidRPr="008A45B6" w:rsidRDefault="00A7019F">
            <w:pPr>
              <w:spacing w:before="0" w:after="0" w:line="240" w:lineRule="auto"/>
              <w:rPr>
                <w:rFonts w:ascii="Aptos" w:eastAsia="Aptos" w:hAnsi="Aptos" w:cs="Arial"/>
                <w:b/>
                <w:color w:val="215E99" w:themeColor="text2" w:themeTint="BF"/>
                <w:sz w:val="28"/>
                <w:szCs w:val="28"/>
                <w:lang w:val="it-IT"/>
              </w:rPr>
            </w:pPr>
          </w:p>
        </w:tc>
        <w:tc>
          <w:tcPr>
            <w:tcW w:w="7371" w:type="dxa"/>
          </w:tcPr>
          <w:p w14:paraId="47789DB1" w14:textId="77777777" w:rsidR="00A7019F" w:rsidRDefault="00A7019F">
            <w:pPr>
              <w:spacing w:before="0" w:after="0" w:line="240" w:lineRule="auto"/>
              <w:rPr>
                <w:rFonts w:ascii="Aptos" w:eastAsia="Aptos" w:hAnsi="Aptos" w:cs="Arial"/>
                <w:b/>
                <w:color w:val="215E99" w:themeColor="text2" w:themeTint="BF"/>
                <w:sz w:val="28"/>
                <w:szCs w:val="28"/>
                <w:lang w:val="it-IT"/>
              </w:rPr>
            </w:pPr>
          </w:p>
          <w:p w14:paraId="79465B80" w14:textId="77777777" w:rsidR="00A7019F" w:rsidRDefault="00A7019F">
            <w:pPr>
              <w:spacing w:before="0" w:after="0" w:line="240" w:lineRule="auto"/>
              <w:rPr>
                <w:rFonts w:ascii="Aptos" w:eastAsia="Aptos" w:hAnsi="Aptos" w:cs="Arial"/>
                <w:b/>
                <w:color w:val="215E99" w:themeColor="text2" w:themeTint="BF"/>
                <w:sz w:val="28"/>
                <w:szCs w:val="28"/>
                <w:lang w:val="it-IT"/>
              </w:rPr>
            </w:pPr>
          </w:p>
          <w:p w14:paraId="4989660A" w14:textId="77777777" w:rsidR="00A7019F" w:rsidRDefault="00A7019F">
            <w:pPr>
              <w:spacing w:before="0" w:after="0" w:line="240" w:lineRule="auto"/>
              <w:rPr>
                <w:rFonts w:ascii="Aptos" w:eastAsia="Aptos" w:hAnsi="Aptos" w:cs="Arial"/>
                <w:b/>
                <w:color w:val="215E99" w:themeColor="text2" w:themeTint="BF"/>
                <w:sz w:val="28"/>
                <w:szCs w:val="28"/>
                <w:lang w:val="it-IT"/>
              </w:rPr>
            </w:pPr>
          </w:p>
          <w:p w14:paraId="371C6467" w14:textId="77777777" w:rsidR="00A7019F" w:rsidRDefault="00A7019F">
            <w:pPr>
              <w:spacing w:before="0" w:after="0" w:line="240" w:lineRule="auto"/>
              <w:rPr>
                <w:rFonts w:ascii="Aptos" w:eastAsia="Aptos" w:hAnsi="Aptos" w:cs="Arial"/>
                <w:b/>
                <w:color w:val="215E99" w:themeColor="text2" w:themeTint="BF"/>
                <w:sz w:val="28"/>
                <w:szCs w:val="28"/>
                <w:lang w:val="it-IT"/>
              </w:rPr>
            </w:pPr>
          </w:p>
          <w:p w14:paraId="574483EE" w14:textId="77777777" w:rsidR="00A7019F" w:rsidRPr="008A45B6" w:rsidRDefault="00A7019F">
            <w:pPr>
              <w:spacing w:before="0" w:after="0" w:line="240" w:lineRule="auto"/>
              <w:rPr>
                <w:rFonts w:ascii="Aptos" w:eastAsia="Aptos" w:hAnsi="Aptos" w:cs="Arial"/>
                <w:b/>
                <w:color w:val="215E99" w:themeColor="text2" w:themeTint="BF"/>
                <w:sz w:val="28"/>
                <w:szCs w:val="28"/>
                <w:lang w:val="it-IT"/>
              </w:rPr>
            </w:pPr>
            <w:r>
              <w:rPr>
                <w:rFonts w:ascii="Aptos" w:eastAsia="Aptos" w:hAnsi="Aptos" w:cs="Arial"/>
                <w:b/>
                <w:noProof/>
                <w:color w:val="215E99" w:themeColor="text2" w:themeTint="BF"/>
                <w:sz w:val="28"/>
                <w:szCs w:val="28"/>
                <w:lang w:val="it-IT"/>
              </w:rPr>
              <w:drawing>
                <wp:inline distT="0" distB="0" distL="0" distR="0" wp14:anchorId="6198C589" wp14:editId="77F5923B">
                  <wp:extent cx="1188720" cy="664877"/>
                  <wp:effectExtent l="0" t="0" r="0" b="1905"/>
                  <wp:docPr id="319893295" name="Picture 1" descr="A black background with red and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893295" name="Picture 1" descr="A black background with red and blue text&#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97928" cy="670027"/>
                          </a:xfrm>
                          <a:prstGeom prst="rect">
                            <a:avLst/>
                          </a:prstGeom>
                          <a:noFill/>
                        </pic:spPr>
                      </pic:pic>
                    </a:graphicData>
                  </a:graphic>
                </wp:inline>
              </w:drawing>
            </w:r>
          </w:p>
          <w:p w14:paraId="7A862A5B" w14:textId="77777777" w:rsidR="00A7019F" w:rsidRPr="008A45B6" w:rsidRDefault="00A7019F">
            <w:pPr>
              <w:spacing w:before="0" w:after="0" w:line="240" w:lineRule="auto"/>
              <w:rPr>
                <w:rFonts w:ascii="Aptos" w:eastAsia="Aptos" w:hAnsi="Aptos" w:cs="Arial"/>
                <w:b/>
                <w:color w:val="215E99" w:themeColor="text2" w:themeTint="BF"/>
                <w:sz w:val="28"/>
                <w:szCs w:val="28"/>
                <w:lang w:val="it-IT"/>
              </w:rPr>
            </w:pPr>
          </w:p>
          <w:p w14:paraId="0813F0A7" w14:textId="77777777" w:rsidR="00A7019F" w:rsidRPr="008A45B6" w:rsidRDefault="00A7019F">
            <w:pPr>
              <w:spacing w:before="0" w:after="0" w:line="240" w:lineRule="auto"/>
              <w:rPr>
                <w:rFonts w:ascii="Aptos" w:eastAsia="Aptos" w:hAnsi="Aptos" w:cs="Arial"/>
                <w:b/>
                <w:color w:val="215E99" w:themeColor="text2" w:themeTint="BF"/>
                <w:sz w:val="28"/>
                <w:szCs w:val="28"/>
                <w:lang w:val="it-IT"/>
              </w:rPr>
            </w:pPr>
          </w:p>
        </w:tc>
        <w:tc>
          <w:tcPr>
            <w:tcW w:w="799" w:type="dxa"/>
          </w:tcPr>
          <w:p w14:paraId="0003F96F" w14:textId="77777777" w:rsidR="00A7019F" w:rsidRPr="00AD674B" w:rsidRDefault="00A7019F">
            <w:pPr>
              <w:spacing w:before="0" w:after="0" w:line="240" w:lineRule="auto"/>
              <w:rPr>
                <w:rFonts w:ascii="Aptos" w:eastAsia="Aptos" w:hAnsi="Aptos" w:cs="Arial"/>
                <w:b/>
                <w:sz w:val="28"/>
                <w:szCs w:val="28"/>
                <w:lang w:val="it-IT"/>
              </w:rPr>
            </w:pPr>
          </w:p>
        </w:tc>
      </w:tr>
      <w:tr w:rsidR="00A7019F" w:rsidRPr="00AD674B" w14:paraId="30B372D8" w14:textId="77777777" w:rsidTr="00EF5C09">
        <w:tc>
          <w:tcPr>
            <w:tcW w:w="846" w:type="dxa"/>
            <w:tcBorders>
              <w:right w:val="single" w:sz="24" w:space="0" w:color="336699"/>
            </w:tcBorders>
          </w:tcPr>
          <w:p w14:paraId="077C16A0" w14:textId="77777777" w:rsidR="00A7019F" w:rsidRPr="00F84651" w:rsidRDefault="00A7019F">
            <w:pPr>
              <w:spacing w:before="0" w:after="0" w:line="240" w:lineRule="auto"/>
              <w:rPr>
                <w:rFonts w:ascii="Aptos" w:eastAsia="Aptos" w:hAnsi="Aptos" w:cs="Arial"/>
                <w:b/>
                <w:color w:val="215E99" w:themeColor="text2" w:themeTint="BF"/>
                <w:sz w:val="28"/>
                <w:szCs w:val="28"/>
                <w:lang w:val="it-IT"/>
              </w:rPr>
            </w:pPr>
          </w:p>
        </w:tc>
        <w:tc>
          <w:tcPr>
            <w:tcW w:w="7371" w:type="dxa"/>
            <w:tcBorders>
              <w:left w:val="single" w:sz="24" w:space="0" w:color="336699"/>
            </w:tcBorders>
          </w:tcPr>
          <w:p w14:paraId="50195152" w14:textId="49B27434" w:rsidR="00A7019F" w:rsidRPr="00305E39" w:rsidRDefault="00A7019F">
            <w:pPr>
              <w:spacing w:before="0" w:after="0" w:line="240" w:lineRule="auto"/>
              <w:rPr>
                <w:rFonts w:eastAsia="Aptos" w:cs="Times New Roman"/>
                <w:b/>
                <w:color w:val="215E99" w:themeColor="text2" w:themeTint="BF"/>
                <w:sz w:val="56"/>
                <w:szCs w:val="56"/>
                <w:lang w:val="it-IT"/>
              </w:rPr>
            </w:pPr>
            <w:r w:rsidRPr="00305E39">
              <w:rPr>
                <w:rFonts w:eastAsia="Aptos" w:cs="Times New Roman"/>
                <w:b/>
                <w:color w:val="215E99" w:themeColor="text2" w:themeTint="BF"/>
                <w:sz w:val="44"/>
                <w:szCs w:val="44"/>
                <w:lang w:val="it-IT"/>
              </w:rPr>
              <w:t>Out</w:t>
            </w:r>
            <w:r w:rsidR="00BC0555">
              <w:rPr>
                <w:rFonts w:eastAsia="Aptos" w:cs="Times New Roman"/>
                <w:b/>
                <w:color w:val="215E99" w:themeColor="text2" w:themeTint="BF"/>
                <w:sz w:val="44"/>
                <w:szCs w:val="44"/>
                <w:lang w:val="it-IT"/>
              </w:rPr>
              <w:t>put</w:t>
            </w:r>
            <w:r w:rsidR="006636DC" w:rsidRPr="00305E39">
              <w:rPr>
                <w:rFonts w:eastAsia="Aptos" w:cs="Times New Roman"/>
                <w:b/>
                <w:color w:val="215E99" w:themeColor="text2" w:themeTint="BF"/>
                <w:sz w:val="44"/>
                <w:szCs w:val="44"/>
                <w:lang w:val="it-IT"/>
              </w:rPr>
              <w:t xml:space="preserve"> </w:t>
            </w:r>
            <w:r w:rsidR="00EB7051">
              <w:rPr>
                <w:rFonts w:eastAsia="Aptos" w:cs="Times New Roman"/>
                <w:b/>
                <w:color w:val="215E99" w:themeColor="text2" w:themeTint="BF"/>
                <w:sz w:val="44"/>
                <w:szCs w:val="44"/>
                <w:lang w:val="it-IT"/>
              </w:rPr>
              <w:t>4</w:t>
            </w:r>
            <w:r w:rsidR="00BC0555">
              <w:rPr>
                <w:rFonts w:eastAsia="Aptos" w:cs="Times New Roman"/>
                <w:b/>
                <w:color w:val="215E99" w:themeColor="text2" w:themeTint="BF"/>
                <w:sz w:val="44"/>
                <w:szCs w:val="44"/>
                <w:lang w:val="it-IT"/>
              </w:rPr>
              <w:t>.</w:t>
            </w:r>
            <w:r w:rsidR="00EB7051">
              <w:rPr>
                <w:rFonts w:eastAsia="Aptos" w:cs="Times New Roman"/>
                <w:b/>
                <w:color w:val="215E99" w:themeColor="text2" w:themeTint="BF"/>
                <w:sz w:val="44"/>
                <w:szCs w:val="44"/>
                <w:lang w:val="it-IT"/>
              </w:rPr>
              <w:t>3</w:t>
            </w:r>
            <w:r w:rsidRPr="00305E39">
              <w:rPr>
                <w:rFonts w:eastAsia="Aptos" w:cs="Times New Roman"/>
                <w:b/>
                <w:color w:val="215E99" w:themeColor="text2" w:themeTint="BF"/>
                <w:sz w:val="44"/>
                <w:szCs w:val="44"/>
                <w:lang w:val="it-IT"/>
              </w:rPr>
              <w:t xml:space="preserve">: </w:t>
            </w:r>
            <w:proofErr w:type="spellStart"/>
            <w:r w:rsidR="006221D2">
              <w:rPr>
                <w:rFonts w:eastAsia="Aptos" w:cs="Times New Roman"/>
                <w:b/>
                <w:color w:val="215E99" w:themeColor="text2" w:themeTint="BF"/>
                <w:sz w:val="44"/>
                <w:szCs w:val="44"/>
                <w:lang w:val="it-IT"/>
              </w:rPr>
              <w:t>Indigenous</w:t>
            </w:r>
            <w:proofErr w:type="spellEnd"/>
            <w:r w:rsidR="006221D2">
              <w:rPr>
                <w:rFonts w:eastAsia="Aptos" w:cs="Times New Roman"/>
                <w:b/>
                <w:color w:val="215E99" w:themeColor="text2" w:themeTint="BF"/>
                <w:sz w:val="44"/>
                <w:szCs w:val="44"/>
                <w:lang w:val="it-IT"/>
              </w:rPr>
              <w:t xml:space="preserve"> and </w:t>
            </w:r>
            <w:proofErr w:type="spellStart"/>
            <w:r w:rsidR="006221D2">
              <w:rPr>
                <w:rFonts w:eastAsia="Aptos" w:cs="Times New Roman"/>
                <w:b/>
                <w:color w:val="215E99" w:themeColor="text2" w:themeTint="BF"/>
                <w:sz w:val="44"/>
                <w:szCs w:val="44"/>
                <w:lang w:val="it-IT"/>
              </w:rPr>
              <w:t>local</w:t>
            </w:r>
            <w:proofErr w:type="spellEnd"/>
            <w:r w:rsidR="006221D2">
              <w:rPr>
                <w:rFonts w:eastAsia="Aptos" w:cs="Times New Roman"/>
                <w:b/>
                <w:color w:val="215E99" w:themeColor="text2" w:themeTint="BF"/>
                <w:sz w:val="44"/>
                <w:szCs w:val="44"/>
                <w:lang w:val="it-IT"/>
              </w:rPr>
              <w:t xml:space="preserve"> </w:t>
            </w:r>
            <w:proofErr w:type="spellStart"/>
            <w:r w:rsidR="006221D2">
              <w:rPr>
                <w:rFonts w:eastAsia="Aptos" w:cs="Times New Roman"/>
                <w:b/>
                <w:color w:val="215E99" w:themeColor="text2" w:themeTint="BF"/>
                <w:sz w:val="44"/>
                <w:szCs w:val="44"/>
                <w:lang w:val="it-IT"/>
              </w:rPr>
              <w:t>solutions</w:t>
            </w:r>
            <w:proofErr w:type="spellEnd"/>
            <w:r w:rsidR="006221D2">
              <w:rPr>
                <w:rFonts w:eastAsia="Aptos" w:cs="Times New Roman"/>
                <w:b/>
                <w:color w:val="215E99" w:themeColor="text2" w:themeTint="BF"/>
                <w:sz w:val="44"/>
                <w:szCs w:val="44"/>
                <w:lang w:val="it-IT"/>
              </w:rPr>
              <w:t xml:space="preserve"> </w:t>
            </w:r>
            <w:proofErr w:type="spellStart"/>
            <w:r w:rsidR="006221D2">
              <w:rPr>
                <w:rFonts w:eastAsia="Aptos" w:cs="Times New Roman"/>
                <w:b/>
                <w:color w:val="215E99" w:themeColor="text2" w:themeTint="BF"/>
                <w:sz w:val="44"/>
                <w:szCs w:val="44"/>
                <w:lang w:val="it-IT"/>
              </w:rPr>
              <w:t>scaled</w:t>
            </w:r>
            <w:proofErr w:type="spellEnd"/>
            <w:r w:rsidR="006221D2">
              <w:rPr>
                <w:rFonts w:eastAsia="Aptos" w:cs="Times New Roman"/>
                <w:b/>
                <w:color w:val="215E99" w:themeColor="text2" w:themeTint="BF"/>
                <w:sz w:val="44"/>
                <w:szCs w:val="44"/>
                <w:lang w:val="it-IT"/>
              </w:rPr>
              <w:t xml:space="preserve"> up and </w:t>
            </w:r>
            <w:proofErr w:type="spellStart"/>
            <w:r w:rsidR="006221D2">
              <w:rPr>
                <w:rFonts w:eastAsia="Aptos" w:cs="Times New Roman"/>
                <w:b/>
                <w:color w:val="215E99" w:themeColor="text2" w:themeTint="BF"/>
                <w:sz w:val="44"/>
                <w:szCs w:val="44"/>
                <w:lang w:val="it-IT"/>
              </w:rPr>
              <w:t>supported</w:t>
            </w:r>
            <w:proofErr w:type="spellEnd"/>
          </w:p>
        </w:tc>
        <w:tc>
          <w:tcPr>
            <w:tcW w:w="799" w:type="dxa"/>
          </w:tcPr>
          <w:p w14:paraId="765186F6" w14:textId="77777777" w:rsidR="00A7019F" w:rsidRPr="00AD674B" w:rsidRDefault="00A7019F">
            <w:pPr>
              <w:spacing w:before="0" w:after="0" w:line="240" w:lineRule="auto"/>
              <w:rPr>
                <w:rFonts w:ascii="Aptos" w:eastAsia="Aptos" w:hAnsi="Aptos" w:cs="Arial"/>
                <w:b/>
                <w:sz w:val="28"/>
                <w:szCs w:val="28"/>
                <w:lang w:val="it-IT"/>
              </w:rPr>
            </w:pPr>
          </w:p>
        </w:tc>
      </w:tr>
      <w:tr w:rsidR="00A7019F" w:rsidRPr="00AD674B" w14:paraId="7020DB48" w14:textId="77777777" w:rsidTr="00EF5C09">
        <w:tc>
          <w:tcPr>
            <w:tcW w:w="846" w:type="dxa"/>
            <w:tcBorders>
              <w:right w:val="single" w:sz="24" w:space="0" w:color="336699"/>
            </w:tcBorders>
          </w:tcPr>
          <w:p w14:paraId="6F499C76" w14:textId="77777777" w:rsidR="00A7019F" w:rsidRPr="00F84651" w:rsidRDefault="00A7019F">
            <w:pPr>
              <w:spacing w:before="0" w:after="0" w:line="240" w:lineRule="auto"/>
              <w:rPr>
                <w:rFonts w:ascii="Aptos" w:eastAsia="Aptos" w:hAnsi="Aptos" w:cs="Arial"/>
                <w:b/>
                <w:color w:val="215E99" w:themeColor="text2" w:themeTint="BF"/>
                <w:sz w:val="28"/>
                <w:szCs w:val="28"/>
                <w:lang w:val="it-IT"/>
              </w:rPr>
            </w:pPr>
          </w:p>
        </w:tc>
        <w:tc>
          <w:tcPr>
            <w:tcW w:w="7371" w:type="dxa"/>
            <w:tcBorders>
              <w:left w:val="single" w:sz="24" w:space="0" w:color="336699"/>
            </w:tcBorders>
          </w:tcPr>
          <w:p w14:paraId="76044C75" w14:textId="77777777" w:rsidR="00A7019F" w:rsidRPr="00305E39" w:rsidRDefault="00A7019F">
            <w:pPr>
              <w:spacing w:before="0" w:after="0" w:line="240" w:lineRule="auto"/>
              <w:rPr>
                <w:rFonts w:eastAsia="Aptos" w:cs="Arial"/>
                <w:b/>
                <w:color w:val="215E99" w:themeColor="text2" w:themeTint="BF"/>
                <w:sz w:val="28"/>
                <w:szCs w:val="28"/>
                <w:lang w:val="it-IT"/>
              </w:rPr>
            </w:pPr>
          </w:p>
          <w:p w14:paraId="1A92FCD9" w14:textId="157A4884" w:rsidR="00220C87" w:rsidRDefault="00A7019F">
            <w:pPr>
              <w:spacing w:before="0" w:after="0" w:line="240" w:lineRule="auto"/>
              <w:rPr>
                <w:rFonts w:eastAsia="Aptos" w:cs="Arial"/>
                <w:b/>
                <w:color w:val="215E99" w:themeColor="text2" w:themeTint="BF"/>
                <w:sz w:val="28"/>
                <w:szCs w:val="28"/>
                <w:lang w:val="it-IT"/>
              </w:rPr>
            </w:pPr>
            <w:r w:rsidRPr="00305E39">
              <w:rPr>
                <w:rFonts w:eastAsia="Aptos" w:cs="Arial"/>
                <w:b/>
                <w:color w:val="215E99" w:themeColor="text2" w:themeTint="BF"/>
                <w:sz w:val="28"/>
                <w:szCs w:val="28"/>
                <w:lang w:val="it-IT"/>
              </w:rPr>
              <w:t xml:space="preserve">UN-REDD </w:t>
            </w:r>
            <w:r w:rsidR="00220C87">
              <w:rPr>
                <w:rFonts w:eastAsia="Aptos" w:cs="Arial"/>
                <w:b/>
                <w:color w:val="215E99" w:themeColor="text2" w:themeTint="BF"/>
                <w:sz w:val="28"/>
                <w:szCs w:val="28"/>
                <w:lang w:val="it-IT"/>
              </w:rPr>
              <w:t>Programme</w:t>
            </w:r>
            <w:r w:rsidRPr="00305E39">
              <w:rPr>
                <w:rFonts w:eastAsia="Aptos" w:cs="Arial"/>
                <w:b/>
                <w:color w:val="215E99" w:themeColor="text2" w:themeTint="BF"/>
                <w:sz w:val="28"/>
                <w:szCs w:val="28"/>
                <w:lang w:val="it-IT"/>
              </w:rPr>
              <w:t xml:space="preserve"> 2026–2030      </w:t>
            </w:r>
          </w:p>
          <w:p w14:paraId="1DF60C6F" w14:textId="57CF4258" w:rsidR="00A7019F" w:rsidRPr="00305E39" w:rsidRDefault="00C62FFD">
            <w:pPr>
              <w:spacing w:before="0" w:after="0" w:line="240" w:lineRule="auto"/>
              <w:rPr>
                <w:rFonts w:eastAsia="Aptos" w:cs="Arial"/>
                <w:b/>
                <w:color w:val="215E99" w:themeColor="text2" w:themeTint="BF"/>
                <w:sz w:val="28"/>
                <w:szCs w:val="28"/>
                <w:lang w:val="it-IT"/>
              </w:rPr>
            </w:pPr>
            <w:proofErr w:type="spellStart"/>
            <w:r>
              <w:rPr>
                <w:rFonts w:eastAsia="Aptos" w:cs="Arial"/>
                <w:b/>
                <w:color w:val="215E99" w:themeColor="text2" w:themeTint="BF"/>
                <w:sz w:val="28"/>
                <w:szCs w:val="28"/>
                <w:lang w:val="it-IT"/>
              </w:rPr>
              <w:t>Thematic</w:t>
            </w:r>
            <w:proofErr w:type="spellEnd"/>
            <w:r>
              <w:rPr>
                <w:rFonts w:eastAsia="Aptos" w:cs="Arial"/>
                <w:b/>
                <w:color w:val="215E99" w:themeColor="text2" w:themeTint="BF"/>
                <w:sz w:val="28"/>
                <w:szCs w:val="28"/>
                <w:lang w:val="it-IT"/>
              </w:rPr>
              <w:t xml:space="preserve"> Brief</w:t>
            </w:r>
          </w:p>
        </w:tc>
        <w:tc>
          <w:tcPr>
            <w:tcW w:w="799" w:type="dxa"/>
          </w:tcPr>
          <w:p w14:paraId="0347AF68" w14:textId="77777777" w:rsidR="00A7019F" w:rsidRPr="00AD674B" w:rsidRDefault="00A7019F">
            <w:pPr>
              <w:spacing w:before="0" w:after="0" w:line="240" w:lineRule="auto"/>
              <w:rPr>
                <w:rFonts w:ascii="Aptos" w:eastAsia="Aptos" w:hAnsi="Aptos" w:cs="Arial"/>
                <w:b/>
                <w:sz w:val="28"/>
                <w:szCs w:val="28"/>
                <w:lang w:val="it-IT"/>
              </w:rPr>
            </w:pPr>
          </w:p>
        </w:tc>
      </w:tr>
      <w:tr w:rsidR="00A7019F" w:rsidRPr="00AD674B" w14:paraId="254CBB38" w14:textId="77777777" w:rsidTr="00EF5C09">
        <w:tc>
          <w:tcPr>
            <w:tcW w:w="846" w:type="dxa"/>
            <w:tcBorders>
              <w:right w:val="single" w:sz="24" w:space="0" w:color="336699"/>
            </w:tcBorders>
          </w:tcPr>
          <w:p w14:paraId="37894355" w14:textId="77777777" w:rsidR="00A7019F" w:rsidRPr="00F84651" w:rsidRDefault="00A7019F">
            <w:pPr>
              <w:spacing w:before="0" w:after="0" w:line="240" w:lineRule="auto"/>
              <w:rPr>
                <w:rFonts w:ascii="Aptos" w:eastAsia="Aptos" w:hAnsi="Aptos" w:cs="Arial"/>
                <w:b/>
                <w:color w:val="215E99" w:themeColor="text2" w:themeTint="BF"/>
                <w:sz w:val="28"/>
                <w:szCs w:val="28"/>
                <w:lang w:val="it-IT"/>
              </w:rPr>
            </w:pPr>
          </w:p>
        </w:tc>
        <w:tc>
          <w:tcPr>
            <w:tcW w:w="7371" w:type="dxa"/>
            <w:tcBorders>
              <w:left w:val="single" w:sz="24" w:space="0" w:color="336699"/>
            </w:tcBorders>
          </w:tcPr>
          <w:p w14:paraId="27E8ED1F" w14:textId="77777777" w:rsidR="00A7019F" w:rsidRPr="00305E39" w:rsidRDefault="00A7019F">
            <w:pPr>
              <w:spacing w:before="0" w:after="0" w:line="240" w:lineRule="auto"/>
              <w:rPr>
                <w:rFonts w:eastAsia="Aptos" w:cs="Arial"/>
                <w:b/>
                <w:color w:val="215E99" w:themeColor="text2" w:themeTint="BF"/>
                <w:sz w:val="28"/>
                <w:szCs w:val="28"/>
                <w:lang w:val="it-IT"/>
              </w:rPr>
            </w:pPr>
          </w:p>
        </w:tc>
        <w:tc>
          <w:tcPr>
            <w:tcW w:w="799" w:type="dxa"/>
          </w:tcPr>
          <w:p w14:paraId="2DDD7E8D" w14:textId="77777777" w:rsidR="00A7019F" w:rsidRPr="00AD674B" w:rsidRDefault="00A7019F">
            <w:pPr>
              <w:spacing w:before="0" w:after="0" w:line="240" w:lineRule="auto"/>
              <w:rPr>
                <w:rFonts w:ascii="Aptos" w:eastAsia="Aptos" w:hAnsi="Aptos" w:cs="Arial"/>
                <w:b/>
                <w:sz w:val="28"/>
                <w:szCs w:val="28"/>
                <w:lang w:val="it-IT"/>
              </w:rPr>
            </w:pPr>
          </w:p>
        </w:tc>
      </w:tr>
      <w:tr w:rsidR="00A7019F" w:rsidRPr="00AD674B" w14:paraId="7CEA0E1D" w14:textId="77777777" w:rsidTr="00EF5C09">
        <w:trPr>
          <w:trHeight w:val="68"/>
        </w:trPr>
        <w:tc>
          <w:tcPr>
            <w:tcW w:w="846" w:type="dxa"/>
            <w:tcBorders>
              <w:right w:val="single" w:sz="24" w:space="0" w:color="336699"/>
            </w:tcBorders>
          </w:tcPr>
          <w:p w14:paraId="0BB71E93" w14:textId="77777777" w:rsidR="00A7019F" w:rsidRPr="00F84651" w:rsidRDefault="00A7019F">
            <w:pPr>
              <w:spacing w:before="0" w:after="0" w:line="240" w:lineRule="auto"/>
              <w:rPr>
                <w:rFonts w:ascii="Aptos" w:eastAsia="Aptos" w:hAnsi="Aptos" w:cs="Arial"/>
                <w:b/>
                <w:color w:val="215E99" w:themeColor="text2" w:themeTint="BF"/>
                <w:sz w:val="28"/>
                <w:szCs w:val="28"/>
                <w:lang w:val="it-IT"/>
              </w:rPr>
            </w:pPr>
          </w:p>
        </w:tc>
        <w:tc>
          <w:tcPr>
            <w:tcW w:w="7371" w:type="dxa"/>
            <w:tcBorders>
              <w:left w:val="single" w:sz="24" w:space="0" w:color="336699"/>
            </w:tcBorders>
          </w:tcPr>
          <w:p w14:paraId="0B1CAEF8" w14:textId="77777777" w:rsidR="00A7019F" w:rsidRPr="00305E39" w:rsidRDefault="00A7019F">
            <w:pPr>
              <w:spacing w:before="0" w:after="0" w:line="240" w:lineRule="auto"/>
              <w:rPr>
                <w:rFonts w:eastAsia="Aptos" w:cs="Arial"/>
                <w:b/>
                <w:color w:val="215E99" w:themeColor="text2" w:themeTint="BF"/>
                <w:lang w:val="it-IT"/>
              </w:rPr>
            </w:pPr>
            <w:proofErr w:type="spellStart"/>
            <w:r w:rsidRPr="00305E39">
              <w:rPr>
                <w:rFonts w:eastAsia="Aptos" w:cs="Arial"/>
                <w:b/>
                <w:color w:val="215E99" w:themeColor="text2" w:themeTint="BF"/>
                <w:lang w:val="it-IT"/>
              </w:rPr>
              <w:t>Prepared</w:t>
            </w:r>
            <w:proofErr w:type="spellEnd"/>
            <w:r w:rsidRPr="00305E39">
              <w:rPr>
                <w:rFonts w:eastAsia="Aptos" w:cs="Arial"/>
                <w:b/>
                <w:color w:val="215E99" w:themeColor="text2" w:themeTint="BF"/>
                <w:lang w:val="it-IT"/>
              </w:rPr>
              <w:t xml:space="preserve"> by UN-REDD Programme</w:t>
            </w:r>
          </w:p>
          <w:p w14:paraId="66711118" w14:textId="4B88480F" w:rsidR="00A7019F" w:rsidRPr="00305E39" w:rsidRDefault="00A7019F">
            <w:pPr>
              <w:spacing w:before="0" w:after="0" w:line="240" w:lineRule="auto"/>
              <w:rPr>
                <w:rFonts w:eastAsia="Aptos" w:cs="Arial"/>
                <w:b/>
                <w:color w:val="215E99" w:themeColor="text2" w:themeTint="BF"/>
                <w:sz w:val="28"/>
                <w:szCs w:val="28"/>
                <w:lang w:val="it-IT"/>
              </w:rPr>
            </w:pPr>
            <w:r w:rsidRPr="00305E39">
              <w:rPr>
                <w:rFonts w:eastAsia="Aptos" w:cs="Arial"/>
                <w:b/>
                <w:color w:val="215E99" w:themeColor="text2" w:themeTint="BF"/>
                <w:lang w:val="it-IT"/>
              </w:rPr>
              <w:t>2025</w:t>
            </w:r>
          </w:p>
        </w:tc>
        <w:tc>
          <w:tcPr>
            <w:tcW w:w="799" w:type="dxa"/>
          </w:tcPr>
          <w:p w14:paraId="1AA9BDFB" w14:textId="77777777" w:rsidR="00A7019F" w:rsidRPr="00AD674B" w:rsidRDefault="00A7019F">
            <w:pPr>
              <w:spacing w:before="0" w:after="0" w:line="240" w:lineRule="auto"/>
              <w:rPr>
                <w:rFonts w:ascii="Aptos" w:eastAsia="Aptos" w:hAnsi="Aptos" w:cs="Arial"/>
                <w:b/>
                <w:sz w:val="28"/>
                <w:szCs w:val="28"/>
                <w:lang w:val="it-IT"/>
              </w:rPr>
            </w:pPr>
          </w:p>
        </w:tc>
      </w:tr>
      <w:tr w:rsidR="00A7019F" w:rsidRPr="00AD674B" w14:paraId="7972DFB2" w14:textId="77777777" w:rsidTr="00EF5C09">
        <w:trPr>
          <w:trHeight w:val="3470"/>
        </w:trPr>
        <w:tc>
          <w:tcPr>
            <w:tcW w:w="846" w:type="dxa"/>
          </w:tcPr>
          <w:p w14:paraId="3A2C56C3" w14:textId="77777777" w:rsidR="00A7019F" w:rsidRPr="00F84651" w:rsidRDefault="00A7019F">
            <w:pPr>
              <w:spacing w:before="0" w:after="0" w:line="240" w:lineRule="auto"/>
              <w:rPr>
                <w:rFonts w:ascii="Aptos" w:eastAsia="Aptos" w:hAnsi="Aptos" w:cs="Arial"/>
                <w:b/>
                <w:color w:val="215E99" w:themeColor="text2" w:themeTint="BF"/>
                <w:sz w:val="28"/>
                <w:szCs w:val="28"/>
                <w:lang w:val="it-IT"/>
              </w:rPr>
            </w:pPr>
          </w:p>
        </w:tc>
        <w:tc>
          <w:tcPr>
            <w:tcW w:w="7371" w:type="dxa"/>
            <w:tcBorders>
              <w:bottom w:val="single" w:sz="4" w:space="0" w:color="auto"/>
            </w:tcBorders>
          </w:tcPr>
          <w:p w14:paraId="520943CA" w14:textId="77777777" w:rsidR="00A7019F" w:rsidRPr="00F84651" w:rsidRDefault="00A7019F">
            <w:pPr>
              <w:spacing w:before="0" w:after="0" w:line="240" w:lineRule="auto"/>
              <w:rPr>
                <w:rFonts w:ascii="Aptos" w:eastAsia="Aptos" w:hAnsi="Aptos" w:cs="Arial"/>
                <w:b/>
                <w:color w:val="215E99" w:themeColor="text2" w:themeTint="BF"/>
                <w:sz w:val="28"/>
                <w:szCs w:val="28"/>
                <w:lang w:val="it-IT"/>
              </w:rPr>
            </w:pPr>
          </w:p>
          <w:p w14:paraId="07ABF41C" w14:textId="77777777" w:rsidR="00A7019F" w:rsidRPr="00F84651" w:rsidRDefault="00A7019F">
            <w:pPr>
              <w:spacing w:before="0" w:after="0" w:line="240" w:lineRule="auto"/>
              <w:rPr>
                <w:rFonts w:ascii="Aptos" w:eastAsia="Aptos" w:hAnsi="Aptos" w:cs="Arial"/>
                <w:b/>
                <w:color w:val="215E99" w:themeColor="text2" w:themeTint="BF"/>
                <w:sz w:val="28"/>
                <w:szCs w:val="28"/>
                <w:lang w:val="it-IT"/>
              </w:rPr>
            </w:pPr>
          </w:p>
        </w:tc>
        <w:tc>
          <w:tcPr>
            <w:tcW w:w="799" w:type="dxa"/>
          </w:tcPr>
          <w:p w14:paraId="6AC09722" w14:textId="77777777" w:rsidR="00A7019F" w:rsidRPr="00AD674B" w:rsidRDefault="00A7019F">
            <w:pPr>
              <w:spacing w:before="0" w:after="0" w:line="240" w:lineRule="auto"/>
              <w:rPr>
                <w:rFonts w:ascii="Aptos" w:eastAsia="Aptos" w:hAnsi="Aptos" w:cs="Arial"/>
                <w:b/>
                <w:sz w:val="28"/>
                <w:szCs w:val="28"/>
                <w:lang w:val="it-IT"/>
              </w:rPr>
            </w:pPr>
          </w:p>
        </w:tc>
      </w:tr>
      <w:tr w:rsidR="00A7019F" w:rsidRPr="00AD674B" w14:paraId="21B2C0BD" w14:textId="77777777" w:rsidTr="002B7A87">
        <w:trPr>
          <w:trHeight w:val="730"/>
        </w:trPr>
        <w:tc>
          <w:tcPr>
            <w:tcW w:w="846" w:type="dxa"/>
            <w:tcBorders>
              <w:right w:val="single" w:sz="4" w:space="0" w:color="auto"/>
            </w:tcBorders>
          </w:tcPr>
          <w:p w14:paraId="46FCA287" w14:textId="77777777" w:rsidR="00A7019F" w:rsidRPr="00AD674B" w:rsidRDefault="00A7019F">
            <w:pPr>
              <w:spacing w:before="0" w:after="0" w:line="240" w:lineRule="auto"/>
              <w:rPr>
                <w:rFonts w:ascii="Aptos" w:eastAsia="Aptos" w:hAnsi="Aptos" w:cs="Arial"/>
                <w:b/>
                <w:sz w:val="28"/>
                <w:szCs w:val="28"/>
                <w:lang w:val="it-IT"/>
              </w:rPr>
            </w:pPr>
          </w:p>
        </w:tc>
        <w:tc>
          <w:tcPr>
            <w:tcW w:w="7371" w:type="dxa"/>
            <w:tcBorders>
              <w:top w:val="single" w:sz="4" w:space="0" w:color="auto"/>
              <w:left w:val="single" w:sz="4" w:space="0" w:color="auto"/>
              <w:bottom w:val="single" w:sz="4" w:space="0" w:color="auto"/>
              <w:right w:val="single" w:sz="4" w:space="0" w:color="auto"/>
            </w:tcBorders>
          </w:tcPr>
          <w:p w14:paraId="64F4006A" w14:textId="7D1CCFF0" w:rsidR="00B24702" w:rsidRPr="00AD674B" w:rsidRDefault="00A7019F" w:rsidP="00574469">
            <w:pPr>
              <w:spacing w:after="120" w:line="240" w:lineRule="auto"/>
              <w:ind w:right="57"/>
              <w:jc w:val="both"/>
              <w:rPr>
                <w:rFonts w:ascii="Roboto" w:eastAsia="Aptos" w:hAnsi="Roboto" w:cs="Arial"/>
                <w:b/>
                <w:i/>
                <w:iCs/>
                <w:sz w:val="18"/>
                <w:szCs w:val="18"/>
                <w:lang w:val="it-IT"/>
              </w:rPr>
            </w:pPr>
            <w:r w:rsidRPr="00AD674B">
              <w:rPr>
                <w:rFonts w:ascii="Roboto" w:eastAsia="Aptos" w:hAnsi="Roboto" w:cs="Arial"/>
                <w:i/>
                <w:iCs/>
                <w:sz w:val="20"/>
                <w:szCs w:val="20"/>
              </w:rPr>
              <w:t>This brief has been prepared by the UN-REDD Programme team based on strategic insights and</w:t>
            </w:r>
            <w:r w:rsidR="00942E36">
              <w:rPr>
                <w:rFonts w:ascii="Roboto" w:eastAsia="Aptos" w:hAnsi="Roboto" w:cs="Arial"/>
                <w:i/>
                <w:iCs/>
                <w:sz w:val="20"/>
                <w:szCs w:val="20"/>
              </w:rPr>
              <w:t xml:space="preserve"> </w:t>
            </w:r>
            <w:r w:rsidRPr="00AD674B">
              <w:rPr>
                <w:rFonts w:ascii="Roboto" w:eastAsia="Aptos" w:hAnsi="Roboto" w:cs="Arial"/>
                <w:i/>
                <w:iCs/>
                <w:sz w:val="20"/>
                <w:szCs w:val="20"/>
              </w:rPr>
              <w:t>consultations</w:t>
            </w:r>
            <w:r w:rsidR="00942E36">
              <w:rPr>
                <w:rFonts w:ascii="Roboto" w:eastAsia="Aptos" w:hAnsi="Roboto" w:cs="Arial"/>
                <w:i/>
                <w:iCs/>
                <w:sz w:val="20"/>
                <w:szCs w:val="20"/>
              </w:rPr>
              <w:t xml:space="preserve"> </w:t>
            </w:r>
            <w:r w:rsidR="00350BC8">
              <w:rPr>
                <w:rFonts w:ascii="Roboto" w:eastAsia="Aptos" w:hAnsi="Roboto" w:cs="Arial"/>
                <w:i/>
                <w:iCs/>
                <w:sz w:val="20"/>
                <w:szCs w:val="20"/>
              </w:rPr>
              <w:t>related to</w:t>
            </w:r>
            <w:r w:rsidR="00942E36">
              <w:rPr>
                <w:rFonts w:ascii="Roboto" w:eastAsia="Aptos" w:hAnsi="Roboto" w:cs="Arial"/>
                <w:i/>
                <w:iCs/>
                <w:sz w:val="20"/>
                <w:szCs w:val="20"/>
              </w:rPr>
              <w:t xml:space="preserve"> the development of the 2026-2030 Strategy</w:t>
            </w:r>
            <w:r w:rsidRPr="00AD674B">
              <w:rPr>
                <w:rFonts w:ascii="Roboto" w:eastAsia="Aptos" w:hAnsi="Roboto" w:cs="Arial"/>
                <w:i/>
                <w:iCs/>
                <w:sz w:val="20"/>
                <w:szCs w:val="20"/>
              </w:rPr>
              <w:t>. It is intended to provide</w:t>
            </w:r>
            <w:r w:rsidR="00BD38A7">
              <w:rPr>
                <w:rFonts w:ascii="Roboto" w:eastAsia="Aptos" w:hAnsi="Roboto" w:cs="Arial"/>
                <w:i/>
                <w:iCs/>
                <w:sz w:val="20"/>
                <w:szCs w:val="20"/>
              </w:rPr>
              <w:t xml:space="preserve"> an</w:t>
            </w:r>
            <w:r w:rsidRPr="00AD674B">
              <w:rPr>
                <w:rFonts w:ascii="Roboto" w:eastAsia="Aptos" w:hAnsi="Roboto" w:cs="Arial"/>
                <w:i/>
                <w:iCs/>
                <w:sz w:val="20"/>
                <w:szCs w:val="20"/>
              </w:rPr>
              <w:t xml:space="preserve"> illustrative </w:t>
            </w:r>
            <w:r w:rsidR="00BD38A7">
              <w:rPr>
                <w:rFonts w:ascii="Roboto" w:eastAsia="Aptos" w:hAnsi="Roboto" w:cs="Arial"/>
                <w:i/>
                <w:iCs/>
                <w:sz w:val="20"/>
                <w:szCs w:val="20"/>
              </w:rPr>
              <w:t>summary</w:t>
            </w:r>
            <w:r w:rsidRPr="00AD674B">
              <w:rPr>
                <w:rFonts w:ascii="Roboto" w:eastAsia="Aptos" w:hAnsi="Roboto" w:cs="Arial"/>
                <w:i/>
                <w:iCs/>
                <w:sz w:val="20"/>
                <w:szCs w:val="20"/>
              </w:rPr>
              <w:t xml:space="preserve"> o</w:t>
            </w:r>
            <w:r w:rsidR="00BD38A7">
              <w:rPr>
                <w:rFonts w:ascii="Roboto" w:eastAsia="Aptos" w:hAnsi="Roboto" w:cs="Arial"/>
                <w:i/>
                <w:iCs/>
                <w:sz w:val="20"/>
                <w:szCs w:val="20"/>
              </w:rPr>
              <w:t>f</w:t>
            </w:r>
            <w:r w:rsidRPr="00AD674B">
              <w:rPr>
                <w:rFonts w:ascii="Roboto" w:eastAsia="Aptos" w:hAnsi="Roboto" w:cs="Arial"/>
                <w:i/>
                <w:iCs/>
                <w:sz w:val="20"/>
                <w:szCs w:val="20"/>
              </w:rPr>
              <w:t xml:space="preserve"> potential areas of UN-REDD support </w:t>
            </w:r>
            <w:r w:rsidR="00B4512C">
              <w:rPr>
                <w:rFonts w:ascii="Roboto" w:eastAsia="Aptos" w:hAnsi="Roboto" w:cs="Arial"/>
                <w:i/>
                <w:iCs/>
                <w:sz w:val="20"/>
                <w:szCs w:val="20"/>
              </w:rPr>
              <w:t>during</w:t>
            </w:r>
            <w:r w:rsidRPr="00AD674B">
              <w:rPr>
                <w:rFonts w:ascii="Roboto" w:eastAsia="Aptos" w:hAnsi="Roboto" w:cs="Arial"/>
                <w:i/>
                <w:iCs/>
                <w:sz w:val="20"/>
                <w:szCs w:val="20"/>
              </w:rPr>
              <w:t xml:space="preserve"> the 2026–2030 period</w:t>
            </w:r>
            <w:r w:rsidR="00094CB6">
              <w:rPr>
                <w:rFonts w:ascii="Roboto" w:eastAsia="Aptos" w:hAnsi="Roboto" w:cs="Arial"/>
                <w:i/>
                <w:iCs/>
                <w:sz w:val="20"/>
                <w:szCs w:val="20"/>
              </w:rPr>
              <w:t xml:space="preserve">. </w:t>
            </w:r>
            <w:r w:rsidR="00B4512C">
              <w:rPr>
                <w:rFonts w:ascii="Roboto" w:eastAsia="Aptos" w:hAnsi="Roboto" w:cs="Arial"/>
                <w:i/>
                <w:iCs/>
                <w:sz w:val="20"/>
                <w:szCs w:val="20"/>
              </w:rPr>
              <w:t xml:space="preserve">The information here </w:t>
            </w:r>
            <w:r w:rsidR="003723EA">
              <w:rPr>
                <w:rFonts w:ascii="Roboto" w:eastAsia="Aptos" w:hAnsi="Roboto" w:cs="Arial"/>
                <w:i/>
                <w:iCs/>
                <w:sz w:val="20"/>
                <w:szCs w:val="20"/>
              </w:rPr>
              <w:t xml:space="preserve">is indicative </w:t>
            </w:r>
            <w:r w:rsidR="00CB594B">
              <w:rPr>
                <w:rFonts w:ascii="Roboto" w:eastAsia="Aptos" w:hAnsi="Roboto" w:cs="Arial"/>
                <w:i/>
                <w:iCs/>
                <w:sz w:val="20"/>
                <w:szCs w:val="20"/>
              </w:rPr>
              <w:t>and</w:t>
            </w:r>
            <w:r w:rsidR="00E40E11">
              <w:rPr>
                <w:rFonts w:ascii="Roboto" w:eastAsia="Aptos" w:hAnsi="Roboto" w:cs="Arial"/>
                <w:i/>
                <w:iCs/>
                <w:sz w:val="20"/>
                <w:szCs w:val="20"/>
              </w:rPr>
              <w:t xml:space="preserve"> does not </w:t>
            </w:r>
            <w:r w:rsidR="002A0910">
              <w:rPr>
                <w:rFonts w:ascii="Roboto" w:eastAsia="Aptos" w:hAnsi="Roboto" w:cs="Arial"/>
                <w:i/>
                <w:iCs/>
                <w:sz w:val="20"/>
                <w:szCs w:val="20"/>
              </w:rPr>
              <w:t xml:space="preserve">represent a commitment of </w:t>
            </w:r>
            <w:r w:rsidR="00B727FA">
              <w:rPr>
                <w:rFonts w:ascii="Roboto" w:eastAsia="Aptos" w:hAnsi="Roboto" w:cs="Arial"/>
                <w:i/>
                <w:iCs/>
                <w:sz w:val="20"/>
                <w:szCs w:val="20"/>
              </w:rPr>
              <w:t>the</w:t>
            </w:r>
            <w:r w:rsidR="002A0910">
              <w:rPr>
                <w:rFonts w:ascii="Roboto" w:eastAsia="Aptos" w:hAnsi="Roboto" w:cs="Arial"/>
                <w:i/>
                <w:iCs/>
                <w:sz w:val="20"/>
                <w:szCs w:val="20"/>
              </w:rPr>
              <w:t xml:space="preserve"> 2026-2030 work</w:t>
            </w:r>
            <w:r w:rsidR="00205E27">
              <w:rPr>
                <w:rFonts w:ascii="Roboto" w:eastAsia="Aptos" w:hAnsi="Roboto" w:cs="Arial"/>
                <w:i/>
                <w:iCs/>
                <w:sz w:val="20"/>
                <w:szCs w:val="20"/>
              </w:rPr>
              <w:t xml:space="preserve"> </w:t>
            </w:r>
            <w:r w:rsidR="002A0910">
              <w:rPr>
                <w:rFonts w:ascii="Roboto" w:eastAsia="Aptos" w:hAnsi="Roboto" w:cs="Arial"/>
                <w:i/>
                <w:iCs/>
                <w:sz w:val="20"/>
                <w:szCs w:val="20"/>
              </w:rPr>
              <w:t xml:space="preserve">plan, which will be developed through the </w:t>
            </w:r>
            <w:r w:rsidR="00EE02EE">
              <w:rPr>
                <w:rFonts w:ascii="Roboto" w:eastAsia="Aptos" w:hAnsi="Roboto" w:cs="Arial"/>
                <w:i/>
                <w:iCs/>
                <w:sz w:val="20"/>
                <w:szCs w:val="20"/>
              </w:rPr>
              <w:t xml:space="preserve">regular programming process. </w:t>
            </w:r>
          </w:p>
        </w:tc>
        <w:tc>
          <w:tcPr>
            <w:tcW w:w="799" w:type="dxa"/>
            <w:tcBorders>
              <w:left w:val="single" w:sz="4" w:space="0" w:color="auto"/>
            </w:tcBorders>
          </w:tcPr>
          <w:p w14:paraId="7FC0C782" w14:textId="77777777" w:rsidR="00A7019F" w:rsidRPr="00AD674B" w:rsidRDefault="00A7019F">
            <w:pPr>
              <w:spacing w:before="0" w:after="0" w:line="240" w:lineRule="auto"/>
              <w:rPr>
                <w:rFonts w:ascii="Roboto" w:eastAsia="Aptos" w:hAnsi="Roboto" w:cs="Arial"/>
                <w:b/>
                <w:sz w:val="18"/>
                <w:szCs w:val="18"/>
                <w:lang w:val="it-IT"/>
              </w:rPr>
            </w:pPr>
          </w:p>
        </w:tc>
      </w:tr>
    </w:tbl>
    <w:p w14:paraId="643C49E0" w14:textId="77777777" w:rsidR="00A7019F" w:rsidRPr="00A7019F" w:rsidRDefault="00A7019F" w:rsidP="00A7019F">
      <w:pPr>
        <w:sectPr w:rsidR="00A7019F" w:rsidRPr="00A7019F" w:rsidSect="00F0605A">
          <w:pgSz w:w="11906" w:h="16838"/>
          <w:pgMar w:top="1440" w:right="1080" w:bottom="1440" w:left="1080" w:header="708" w:footer="708" w:gutter="0"/>
          <w:cols w:space="708"/>
          <w:docGrid w:linePitch="360"/>
        </w:sectPr>
      </w:pPr>
    </w:p>
    <w:p w14:paraId="38AEF2AF" w14:textId="6123334B" w:rsidR="00164CC9" w:rsidRPr="00EB72D2" w:rsidRDefault="00164CC9" w:rsidP="00164CC9">
      <w:pPr>
        <w:pStyle w:val="Heading1"/>
        <w:spacing w:after="240"/>
        <w:jc w:val="center"/>
      </w:pPr>
      <w:r w:rsidRPr="67E1CCD0">
        <w:lastRenderedPageBreak/>
        <w:t xml:space="preserve">Output </w:t>
      </w:r>
      <w:r w:rsidR="006221D2">
        <w:t xml:space="preserve">4.3: </w:t>
      </w:r>
      <w:proofErr w:type="spellStart"/>
      <w:r w:rsidR="006221D2" w:rsidRPr="006221D2">
        <w:rPr>
          <w:lang w:val="it-IT"/>
        </w:rPr>
        <w:t>Indigenous</w:t>
      </w:r>
      <w:proofErr w:type="spellEnd"/>
      <w:r w:rsidR="006221D2" w:rsidRPr="006221D2">
        <w:rPr>
          <w:lang w:val="it-IT"/>
        </w:rPr>
        <w:t xml:space="preserve"> and </w:t>
      </w:r>
      <w:proofErr w:type="spellStart"/>
      <w:r w:rsidR="006221D2" w:rsidRPr="006221D2">
        <w:rPr>
          <w:lang w:val="it-IT"/>
        </w:rPr>
        <w:t>local</w:t>
      </w:r>
      <w:proofErr w:type="spellEnd"/>
      <w:r w:rsidR="006221D2" w:rsidRPr="006221D2">
        <w:rPr>
          <w:lang w:val="it-IT"/>
        </w:rPr>
        <w:t xml:space="preserve"> </w:t>
      </w:r>
      <w:proofErr w:type="spellStart"/>
      <w:r w:rsidR="006221D2" w:rsidRPr="006221D2">
        <w:rPr>
          <w:lang w:val="it-IT"/>
        </w:rPr>
        <w:t>solutions</w:t>
      </w:r>
      <w:proofErr w:type="spellEnd"/>
      <w:r w:rsidR="006221D2" w:rsidRPr="006221D2">
        <w:rPr>
          <w:lang w:val="it-IT"/>
        </w:rPr>
        <w:t xml:space="preserve"> </w:t>
      </w:r>
      <w:proofErr w:type="spellStart"/>
      <w:r w:rsidR="006221D2" w:rsidRPr="006221D2">
        <w:rPr>
          <w:lang w:val="it-IT"/>
        </w:rPr>
        <w:t>scaled</w:t>
      </w:r>
      <w:proofErr w:type="spellEnd"/>
      <w:r w:rsidR="006221D2" w:rsidRPr="006221D2">
        <w:rPr>
          <w:lang w:val="it-IT"/>
        </w:rPr>
        <w:t xml:space="preserve"> up and </w:t>
      </w:r>
      <w:proofErr w:type="spellStart"/>
      <w:r w:rsidR="006221D2" w:rsidRPr="006221D2">
        <w:rPr>
          <w:lang w:val="it-IT"/>
        </w:rPr>
        <w:t>supported</w:t>
      </w:r>
      <w:proofErr w:type="spellEnd"/>
    </w:p>
    <w:p w14:paraId="03594E59" w14:textId="5B98533B" w:rsidR="00351ADC" w:rsidRPr="00351ADC" w:rsidRDefault="00351ADC" w:rsidP="00DA2F85">
      <w:pPr>
        <w:pBdr>
          <w:top w:val="single" w:sz="4" w:space="1" w:color="auto"/>
          <w:left w:val="single" w:sz="4" w:space="4" w:color="auto"/>
          <w:bottom w:val="single" w:sz="4" w:space="1" w:color="auto"/>
          <w:right w:val="single" w:sz="4" w:space="0" w:color="auto"/>
        </w:pBdr>
        <w:spacing w:after="120"/>
        <w:rPr>
          <w:b/>
          <w:bCs/>
          <w:iCs/>
        </w:rPr>
      </w:pPr>
      <w:r w:rsidRPr="00F67F56">
        <w:rPr>
          <w:b/>
          <w:bCs/>
          <w:iCs/>
        </w:rPr>
        <w:t>This</w:t>
      </w:r>
      <w:r>
        <w:rPr>
          <w:b/>
          <w:bCs/>
          <w:iCs/>
        </w:rPr>
        <w:t xml:space="preserve"> is one of four outputs forming </w:t>
      </w:r>
      <w:r w:rsidRPr="00F67F56">
        <w:rPr>
          <w:b/>
          <w:bCs/>
          <w:iCs/>
        </w:rPr>
        <w:t xml:space="preserve">Outcome </w:t>
      </w:r>
      <w:r>
        <w:rPr>
          <w:b/>
          <w:bCs/>
          <w:iCs/>
        </w:rPr>
        <w:t>4</w:t>
      </w:r>
      <w:r w:rsidRPr="00F67F56">
        <w:rPr>
          <w:b/>
          <w:bCs/>
          <w:iCs/>
        </w:rPr>
        <w:t>:</w:t>
      </w:r>
      <w:r w:rsidRPr="0000524A">
        <w:t xml:space="preserve"> </w:t>
      </w:r>
      <w:r>
        <w:rPr>
          <w:b/>
          <w:bCs/>
          <w:iCs/>
        </w:rPr>
        <w:t xml:space="preserve">Enhancing Actions to Address Drivers of Deforestation: </w:t>
      </w:r>
      <w:r w:rsidRPr="0000524A">
        <w:rPr>
          <w:i/>
        </w:rPr>
        <w:t xml:space="preserve">Linking and leveraging actions and actors to address deforestation drivers. Strengthening and aligning policies, governance, and incentives within the forest sector and across relevant land use sectors and stakeholders towards protection of forests and reduction in forest emissions. Promoting appropriate solutions towards transformative change that address and respect safeguards </w:t>
      </w:r>
      <w:r w:rsidRPr="0000524A">
        <w:rPr>
          <w:i/>
          <w:lang w:val="en-CA"/>
        </w:rPr>
        <w:t>and support rural and smallholder producers, engage private sector actors, and foster cross-sector collaboration. UN-REDD will promote solutions that support transformative change, aligning mitigation, adaptation and biodiversity agendas, and strengthening access to upfront finance to enable implementation of these solutions.</w:t>
      </w:r>
    </w:p>
    <w:p w14:paraId="06550D78" w14:textId="77777777" w:rsidR="00F0605A" w:rsidRDefault="00F0605A" w:rsidP="00F0605A">
      <w:r>
        <w:t>I</w:t>
      </w:r>
      <w:r w:rsidRPr="67C24893">
        <w:t xml:space="preserve">ndigenous Peoples and local communities are critical actors in the global fight against climate change and biodiversity loss. Managing </w:t>
      </w:r>
      <w:hyperlink r:id="rId12">
        <w:r w:rsidRPr="67C24893">
          <w:rPr>
            <w:rStyle w:val="Hyperlink"/>
          </w:rPr>
          <w:t>approximately 25 percent</w:t>
        </w:r>
      </w:hyperlink>
      <w:r w:rsidRPr="67C24893">
        <w:t xml:space="preserve"> of the world's land, they safeguard a significant portion of Earth's biodiversity and carbon reserves. Notably, they steward </w:t>
      </w:r>
      <w:hyperlink r:id="rId13">
        <w:r w:rsidRPr="67C24893">
          <w:rPr>
            <w:rStyle w:val="Hyperlink"/>
          </w:rPr>
          <w:t>about 36 percent</w:t>
        </w:r>
      </w:hyperlink>
      <w:r w:rsidRPr="67C24893">
        <w:t xml:space="preserve"> of the planet's intact forests, which are crucial for carbon sequestration and ecological balance. Given their unparalleled expertise to steward forests and protect ecosystems, rooted in generations of traditional knowledge, their leadership is essential to ensure that solutions to fight climate change and biodiversity loss are locally relevant, culturally informed and inherently sustainable.</w:t>
      </w:r>
    </w:p>
    <w:p w14:paraId="07F26FF1" w14:textId="77777777" w:rsidR="00F0605A" w:rsidRDefault="00F0605A" w:rsidP="00F0605A">
      <w:r w:rsidRPr="67C24893">
        <w:t xml:space="preserve">As such, the heart of climate action and forest and ecosystem conservation lies in prioritizing the rights and knowledge of Indigenous Peoples and local communities as </w:t>
      </w:r>
      <w:hyperlink r:id="rId14">
        <w:r w:rsidRPr="67C24893">
          <w:rPr>
            <w:rStyle w:val="Hyperlink"/>
          </w:rPr>
          <w:t>leaders and architects of solutions</w:t>
        </w:r>
      </w:hyperlink>
      <w:r w:rsidRPr="67C24893">
        <w:t xml:space="preserve">. The international community has made commitments to support their efforts directly. At COP26, nations including the UK, Norway, Germany, the Netherlands and the USA, along with 17 other funders, </w:t>
      </w:r>
      <w:hyperlink r:id="rId15">
        <w:r w:rsidRPr="67C24893">
          <w:rPr>
            <w:rStyle w:val="Hyperlink"/>
          </w:rPr>
          <w:t>pledged US$1.7 billion</w:t>
        </w:r>
      </w:hyperlink>
      <w:r w:rsidRPr="67C24893">
        <w:t xml:space="preserve"> to strengthen the initiatives and actions of Indigenous Peoples and local communities to prevent deforestation and contribute to climate solutions. An important aspect of this funding was ensuring that financial resources reach these communities directly and that they have a decisive voice in shaping climate programmes and financial mechanisms. While financial support is essential, it should be seen </w:t>
      </w:r>
      <w:proofErr w:type="gramStart"/>
      <w:r w:rsidRPr="67C24893">
        <w:t>as a means to</w:t>
      </w:r>
      <w:proofErr w:type="gramEnd"/>
      <w:r w:rsidRPr="67C24893">
        <w:t xml:space="preserve"> enable Indigenous Peoples and local communities to drive their own initiatives, amplify their voices and reinforce their sovereignty over their territories. As of 2023, </w:t>
      </w:r>
      <w:hyperlink r:id="rId16" w:history="1">
        <w:r w:rsidRPr="004E2A5E">
          <w:rPr>
            <w:rStyle w:val="Hyperlink"/>
          </w:rPr>
          <w:t xml:space="preserve">$1.34 </w:t>
        </w:r>
        <w:proofErr w:type="spellStart"/>
        <w:r w:rsidRPr="004E2A5E">
          <w:rPr>
            <w:rStyle w:val="Hyperlink"/>
          </w:rPr>
          <w:t>billion</w:t>
        </w:r>
        <w:proofErr w:type="spellEnd"/>
        <w:r w:rsidRPr="004E2A5E">
          <w:rPr>
            <w:rStyle w:val="Hyperlink"/>
          </w:rPr>
          <w:t xml:space="preserve"> of this pledge was disbursed</w:t>
        </w:r>
      </w:hyperlink>
      <w:r w:rsidRPr="67C24893">
        <w:t>, although only 10.6% reached Indigenous Peoples’ and local communities’ organizations directly.</w:t>
      </w:r>
    </w:p>
    <w:p w14:paraId="7ABD1EA1" w14:textId="5707F3B1" w:rsidR="00F0605A" w:rsidRDefault="00F0605A" w:rsidP="00F0605A">
      <w:r>
        <w:t xml:space="preserve">The UN-REDD Programme is committed to facilitating direct access to climate finance for Indigenous Peoples and local communities. By promoting social equity and recognizing their rights and traditional knowledge, UN-REDD ensures that forest-based climate solutions meaningfully contribute to national climate commitments and advance sustainable development goals. This commitment underscores the need to place Indigenous Peoples and local communities at the front and </w:t>
      </w:r>
      <w:r w:rsidR="000D4C77">
        <w:t>centre</w:t>
      </w:r>
      <w:r>
        <w:t xml:space="preserve"> of national climate and nature solutions, scaling them up and linking them to national policy frameworks including Nationally Determined Contributions (NDCs). </w:t>
      </w:r>
    </w:p>
    <w:p w14:paraId="444CFB87" w14:textId="77777777" w:rsidR="00F0605A" w:rsidRDefault="00F0605A" w:rsidP="00F0605A">
      <w:r>
        <w:t xml:space="preserve">Unlike traditional funding models that may impose external agendas, this approach provides Indigenous Peoples and local communities with the autonomy to identify their priorities, design and implement solutions rooted in their cultural and environmental knowledge. By investing in Indigenous and local climate action directly, UN-REDDP aims to foster innovation, resilience and biodiversity conservation while respecting Indigenous Peoples’ rights and sovereignty. Direct grants build trust, strengthen partnerships and support sustainable climate leadership, ensuring that those most </w:t>
      </w:r>
      <w:r>
        <w:lastRenderedPageBreak/>
        <w:t xml:space="preserve">connected to the land can protect it for future generations. Supporting the leadership of Indigenous Peoples and local communities ensures a more sustainable and equitable future for all.  </w:t>
      </w:r>
    </w:p>
    <w:p w14:paraId="585A3964" w14:textId="77777777" w:rsidR="00F0605A" w:rsidRPr="001F0A55" w:rsidRDefault="00F0605A" w:rsidP="00F0605A">
      <w:pPr>
        <w:pStyle w:val="Heading1"/>
      </w:pPr>
      <w:r w:rsidRPr="001F0A55">
        <w:t>The challenge</w:t>
      </w:r>
      <w:r>
        <w:t xml:space="preserve"> </w:t>
      </w:r>
    </w:p>
    <w:p w14:paraId="185898E2" w14:textId="77777777" w:rsidR="00F0605A" w:rsidRPr="00693888" w:rsidRDefault="00F0605A" w:rsidP="00F0605A">
      <w:pPr>
        <w:rPr>
          <w:i/>
          <w:iCs/>
        </w:rPr>
      </w:pPr>
      <w:r w:rsidRPr="00693888">
        <w:t xml:space="preserve">Deforestation is driven by a complex web of drivers, both direct and indirect, and primarily linked to the extraction of resources from forested areas and changes in land use   of the production of agricultural commodities. Despite the progress made, the full implementation of policies and measures to halt deforestation in many jurisdictions is still lagging. </w:t>
      </w:r>
    </w:p>
    <w:p w14:paraId="19EDCAA1" w14:textId="77777777" w:rsidR="00F0605A" w:rsidRPr="00693888" w:rsidRDefault="00F0605A" w:rsidP="00F0605A">
      <w:r w:rsidRPr="00693888">
        <w:t xml:space="preserve">Sub-optimal implementation is linked to a range of factors. A key factor that is linked to sub-optimal implementation is linked to a failure to recognize, protect or reward Indigenous Peoples, and local communities for their role in protecting and defending forest areas under their control. Lack of clear tenure rights, limited voice and influence over decision-making and insufficient financial and capacity support are key challenges that many forest communities continue to face. </w:t>
      </w:r>
    </w:p>
    <w:p w14:paraId="528342A0" w14:textId="77777777" w:rsidR="00F0605A" w:rsidRPr="00693888" w:rsidRDefault="00F0605A" w:rsidP="00F0605A">
      <w:pPr>
        <w:rPr>
          <w:rFonts w:eastAsia="Aptos" w:cs="Aptos"/>
        </w:rPr>
      </w:pPr>
      <w:r w:rsidRPr="00693888">
        <w:rPr>
          <w:rFonts w:eastAsia="Aptos" w:cs="Aptos"/>
        </w:rPr>
        <w:t>Governments must fully recognize the rights of Indigenous Peoples, provide them with direct access to climate finance and capacity building, and integrate Indigenous knowledge into climate policy. Only by involving Indigenous Peoples as key players in planning and implementation, is it possible to develop more contextually relevant and effective local solutions, fostering innovation, enhancing local ownership and ensuring a larger impact of climate initiatives.</w:t>
      </w:r>
    </w:p>
    <w:p w14:paraId="109FE08D" w14:textId="77777777" w:rsidR="00F0605A" w:rsidRPr="00693888" w:rsidRDefault="00F0605A" w:rsidP="00F0605A">
      <w:pPr>
        <w:rPr>
          <w:rFonts w:eastAsia="Aptos" w:cs="Aptos"/>
        </w:rPr>
      </w:pPr>
      <w:r w:rsidRPr="00693888">
        <w:rPr>
          <w:rFonts w:eastAsia="Aptos" w:cs="Aptos"/>
        </w:rPr>
        <w:t xml:space="preserve"> Indigenous Peoples’ rights to their ancestral lands, territories and resources, their way of life, and to self-determination must be respected and included across climate policies and actions. It is impossible to achieve the goals of the Paris Agreement without full and effective participation of Indigenous Peoples and their free, prior and informed consent. </w:t>
      </w:r>
    </w:p>
    <w:p w14:paraId="60762E54" w14:textId="77777777" w:rsidR="00F0605A" w:rsidRPr="00693888" w:rsidRDefault="00F0605A" w:rsidP="00F0605A">
      <w:pPr>
        <w:rPr>
          <w:rFonts w:eastAsia="Aptos" w:cs="Aptos"/>
          <w:strike/>
        </w:rPr>
      </w:pPr>
      <w:r w:rsidRPr="00693888">
        <w:rPr>
          <w:rFonts w:eastAsia="Aptos" w:cs="Aptos"/>
        </w:rPr>
        <w:t xml:space="preserve">Local communities should also be supported to fulfil their role of local climate actors and forest stewards through community-based forestry process, including enabling factors such as secure land/forest rights, strong local governance, enabling regulatory frameworks and adequate knowledge and capacities. </w:t>
      </w:r>
      <w:r w:rsidRPr="00AC2F1C">
        <w:rPr>
          <w:rFonts w:eastAsia="Aptos" w:cs="Aptos"/>
        </w:rPr>
        <w:t xml:space="preserve">Social forestry is gaining prominence across multiple </w:t>
      </w:r>
      <w:proofErr w:type="gramStart"/>
      <w:r w:rsidRPr="00AC2F1C">
        <w:rPr>
          <w:rFonts w:eastAsia="Aptos" w:cs="Aptos"/>
        </w:rPr>
        <w:t>regions,</w:t>
      </w:r>
      <w:proofErr w:type="gramEnd"/>
      <w:r w:rsidRPr="00AC2F1C">
        <w:rPr>
          <w:rFonts w:eastAsia="Aptos" w:cs="Aptos"/>
        </w:rPr>
        <w:t xml:space="preserve"> however, persistent challenges remain for it to realise its potential as a local forest climate solution with benefits for livelihoods, biodiversity and ecosystems. Some of these challenges </w:t>
      </w:r>
      <w:r w:rsidRPr="00693888">
        <w:rPr>
          <w:rFonts w:eastAsia="Aptos" w:cs="Aptos"/>
        </w:rPr>
        <w:t>include</w:t>
      </w:r>
      <w:r w:rsidRPr="00AC2F1C">
        <w:rPr>
          <w:rFonts w:eastAsia="Aptos" w:cs="Aptos"/>
        </w:rPr>
        <w:t xml:space="preserve"> balancing costs and benefits put on local communities to deliver social forestry, governance issues such as illegal logging and unclear tenure, and a lack of knowledge exchange and learning in countries on the frontline.</w:t>
      </w:r>
    </w:p>
    <w:p w14:paraId="30DC33B1" w14:textId="77777777" w:rsidR="00F0605A" w:rsidRPr="00693888" w:rsidRDefault="00F0605A" w:rsidP="00F0605A">
      <w:pPr>
        <w:pStyle w:val="Heading1"/>
      </w:pPr>
      <w:bookmarkStart w:id="0" w:name="_Hlk185407506"/>
      <w:r w:rsidRPr="00693888">
        <w:t>The value proposition</w:t>
      </w:r>
      <w:bookmarkEnd w:id="0"/>
    </w:p>
    <w:p w14:paraId="0AB7EBB7" w14:textId="77777777" w:rsidR="00F0605A" w:rsidRPr="00693888" w:rsidRDefault="00F0605A" w:rsidP="00F0605A">
      <w:r w:rsidRPr="00693888">
        <w:t>This output aims to ensure that Indigenous Peoples, and local communities, including equitably women and youth among them, are provided with the capacity, resourcing, legal rights and enabling environment to effectively manage and protect forests. This is in line with recent international moves to recognize and reward the unique role that Indigenous Peoples, and local communities play in forest conservation and protection.</w:t>
      </w:r>
    </w:p>
    <w:p w14:paraId="4CDA79DC" w14:textId="77777777" w:rsidR="00F0605A" w:rsidRPr="00693888" w:rsidRDefault="00F0605A" w:rsidP="00F0605A">
      <w:r w:rsidRPr="00693888">
        <w:t xml:space="preserve">Building on decades of experience supporting local sustainable development solutions, UN-REDD has piloted innovative approaches to support Indigenous and local community climate leadership through direct grants.  The Community-based REDD+ (CBR+) Pilot Project, implemented by UN-REDD in partnership with the Small Grants Programme, provided $3.3 million in direct grants (up to $50,000 each) to over 100 indigenous and local communities in six countries (Cambodia, DRC, Nigeria, </w:t>
      </w:r>
      <w:r w:rsidRPr="00693888">
        <w:lastRenderedPageBreak/>
        <w:t>Panama, Paraguay and Sri Lanka) to implement different aspects of REDD+, from land use planning to benefit sharing methodologies.   Most recently, informed by UN-REDD's CBR+ model, with funding from the UK Government, UNDP has provided 51 grants to 42 Indigenous communities in Ecuador, Colombia, Kenya and Cambodia with grants worth a total of $1.8 million to enhance climate resilience and safeguard critical ecosystems.</w:t>
      </w:r>
    </w:p>
    <w:p w14:paraId="7481D778" w14:textId="77777777" w:rsidR="00F0605A" w:rsidRPr="00693888" w:rsidRDefault="00F0605A" w:rsidP="00F0605A">
      <w:pPr>
        <w:rPr>
          <w:rFonts w:eastAsia="Calibri" w:cs="Calibri"/>
        </w:rPr>
      </w:pPr>
      <w:r w:rsidRPr="00693888">
        <w:rPr>
          <w:rFonts w:eastAsia="Aptos" w:cs="Aptos"/>
        </w:rPr>
        <w:t xml:space="preserve">UN-REDD has played a pivotal role in advancing the integration of social forestry </w:t>
      </w:r>
      <w:r w:rsidRPr="00693888">
        <w:rPr>
          <w:rFonts w:eastAsia="Aptos" w:cs="Aptos"/>
          <w:vertAlign w:val="superscript"/>
        </w:rPr>
        <w:t>1</w:t>
      </w:r>
      <w:r w:rsidRPr="00693888">
        <w:rPr>
          <w:rFonts w:eastAsia="Aptos" w:cs="Aptos"/>
        </w:rPr>
        <w:t xml:space="preserve"> into NDCs, to increase its prominence as a local forest climate solution with significant economic and environmental co-benefits. Recent UN-REDD support through the ASEAN Social Forestry Initiative has advanced climate mitigation assessments for social forestry in Indonesia, Cambodia and Lao PDR, addressing critical data gaps for its recognition in NDCs. Beyond NDCs, UN-REDD's work has strengthened technical capacities for social and community forestry, such a through the development of upcoming E-learning courses on community forestry and supporting subregional practitioners' workshops to disseminate best practice across the West African region. Moreover, UN-REDD has advanced the business case for social forestry through the development of replicable climate-aligned forest management and business models for enterprises in the ASEAN region, linked to incubation work in Output 4.4. Advancing the contribution, and recognising the impact, of social forestry as a viable local climate solution is a major comparative advantage of UN-REDD. Implementation of technical assistance and capacity development in this work area is strengthened through strong regional and country partnerships, including </w:t>
      </w:r>
      <w:r w:rsidRPr="00693888">
        <w:rPr>
          <w:rStyle w:val="normaltextrun"/>
          <w:rFonts w:ascii="Aptos" w:eastAsia="Calibri" w:hAnsi="Aptos" w:cs="Calibri"/>
        </w:rPr>
        <w:t>RECOFTC, NTFP EP and the ASEAN-Swiss Partnership on Social Forestry and Climate Change (ASFCC).</w:t>
      </w:r>
    </w:p>
    <w:p w14:paraId="3433FBAC" w14:textId="77777777" w:rsidR="00F0605A" w:rsidRPr="00693888" w:rsidRDefault="00F0605A" w:rsidP="00F0605A">
      <w:pPr>
        <w:rPr>
          <w:rFonts w:eastAsia="Aptos" w:cs="Aptos"/>
        </w:rPr>
      </w:pPr>
      <w:r w:rsidRPr="00693888">
        <w:rPr>
          <w:rFonts w:eastAsia="Aptos" w:cs="Aptos"/>
          <w:lang w:val="en-CA"/>
        </w:rPr>
        <w:t xml:space="preserve">To advance indigenous and local solutions, UN-REDD works with a wide array of Indigenous representational and civil society groups, both working internationally and at the local level including </w:t>
      </w:r>
      <w:r w:rsidRPr="00693888">
        <w:rPr>
          <w:rFonts w:eastAsia="Aptos" w:cs="Aptos"/>
        </w:rPr>
        <w:t>GATC, IIPFCCC, LCIPP, AIPP, CLUA, Forest Trends, Rainforest Foundation US</w:t>
      </w:r>
      <w:r>
        <w:rPr>
          <w:rFonts w:eastAsia="Aptos" w:cs="Aptos"/>
        </w:rPr>
        <w:t xml:space="preserve">, </w:t>
      </w:r>
      <w:r w:rsidRPr="00693888">
        <w:rPr>
          <w:rFonts w:eastAsia="Aptos" w:cs="Aptos"/>
        </w:rPr>
        <w:t xml:space="preserve">World Bank, FCLP, Forest Tenure Funders Group (FTFG), Equator Initiative, Confluence Philanthropy, Forest Peoples Programme, Rights and Resources Initiative, Tenure Facility, among others. </w:t>
      </w:r>
    </w:p>
    <w:p w14:paraId="494AD0AC" w14:textId="77777777" w:rsidR="00F0605A" w:rsidRDefault="00F0605A" w:rsidP="00F0605A">
      <w:pPr>
        <w:pStyle w:val="Heading1"/>
      </w:pPr>
      <w:r w:rsidRPr="67C24893">
        <w:t>Scenarios</w:t>
      </w:r>
    </w:p>
    <w:p w14:paraId="5634327F" w14:textId="77777777" w:rsidR="00F0605A" w:rsidRPr="00693888" w:rsidRDefault="00F0605A" w:rsidP="00F0605A">
      <w:r w:rsidRPr="00693888">
        <w:t>This output will work to support Indigenous Peoples and other forest-dependent communities to strengthen, formalise or protect their rights to forests, lands, and natural resources within the context of REDD+ policy processes and implementation as well as catalysing access to finance through existing and innovative mechanisms.</w:t>
      </w:r>
    </w:p>
    <w:p w14:paraId="2B820E13" w14:textId="77777777" w:rsidR="00F0605A" w:rsidRPr="00693888" w:rsidRDefault="00F0605A" w:rsidP="00F0605A">
      <w:pPr>
        <w:rPr>
          <w:rFonts w:ascii="Aptos" w:eastAsia="Aptos" w:hAnsi="Aptos" w:cs="Aptos"/>
        </w:rPr>
      </w:pPr>
      <w:r w:rsidRPr="00693888">
        <w:rPr>
          <w:rFonts w:ascii="Aptos" w:eastAsia="Aptos" w:hAnsi="Aptos" w:cs="Aptos"/>
        </w:rPr>
        <w:t xml:space="preserve">Recognizing the essential role of Indigenous Peoples and other forest dependent communities in protecting and sustainably managing forests, requires </w:t>
      </w:r>
      <w:proofErr w:type="spellStart"/>
      <w:r w:rsidRPr="00693888">
        <w:rPr>
          <w:rFonts w:ascii="Aptos" w:eastAsia="Aptos" w:hAnsi="Aptos" w:cs="Aptos"/>
        </w:rPr>
        <w:t>i</w:t>
      </w:r>
      <w:proofErr w:type="spellEnd"/>
      <w:r w:rsidRPr="00693888">
        <w:rPr>
          <w:rFonts w:ascii="Aptos" w:eastAsia="Aptos" w:hAnsi="Aptos" w:cs="Aptos"/>
        </w:rPr>
        <w:t xml:space="preserve">) </w:t>
      </w:r>
      <w:r w:rsidRPr="00693888">
        <w:t>tenure security as a key trigger for deep, systemic changes in forest landscapes and</w:t>
      </w:r>
      <w:r w:rsidRPr="00693888">
        <w:rPr>
          <w:rFonts w:ascii="Aptos" w:eastAsia="Aptos" w:hAnsi="Aptos" w:cs="Aptos"/>
        </w:rPr>
        <w:t xml:space="preserve"> ii) access to direct finance, as well as an enabling regulatory framework, strong governance and adequate technical knowledge.</w:t>
      </w:r>
      <w:r w:rsidRPr="00693888">
        <w:t xml:space="preserve"> There is strong evidence that deforestation is lower on Indigenous Peoples’ and local community lands, given the right incentives. Accelerating the formalization of customary and collective rights is crucial for protecting forests and mobilizing resources for development. This output will work to support Indigenous Peoples and other forest-dependent communities to strengthen, formalise or protect their rights to forests, lands, and natural resources within the context of REDD+ policy processes and implementation </w:t>
      </w:r>
      <w:r w:rsidRPr="00693888">
        <w:rPr>
          <w:rFonts w:ascii="Aptos" w:eastAsia="Aptos" w:hAnsi="Aptos" w:cs="Aptos"/>
        </w:rPr>
        <w:t>as well as catalysing access to finance through existing and innovative mechanisms</w:t>
      </w:r>
      <w:r w:rsidRPr="00693888">
        <w:t xml:space="preserve">.  Key deliverables may include: </w:t>
      </w:r>
    </w:p>
    <w:p w14:paraId="3762C3DF" w14:textId="77777777" w:rsidR="00F0605A" w:rsidRPr="00693888" w:rsidRDefault="00F0605A" w:rsidP="00F0605A">
      <w:pPr>
        <w:pStyle w:val="ListParagraph"/>
        <w:numPr>
          <w:ilvl w:val="0"/>
          <w:numId w:val="30"/>
        </w:numPr>
      </w:pPr>
      <w:r w:rsidRPr="00693888">
        <w:rPr>
          <w:b/>
          <w:bCs/>
        </w:rPr>
        <w:t xml:space="preserve">Securing land and forest tenure through policy and legal reforms: </w:t>
      </w:r>
      <w:r w:rsidRPr="00693888">
        <w:t xml:space="preserve">Supporting legal processes to secure and strengthen the collective rights of Indigenous Peoples over forest land </w:t>
      </w:r>
      <w:r w:rsidRPr="00693888">
        <w:lastRenderedPageBreak/>
        <w:t xml:space="preserve">and natural resources. Particular attention will be paid to securing the rights of women, either by supporting women heads of households to acquire sole proprietorship or through support for joint titling (husband and wife both having 100% ownership rights). The </w:t>
      </w:r>
      <w:hyperlink r:id="rId17" w:history="1">
        <w:r w:rsidRPr="00693888">
          <w:t>Voluntary Guidelines on the Responsible Governance of Tenure</w:t>
        </w:r>
      </w:hyperlink>
      <w:r w:rsidRPr="00693888">
        <w:t xml:space="preserve"> should continue to serve as a go-to source of guidance for land tenure reform processes. </w:t>
      </w:r>
    </w:p>
    <w:p w14:paraId="63011B1A" w14:textId="77777777" w:rsidR="00F0605A" w:rsidRPr="00693888" w:rsidRDefault="00F0605A" w:rsidP="00F0605A">
      <w:pPr>
        <w:pStyle w:val="ListParagraph"/>
        <w:numPr>
          <w:ilvl w:val="0"/>
          <w:numId w:val="30"/>
        </w:numPr>
      </w:pPr>
      <w:r w:rsidRPr="00693888">
        <w:rPr>
          <w:b/>
          <w:bCs/>
        </w:rPr>
        <w:t>Promoting of Indigenous Peoples rights and knowledge:</w:t>
      </w:r>
      <w:r w:rsidRPr="00693888">
        <w:t xml:space="preserve"> Advocating for the recognition and respect of Indigenous Peoples </w:t>
      </w:r>
      <w:r w:rsidRPr="00693888">
        <w:rPr>
          <w:rFonts w:ascii="Aptos" w:eastAsia="Aptos" w:hAnsi="Aptos" w:cs="Aptos"/>
        </w:rPr>
        <w:t xml:space="preserve">and their </w:t>
      </w:r>
      <w:r w:rsidRPr="00693888">
        <w:t>rights to land, resources, and self-determination in REDD+ policies and projects (including Free, Prior and Informed Consent) and promoting the integration of ecological traditional knowledge into subnational and national REDD+ implementation to enhance forest conservation and management practices.</w:t>
      </w:r>
    </w:p>
    <w:p w14:paraId="3C798D29" w14:textId="77777777" w:rsidR="00F0605A" w:rsidRPr="00693888" w:rsidRDefault="00F0605A" w:rsidP="00F0605A">
      <w:pPr>
        <w:pStyle w:val="ListParagraph"/>
        <w:numPr>
          <w:ilvl w:val="0"/>
          <w:numId w:val="30"/>
        </w:numPr>
      </w:pPr>
      <w:r w:rsidRPr="00693888">
        <w:rPr>
          <w:b/>
          <w:bCs/>
        </w:rPr>
        <w:t xml:space="preserve">Strengthening the full and effective engagement of Indigenous Peoples and forest-dependent communities, </w:t>
      </w:r>
      <w:r w:rsidRPr="00693888">
        <w:rPr>
          <w:rFonts w:ascii="Aptos" w:eastAsia="Aptos" w:hAnsi="Aptos" w:cs="Aptos"/>
        </w:rPr>
        <w:t>including women and youth among them,</w:t>
      </w:r>
      <w:r w:rsidRPr="00693888">
        <w:t xml:space="preserve"> in policy and decision-making processes relating to </w:t>
      </w:r>
      <w:r w:rsidRPr="00693888">
        <w:rPr>
          <w:rFonts w:ascii="Aptos" w:eastAsia="Aptos" w:hAnsi="Aptos" w:cs="Aptos"/>
        </w:rPr>
        <w:t xml:space="preserve">NDC’s forest target implementation, NBSAPs, as well as </w:t>
      </w:r>
      <w:r w:rsidRPr="00693888">
        <w:t xml:space="preserve">REDD+ </w:t>
      </w:r>
      <w:r w:rsidRPr="00693888">
        <w:rPr>
          <w:rFonts w:ascii="Aptos" w:eastAsia="Aptos" w:hAnsi="Aptos" w:cs="Aptos"/>
        </w:rPr>
        <w:t xml:space="preserve">programs, land </w:t>
      </w:r>
      <w:r w:rsidRPr="00693888">
        <w:t>and forest management.</w:t>
      </w:r>
    </w:p>
    <w:p w14:paraId="1E293A22" w14:textId="77777777" w:rsidR="00F0605A" w:rsidRPr="00693888" w:rsidRDefault="00F0605A" w:rsidP="00F0605A">
      <w:pPr>
        <w:pStyle w:val="ListParagraph"/>
        <w:numPr>
          <w:ilvl w:val="0"/>
          <w:numId w:val="30"/>
        </w:numPr>
      </w:pPr>
      <w:r w:rsidRPr="00693888">
        <w:rPr>
          <w:b/>
          <w:bCs/>
        </w:rPr>
        <w:t xml:space="preserve">Supporting Indigenous Peoples and forest-dependent communities to access to financing </w:t>
      </w:r>
      <w:r w:rsidRPr="00693888">
        <w:t xml:space="preserve">to </w:t>
      </w:r>
      <w:r w:rsidRPr="00693888">
        <w:rPr>
          <w:rFonts w:ascii="Aptos" w:eastAsia="Aptos" w:hAnsi="Aptos" w:cs="Aptos"/>
        </w:rPr>
        <w:t xml:space="preserve">conserve forests, </w:t>
      </w:r>
      <w:r w:rsidRPr="00693888">
        <w:t>support sustainable forest management and forest enterprises.</w:t>
      </w:r>
    </w:p>
    <w:p w14:paraId="2EA7F4D5" w14:textId="77777777" w:rsidR="00F0605A" w:rsidRPr="00693888" w:rsidRDefault="00F0605A" w:rsidP="00F0605A">
      <w:pPr>
        <w:pStyle w:val="ListParagraph"/>
        <w:numPr>
          <w:ilvl w:val="0"/>
          <w:numId w:val="30"/>
        </w:numPr>
        <w:rPr>
          <w:rFonts w:ascii="Aptos" w:eastAsia="Aptos" w:hAnsi="Aptos" w:cs="Aptos"/>
        </w:rPr>
      </w:pPr>
      <w:r w:rsidRPr="00693888">
        <w:rPr>
          <w:rFonts w:ascii="Aptos" w:eastAsia="Aptos" w:hAnsi="Aptos" w:cs="Aptos"/>
          <w:b/>
          <w:bCs/>
        </w:rPr>
        <w:t xml:space="preserve">Supporting the management and restoration of forests by indigenous peoples and Forest-dependent communities </w:t>
      </w:r>
      <w:r w:rsidRPr="00693888">
        <w:rPr>
          <w:rFonts w:ascii="Aptos" w:eastAsia="Aptos" w:hAnsi="Aptos" w:cs="Aptos"/>
        </w:rPr>
        <w:t>through community-based forestry processes and related capacity development (complementarity to output 4.1)</w:t>
      </w:r>
      <w:r w:rsidRPr="00693888">
        <w:rPr>
          <w:rFonts w:ascii="Aptos" w:eastAsia="Aptos" w:hAnsi="Aptos" w:cs="Aptos"/>
          <w:b/>
          <w:bCs/>
        </w:rPr>
        <w:t>.</w:t>
      </w:r>
    </w:p>
    <w:p w14:paraId="7C6857FB" w14:textId="77777777" w:rsidR="00F0605A" w:rsidRPr="00693888" w:rsidRDefault="00F0605A" w:rsidP="00F0605A">
      <w:pPr>
        <w:pStyle w:val="ListParagraph"/>
        <w:numPr>
          <w:ilvl w:val="0"/>
          <w:numId w:val="30"/>
        </w:numPr>
      </w:pPr>
      <w:r w:rsidRPr="00693888">
        <w:rPr>
          <w:b/>
          <w:bCs/>
        </w:rPr>
        <w:t>Strengthening safeguards and accountability for Indigenous Peoples rights:</w:t>
      </w:r>
      <w:r w:rsidRPr="00693888">
        <w:t xml:space="preserve"> Improve monitoring and enforcement of Indigenous Peoples’ rights and safeguards in REDD+ projects.</w:t>
      </w:r>
    </w:p>
    <w:p w14:paraId="4A0438C3" w14:textId="77777777" w:rsidR="00F0605A" w:rsidRDefault="00F0605A" w:rsidP="00F0605A">
      <w:pPr>
        <w:spacing w:after="120"/>
        <w:sectPr w:rsidR="00F0605A" w:rsidSect="000D4C77">
          <w:headerReference w:type="default" r:id="rId18"/>
          <w:footerReference w:type="default" r:id="rId19"/>
          <w:pgSz w:w="11906" w:h="16838" w:code="9"/>
          <w:pgMar w:top="1440" w:right="1080" w:bottom="1440" w:left="1080" w:header="708" w:footer="708" w:gutter="0"/>
          <w:pgNumType w:start="1"/>
          <w:cols w:space="708"/>
          <w:docGrid w:linePitch="360"/>
        </w:sectPr>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197"/>
        <w:gridCol w:w="6539"/>
      </w:tblGrid>
      <w:tr w:rsidR="00F0605A" w:rsidRPr="00E23781" w14:paraId="42663E8C" w14:textId="77777777" w:rsidTr="00F0605A">
        <w:trPr>
          <w:trHeight w:val="567"/>
          <w:tblHeader/>
        </w:trPr>
        <w:tc>
          <w:tcPr>
            <w:tcW w:w="1642" w:type="pct"/>
            <w:shd w:val="clear" w:color="auto" w:fill="215E99" w:themeFill="text2" w:themeFillTint="BF"/>
            <w:vAlign w:val="center"/>
          </w:tcPr>
          <w:p w14:paraId="1F025EFE" w14:textId="77777777" w:rsidR="00F0605A" w:rsidRPr="00770134" w:rsidRDefault="00F0605A" w:rsidP="00222414">
            <w:pPr>
              <w:spacing w:before="0" w:after="0"/>
              <w:jc w:val="center"/>
              <w:rPr>
                <w:rFonts w:ascii="Aptos" w:hAnsi="Aptos"/>
                <w:b/>
                <w:bCs/>
                <w:color w:val="FFFFFF" w:themeColor="background1"/>
              </w:rPr>
            </w:pPr>
            <w:r w:rsidRPr="00770134">
              <w:rPr>
                <w:rFonts w:ascii="Aptos" w:hAnsi="Aptos"/>
                <w:b/>
                <w:bCs/>
                <w:color w:val="FFFFFF" w:themeColor="background1"/>
              </w:rPr>
              <w:lastRenderedPageBreak/>
              <w:t>Deliverables</w:t>
            </w:r>
          </w:p>
        </w:tc>
        <w:tc>
          <w:tcPr>
            <w:tcW w:w="3358" w:type="pct"/>
            <w:shd w:val="clear" w:color="auto" w:fill="215E99" w:themeFill="text2" w:themeFillTint="BF"/>
            <w:vAlign w:val="center"/>
          </w:tcPr>
          <w:p w14:paraId="3902FB0F" w14:textId="77777777" w:rsidR="00F0605A" w:rsidRPr="00770134" w:rsidRDefault="00F0605A" w:rsidP="00222414">
            <w:pPr>
              <w:spacing w:before="0" w:after="0"/>
              <w:jc w:val="center"/>
              <w:rPr>
                <w:rFonts w:ascii="Aptos" w:hAnsi="Aptos"/>
                <w:b/>
                <w:bCs/>
                <w:color w:val="FFFFFF" w:themeColor="background1"/>
              </w:rPr>
            </w:pPr>
            <w:r w:rsidRPr="00770134">
              <w:rPr>
                <w:rFonts w:ascii="Aptos" w:hAnsi="Aptos"/>
                <w:b/>
                <w:bCs/>
                <w:color w:val="FFFFFF" w:themeColor="background1"/>
              </w:rPr>
              <w:t>Types of Activities</w:t>
            </w:r>
          </w:p>
        </w:tc>
      </w:tr>
      <w:tr w:rsidR="00F0605A" w:rsidRPr="00770134" w14:paraId="48778343" w14:textId="77777777" w:rsidTr="00F0605A">
        <w:trPr>
          <w:trHeight w:val="300"/>
        </w:trPr>
        <w:tc>
          <w:tcPr>
            <w:tcW w:w="1642" w:type="pct"/>
          </w:tcPr>
          <w:p w14:paraId="677A615D" w14:textId="77777777" w:rsidR="00F0605A" w:rsidRPr="00770134" w:rsidRDefault="00F0605A" w:rsidP="00F0605A">
            <w:pPr>
              <w:pStyle w:val="ListParagraph"/>
              <w:numPr>
                <w:ilvl w:val="0"/>
                <w:numId w:val="31"/>
              </w:numPr>
              <w:spacing w:after="120"/>
              <w:rPr>
                <w:lang w:val="en-GB"/>
              </w:rPr>
            </w:pPr>
            <w:r w:rsidRPr="00770134">
              <w:rPr>
                <w:lang w:val="en-GB"/>
              </w:rPr>
              <w:t>Securing land and forest tenure through policy and legal reforms</w:t>
            </w:r>
          </w:p>
        </w:tc>
        <w:tc>
          <w:tcPr>
            <w:tcW w:w="3358" w:type="pct"/>
          </w:tcPr>
          <w:p w14:paraId="5CF62B30" w14:textId="77777777" w:rsidR="00F0605A" w:rsidRPr="00770134" w:rsidRDefault="00F0605A" w:rsidP="00F0605A">
            <w:pPr>
              <w:pStyle w:val="ListParagraph"/>
              <w:numPr>
                <w:ilvl w:val="0"/>
                <w:numId w:val="32"/>
              </w:numPr>
              <w:spacing w:after="120"/>
              <w:rPr>
                <w:lang w:val="en-GB"/>
              </w:rPr>
            </w:pPr>
            <w:r w:rsidRPr="00770134">
              <w:t xml:space="preserve">Support national legal reforms that recognize tenure rights, customary land rights; This can include the </w:t>
            </w:r>
            <w:r w:rsidRPr="00770134">
              <w:rPr>
                <w:lang w:val="en-GB"/>
              </w:rPr>
              <w:t>Development of model legislation or policy frameworks that countries can adopt to formally recognize and protect the rights of Indigenous Peoples and local communities to their lands, territories, and resources.</w:t>
            </w:r>
          </w:p>
          <w:p w14:paraId="6AE3BAAF" w14:textId="77777777" w:rsidR="00F0605A" w:rsidRPr="00770134" w:rsidRDefault="00F0605A" w:rsidP="00F0605A">
            <w:pPr>
              <w:pStyle w:val="ListParagraph"/>
              <w:numPr>
                <w:ilvl w:val="0"/>
                <w:numId w:val="32"/>
              </w:numPr>
              <w:spacing w:after="120"/>
              <w:rPr>
                <w:lang w:val="en-GB"/>
              </w:rPr>
            </w:pPr>
            <w:r w:rsidRPr="00770134">
              <w:rPr>
                <w:lang w:val="en-GB"/>
              </w:rPr>
              <w:t>Provide technical assistance to governments to implement these legal frameworks effectively, including support for land demarcation, titling, and registration processes.</w:t>
            </w:r>
          </w:p>
          <w:p w14:paraId="3D7DBB25" w14:textId="77777777" w:rsidR="00F0605A" w:rsidRPr="00770134" w:rsidRDefault="00F0605A" w:rsidP="00F0605A">
            <w:pPr>
              <w:pStyle w:val="ListParagraph"/>
              <w:numPr>
                <w:ilvl w:val="0"/>
                <w:numId w:val="32"/>
              </w:numPr>
              <w:spacing w:after="120"/>
            </w:pPr>
            <w:r w:rsidRPr="00770134">
              <w:t>Provide Capacity building for Indigenous Peoples to navigate legal systems and advocate for tenure security.</w:t>
            </w:r>
          </w:p>
          <w:p w14:paraId="1B813FC1" w14:textId="77777777" w:rsidR="00F0605A" w:rsidRPr="00770134" w:rsidRDefault="00F0605A" w:rsidP="00F0605A">
            <w:pPr>
              <w:pStyle w:val="ListParagraph"/>
              <w:numPr>
                <w:ilvl w:val="0"/>
                <w:numId w:val="32"/>
              </w:numPr>
              <w:spacing w:after="120"/>
              <w:rPr>
                <w:lang w:val="en-GB"/>
              </w:rPr>
            </w:pPr>
            <w:r w:rsidRPr="00770134">
              <w:rPr>
                <w:lang w:val="en-GB"/>
              </w:rPr>
              <w:t>Support field registry and recording of tenure through tools (e.g. Open Tenure)</w:t>
            </w:r>
          </w:p>
        </w:tc>
      </w:tr>
      <w:tr w:rsidR="00F0605A" w:rsidRPr="00770134" w14:paraId="62266191" w14:textId="77777777" w:rsidTr="00F0605A">
        <w:trPr>
          <w:trHeight w:val="300"/>
        </w:trPr>
        <w:tc>
          <w:tcPr>
            <w:tcW w:w="1642" w:type="pct"/>
          </w:tcPr>
          <w:p w14:paraId="2BF38B5D" w14:textId="77777777" w:rsidR="00F0605A" w:rsidRPr="00770134" w:rsidRDefault="00F0605A" w:rsidP="00F0605A">
            <w:pPr>
              <w:pStyle w:val="ListParagraph"/>
              <w:numPr>
                <w:ilvl w:val="0"/>
                <w:numId w:val="31"/>
              </w:numPr>
              <w:spacing w:after="120"/>
              <w:rPr>
                <w:lang w:val="en-GB"/>
              </w:rPr>
            </w:pPr>
            <w:r w:rsidRPr="00770134">
              <w:rPr>
                <w:lang w:val="en-GB"/>
              </w:rPr>
              <w:t>Develop and strengthen financial mechanisms that provide direct funding to Indigenous Peoples and local communities for forest conservation.</w:t>
            </w:r>
          </w:p>
        </w:tc>
        <w:tc>
          <w:tcPr>
            <w:tcW w:w="3358" w:type="pct"/>
          </w:tcPr>
          <w:p w14:paraId="39364973" w14:textId="77777777" w:rsidR="00F0605A" w:rsidRPr="00770134" w:rsidRDefault="00F0605A" w:rsidP="00F0605A">
            <w:pPr>
              <w:pStyle w:val="ListParagraph"/>
              <w:numPr>
                <w:ilvl w:val="0"/>
                <w:numId w:val="33"/>
              </w:numPr>
              <w:spacing w:after="120"/>
              <w:rPr>
                <w:lang w:val="en-GB"/>
              </w:rPr>
            </w:pPr>
            <w:r w:rsidRPr="00770134">
              <w:rPr>
                <w:lang w:val="en-GB"/>
              </w:rPr>
              <w:t xml:space="preserve">Create mechanisms to simplify and expedite the process for Indigenous Peoples and local communities to access climate finance, including direct funding and support for developing project proposals. </w:t>
            </w:r>
          </w:p>
          <w:p w14:paraId="72AC925F" w14:textId="77777777" w:rsidR="00F0605A" w:rsidRPr="00770134" w:rsidRDefault="00F0605A" w:rsidP="00F0605A">
            <w:pPr>
              <w:pStyle w:val="ListParagraph"/>
              <w:numPr>
                <w:ilvl w:val="0"/>
                <w:numId w:val="33"/>
              </w:numPr>
              <w:spacing w:after="120"/>
              <w:rPr>
                <w:lang w:val="en-GB"/>
              </w:rPr>
            </w:pPr>
            <w:r w:rsidRPr="00770134">
              <w:rPr>
                <w:lang w:val="en-GB"/>
              </w:rPr>
              <w:t>Advocate for simplified application processes for Indigenous-led projects in climate finance mechanisms (e.g., Green Climate Fund, Loss and Damage Fund).</w:t>
            </w:r>
          </w:p>
          <w:p w14:paraId="61783F4B" w14:textId="77777777" w:rsidR="00F0605A" w:rsidRPr="00770134" w:rsidRDefault="00F0605A" w:rsidP="00F0605A">
            <w:pPr>
              <w:pStyle w:val="ListParagraph"/>
              <w:numPr>
                <w:ilvl w:val="0"/>
                <w:numId w:val="33"/>
              </w:numPr>
              <w:spacing w:after="120"/>
              <w:rPr>
                <w:lang w:val="en-GB"/>
              </w:rPr>
            </w:pPr>
            <w:r w:rsidRPr="00770134">
              <w:rPr>
                <w:lang w:val="en-GB"/>
              </w:rPr>
              <w:t>Support the development of Indigenous-managed financial funds for community-based forestry, conservation and sustainable livelihoods.</w:t>
            </w:r>
          </w:p>
          <w:p w14:paraId="5D2118F4" w14:textId="77777777" w:rsidR="00F0605A" w:rsidRPr="00770134" w:rsidRDefault="00F0605A" w:rsidP="00F0605A">
            <w:pPr>
              <w:pStyle w:val="ListParagraph"/>
              <w:numPr>
                <w:ilvl w:val="0"/>
                <w:numId w:val="33"/>
              </w:numPr>
              <w:spacing w:after="120"/>
              <w:rPr>
                <w:lang w:val="en-GB"/>
              </w:rPr>
            </w:pPr>
            <w:r w:rsidRPr="00770134">
              <w:rPr>
                <w:lang w:val="en-GB"/>
              </w:rPr>
              <w:t>Work with donors to ensure that at least 30% of REDD+ funds reach Indigenous-led initiatives.</w:t>
            </w:r>
          </w:p>
          <w:p w14:paraId="59C73A61" w14:textId="77777777" w:rsidR="00F0605A" w:rsidRPr="00770134" w:rsidRDefault="00F0605A" w:rsidP="00F0605A">
            <w:pPr>
              <w:pStyle w:val="ListParagraph"/>
              <w:numPr>
                <w:ilvl w:val="0"/>
                <w:numId w:val="33"/>
              </w:numPr>
              <w:spacing w:after="120"/>
              <w:rPr>
                <w:lang w:val="en-GB"/>
              </w:rPr>
            </w:pPr>
            <w:r w:rsidRPr="00770134">
              <w:rPr>
                <w:lang w:val="en-GB"/>
              </w:rPr>
              <w:t>Promote innovative upfront financing mechanisms that recognize the value of traditional knowledge and ecosystem services provided by Indigenous Peoples and local communities.</w:t>
            </w:r>
          </w:p>
          <w:p w14:paraId="4B17911A" w14:textId="77777777" w:rsidR="00F0605A" w:rsidRPr="00770134" w:rsidRDefault="00F0605A" w:rsidP="00F0605A">
            <w:pPr>
              <w:pStyle w:val="ListParagraph"/>
              <w:numPr>
                <w:ilvl w:val="0"/>
                <w:numId w:val="33"/>
              </w:numPr>
              <w:spacing w:after="120"/>
              <w:rPr>
                <w:lang w:val="en-GB"/>
              </w:rPr>
            </w:pPr>
            <w:r w:rsidRPr="00770134">
              <w:rPr>
                <w:lang w:val="en-GB"/>
              </w:rPr>
              <w:t>Support the development of community-based forest enterprises that generate income while promoting sustainable forest management.</w:t>
            </w:r>
          </w:p>
        </w:tc>
      </w:tr>
      <w:tr w:rsidR="00F0605A" w:rsidRPr="00770134" w14:paraId="3781AD21" w14:textId="77777777" w:rsidTr="00F0605A">
        <w:trPr>
          <w:trHeight w:val="300"/>
        </w:trPr>
        <w:tc>
          <w:tcPr>
            <w:tcW w:w="1642" w:type="pct"/>
          </w:tcPr>
          <w:p w14:paraId="7579F0AF" w14:textId="77777777" w:rsidR="00F0605A" w:rsidRPr="00770134" w:rsidRDefault="00F0605A" w:rsidP="00F0605A">
            <w:pPr>
              <w:pStyle w:val="ListParagraph"/>
              <w:numPr>
                <w:ilvl w:val="0"/>
                <w:numId w:val="31"/>
              </w:numPr>
              <w:spacing w:after="120"/>
              <w:rPr>
                <w:lang w:val="en-GB"/>
              </w:rPr>
            </w:pPr>
            <w:r w:rsidRPr="00770134">
              <w:rPr>
                <w:lang w:val="en-GB"/>
              </w:rPr>
              <w:t xml:space="preserve">Supporting Indigenous Peoples and forest-dependent communities to access to financing to conserve forests, support sustainable forest </w:t>
            </w:r>
            <w:r w:rsidRPr="00770134">
              <w:rPr>
                <w:lang w:val="en-GB"/>
              </w:rPr>
              <w:lastRenderedPageBreak/>
              <w:t>management and forest enterprises.</w:t>
            </w:r>
          </w:p>
        </w:tc>
        <w:tc>
          <w:tcPr>
            <w:tcW w:w="3358" w:type="pct"/>
          </w:tcPr>
          <w:p w14:paraId="621350D3" w14:textId="77777777" w:rsidR="00F0605A" w:rsidRPr="00E06C2D" w:rsidRDefault="00F0605A" w:rsidP="00F0605A">
            <w:pPr>
              <w:pStyle w:val="ListParagraph"/>
              <w:numPr>
                <w:ilvl w:val="0"/>
                <w:numId w:val="34"/>
              </w:numPr>
              <w:spacing w:after="120"/>
            </w:pPr>
            <w:r w:rsidRPr="00E06C2D">
              <w:lastRenderedPageBreak/>
              <w:t xml:space="preserve">Facilitate dialogues between Indigenous Peoples and donors or investors.  </w:t>
            </w:r>
          </w:p>
          <w:p w14:paraId="1A10942F" w14:textId="77777777" w:rsidR="00F0605A" w:rsidRPr="00E06C2D" w:rsidRDefault="00F0605A" w:rsidP="00F0605A">
            <w:pPr>
              <w:pStyle w:val="ListParagraph"/>
              <w:numPr>
                <w:ilvl w:val="0"/>
                <w:numId w:val="34"/>
              </w:numPr>
              <w:spacing w:after="120"/>
            </w:pPr>
            <w:r w:rsidRPr="00E06C2D">
              <w:t>Capacity building on financial and program management.</w:t>
            </w:r>
          </w:p>
          <w:p w14:paraId="09118746" w14:textId="77777777" w:rsidR="00F0605A" w:rsidRPr="00770134" w:rsidRDefault="00F0605A" w:rsidP="00F0605A">
            <w:pPr>
              <w:pStyle w:val="ListParagraph"/>
              <w:numPr>
                <w:ilvl w:val="0"/>
                <w:numId w:val="34"/>
              </w:numPr>
              <w:spacing w:after="120"/>
              <w:rPr>
                <w:lang w:val="en-GB"/>
              </w:rPr>
            </w:pPr>
            <w:r w:rsidRPr="00770134">
              <w:rPr>
                <w:lang w:val="en-GB"/>
              </w:rPr>
              <w:t>Strengthen Indigenous governance structures for community forest monitoring (e.g., participatory MRV systems).</w:t>
            </w:r>
          </w:p>
          <w:p w14:paraId="007F44C0" w14:textId="77777777" w:rsidR="00F0605A" w:rsidRPr="00770134" w:rsidRDefault="00F0605A" w:rsidP="00F0605A">
            <w:pPr>
              <w:pStyle w:val="ListParagraph"/>
              <w:numPr>
                <w:ilvl w:val="0"/>
                <w:numId w:val="34"/>
              </w:numPr>
              <w:spacing w:after="120"/>
              <w:rPr>
                <w:lang w:val="en-GB"/>
              </w:rPr>
            </w:pPr>
            <w:r w:rsidRPr="00770134">
              <w:rPr>
                <w:lang w:val="en-GB"/>
              </w:rPr>
              <w:t>Promote sustainable Indigenous Forest economies (e.g., non-timber forest products, agroforestry).</w:t>
            </w:r>
          </w:p>
          <w:p w14:paraId="2D7D35B2" w14:textId="77777777" w:rsidR="00F0605A" w:rsidRPr="00770134" w:rsidRDefault="00F0605A" w:rsidP="00F0605A">
            <w:pPr>
              <w:pStyle w:val="ListParagraph"/>
              <w:numPr>
                <w:ilvl w:val="0"/>
                <w:numId w:val="34"/>
              </w:numPr>
              <w:spacing w:after="120"/>
              <w:rPr>
                <w:lang w:val="en-GB"/>
              </w:rPr>
            </w:pPr>
            <w:r w:rsidRPr="00770134">
              <w:rPr>
                <w:lang w:val="en-GB"/>
              </w:rPr>
              <w:lastRenderedPageBreak/>
              <w:t>Facilitate peer-to-peer exchanges among Indigenous leaders on best practices in forest conservation.</w:t>
            </w:r>
          </w:p>
        </w:tc>
      </w:tr>
      <w:tr w:rsidR="00F0605A" w:rsidRPr="00770134" w14:paraId="14E43F47" w14:textId="77777777" w:rsidTr="00F0605A">
        <w:trPr>
          <w:trHeight w:val="300"/>
        </w:trPr>
        <w:tc>
          <w:tcPr>
            <w:tcW w:w="1642" w:type="pct"/>
          </w:tcPr>
          <w:p w14:paraId="04DBAA90" w14:textId="77777777" w:rsidR="00F0605A" w:rsidRPr="00770134" w:rsidRDefault="00F0605A" w:rsidP="00F0605A">
            <w:pPr>
              <w:pStyle w:val="ListParagraph"/>
              <w:numPr>
                <w:ilvl w:val="0"/>
                <w:numId w:val="31"/>
              </w:numPr>
              <w:spacing w:after="120"/>
              <w:rPr>
                <w:lang w:val="en-GB"/>
              </w:rPr>
            </w:pPr>
            <w:r w:rsidRPr="00770134">
              <w:rPr>
                <w:lang w:val="en-GB"/>
              </w:rPr>
              <w:lastRenderedPageBreak/>
              <w:t>Promoting of Indigenous Peoples rights and knowledge</w:t>
            </w:r>
          </w:p>
        </w:tc>
        <w:tc>
          <w:tcPr>
            <w:tcW w:w="3358" w:type="pct"/>
          </w:tcPr>
          <w:p w14:paraId="7A2B10C1" w14:textId="77777777" w:rsidR="00F0605A" w:rsidRPr="00770134" w:rsidRDefault="00F0605A" w:rsidP="00F0605A">
            <w:pPr>
              <w:pStyle w:val="ListParagraph"/>
              <w:numPr>
                <w:ilvl w:val="0"/>
                <w:numId w:val="35"/>
              </w:numPr>
              <w:spacing w:after="120"/>
              <w:rPr>
                <w:lang w:val="en-GB"/>
              </w:rPr>
            </w:pPr>
            <w:r w:rsidRPr="00770134">
              <w:rPr>
                <w:lang w:val="en-GB"/>
              </w:rPr>
              <w:t>Establish platforms for Indigenous Peoples and local communities to share their knowledge, experiences, and best practices related to forest management and REDD+.</w:t>
            </w:r>
          </w:p>
          <w:p w14:paraId="612EB007" w14:textId="77777777" w:rsidR="00F0605A" w:rsidRPr="00770134" w:rsidRDefault="00F0605A" w:rsidP="00F0605A">
            <w:pPr>
              <w:pStyle w:val="ListParagraph"/>
              <w:numPr>
                <w:ilvl w:val="0"/>
                <w:numId w:val="35"/>
              </w:numPr>
              <w:spacing w:after="120"/>
              <w:rPr>
                <w:lang w:val="en-GB"/>
              </w:rPr>
            </w:pPr>
            <w:r w:rsidRPr="00770134">
              <w:rPr>
                <w:lang w:val="en-GB"/>
              </w:rPr>
              <w:t>Facilitate collaboration between Indigenous Peoples, local communities, governments, civil society organizations, and the private sector to promote integrated approaches to forest conservation and sustainable development.</w:t>
            </w:r>
          </w:p>
          <w:p w14:paraId="5723D662" w14:textId="77777777" w:rsidR="00F0605A" w:rsidRPr="00770134" w:rsidRDefault="00F0605A" w:rsidP="00F0605A">
            <w:pPr>
              <w:pStyle w:val="ListParagraph"/>
              <w:numPr>
                <w:ilvl w:val="0"/>
                <w:numId w:val="35"/>
              </w:numPr>
              <w:spacing w:after="120"/>
              <w:rPr>
                <w:lang w:val="en-GB"/>
              </w:rPr>
            </w:pPr>
            <w:r w:rsidRPr="00770134">
              <w:rPr>
                <w:lang w:val="en-GB"/>
              </w:rPr>
              <w:t>Continuing documentation and promotion of best practices on indigenous and traditional knowledge systems and practices</w:t>
            </w:r>
          </w:p>
        </w:tc>
      </w:tr>
      <w:tr w:rsidR="00F0605A" w:rsidRPr="00770134" w14:paraId="72090184" w14:textId="77777777" w:rsidTr="00F0605A">
        <w:trPr>
          <w:trHeight w:val="300"/>
        </w:trPr>
        <w:tc>
          <w:tcPr>
            <w:tcW w:w="1642" w:type="pct"/>
          </w:tcPr>
          <w:p w14:paraId="135C39D2" w14:textId="77777777" w:rsidR="00F0605A" w:rsidRPr="00770134" w:rsidRDefault="00F0605A" w:rsidP="00F0605A">
            <w:pPr>
              <w:pStyle w:val="ListParagraph"/>
              <w:numPr>
                <w:ilvl w:val="0"/>
                <w:numId w:val="31"/>
              </w:numPr>
              <w:spacing w:after="120"/>
              <w:rPr>
                <w:lang w:val="en-GB"/>
              </w:rPr>
            </w:pPr>
            <w:r w:rsidRPr="00770134">
              <w:rPr>
                <w:lang w:val="en-GB"/>
              </w:rPr>
              <w:t>Improve monitoring and enforcement of Indigenous Peoples’ rights and safeguards in REDD+ projects</w:t>
            </w:r>
          </w:p>
        </w:tc>
        <w:tc>
          <w:tcPr>
            <w:tcW w:w="3358" w:type="pct"/>
          </w:tcPr>
          <w:p w14:paraId="5422FB83" w14:textId="77777777" w:rsidR="00F0605A" w:rsidRPr="00770134" w:rsidRDefault="00F0605A" w:rsidP="00F0605A">
            <w:pPr>
              <w:pStyle w:val="ListParagraph"/>
              <w:numPr>
                <w:ilvl w:val="0"/>
                <w:numId w:val="36"/>
              </w:numPr>
              <w:spacing w:after="120"/>
              <w:rPr>
                <w:lang w:val="en-GB"/>
              </w:rPr>
            </w:pPr>
            <w:r w:rsidRPr="00770134">
              <w:rPr>
                <w:lang w:val="en-GB"/>
              </w:rPr>
              <w:t>Develop culturally appropriate indicators and monitoring systems to assess the effectiveness of REDD+ programs in protecting the rights and promoting the well-being of Indigenous Peoples and local communities.</w:t>
            </w:r>
          </w:p>
          <w:p w14:paraId="5D17C2B4" w14:textId="77777777" w:rsidR="00F0605A" w:rsidRPr="00770134" w:rsidRDefault="00F0605A" w:rsidP="00F0605A">
            <w:pPr>
              <w:pStyle w:val="ListParagraph"/>
              <w:numPr>
                <w:ilvl w:val="0"/>
                <w:numId w:val="36"/>
              </w:numPr>
              <w:spacing w:after="120"/>
              <w:rPr>
                <w:lang w:val="en-GB"/>
              </w:rPr>
            </w:pPr>
            <w:r w:rsidRPr="00770134">
              <w:rPr>
                <w:lang w:val="en-GB"/>
              </w:rPr>
              <w:t xml:space="preserve">Ensure that Indigenous Peoples and local communities are involved in the monitoring and evaluation of REDD+ projects and programs, and that their feedback is used to improve implementation. </w:t>
            </w:r>
          </w:p>
          <w:p w14:paraId="739565BA" w14:textId="77777777" w:rsidR="00F0605A" w:rsidRPr="00770134" w:rsidRDefault="00F0605A" w:rsidP="00F0605A">
            <w:pPr>
              <w:pStyle w:val="ListParagraph"/>
              <w:numPr>
                <w:ilvl w:val="0"/>
                <w:numId w:val="36"/>
              </w:numPr>
              <w:spacing w:after="120"/>
              <w:rPr>
                <w:lang w:val="en-GB"/>
              </w:rPr>
            </w:pPr>
            <w:r w:rsidRPr="00770134">
              <w:rPr>
                <w:lang w:val="en-GB"/>
              </w:rPr>
              <w:t>Establish independent Indigenous-led grievance mechanisms for REDD+ and forest-related initiatives.</w:t>
            </w:r>
          </w:p>
          <w:p w14:paraId="456C97D1" w14:textId="77777777" w:rsidR="00F0605A" w:rsidRPr="00770134" w:rsidRDefault="00F0605A" w:rsidP="00F0605A">
            <w:pPr>
              <w:pStyle w:val="ListParagraph"/>
              <w:numPr>
                <w:ilvl w:val="0"/>
                <w:numId w:val="36"/>
              </w:numPr>
              <w:spacing w:after="120"/>
              <w:rPr>
                <w:lang w:val="en-GB"/>
              </w:rPr>
            </w:pPr>
            <w:r w:rsidRPr="00770134">
              <w:rPr>
                <w:lang w:val="en-GB"/>
              </w:rPr>
              <w:t>Train government and private sector actors on Indigenous Peoples’ rights and FPIC compliance.</w:t>
            </w:r>
          </w:p>
        </w:tc>
      </w:tr>
      <w:tr w:rsidR="00F0605A" w:rsidRPr="00770134" w14:paraId="2BC158C2" w14:textId="77777777" w:rsidTr="00F0605A">
        <w:trPr>
          <w:trHeight w:val="300"/>
        </w:trPr>
        <w:tc>
          <w:tcPr>
            <w:tcW w:w="1642" w:type="pct"/>
          </w:tcPr>
          <w:p w14:paraId="5E8C27ED" w14:textId="77777777" w:rsidR="00F0605A" w:rsidRPr="00770134" w:rsidRDefault="00F0605A" w:rsidP="00F0605A">
            <w:pPr>
              <w:pStyle w:val="ListParagraph"/>
              <w:numPr>
                <w:ilvl w:val="0"/>
                <w:numId w:val="31"/>
              </w:numPr>
              <w:spacing w:after="120"/>
              <w:rPr>
                <w:lang w:val="en-GB"/>
              </w:rPr>
            </w:pPr>
            <w:r w:rsidRPr="00770134">
              <w:rPr>
                <w:lang w:val="en-GB"/>
              </w:rPr>
              <w:t>Strengthen social forestry and community-based forest management by improving local monitoring, planning, and governance capacities, with a focus on IPLC stewardship and accountability in forest use.</w:t>
            </w:r>
          </w:p>
        </w:tc>
        <w:tc>
          <w:tcPr>
            <w:tcW w:w="3358" w:type="pct"/>
          </w:tcPr>
          <w:p w14:paraId="41E49C6B" w14:textId="77777777" w:rsidR="00F0605A" w:rsidRDefault="00F0605A" w:rsidP="00F0605A">
            <w:pPr>
              <w:pStyle w:val="ListParagraph"/>
              <w:numPr>
                <w:ilvl w:val="0"/>
                <w:numId w:val="37"/>
              </w:numPr>
              <w:spacing w:after="120"/>
            </w:pPr>
            <w:r w:rsidRPr="00E06C2D">
              <w:t>Build capacity for community-based forest monitoring linked to management objectives (e.g., restoration, fire prevention, NTFP use)</w:t>
            </w:r>
          </w:p>
          <w:p w14:paraId="7A518F3B" w14:textId="77777777" w:rsidR="00F0605A" w:rsidRDefault="00F0605A" w:rsidP="00F0605A">
            <w:pPr>
              <w:pStyle w:val="ListParagraph"/>
              <w:numPr>
                <w:ilvl w:val="0"/>
                <w:numId w:val="37"/>
              </w:numPr>
              <w:spacing w:after="120"/>
            </w:pPr>
            <w:r w:rsidRPr="00E06C2D">
              <w:t>Provide tools and training for local forest planning, boundary setting, and community rules enforcement</w:t>
            </w:r>
          </w:p>
          <w:p w14:paraId="25F0CCE3" w14:textId="77777777" w:rsidR="00F0605A" w:rsidRDefault="00F0605A" w:rsidP="00F0605A">
            <w:pPr>
              <w:pStyle w:val="ListParagraph"/>
              <w:numPr>
                <w:ilvl w:val="0"/>
                <w:numId w:val="37"/>
              </w:numPr>
              <w:spacing w:after="120"/>
            </w:pPr>
            <w:r w:rsidRPr="00E06C2D">
              <w:t>Support participatory governance platforms between communities and forest authorities</w:t>
            </w:r>
          </w:p>
          <w:p w14:paraId="21F0DD16" w14:textId="77777777" w:rsidR="00F0605A" w:rsidRDefault="00F0605A" w:rsidP="00F0605A">
            <w:pPr>
              <w:pStyle w:val="ListParagraph"/>
              <w:numPr>
                <w:ilvl w:val="0"/>
                <w:numId w:val="37"/>
              </w:numPr>
              <w:spacing w:after="120"/>
            </w:pPr>
            <w:r w:rsidRPr="00E06C2D">
              <w:t>Promote IPLC-led forest management plans that incorporate traditional knowledge, monitoring, and sustainable use</w:t>
            </w:r>
          </w:p>
          <w:p w14:paraId="305E4672" w14:textId="77777777" w:rsidR="00F0605A" w:rsidRPr="00E06C2D" w:rsidRDefault="00F0605A" w:rsidP="00F0605A">
            <w:pPr>
              <w:pStyle w:val="ListParagraph"/>
              <w:numPr>
                <w:ilvl w:val="0"/>
                <w:numId w:val="37"/>
              </w:numPr>
              <w:spacing w:after="120"/>
            </w:pPr>
            <w:r w:rsidRPr="00E06C2D">
              <w:t>Link local monitoring outcomes to adaptive forest governance and benefit-sharing decisions</w:t>
            </w:r>
          </w:p>
        </w:tc>
      </w:tr>
      <w:tr w:rsidR="00F0605A" w:rsidRPr="00770134" w14:paraId="4B1157CB" w14:textId="77777777" w:rsidTr="00F0605A">
        <w:trPr>
          <w:trHeight w:val="300"/>
        </w:trPr>
        <w:tc>
          <w:tcPr>
            <w:tcW w:w="1642" w:type="pct"/>
          </w:tcPr>
          <w:p w14:paraId="3376E00C" w14:textId="77777777" w:rsidR="00F0605A" w:rsidRPr="00770134" w:rsidRDefault="00F0605A" w:rsidP="00F0605A">
            <w:pPr>
              <w:pStyle w:val="ListParagraph"/>
              <w:numPr>
                <w:ilvl w:val="0"/>
                <w:numId w:val="31"/>
              </w:numPr>
              <w:spacing w:after="120"/>
              <w:rPr>
                <w:lang w:val="en-GB"/>
              </w:rPr>
            </w:pPr>
            <w:r w:rsidRPr="00770134">
              <w:rPr>
                <w:lang w:val="en-GB"/>
              </w:rPr>
              <w:t xml:space="preserve">Promote sustainable production practices for forestry and agriculture with indigenous peoples, </w:t>
            </w:r>
            <w:r w:rsidRPr="00770134">
              <w:rPr>
                <w:lang w:val="en-GB"/>
              </w:rPr>
              <w:lastRenderedPageBreak/>
              <w:t>community groups, smallholders</w:t>
            </w:r>
          </w:p>
        </w:tc>
        <w:tc>
          <w:tcPr>
            <w:tcW w:w="3358" w:type="pct"/>
          </w:tcPr>
          <w:p w14:paraId="727DF077" w14:textId="77777777" w:rsidR="00F0605A" w:rsidRPr="00B24040" w:rsidRDefault="00F0605A" w:rsidP="00F0605A">
            <w:pPr>
              <w:pStyle w:val="ListParagraph"/>
              <w:numPr>
                <w:ilvl w:val="0"/>
                <w:numId w:val="38"/>
              </w:numPr>
              <w:spacing w:after="120"/>
            </w:pPr>
            <w:r w:rsidRPr="00770134">
              <w:rPr>
                <w:lang w:val="en-GB"/>
              </w:rPr>
              <w:lastRenderedPageBreak/>
              <w:t xml:space="preserve">Promote small-holder production of forest-friendly commodities (shade grown coffee, cocoa), ensuring smallholders are not excluded from emerging market requirements (e.g. EUDR) and provide technical assistance and </w:t>
            </w:r>
            <w:r w:rsidRPr="00770134">
              <w:rPr>
                <w:lang w:val="en-GB"/>
              </w:rPr>
              <w:lastRenderedPageBreak/>
              <w:t>value chain development support for community-based enterprises/cooperatives.</w:t>
            </w:r>
          </w:p>
          <w:p w14:paraId="647F09B4" w14:textId="77777777" w:rsidR="00F0605A" w:rsidRPr="00B24040" w:rsidRDefault="00F0605A" w:rsidP="00F0605A">
            <w:pPr>
              <w:pStyle w:val="ListParagraph"/>
              <w:numPr>
                <w:ilvl w:val="0"/>
                <w:numId w:val="38"/>
              </w:numPr>
              <w:spacing w:after="120"/>
            </w:pPr>
            <w:r w:rsidRPr="00770134">
              <w:rPr>
                <w:lang w:val="en-GB"/>
              </w:rPr>
              <w:t xml:space="preserve">Support to social forestry, community forest management, and indigenous management of indigenous </w:t>
            </w:r>
            <w:proofErr w:type="spellStart"/>
            <w:r w:rsidRPr="00770134">
              <w:rPr>
                <w:lang w:val="en-GB"/>
              </w:rPr>
              <w:t>territorie</w:t>
            </w:r>
            <w:proofErr w:type="spellEnd"/>
            <w:r w:rsidRPr="00770134">
              <w:t>s</w:t>
            </w:r>
          </w:p>
          <w:p w14:paraId="78A41D9F" w14:textId="77777777" w:rsidR="00F0605A" w:rsidRPr="00B24040" w:rsidRDefault="00F0605A" w:rsidP="00F0605A">
            <w:pPr>
              <w:pStyle w:val="ListParagraph"/>
              <w:numPr>
                <w:ilvl w:val="0"/>
                <w:numId w:val="38"/>
              </w:numPr>
              <w:spacing w:after="120"/>
            </w:pPr>
            <w:r w:rsidRPr="00770134">
              <w:rPr>
                <w:lang w:val="en-GB"/>
              </w:rPr>
              <w:t>Capacity building on community-based forestry, social forestry and agroforestry practices</w:t>
            </w:r>
          </w:p>
        </w:tc>
      </w:tr>
    </w:tbl>
    <w:p w14:paraId="7361EA79" w14:textId="77777777" w:rsidR="00F0605A" w:rsidRDefault="00F0605A" w:rsidP="00F0605A"/>
    <w:p w14:paraId="73402951" w14:textId="77777777" w:rsidR="00351ADC" w:rsidRDefault="00351ADC" w:rsidP="00762CAE">
      <w:pPr>
        <w:pStyle w:val="Heading1"/>
      </w:pPr>
    </w:p>
    <w:sectPr w:rsidR="00351ADC" w:rsidSect="000D4C77">
      <w:headerReference w:type="default" r:id="rId20"/>
      <w:footerReference w:type="default" r:id="rId2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1CCE43" w14:textId="77777777" w:rsidR="00A962FE" w:rsidRDefault="00A962FE" w:rsidP="00E62A58">
      <w:pPr>
        <w:spacing w:before="0" w:after="0" w:line="240" w:lineRule="auto"/>
      </w:pPr>
      <w:r>
        <w:separator/>
      </w:r>
    </w:p>
  </w:endnote>
  <w:endnote w:type="continuationSeparator" w:id="0">
    <w:p w14:paraId="5A1D6CC3" w14:textId="77777777" w:rsidR="00A962FE" w:rsidRDefault="00A962FE" w:rsidP="00E62A58">
      <w:pPr>
        <w:spacing w:before="0" w:after="0" w:line="240" w:lineRule="auto"/>
      </w:pPr>
      <w:r>
        <w:continuationSeparator/>
      </w:r>
    </w:p>
  </w:endnote>
  <w:endnote w:type="continuationNotice" w:id="1">
    <w:p w14:paraId="48A03BF9" w14:textId="77777777" w:rsidR="00A962FE" w:rsidRDefault="00A962F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74589249"/>
      <w:docPartObj>
        <w:docPartGallery w:val="Page Numbers (Bottom of Page)"/>
        <w:docPartUnique/>
      </w:docPartObj>
    </w:sdtPr>
    <w:sdtEndPr>
      <w:rPr>
        <w:noProof/>
      </w:rPr>
    </w:sdtEndPr>
    <w:sdtContent>
      <w:p w14:paraId="69D4E3A5" w14:textId="77777777" w:rsidR="00F0605A" w:rsidRDefault="00F0605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72E27EE" w14:textId="77777777" w:rsidR="00F0605A" w:rsidRDefault="00F060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2014488"/>
      <w:docPartObj>
        <w:docPartGallery w:val="Page Numbers (Bottom of Page)"/>
        <w:docPartUnique/>
      </w:docPartObj>
    </w:sdtPr>
    <w:sdtEndPr>
      <w:rPr>
        <w:noProof/>
      </w:rPr>
    </w:sdtEndPr>
    <w:sdtContent>
      <w:p w14:paraId="23553FD1" w14:textId="77777777" w:rsidR="00BA27F3" w:rsidRDefault="00BA27F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7E0002" w14:textId="77777777" w:rsidR="00BA27F3" w:rsidRDefault="00BA27F3">
    <w:pPr>
      <w:pStyle w:val="Footer"/>
    </w:pPr>
  </w:p>
  <w:p w14:paraId="06082A93" w14:textId="77777777" w:rsidR="00000000" w:rsidRDefault="00000000"/>
  <w:p w14:paraId="7BFC70CE" w14:textId="77777777" w:rsidR="00000000" w:rsidRDefault="000000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DB3F63" w14:textId="77777777" w:rsidR="00A962FE" w:rsidRDefault="00A962FE" w:rsidP="00E62A58">
      <w:pPr>
        <w:spacing w:before="0" w:after="0" w:line="240" w:lineRule="auto"/>
      </w:pPr>
      <w:r>
        <w:separator/>
      </w:r>
    </w:p>
  </w:footnote>
  <w:footnote w:type="continuationSeparator" w:id="0">
    <w:p w14:paraId="6D8A3911" w14:textId="77777777" w:rsidR="00A962FE" w:rsidRDefault="00A962FE" w:rsidP="00E62A58">
      <w:pPr>
        <w:spacing w:before="0" w:after="0" w:line="240" w:lineRule="auto"/>
      </w:pPr>
      <w:r>
        <w:continuationSeparator/>
      </w:r>
    </w:p>
  </w:footnote>
  <w:footnote w:type="continuationNotice" w:id="1">
    <w:p w14:paraId="5108904C" w14:textId="77777777" w:rsidR="00A962FE" w:rsidRDefault="00A962FE">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B53A5E" w14:textId="77777777" w:rsidR="00F0605A" w:rsidRDefault="00F060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EF8A83" w14:textId="690E8190" w:rsidR="00BA27F3" w:rsidRPr="00EA2B9A" w:rsidRDefault="00BA27F3">
    <w:pPr>
      <w:pStyle w:val="Header"/>
      <w:jc w:val="right"/>
      <w:rPr>
        <w:rFonts w:ascii="Times New Roman" w:hAnsi="Times New Roman" w:cs="Times New Roman"/>
        <w:i/>
        <w:iCs/>
      </w:rPr>
    </w:pPr>
  </w:p>
  <w:p w14:paraId="657B57BF" w14:textId="77777777" w:rsidR="00000000" w:rsidRDefault="00000000"/>
  <w:p w14:paraId="088FE9F3" w14:textId="77777777" w:rsidR="00000000" w:rsidRDefault="000000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518E9"/>
    <w:multiLevelType w:val="hybridMultilevel"/>
    <w:tmpl w:val="E35A781A"/>
    <w:lvl w:ilvl="0" w:tplc="2000000F">
      <w:start w:val="1"/>
      <w:numFmt w:val="decimal"/>
      <w:lvlText w:val="%1."/>
      <w:lvlJc w:val="left"/>
      <w:pPr>
        <w:ind w:left="360" w:hanging="360"/>
      </w:pPr>
    </w:lvl>
    <w:lvl w:ilvl="1" w:tplc="E402B674">
      <w:start w:val="1"/>
      <w:numFmt w:val="bullet"/>
      <w:lvlText w:val="-"/>
      <w:lvlJc w:val="left"/>
      <w:pPr>
        <w:ind w:left="1080" w:hanging="360"/>
      </w:pPr>
      <w:rPr>
        <w:rFonts w:ascii="Aptos" w:eastAsiaTheme="minorHAnsi" w:hAnsi="Aptos" w:cstheme="minorBidi"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1A6779D"/>
    <w:multiLevelType w:val="hybridMultilevel"/>
    <w:tmpl w:val="CA244926"/>
    <w:lvl w:ilvl="0" w:tplc="9A9AB564">
      <w:start w:val="1"/>
      <w:numFmt w:val="decimal"/>
      <w:lvlText w:val="%1."/>
      <w:lvlJc w:val="left"/>
      <w:pPr>
        <w:ind w:left="360" w:hanging="360"/>
      </w:pPr>
      <w:rPr>
        <w:rFonts w:hint="default"/>
      </w:rPr>
    </w:lvl>
    <w:lvl w:ilvl="1" w:tplc="834EE940">
      <w:start w:val="1"/>
      <w:numFmt w:val="lowerLetter"/>
      <w:lvlText w:val="%2."/>
      <w:lvlJc w:val="left"/>
      <w:pPr>
        <w:ind w:left="852" w:hanging="132"/>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3A20582"/>
    <w:multiLevelType w:val="hybridMultilevel"/>
    <w:tmpl w:val="BD784F04"/>
    <w:lvl w:ilvl="0" w:tplc="FFFFFFFF">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41B392D"/>
    <w:multiLevelType w:val="hybridMultilevel"/>
    <w:tmpl w:val="5752656E"/>
    <w:lvl w:ilvl="0" w:tplc="2000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71F5EEA"/>
    <w:multiLevelType w:val="hybridMultilevel"/>
    <w:tmpl w:val="BD784F04"/>
    <w:lvl w:ilvl="0" w:tplc="FFFFFFFF">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0A13206A"/>
    <w:multiLevelType w:val="hybridMultilevel"/>
    <w:tmpl w:val="70A6F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B5346E"/>
    <w:multiLevelType w:val="hybridMultilevel"/>
    <w:tmpl w:val="D91C9C84"/>
    <w:lvl w:ilvl="0" w:tplc="420AF36E">
      <w:start w:val="1"/>
      <w:numFmt w:val="decimal"/>
      <w:lvlText w:val="%1."/>
      <w:lvlJc w:val="left"/>
      <w:pPr>
        <w:ind w:left="360" w:hanging="360"/>
      </w:pPr>
      <w:rPr>
        <w:rFonts w:hint="default"/>
      </w:rPr>
    </w:lvl>
    <w:lvl w:ilvl="1" w:tplc="211CB7D0">
      <w:start w:val="1"/>
      <w:numFmt w:val="bullet"/>
      <w:lvlText w:val=""/>
      <w:lvlJc w:val="left"/>
      <w:pPr>
        <w:ind w:left="1080" w:hanging="360"/>
      </w:pPr>
      <w:rPr>
        <w:rFonts w:ascii="Wingdings" w:eastAsiaTheme="minorHAnsi" w:hAnsi="Wingdings" w:cstheme="minorBidi"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2DF16CB"/>
    <w:multiLevelType w:val="hybridMultilevel"/>
    <w:tmpl w:val="63542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2743C9"/>
    <w:multiLevelType w:val="hybridMultilevel"/>
    <w:tmpl w:val="82FA22F4"/>
    <w:lvl w:ilvl="0" w:tplc="20000019">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E961375"/>
    <w:multiLevelType w:val="hybridMultilevel"/>
    <w:tmpl w:val="5A140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982C8A"/>
    <w:multiLevelType w:val="hybridMultilevel"/>
    <w:tmpl w:val="B8869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0461F7"/>
    <w:multiLevelType w:val="hybridMultilevel"/>
    <w:tmpl w:val="06B25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772F2E"/>
    <w:multiLevelType w:val="hybridMultilevel"/>
    <w:tmpl w:val="9270454A"/>
    <w:lvl w:ilvl="0" w:tplc="20000019">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13" w15:restartNumberingAfterBreak="0">
    <w:nsid w:val="370918DE"/>
    <w:multiLevelType w:val="hybridMultilevel"/>
    <w:tmpl w:val="A12A2FEA"/>
    <w:lvl w:ilvl="0" w:tplc="2000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3DC57D2C"/>
    <w:multiLevelType w:val="hybridMultilevel"/>
    <w:tmpl w:val="DB2E3338"/>
    <w:lvl w:ilvl="0" w:tplc="2000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407A3756"/>
    <w:multiLevelType w:val="hybridMultilevel"/>
    <w:tmpl w:val="323A6706"/>
    <w:lvl w:ilvl="0" w:tplc="20000019">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1E07BD2"/>
    <w:multiLevelType w:val="hybridMultilevel"/>
    <w:tmpl w:val="A25C4512"/>
    <w:lvl w:ilvl="0" w:tplc="2000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4355475A"/>
    <w:multiLevelType w:val="hybridMultilevel"/>
    <w:tmpl w:val="BD784F04"/>
    <w:lvl w:ilvl="0" w:tplc="FFFFFFFF">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437F1C8E"/>
    <w:multiLevelType w:val="hybridMultilevel"/>
    <w:tmpl w:val="3C8C2B2E"/>
    <w:lvl w:ilvl="0" w:tplc="2000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5AB01CD"/>
    <w:multiLevelType w:val="hybridMultilevel"/>
    <w:tmpl w:val="BD784F04"/>
    <w:lvl w:ilvl="0" w:tplc="2000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736183A"/>
    <w:multiLevelType w:val="hybridMultilevel"/>
    <w:tmpl w:val="D29AE80C"/>
    <w:lvl w:ilvl="0" w:tplc="FFFFFFFF">
      <w:start w:val="1"/>
      <w:numFmt w:val="decimal"/>
      <w:lvlText w:val="%1."/>
      <w:lvlJc w:val="left"/>
      <w:pPr>
        <w:ind w:left="360" w:hanging="360"/>
      </w:pPr>
      <w:rPr>
        <w:rFonts w:hint="default"/>
        <w:b/>
      </w:rPr>
    </w:lvl>
    <w:lvl w:ilvl="1" w:tplc="08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49B55634"/>
    <w:multiLevelType w:val="hybridMultilevel"/>
    <w:tmpl w:val="AB906718"/>
    <w:lvl w:ilvl="0" w:tplc="2000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BE54539"/>
    <w:multiLevelType w:val="hybridMultilevel"/>
    <w:tmpl w:val="A4E8C002"/>
    <w:lvl w:ilvl="0" w:tplc="20000019">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BF12B9C"/>
    <w:multiLevelType w:val="hybridMultilevel"/>
    <w:tmpl w:val="6FDCEC32"/>
    <w:lvl w:ilvl="0" w:tplc="20000019">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CF10B3F"/>
    <w:multiLevelType w:val="hybridMultilevel"/>
    <w:tmpl w:val="36F81CB0"/>
    <w:lvl w:ilvl="0" w:tplc="A24CC1F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E8924D8"/>
    <w:multiLevelType w:val="hybridMultilevel"/>
    <w:tmpl w:val="3F7A8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6B7EA2"/>
    <w:multiLevelType w:val="hybridMultilevel"/>
    <w:tmpl w:val="B0F2BC04"/>
    <w:lvl w:ilvl="0" w:tplc="2000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C9B7618"/>
    <w:multiLevelType w:val="hybridMultilevel"/>
    <w:tmpl w:val="950A2810"/>
    <w:lvl w:ilvl="0" w:tplc="2000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D5267C8"/>
    <w:multiLevelType w:val="hybridMultilevel"/>
    <w:tmpl w:val="7674AF78"/>
    <w:lvl w:ilvl="0" w:tplc="3CE692F0">
      <w:start w:val="1"/>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DE31AB0"/>
    <w:multiLevelType w:val="hybridMultilevel"/>
    <w:tmpl w:val="20A4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1323A4"/>
    <w:multiLevelType w:val="hybridMultilevel"/>
    <w:tmpl w:val="E3DAD5F4"/>
    <w:lvl w:ilvl="0" w:tplc="2000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2ED7B34"/>
    <w:multiLevelType w:val="hybridMultilevel"/>
    <w:tmpl w:val="7FA2F490"/>
    <w:lvl w:ilvl="0" w:tplc="2000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67C12EC3"/>
    <w:multiLevelType w:val="hybridMultilevel"/>
    <w:tmpl w:val="F7C877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97D3E9D"/>
    <w:multiLevelType w:val="hybridMultilevel"/>
    <w:tmpl w:val="3FDE9AA2"/>
    <w:lvl w:ilvl="0" w:tplc="2000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6A867610"/>
    <w:multiLevelType w:val="hybridMultilevel"/>
    <w:tmpl w:val="09A08792"/>
    <w:lvl w:ilvl="0" w:tplc="2000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6BEF7A4A"/>
    <w:multiLevelType w:val="hybridMultilevel"/>
    <w:tmpl w:val="7EB8C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FB570D"/>
    <w:multiLevelType w:val="hybridMultilevel"/>
    <w:tmpl w:val="94760C26"/>
    <w:lvl w:ilvl="0" w:tplc="2000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7B165AE7"/>
    <w:multiLevelType w:val="hybridMultilevel"/>
    <w:tmpl w:val="34284A5C"/>
    <w:lvl w:ilvl="0" w:tplc="2000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902104770">
    <w:abstractNumId w:val="35"/>
  </w:num>
  <w:num w:numId="2" w16cid:durableId="628583751">
    <w:abstractNumId w:val="7"/>
  </w:num>
  <w:num w:numId="3" w16cid:durableId="1973559108">
    <w:abstractNumId w:val="10"/>
  </w:num>
  <w:num w:numId="4" w16cid:durableId="890120941">
    <w:abstractNumId w:val="0"/>
  </w:num>
  <w:num w:numId="5" w16cid:durableId="1179856396">
    <w:abstractNumId w:val="15"/>
  </w:num>
  <w:num w:numId="6" w16cid:durableId="754857283">
    <w:abstractNumId w:val="8"/>
  </w:num>
  <w:num w:numId="7" w16cid:durableId="338428606">
    <w:abstractNumId w:val="30"/>
  </w:num>
  <w:num w:numId="8" w16cid:durableId="999966452">
    <w:abstractNumId w:val="12"/>
  </w:num>
  <w:num w:numId="9" w16cid:durableId="1784884577">
    <w:abstractNumId w:val="11"/>
  </w:num>
  <w:num w:numId="10" w16cid:durableId="804546971">
    <w:abstractNumId w:val="28"/>
  </w:num>
  <w:num w:numId="11" w16cid:durableId="604847844">
    <w:abstractNumId w:val="20"/>
  </w:num>
  <w:num w:numId="12" w16cid:durableId="1461415782">
    <w:abstractNumId w:val="19"/>
  </w:num>
  <w:num w:numId="13" w16cid:durableId="1205562053">
    <w:abstractNumId w:val="1"/>
  </w:num>
  <w:num w:numId="14" w16cid:durableId="1897159792">
    <w:abstractNumId w:val="2"/>
  </w:num>
  <w:num w:numId="15" w16cid:durableId="2129856163">
    <w:abstractNumId w:val="17"/>
  </w:num>
  <w:num w:numId="16" w16cid:durableId="1974754305">
    <w:abstractNumId w:val="4"/>
  </w:num>
  <w:num w:numId="17" w16cid:durableId="1934392897">
    <w:abstractNumId w:val="23"/>
  </w:num>
  <w:num w:numId="18" w16cid:durableId="844638022">
    <w:abstractNumId w:val="26"/>
  </w:num>
  <w:num w:numId="19" w16cid:durableId="1623341512">
    <w:abstractNumId w:val="37"/>
  </w:num>
  <w:num w:numId="20" w16cid:durableId="1937516796">
    <w:abstractNumId w:val="36"/>
  </w:num>
  <w:num w:numId="21" w16cid:durableId="1916742550">
    <w:abstractNumId w:val="29"/>
  </w:num>
  <w:num w:numId="22" w16cid:durableId="1133988518">
    <w:abstractNumId w:val="5"/>
  </w:num>
  <w:num w:numId="23" w16cid:durableId="5862863">
    <w:abstractNumId w:val="25"/>
  </w:num>
  <w:num w:numId="24" w16cid:durableId="940406743">
    <w:abstractNumId w:val="13"/>
  </w:num>
  <w:num w:numId="25" w16cid:durableId="81924292">
    <w:abstractNumId w:val="16"/>
  </w:num>
  <w:num w:numId="26" w16cid:durableId="1488938434">
    <w:abstractNumId w:val="33"/>
  </w:num>
  <w:num w:numId="27" w16cid:durableId="1314136328">
    <w:abstractNumId w:val="14"/>
  </w:num>
  <w:num w:numId="28" w16cid:durableId="80109082">
    <w:abstractNumId w:val="24"/>
  </w:num>
  <w:num w:numId="29" w16cid:durableId="1668485430">
    <w:abstractNumId w:val="32"/>
  </w:num>
  <w:num w:numId="30" w16cid:durableId="1252425293">
    <w:abstractNumId w:val="9"/>
  </w:num>
  <w:num w:numId="31" w16cid:durableId="208105873">
    <w:abstractNumId w:val="6"/>
  </w:num>
  <w:num w:numId="32" w16cid:durableId="164831916">
    <w:abstractNumId w:val="27"/>
  </w:num>
  <w:num w:numId="33" w16cid:durableId="486553354">
    <w:abstractNumId w:val="21"/>
  </w:num>
  <w:num w:numId="34" w16cid:durableId="1081176800">
    <w:abstractNumId w:val="18"/>
  </w:num>
  <w:num w:numId="35" w16cid:durableId="1846477048">
    <w:abstractNumId w:val="34"/>
  </w:num>
  <w:num w:numId="36" w16cid:durableId="1411350462">
    <w:abstractNumId w:val="31"/>
  </w:num>
  <w:num w:numId="37" w16cid:durableId="1896624818">
    <w:abstractNumId w:val="3"/>
  </w:num>
  <w:num w:numId="38" w16cid:durableId="267011341">
    <w:abstractNumId w:val="2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A58"/>
    <w:rsid w:val="0000005A"/>
    <w:rsid w:val="00000A1C"/>
    <w:rsid w:val="0000736C"/>
    <w:rsid w:val="00011BAF"/>
    <w:rsid w:val="00012E26"/>
    <w:rsid w:val="00021DBF"/>
    <w:rsid w:val="000279F3"/>
    <w:rsid w:val="00035C09"/>
    <w:rsid w:val="00044345"/>
    <w:rsid w:val="0005027A"/>
    <w:rsid w:val="00054D01"/>
    <w:rsid w:val="000558DB"/>
    <w:rsid w:val="00067865"/>
    <w:rsid w:val="00080D30"/>
    <w:rsid w:val="0008232A"/>
    <w:rsid w:val="000828F7"/>
    <w:rsid w:val="0008383B"/>
    <w:rsid w:val="00094CB6"/>
    <w:rsid w:val="000A0F1E"/>
    <w:rsid w:val="000B5AEA"/>
    <w:rsid w:val="000D381B"/>
    <w:rsid w:val="000D4C77"/>
    <w:rsid w:val="000D65C3"/>
    <w:rsid w:val="000D6A76"/>
    <w:rsid w:val="000F2964"/>
    <w:rsid w:val="001026C5"/>
    <w:rsid w:val="00102A08"/>
    <w:rsid w:val="00120811"/>
    <w:rsid w:val="0013017C"/>
    <w:rsid w:val="00130B71"/>
    <w:rsid w:val="00135AA4"/>
    <w:rsid w:val="00135B68"/>
    <w:rsid w:val="00137013"/>
    <w:rsid w:val="0014041D"/>
    <w:rsid w:val="00144613"/>
    <w:rsid w:val="00145A3D"/>
    <w:rsid w:val="00145C7A"/>
    <w:rsid w:val="00151110"/>
    <w:rsid w:val="00152FEB"/>
    <w:rsid w:val="001534D8"/>
    <w:rsid w:val="001602F5"/>
    <w:rsid w:val="00164CC9"/>
    <w:rsid w:val="001651FF"/>
    <w:rsid w:val="0016535B"/>
    <w:rsid w:val="00166F96"/>
    <w:rsid w:val="00176710"/>
    <w:rsid w:val="00177E8D"/>
    <w:rsid w:val="0018016E"/>
    <w:rsid w:val="001846E9"/>
    <w:rsid w:val="00190097"/>
    <w:rsid w:val="00192B48"/>
    <w:rsid w:val="001A08EE"/>
    <w:rsid w:val="001A37BF"/>
    <w:rsid w:val="001A3991"/>
    <w:rsid w:val="001A642D"/>
    <w:rsid w:val="001A696C"/>
    <w:rsid w:val="001B12F4"/>
    <w:rsid w:val="001B1F36"/>
    <w:rsid w:val="001B7E31"/>
    <w:rsid w:val="001C0E52"/>
    <w:rsid w:val="001C13AD"/>
    <w:rsid w:val="001C4C68"/>
    <w:rsid w:val="001C5A85"/>
    <w:rsid w:val="001C7AD0"/>
    <w:rsid w:val="001E08D9"/>
    <w:rsid w:val="001E3067"/>
    <w:rsid w:val="001E5070"/>
    <w:rsid w:val="001E54EB"/>
    <w:rsid w:val="001F7EF7"/>
    <w:rsid w:val="002026E8"/>
    <w:rsid w:val="00202BDE"/>
    <w:rsid w:val="002052A1"/>
    <w:rsid w:val="00205E27"/>
    <w:rsid w:val="00211CB9"/>
    <w:rsid w:val="0021398A"/>
    <w:rsid w:val="00220C87"/>
    <w:rsid w:val="00221A67"/>
    <w:rsid w:val="0022535F"/>
    <w:rsid w:val="00230967"/>
    <w:rsid w:val="002324A1"/>
    <w:rsid w:val="002342CA"/>
    <w:rsid w:val="00242FA0"/>
    <w:rsid w:val="00244F7E"/>
    <w:rsid w:val="0024648D"/>
    <w:rsid w:val="002509A3"/>
    <w:rsid w:val="00252951"/>
    <w:rsid w:val="00267587"/>
    <w:rsid w:val="00273FB5"/>
    <w:rsid w:val="002765E1"/>
    <w:rsid w:val="002768BF"/>
    <w:rsid w:val="00277B6F"/>
    <w:rsid w:val="00281167"/>
    <w:rsid w:val="00286E8A"/>
    <w:rsid w:val="00293D58"/>
    <w:rsid w:val="00296162"/>
    <w:rsid w:val="002961D3"/>
    <w:rsid w:val="00296267"/>
    <w:rsid w:val="002A05F0"/>
    <w:rsid w:val="002A0910"/>
    <w:rsid w:val="002A0D4D"/>
    <w:rsid w:val="002A650E"/>
    <w:rsid w:val="002B2D67"/>
    <w:rsid w:val="002B5CF9"/>
    <w:rsid w:val="002B7A87"/>
    <w:rsid w:val="002B7E72"/>
    <w:rsid w:val="002C0FB2"/>
    <w:rsid w:val="002C77A9"/>
    <w:rsid w:val="002D2EAA"/>
    <w:rsid w:val="002D4F79"/>
    <w:rsid w:val="002E0E57"/>
    <w:rsid w:val="002F10DA"/>
    <w:rsid w:val="002F7B47"/>
    <w:rsid w:val="003013F1"/>
    <w:rsid w:val="00305E39"/>
    <w:rsid w:val="003072B7"/>
    <w:rsid w:val="003142A6"/>
    <w:rsid w:val="00316D3D"/>
    <w:rsid w:val="003173B0"/>
    <w:rsid w:val="00324A83"/>
    <w:rsid w:val="00326546"/>
    <w:rsid w:val="00333E6E"/>
    <w:rsid w:val="00335078"/>
    <w:rsid w:val="00340EC1"/>
    <w:rsid w:val="003429AE"/>
    <w:rsid w:val="00344734"/>
    <w:rsid w:val="00346308"/>
    <w:rsid w:val="00346DD2"/>
    <w:rsid w:val="00350BC8"/>
    <w:rsid w:val="00351ADC"/>
    <w:rsid w:val="00353DDE"/>
    <w:rsid w:val="00366438"/>
    <w:rsid w:val="003670F1"/>
    <w:rsid w:val="00371511"/>
    <w:rsid w:val="003723EA"/>
    <w:rsid w:val="00374332"/>
    <w:rsid w:val="003753EA"/>
    <w:rsid w:val="0037718E"/>
    <w:rsid w:val="003814CD"/>
    <w:rsid w:val="003839B4"/>
    <w:rsid w:val="0038793E"/>
    <w:rsid w:val="003A3ECD"/>
    <w:rsid w:val="003A3F34"/>
    <w:rsid w:val="003B157E"/>
    <w:rsid w:val="003C35B1"/>
    <w:rsid w:val="003D44E3"/>
    <w:rsid w:val="003E2569"/>
    <w:rsid w:val="003E5473"/>
    <w:rsid w:val="003E5F2C"/>
    <w:rsid w:val="003E6932"/>
    <w:rsid w:val="003F3D0A"/>
    <w:rsid w:val="003F442D"/>
    <w:rsid w:val="003F445A"/>
    <w:rsid w:val="00406FA3"/>
    <w:rsid w:val="00411BCD"/>
    <w:rsid w:val="0041430F"/>
    <w:rsid w:val="00417B09"/>
    <w:rsid w:val="00423A50"/>
    <w:rsid w:val="00425638"/>
    <w:rsid w:val="00430378"/>
    <w:rsid w:val="00432EF1"/>
    <w:rsid w:val="00442301"/>
    <w:rsid w:val="00447806"/>
    <w:rsid w:val="004618DD"/>
    <w:rsid w:val="0046752D"/>
    <w:rsid w:val="00472A17"/>
    <w:rsid w:val="004741DB"/>
    <w:rsid w:val="004A1DB2"/>
    <w:rsid w:val="004A303E"/>
    <w:rsid w:val="004A5898"/>
    <w:rsid w:val="004B6330"/>
    <w:rsid w:val="004B6E2F"/>
    <w:rsid w:val="004B7092"/>
    <w:rsid w:val="004C1B8A"/>
    <w:rsid w:val="004D0A96"/>
    <w:rsid w:val="004D559A"/>
    <w:rsid w:val="004E6884"/>
    <w:rsid w:val="004E713F"/>
    <w:rsid w:val="004E76AA"/>
    <w:rsid w:val="004F582D"/>
    <w:rsid w:val="00503748"/>
    <w:rsid w:val="00503E7C"/>
    <w:rsid w:val="0050484D"/>
    <w:rsid w:val="00512840"/>
    <w:rsid w:val="0051465A"/>
    <w:rsid w:val="00531CFF"/>
    <w:rsid w:val="0054005B"/>
    <w:rsid w:val="0055155E"/>
    <w:rsid w:val="005554E9"/>
    <w:rsid w:val="00557B50"/>
    <w:rsid w:val="00557B63"/>
    <w:rsid w:val="00561118"/>
    <w:rsid w:val="00562A0C"/>
    <w:rsid w:val="0056462B"/>
    <w:rsid w:val="00566E4C"/>
    <w:rsid w:val="00574469"/>
    <w:rsid w:val="0057777B"/>
    <w:rsid w:val="00585A20"/>
    <w:rsid w:val="00592EF2"/>
    <w:rsid w:val="0059371F"/>
    <w:rsid w:val="00594520"/>
    <w:rsid w:val="005A2121"/>
    <w:rsid w:val="005A21A2"/>
    <w:rsid w:val="005B22C3"/>
    <w:rsid w:val="005B2C4C"/>
    <w:rsid w:val="005C0693"/>
    <w:rsid w:val="005D21E6"/>
    <w:rsid w:val="005D524D"/>
    <w:rsid w:val="005D60A6"/>
    <w:rsid w:val="005E320E"/>
    <w:rsid w:val="005E6D33"/>
    <w:rsid w:val="005E6FFA"/>
    <w:rsid w:val="005F2D3E"/>
    <w:rsid w:val="005F6520"/>
    <w:rsid w:val="006054D4"/>
    <w:rsid w:val="00605F41"/>
    <w:rsid w:val="00613542"/>
    <w:rsid w:val="00621601"/>
    <w:rsid w:val="006221D2"/>
    <w:rsid w:val="00623F03"/>
    <w:rsid w:val="00624CE9"/>
    <w:rsid w:val="00630969"/>
    <w:rsid w:val="00634D7D"/>
    <w:rsid w:val="00644E3C"/>
    <w:rsid w:val="006564DB"/>
    <w:rsid w:val="006636DC"/>
    <w:rsid w:val="006721BB"/>
    <w:rsid w:val="00677729"/>
    <w:rsid w:val="0068579F"/>
    <w:rsid w:val="006942CE"/>
    <w:rsid w:val="00695B32"/>
    <w:rsid w:val="006A099A"/>
    <w:rsid w:val="006A1C49"/>
    <w:rsid w:val="006B1C0C"/>
    <w:rsid w:val="006C4D70"/>
    <w:rsid w:val="006D111E"/>
    <w:rsid w:val="006D70E0"/>
    <w:rsid w:val="006E6C58"/>
    <w:rsid w:val="006F0D73"/>
    <w:rsid w:val="006F1853"/>
    <w:rsid w:val="006F6E90"/>
    <w:rsid w:val="00706FBB"/>
    <w:rsid w:val="00710A78"/>
    <w:rsid w:val="007203B0"/>
    <w:rsid w:val="00721F41"/>
    <w:rsid w:val="007305BA"/>
    <w:rsid w:val="00746ED1"/>
    <w:rsid w:val="007503F1"/>
    <w:rsid w:val="00762421"/>
    <w:rsid w:val="00762CAE"/>
    <w:rsid w:val="0077207B"/>
    <w:rsid w:val="00772FF5"/>
    <w:rsid w:val="00780567"/>
    <w:rsid w:val="00782FF1"/>
    <w:rsid w:val="007902A6"/>
    <w:rsid w:val="00793B79"/>
    <w:rsid w:val="00795521"/>
    <w:rsid w:val="007D1887"/>
    <w:rsid w:val="007D2A55"/>
    <w:rsid w:val="007D4CA1"/>
    <w:rsid w:val="007E03B8"/>
    <w:rsid w:val="007E1319"/>
    <w:rsid w:val="007E4F0C"/>
    <w:rsid w:val="007F16F1"/>
    <w:rsid w:val="007F36A4"/>
    <w:rsid w:val="007F63E9"/>
    <w:rsid w:val="00802755"/>
    <w:rsid w:val="0080335E"/>
    <w:rsid w:val="00807C94"/>
    <w:rsid w:val="008129EC"/>
    <w:rsid w:val="008164E6"/>
    <w:rsid w:val="00823483"/>
    <w:rsid w:val="00830EF5"/>
    <w:rsid w:val="00831BD5"/>
    <w:rsid w:val="00833B9E"/>
    <w:rsid w:val="00834F30"/>
    <w:rsid w:val="008415E8"/>
    <w:rsid w:val="00845183"/>
    <w:rsid w:val="008541D2"/>
    <w:rsid w:val="00854DC7"/>
    <w:rsid w:val="00855DA7"/>
    <w:rsid w:val="00860752"/>
    <w:rsid w:val="008652BE"/>
    <w:rsid w:val="00867785"/>
    <w:rsid w:val="00873755"/>
    <w:rsid w:val="00885943"/>
    <w:rsid w:val="008907A4"/>
    <w:rsid w:val="0089360A"/>
    <w:rsid w:val="008971C5"/>
    <w:rsid w:val="008A1BC8"/>
    <w:rsid w:val="008A60E4"/>
    <w:rsid w:val="008B0C7C"/>
    <w:rsid w:val="008B7ADD"/>
    <w:rsid w:val="008C28A3"/>
    <w:rsid w:val="008D0AE0"/>
    <w:rsid w:val="008D1A1E"/>
    <w:rsid w:val="008D7348"/>
    <w:rsid w:val="008E27EE"/>
    <w:rsid w:val="008E2FCC"/>
    <w:rsid w:val="008F1CF0"/>
    <w:rsid w:val="008F4287"/>
    <w:rsid w:val="008F49BF"/>
    <w:rsid w:val="008F59C2"/>
    <w:rsid w:val="008F5B58"/>
    <w:rsid w:val="009020F0"/>
    <w:rsid w:val="00913C08"/>
    <w:rsid w:val="00914867"/>
    <w:rsid w:val="00914BED"/>
    <w:rsid w:val="009309A8"/>
    <w:rsid w:val="00941F4C"/>
    <w:rsid w:val="00942E36"/>
    <w:rsid w:val="0094488E"/>
    <w:rsid w:val="00954509"/>
    <w:rsid w:val="00962C2F"/>
    <w:rsid w:val="00971185"/>
    <w:rsid w:val="00977E4F"/>
    <w:rsid w:val="00992721"/>
    <w:rsid w:val="009A0634"/>
    <w:rsid w:val="009A10FC"/>
    <w:rsid w:val="009A3162"/>
    <w:rsid w:val="009A6F41"/>
    <w:rsid w:val="009B1C40"/>
    <w:rsid w:val="009C514E"/>
    <w:rsid w:val="009C5D3A"/>
    <w:rsid w:val="009C6169"/>
    <w:rsid w:val="009D6FD7"/>
    <w:rsid w:val="009F0B23"/>
    <w:rsid w:val="00A03068"/>
    <w:rsid w:val="00A06A99"/>
    <w:rsid w:val="00A10408"/>
    <w:rsid w:val="00A1315D"/>
    <w:rsid w:val="00A131F3"/>
    <w:rsid w:val="00A169AE"/>
    <w:rsid w:val="00A2280F"/>
    <w:rsid w:val="00A305AE"/>
    <w:rsid w:val="00A40A8A"/>
    <w:rsid w:val="00A42A8C"/>
    <w:rsid w:val="00A45BAB"/>
    <w:rsid w:val="00A461F6"/>
    <w:rsid w:val="00A47243"/>
    <w:rsid w:val="00A60356"/>
    <w:rsid w:val="00A611CE"/>
    <w:rsid w:val="00A6184E"/>
    <w:rsid w:val="00A63C5D"/>
    <w:rsid w:val="00A7019F"/>
    <w:rsid w:val="00A729E5"/>
    <w:rsid w:val="00A8157B"/>
    <w:rsid w:val="00A849AA"/>
    <w:rsid w:val="00A93687"/>
    <w:rsid w:val="00A936EF"/>
    <w:rsid w:val="00A942DB"/>
    <w:rsid w:val="00A94A9A"/>
    <w:rsid w:val="00A952A0"/>
    <w:rsid w:val="00A962FE"/>
    <w:rsid w:val="00A967CB"/>
    <w:rsid w:val="00A96A1D"/>
    <w:rsid w:val="00AA5DE9"/>
    <w:rsid w:val="00AB658B"/>
    <w:rsid w:val="00AC42FE"/>
    <w:rsid w:val="00AC5A76"/>
    <w:rsid w:val="00AD1C65"/>
    <w:rsid w:val="00AD6418"/>
    <w:rsid w:val="00AE03E8"/>
    <w:rsid w:val="00AE2C46"/>
    <w:rsid w:val="00AE3D83"/>
    <w:rsid w:val="00AF02C4"/>
    <w:rsid w:val="00B12FA3"/>
    <w:rsid w:val="00B138D6"/>
    <w:rsid w:val="00B172A3"/>
    <w:rsid w:val="00B24702"/>
    <w:rsid w:val="00B3038C"/>
    <w:rsid w:val="00B30AC7"/>
    <w:rsid w:val="00B3542C"/>
    <w:rsid w:val="00B36A15"/>
    <w:rsid w:val="00B37A4E"/>
    <w:rsid w:val="00B37CDB"/>
    <w:rsid w:val="00B43148"/>
    <w:rsid w:val="00B4512C"/>
    <w:rsid w:val="00B565BB"/>
    <w:rsid w:val="00B632BB"/>
    <w:rsid w:val="00B643FB"/>
    <w:rsid w:val="00B727FA"/>
    <w:rsid w:val="00B72908"/>
    <w:rsid w:val="00B72FB9"/>
    <w:rsid w:val="00B75B2D"/>
    <w:rsid w:val="00B83BE1"/>
    <w:rsid w:val="00B916CE"/>
    <w:rsid w:val="00B91793"/>
    <w:rsid w:val="00B929C6"/>
    <w:rsid w:val="00B93925"/>
    <w:rsid w:val="00BA082F"/>
    <w:rsid w:val="00BA27F3"/>
    <w:rsid w:val="00BB66AB"/>
    <w:rsid w:val="00BC0555"/>
    <w:rsid w:val="00BD006E"/>
    <w:rsid w:val="00BD38A7"/>
    <w:rsid w:val="00BE08F3"/>
    <w:rsid w:val="00BE2AFD"/>
    <w:rsid w:val="00BE49FD"/>
    <w:rsid w:val="00BE65E5"/>
    <w:rsid w:val="00BE7DFE"/>
    <w:rsid w:val="00BF10FE"/>
    <w:rsid w:val="00BF4CA5"/>
    <w:rsid w:val="00BF4D88"/>
    <w:rsid w:val="00BF538B"/>
    <w:rsid w:val="00BF62FB"/>
    <w:rsid w:val="00C03FC6"/>
    <w:rsid w:val="00C044AE"/>
    <w:rsid w:val="00C056C8"/>
    <w:rsid w:val="00C12D32"/>
    <w:rsid w:val="00C13B6E"/>
    <w:rsid w:val="00C146E3"/>
    <w:rsid w:val="00C24669"/>
    <w:rsid w:val="00C2683D"/>
    <w:rsid w:val="00C36131"/>
    <w:rsid w:val="00C36AC6"/>
    <w:rsid w:val="00C37309"/>
    <w:rsid w:val="00C44391"/>
    <w:rsid w:val="00C46C9B"/>
    <w:rsid w:val="00C50D22"/>
    <w:rsid w:val="00C53891"/>
    <w:rsid w:val="00C54F9A"/>
    <w:rsid w:val="00C62FFD"/>
    <w:rsid w:val="00C66902"/>
    <w:rsid w:val="00C7088A"/>
    <w:rsid w:val="00C74BBE"/>
    <w:rsid w:val="00C82C66"/>
    <w:rsid w:val="00C83753"/>
    <w:rsid w:val="00C85F1F"/>
    <w:rsid w:val="00C9241A"/>
    <w:rsid w:val="00C943C4"/>
    <w:rsid w:val="00C94D94"/>
    <w:rsid w:val="00C95977"/>
    <w:rsid w:val="00CA232E"/>
    <w:rsid w:val="00CA361A"/>
    <w:rsid w:val="00CB4517"/>
    <w:rsid w:val="00CB594B"/>
    <w:rsid w:val="00CC57BC"/>
    <w:rsid w:val="00CD2922"/>
    <w:rsid w:val="00CD4F47"/>
    <w:rsid w:val="00CE12C4"/>
    <w:rsid w:val="00CE4D3C"/>
    <w:rsid w:val="00CF43A3"/>
    <w:rsid w:val="00D00442"/>
    <w:rsid w:val="00D03E6A"/>
    <w:rsid w:val="00D1108D"/>
    <w:rsid w:val="00D137B1"/>
    <w:rsid w:val="00D229C5"/>
    <w:rsid w:val="00D23D33"/>
    <w:rsid w:val="00D25D57"/>
    <w:rsid w:val="00D32035"/>
    <w:rsid w:val="00D330F2"/>
    <w:rsid w:val="00D36F5E"/>
    <w:rsid w:val="00D511E7"/>
    <w:rsid w:val="00D51537"/>
    <w:rsid w:val="00D539E3"/>
    <w:rsid w:val="00D55A63"/>
    <w:rsid w:val="00D73934"/>
    <w:rsid w:val="00D74401"/>
    <w:rsid w:val="00D803D2"/>
    <w:rsid w:val="00D80991"/>
    <w:rsid w:val="00D848B3"/>
    <w:rsid w:val="00D85B28"/>
    <w:rsid w:val="00DA1B25"/>
    <w:rsid w:val="00DA1CA7"/>
    <w:rsid w:val="00DA2F85"/>
    <w:rsid w:val="00DA3BCD"/>
    <w:rsid w:val="00DB0282"/>
    <w:rsid w:val="00DB3F60"/>
    <w:rsid w:val="00DB48CD"/>
    <w:rsid w:val="00DB63AC"/>
    <w:rsid w:val="00DB6AA4"/>
    <w:rsid w:val="00DC22C0"/>
    <w:rsid w:val="00DC2E0C"/>
    <w:rsid w:val="00DC3992"/>
    <w:rsid w:val="00DD1000"/>
    <w:rsid w:val="00DD4B2C"/>
    <w:rsid w:val="00DD5CBC"/>
    <w:rsid w:val="00DE39EE"/>
    <w:rsid w:val="00DF09FB"/>
    <w:rsid w:val="00DF34C2"/>
    <w:rsid w:val="00DF7C70"/>
    <w:rsid w:val="00DF7F92"/>
    <w:rsid w:val="00E047F2"/>
    <w:rsid w:val="00E15BBA"/>
    <w:rsid w:val="00E17F8E"/>
    <w:rsid w:val="00E20FA0"/>
    <w:rsid w:val="00E22648"/>
    <w:rsid w:val="00E23C61"/>
    <w:rsid w:val="00E24C1D"/>
    <w:rsid w:val="00E27E7C"/>
    <w:rsid w:val="00E32CB3"/>
    <w:rsid w:val="00E36303"/>
    <w:rsid w:val="00E3640B"/>
    <w:rsid w:val="00E40E11"/>
    <w:rsid w:val="00E41947"/>
    <w:rsid w:val="00E5320E"/>
    <w:rsid w:val="00E5733E"/>
    <w:rsid w:val="00E62A58"/>
    <w:rsid w:val="00E66AF7"/>
    <w:rsid w:val="00E846A6"/>
    <w:rsid w:val="00E8675E"/>
    <w:rsid w:val="00E951F6"/>
    <w:rsid w:val="00EB7051"/>
    <w:rsid w:val="00EB72D2"/>
    <w:rsid w:val="00EB7A2A"/>
    <w:rsid w:val="00EC1222"/>
    <w:rsid w:val="00EC1561"/>
    <w:rsid w:val="00EC533D"/>
    <w:rsid w:val="00EC560F"/>
    <w:rsid w:val="00ED0FBC"/>
    <w:rsid w:val="00ED1D63"/>
    <w:rsid w:val="00ED3785"/>
    <w:rsid w:val="00ED562D"/>
    <w:rsid w:val="00ED6976"/>
    <w:rsid w:val="00ED6ED0"/>
    <w:rsid w:val="00EE02EE"/>
    <w:rsid w:val="00EE114C"/>
    <w:rsid w:val="00EF5C09"/>
    <w:rsid w:val="00F0605A"/>
    <w:rsid w:val="00F15BDC"/>
    <w:rsid w:val="00F1618A"/>
    <w:rsid w:val="00F1721D"/>
    <w:rsid w:val="00F20255"/>
    <w:rsid w:val="00F223C1"/>
    <w:rsid w:val="00F22A16"/>
    <w:rsid w:val="00F231C9"/>
    <w:rsid w:val="00F33C7D"/>
    <w:rsid w:val="00F35FB0"/>
    <w:rsid w:val="00F3634E"/>
    <w:rsid w:val="00F40F67"/>
    <w:rsid w:val="00F450D0"/>
    <w:rsid w:val="00F4599B"/>
    <w:rsid w:val="00F46A06"/>
    <w:rsid w:val="00F51B0E"/>
    <w:rsid w:val="00F572A1"/>
    <w:rsid w:val="00F60D2A"/>
    <w:rsid w:val="00F64E2A"/>
    <w:rsid w:val="00F66987"/>
    <w:rsid w:val="00F76E95"/>
    <w:rsid w:val="00F8346A"/>
    <w:rsid w:val="00F92B20"/>
    <w:rsid w:val="00F97575"/>
    <w:rsid w:val="00F97B72"/>
    <w:rsid w:val="00FA1259"/>
    <w:rsid w:val="00FA25D0"/>
    <w:rsid w:val="00FA6C36"/>
    <w:rsid w:val="00FB1C61"/>
    <w:rsid w:val="00FB488B"/>
    <w:rsid w:val="00FC52B5"/>
    <w:rsid w:val="00FE22DF"/>
    <w:rsid w:val="00FF5839"/>
    <w:rsid w:val="01DA210A"/>
    <w:rsid w:val="01DEB022"/>
    <w:rsid w:val="01E1A2C5"/>
    <w:rsid w:val="030122DD"/>
    <w:rsid w:val="04D70CF3"/>
    <w:rsid w:val="055F4E04"/>
    <w:rsid w:val="05738D73"/>
    <w:rsid w:val="0583D595"/>
    <w:rsid w:val="058B7B3B"/>
    <w:rsid w:val="05DE0080"/>
    <w:rsid w:val="05FFF9C7"/>
    <w:rsid w:val="06975DA5"/>
    <w:rsid w:val="06B60BF9"/>
    <w:rsid w:val="07E143F2"/>
    <w:rsid w:val="0814ABE8"/>
    <w:rsid w:val="0858BBBC"/>
    <w:rsid w:val="08D5E084"/>
    <w:rsid w:val="08FB3AAE"/>
    <w:rsid w:val="094D7535"/>
    <w:rsid w:val="098C27CB"/>
    <w:rsid w:val="09C97787"/>
    <w:rsid w:val="0A2244AA"/>
    <w:rsid w:val="0A906A9C"/>
    <w:rsid w:val="0BFD153B"/>
    <w:rsid w:val="0C4239D2"/>
    <w:rsid w:val="0C993002"/>
    <w:rsid w:val="0CA8C27C"/>
    <w:rsid w:val="0CE27E0C"/>
    <w:rsid w:val="0DF3163D"/>
    <w:rsid w:val="0E1E5383"/>
    <w:rsid w:val="0E4F3FEE"/>
    <w:rsid w:val="0EC8EBD2"/>
    <w:rsid w:val="0F1E1392"/>
    <w:rsid w:val="0F2CB492"/>
    <w:rsid w:val="10D9B067"/>
    <w:rsid w:val="113C06D0"/>
    <w:rsid w:val="116CE340"/>
    <w:rsid w:val="1209BD36"/>
    <w:rsid w:val="1222C743"/>
    <w:rsid w:val="1332FE63"/>
    <w:rsid w:val="136FD38C"/>
    <w:rsid w:val="13C8E049"/>
    <w:rsid w:val="13DC3AD2"/>
    <w:rsid w:val="1455A131"/>
    <w:rsid w:val="14A0CB0E"/>
    <w:rsid w:val="14E017BB"/>
    <w:rsid w:val="14F7F8DB"/>
    <w:rsid w:val="151A27A6"/>
    <w:rsid w:val="1586FAB5"/>
    <w:rsid w:val="15AF4981"/>
    <w:rsid w:val="162EE7D6"/>
    <w:rsid w:val="1634ABA8"/>
    <w:rsid w:val="16749F5C"/>
    <w:rsid w:val="176CB95E"/>
    <w:rsid w:val="18455A5E"/>
    <w:rsid w:val="1C44FDDC"/>
    <w:rsid w:val="1D1D462C"/>
    <w:rsid w:val="1DE6BF87"/>
    <w:rsid w:val="1E6FDD13"/>
    <w:rsid w:val="1EABB0CF"/>
    <w:rsid w:val="1F406359"/>
    <w:rsid w:val="1F811E26"/>
    <w:rsid w:val="214350E2"/>
    <w:rsid w:val="21AE9F06"/>
    <w:rsid w:val="22FA8D58"/>
    <w:rsid w:val="2342E819"/>
    <w:rsid w:val="23967263"/>
    <w:rsid w:val="239E94D0"/>
    <w:rsid w:val="23AECB2D"/>
    <w:rsid w:val="23F5C096"/>
    <w:rsid w:val="24236ED6"/>
    <w:rsid w:val="245D45CC"/>
    <w:rsid w:val="245D6479"/>
    <w:rsid w:val="24B022E3"/>
    <w:rsid w:val="25297474"/>
    <w:rsid w:val="2571E83D"/>
    <w:rsid w:val="25B105B4"/>
    <w:rsid w:val="2668BB66"/>
    <w:rsid w:val="27608657"/>
    <w:rsid w:val="284AEC5F"/>
    <w:rsid w:val="288511F5"/>
    <w:rsid w:val="29BDAE01"/>
    <w:rsid w:val="2A1777B1"/>
    <w:rsid w:val="2A344B2B"/>
    <w:rsid w:val="2A9BB6E5"/>
    <w:rsid w:val="2AA346D5"/>
    <w:rsid w:val="2BC67F9E"/>
    <w:rsid w:val="2BC8E610"/>
    <w:rsid w:val="2E966B04"/>
    <w:rsid w:val="2F5756F6"/>
    <w:rsid w:val="30269082"/>
    <w:rsid w:val="304F5A73"/>
    <w:rsid w:val="30516C9C"/>
    <w:rsid w:val="309795B0"/>
    <w:rsid w:val="30A0AEF8"/>
    <w:rsid w:val="30CAC976"/>
    <w:rsid w:val="31375565"/>
    <w:rsid w:val="31D75318"/>
    <w:rsid w:val="329CBCB2"/>
    <w:rsid w:val="334CE291"/>
    <w:rsid w:val="33A54C2D"/>
    <w:rsid w:val="33BB3871"/>
    <w:rsid w:val="33BE49AB"/>
    <w:rsid w:val="349DF21F"/>
    <w:rsid w:val="35F9E276"/>
    <w:rsid w:val="363E9946"/>
    <w:rsid w:val="364A4504"/>
    <w:rsid w:val="36FB3B02"/>
    <w:rsid w:val="37C134FE"/>
    <w:rsid w:val="37EE27B9"/>
    <w:rsid w:val="3803E733"/>
    <w:rsid w:val="3805A305"/>
    <w:rsid w:val="384FED77"/>
    <w:rsid w:val="386504AE"/>
    <w:rsid w:val="3874D567"/>
    <w:rsid w:val="3913F753"/>
    <w:rsid w:val="3A81C0A1"/>
    <w:rsid w:val="3B5DB681"/>
    <w:rsid w:val="3B8FA0BE"/>
    <w:rsid w:val="3B9835B4"/>
    <w:rsid w:val="3BE2229F"/>
    <w:rsid w:val="3C5078A2"/>
    <w:rsid w:val="3CF715CD"/>
    <w:rsid w:val="3F9CC111"/>
    <w:rsid w:val="3FE594D6"/>
    <w:rsid w:val="4050EE05"/>
    <w:rsid w:val="40B2B31D"/>
    <w:rsid w:val="41339433"/>
    <w:rsid w:val="422F3429"/>
    <w:rsid w:val="42572992"/>
    <w:rsid w:val="4270C7B8"/>
    <w:rsid w:val="4298952C"/>
    <w:rsid w:val="42A5C3AF"/>
    <w:rsid w:val="43477C2D"/>
    <w:rsid w:val="434CD619"/>
    <w:rsid w:val="436EED6E"/>
    <w:rsid w:val="446257C6"/>
    <w:rsid w:val="46428495"/>
    <w:rsid w:val="46456095"/>
    <w:rsid w:val="46459CB8"/>
    <w:rsid w:val="48D116FE"/>
    <w:rsid w:val="48DA6556"/>
    <w:rsid w:val="49E5D7E9"/>
    <w:rsid w:val="4A86368A"/>
    <w:rsid w:val="4A9053A4"/>
    <w:rsid w:val="4B04F17F"/>
    <w:rsid w:val="4C3929C2"/>
    <w:rsid w:val="4C5A607B"/>
    <w:rsid w:val="4CDFF6EA"/>
    <w:rsid w:val="4D0BB97C"/>
    <w:rsid w:val="4DEE4239"/>
    <w:rsid w:val="4E707DDD"/>
    <w:rsid w:val="4F1467F5"/>
    <w:rsid w:val="4FB554EF"/>
    <w:rsid w:val="4FC4D2E1"/>
    <w:rsid w:val="50B48437"/>
    <w:rsid w:val="513D0617"/>
    <w:rsid w:val="52285CA2"/>
    <w:rsid w:val="525084FD"/>
    <w:rsid w:val="53794A3E"/>
    <w:rsid w:val="53C8F9F2"/>
    <w:rsid w:val="53CFDA3B"/>
    <w:rsid w:val="53F1DB3B"/>
    <w:rsid w:val="54AC423A"/>
    <w:rsid w:val="55106494"/>
    <w:rsid w:val="5528F28D"/>
    <w:rsid w:val="567E51E2"/>
    <w:rsid w:val="568B0755"/>
    <w:rsid w:val="570C9C49"/>
    <w:rsid w:val="57CBC943"/>
    <w:rsid w:val="58EAFDE2"/>
    <w:rsid w:val="591A1338"/>
    <w:rsid w:val="5A501123"/>
    <w:rsid w:val="5AF89573"/>
    <w:rsid w:val="5B46D3AF"/>
    <w:rsid w:val="5BE3050E"/>
    <w:rsid w:val="5C9536E7"/>
    <w:rsid w:val="5CE793DE"/>
    <w:rsid w:val="5D1C563A"/>
    <w:rsid w:val="5D25F424"/>
    <w:rsid w:val="5D29733E"/>
    <w:rsid w:val="5D4F7BF3"/>
    <w:rsid w:val="5DCFADE8"/>
    <w:rsid w:val="5E431164"/>
    <w:rsid w:val="5F22E4BE"/>
    <w:rsid w:val="5FF2B6CF"/>
    <w:rsid w:val="604772C0"/>
    <w:rsid w:val="610B8D66"/>
    <w:rsid w:val="6163FF02"/>
    <w:rsid w:val="61C4B11F"/>
    <w:rsid w:val="62534947"/>
    <w:rsid w:val="62E75DB5"/>
    <w:rsid w:val="649454C3"/>
    <w:rsid w:val="664AB6B8"/>
    <w:rsid w:val="66FA19A6"/>
    <w:rsid w:val="6706CAF1"/>
    <w:rsid w:val="67E1CCD0"/>
    <w:rsid w:val="68364E2A"/>
    <w:rsid w:val="689E04D9"/>
    <w:rsid w:val="68D98EC8"/>
    <w:rsid w:val="68FB22E6"/>
    <w:rsid w:val="69DBC3AB"/>
    <w:rsid w:val="6A189E32"/>
    <w:rsid w:val="6A88086A"/>
    <w:rsid w:val="6ADC1846"/>
    <w:rsid w:val="6B19CED0"/>
    <w:rsid w:val="6B2673BB"/>
    <w:rsid w:val="6B6B8800"/>
    <w:rsid w:val="6C5B550E"/>
    <w:rsid w:val="6CD8550B"/>
    <w:rsid w:val="6CE4D0D4"/>
    <w:rsid w:val="6D8A65D7"/>
    <w:rsid w:val="6DAD03E8"/>
    <w:rsid w:val="6EB05AA5"/>
    <w:rsid w:val="6F02A5FC"/>
    <w:rsid w:val="6FC344B2"/>
    <w:rsid w:val="700A8856"/>
    <w:rsid w:val="70383F11"/>
    <w:rsid w:val="708ECF84"/>
    <w:rsid w:val="717B570A"/>
    <w:rsid w:val="737126D2"/>
    <w:rsid w:val="74027367"/>
    <w:rsid w:val="7476165E"/>
    <w:rsid w:val="747E5392"/>
    <w:rsid w:val="75AD8EF2"/>
    <w:rsid w:val="775849FF"/>
    <w:rsid w:val="787BB944"/>
    <w:rsid w:val="798566BB"/>
    <w:rsid w:val="7A54FFE3"/>
    <w:rsid w:val="7AC7F98F"/>
    <w:rsid w:val="7B73BFAF"/>
    <w:rsid w:val="7C2155AA"/>
    <w:rsid w:val="7CA7A35A"/>
    <w:rsid w:val="7D570813"/>
    <w:rsid w:val="7ED3CD78"/>
    <w:rsid w:val="7F404C83"/>
    <w:rsid w:val="7F514F21"/>
    <w:rsid w:val="7FA3D3A4"/>
    <w:rsid w:val="7FDD14C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7537A"/>
  <w15:chartTrackingRefBased/>
  <w15:docId w15:val="{8D7E80A6-654B-144B-850C-9A5AC0FFE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2A58"/>
    <w:pPr>
      <w:spacing w:before="120" w:after="240" w:line="259" w:lineRule="auto"/>
    </w:pPr>
    <w:rPr>
      <w:sz w:val="22"/>
      <w:szCs w:val="22"/>
    </w:rPr>
  </w:style>
  <w:style w:type="paragraph" w:styleId="Heading1">
    <w:name w:val="heading 1"/>
    <w:basedOn w:val="Normal"/>
    <w:next w:val="Normal"/>
    <w:link w:val="Heading1Char"/>
    <w:uiPriority w:val="9"/>
    <w:qFormat/>
    <w:rsid w:val="00762CAE"/>
    <w:pPr>
      <w:keepNext/>
      <w:keepLines/>
      <w:spacing w:before="360" w:after="80"/>
      <w:outlineLvl w:val="0"/>
    </w:pPr>
    <w:rPr>
      <w:rFonts w:asciiTheme="majorHAnsi" w:eastAsiaTheme="majorEastAsia" w:hAnsiTheme="majorHAnsi" w:cstheme="majorBidi"/>
      <w:b/>
      <w:color w:val="215E99" w:themeColor="text2" w:themeTint="BF"/>
      <w:sz w:val="24"/>
      <w:szCs w:val="40"/>
    </w:rPr>
  </w:style>
  <w:style w:type="paragraph" w:styleId="Heading2">
    <w:name w:val="heading 2"/>
    <w:basedOn w:val="Normal"/>
    <w:next w:val="Normal"/>
    <w:link w:val="Heading2Char"/>
    <w:uiPriority w:val="9"/>
    <w:unhideWhenUsed/>
    <w:qFormat/>
    <w:rsid w:val="00E62A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62A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62A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2A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2A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2A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2A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2A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2CAE"/>
    <w:rPr>
      <w:rFonts w:asciiTheme="majorHAnsi" w:eastAsiaTheme="majorEastAsia" w:hAnsiTheme="majorHAnsi" w:cstheme="majorBidi"/>
      <w:b/>
      <w:color w:val="215E99" w:themeColor="text2" w:themeTint="BF"/>
      <w:szCs w:val="40"/>
    </w:rPr>
  </w:style>
  <w:style w:type="character" w:customStyle="1" w:styleId="Heading2Char">
    <w:name w:val="Heading 2 Char"/>
    <w:basedOn w:val="DefaultParagraphFont"/>
    <w:link w:val="Heading2"/>
    <w:uiPriority w:val="9"/>
    <w:rsid w:val="00E62A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2A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2A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2A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2A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2A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2A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2A58"/>
    <w:rPr>
      <w:rFonts w:eastAsiaTheme="majorEastAsia" w:cstheme="majorBidi"/>
      <w:color w:val="272727" w:themeColor="text1" w:themeTint="D8"/>
    </w:rPr>
  </w:style>
  <w:style w:type="paragraph" w:styleId="Title">
    <w:name w:val="Title"/>
    <w:basedOn w:val="Normal"/>
    <w:next w:val="Normal"/>
    <w:link w:val="TitleChar"/>
    <w:uiPriority w:val="10"/>
    <w:qFormat/>
    <w:rsid w:val="00E62A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2A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2A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2A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2A58"/>
    <w:pPr>
      <w:spacing w:before="160"/>
      <w:jc w:val="center"/>
    </w:pPr>
    <w:rPr>
      <w:i/>
      <w:iCs/>
      <w:color w:val="404040" w:themeColor="text1" w:themeTint="BF"/>
    </w:rPr>
  </w:style>
  <w:style w:type="character" w:customStyle="1" w:styleId="QuoteChar">
    <w:name w:val="Quote Char"/>
    <w:basedOn w:val="DefaultParagraphFont"/>
    <w:link w:val="Quote"/>
    <w:uiPriority w:val="29"/>
    <w:rsid w:val="00E62A58"/>
    <w:rPr>
      <w:i/>
      <w:iCs/>
      <w:color w:val="404040" w:themeColor="text1" w:themeTint="BF"/>
    </w:rPr>
  </w:style>
  <w:style w:type="paragraph" w:styleId="ListParagraph">
    <w:name w:val="List Paragraph"/>
    <w:basedOn w:val="Normal"/>
    <w:uiPriority w:val="34"/>
    <w:qFormat/>
    <w:rsid w:val="00E62A58"/>
    <w:pPr>
      <w:ind w:left="720"/>
      <w:contextualSpacing/>
    </w:pPr>
  </w:style>
  <w:style w:type="character" w:styleId="IntenseEmphasis">
    <w:name w:val="Intense Emphasis"/>
    <w:basedOn w:val="DefaultParagraphFont"/>
    <w:uiPriority w:val="21"/>
    <w:qFormat/>
    <w:rsid w:val="00E62A58"/>
    <w:rPr>
      <w:i/>
      <w:iCs/>
      <w:color w:val="0F4761" w:themeColor="accent1" w:themeShade="BF"/>
    </w:rPr>
  </w:style>
  <w:style w:type="paragraph" w:styleId="IntenseQuote">
    <w:name w:val="Intense Quote"/>
    <w:basedOn w:val="Normal"/>
    <w:next w:val="Normal"/>
    <w:link w:val="IntenseQuoteChar"/>
    <w:uiPriority w:val="30"/>
    <w:qFormat/>
    <w:rsid w:val="00E62A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2A58"/>
    <w:rPr>
      <w:i/>
      <w:iCs/>
      <w:color w:val="0F4761" w:themeColor="accent1" w:themeShade="BF"/>
    </w:rPr>
  </w:style>
  <w:style w:type="character" w:styleId="IntenseReference">
    <w:name w:val="Intense Reference"/>
    <w:basedOn w:val="DefaultParagraphFont"/>
    <w:uiPriority w:val="32"/>
    <w:qFormat/>
    <w:rsid w:val="00E62A58"/>
    <w:rPr>
      <w:b/>
      <w:bCs/>
      <w:smallCaps/>
      <w:color w:val="0F4761" w:themeColor="accent1" w:themeShade="BF"/>
      <w:spacing w:val="5"/>
    </w:rPr>
  </w:style>
  <w:style w:type="paragraph" w:styleId="FootnoteText">
    <w:name w:val="footnote text"/>
    <w:basedOn w:val="Normal"/>
    <w:link w:val="FootnoteTextChar"/>
    <w:uiPriority w:val="99"/>
    <w:unhideWhenUsed/>
    <w:rsid w:val="00E62A58"/>
    <w:pPr>
      <w:spacing w:after="0" w:line="240" w:lineRule="auto"/>
    </w:pPr>
    <w:rPr>
      <w:rFonts w:eastAsia="Roboto" w:cstheme="minorHAnsi"/>
      <w:color w:val="000000" w:themeColor="text1"/>
      <w:kern w:val="0"/>
      <w:sz w:val="20"/>
      <w:szCs w:val="20"/>
      <w14:ligatures w14:val="none"/>
    </w:rPr>
  </w:style>
  <w:style w:type="character" w:customStyle="1" w:styleId="FootnoteTextChar">
    <w:name w:val="Footnote Text Char"/>
    <w:basedOn w:val="DefaultParagraphFont"/>
    <w:link w:val="FootnoteText"/>
    <w:uiPriority w:val="99"/>
    <w:rsid w:val="00E62A58"/>
    <w:rPr>
      <w:rFonts w:eastAsia="Roboto" w:cstheme="minorHAnsi"/>
      <w:color w:val="000000" w:themeColor="text1"/>
      <w:kern w:val="0"/>
      <w:sz w:val="20"/>
      <w:szCs w:val="20"/>
      <w14:ligatures w14:val="none"/>
    </w:rPr>
  </w:style>
  <w:style w:type="character" w:styleId="FootnoteReference">
    <w:name w:val="footnote reference"/>
    <w:basedOn w:val="DefaultParagraphFont"/>
    <w:uiPriority w:val="99"/>
    <w:semiHidden/>
    <w:unhideWhenUsed/>
    <w:rsid w:val="00E62A58"/>
    <w:rPr>
      <w:vertAlign w:val="superscript"/>
    </w:rPr>
  </w:style>
  <w:style w:type="table" w:styleId="TableGrid">
    <w:name w:val="Table Grid"/>
    <w:basedOn w:val="TableNormal"/>
    <w:uiPriority w:val="39"/>
    <w:rsid w:val="00E62A58"/>
    <w:pPr>
      <w:spacing w:after="0" w:line="240" w:lineRule="auto"/>
    </w:pPr>
    <w:rPr>
      <w:sz w:val="22"/>
      <w:szCs w:val="22"/>
      <w:lang w:val="en-US"/>
    </w:rPr>
    <w:tblPr/>
  </w:style>
  <w:style w:type="paragraph" w:styleId="Revision">
    <w:name w:val="Revision"/>
    <w:hidden/>
    <w:uiPriority w:val="99"/>
    <w:semiHidden/>
    <w:rsid w:val="00D32035"/>
    <w:pPr>
      <w:spacing w:after="0" w:line="240" w:lineRule="auto"/>
    </w:pPr>
    <w:rPr>
      <w:sz w:val="22"/>
      <w:szCs w:val="22"/>
    </w:rPr>
  </w:style>
  <w:style w:type="character" w:customStyle="1" w:styleId="normaltextrun">
    <w:name w:val="normaltextrun"/>
    <w:basedOn w:val="DefaultParagraphFont"/>
    <w:rsid w:val="00D32035"/>
  </w:style>
  <w:style w:type="character" w:customStyle="1" w:styleId="eop">
    <w:name w:val="eop"/>
    <w:basedOn w:val="DefaultParagraphFont"/>
    <w:rsid w:val="00D32035"/>
  </w:style>
  <w:style w:type="character" w:styleId="CommentReference">
    <w:name w:val="annotation reference"/>
    <w:basedOn w:val="DefaultParagraphFont"/>
    <w:uiPriority w:val="99"/>
    <w:semiHidden/>
    <w:unhideWhenUsed/>
    <w:rsid w:val="00D32035"/>
    <w:rPr>
      <w:sz w:val="16"/>
      <w:szCs w:val="16"/>
    </w:rPr>
  </w:style>
  <w:style w:type="paragraph" w:styleId="CommentText">
    <w:name w:val="annotation text"/>
    <w:basedOn w:val="Normal"/>
    <w:link w:val="CommentTextChar"/>
    <w:uiPriority w:val="99"/>
    <w:unhideWhenUsed/>
    <w:rsid w:val="00D32035"/>
    <w:pPr>
      <w:spacing w:line="240" w:lineRule="auto"/>
    </w:pPr>
    <w:rPr>
      <w:sz w:val="20"/>
      <w:szCs w:val="20"/>
    </w:rPr>
  </w:style>
  <w:style w:type="character" w:customStyle="1" w:styleId="CommentTextChar">
    <w:name w:val="Comment Text Char"/>
    <w:basedOn w:val="DefaultParagraphFont"/>
    <w:link w:val="CommentText"/>
    <w:uiPriority w:val="99"/>
    <w:rsid w:val="00D32035"/>
    <w:rPr>
      <w:sz w:val="20"/>
      <w:szCs w:val="20"/>
    </w:rPr>
  </w:style>
  <w:style w:type="paragraph" w:styleId="CommentSubject">
    <w:name w:val="annotation subject"/>
    <w:basedOn w:val="CommentText"/>
    <w:next w:val="CommentText"/>
    <w:link w:val="CommentSubjectChar"/>
    <w:uiPriority w:val="99"/>
    <w:semiHidden/>
    <w:unhideWhenUsed/>
    <w:rsid w:val="00D32035"/>
    <w:rPr>
      <w:b/>
      <w:bCs/>
    </w:rPr>
  </w:style>
  <w:style w:type="character" w:customStyle="1" w:styleId="CommentSubjectChar">
    <w:name w:val="Comment Subject Char"/>
    <w:basedOn w:val="CommentTextChar"/>
    <w:link w:val="CommentSubject"/>
    <w:uiPriority w:val="99"/>
    <w:semiHidden/>
    <w:rsid w:val="00D32035"/>
    <w:rPr>
      <w:b/>
      <w:bCs/>
      <w:sz w:val="20"/>
      <w:szCs w:val="20"/>
    </w:rPr>
  </w:style>
  <w:style w:type="character" w:styleId="Hyperlink">
    <w:name w:val="Hyperlink"/>
    <w:basedOn w:val="DefaultParagraphFont"/>
    <w:uiPriority w:val="99"/>
    <w:unhideWhenUsed/>
    <w:rsid w:val="00D32035"/>
    <w:rPr>
      <w:color w:val="467886" w:themeColor="hyperlink"/>
      <w:u w:val="single"/>
    </w:rPr>
  </w:style>
  <w:style w:type="character" w:styleId="UnresolvedMention">
    <w:name w:val="Unresolved Mention"/>
    <w:basedOn w:val="DefaultParagraphFont"/>
    <w:uiPriority w:val="99"/>
    <w:semiHidden/>
    <w:unhideWhenUsed/>
    <w:rsid w:val="00D32035"/>
    <w:rPr>
      <w:color w:val="605E5C"/>
      <w:shd w:val="clear" w:color="auto" w:fill="E1DFDD"/>
    </w:rPr>
  </w:style>
  <w:style w:type="paragraph" w:styleId="Header">
    <w:name w:val="header"/>
    <w:basedOn w:val="Normal"/>
    <w:link w:val="HeaderChar"/>
    <w:uiPriority w:val="99"/>
    <w:unhideWhenUsed/>
    <w:rsid w:val="004F582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4F582D"/>
    <w:rPr>
      <w:sz w:val="22"/>
      <w:szCs w:val="22"/>
    </w:rPr>
  </w:style>
  <w:style w:type="paragraph" w:styleId="Footer">
    <w:name w:val="footer"/>
    <w:basedOn w:val="Normal"/>
    <w:link w:val="FooterChar"/>
    <w:uiPriority w:val="99"/>
    <w:unhideWhenUsed/>
    <w:rsid w:val="004F582D"/>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4F582D"/>
    <w:rPr>
      <w:sz w:val="22"/>
      <w:szCs w:val="22"/>
    </w:rPr>
  </w:style>
  <w:style w:type="paragraph" w:customStyle="1" w:styleId="paragraph">
    <w:name w:val="paragraph"/>
    <w:basedOn w:val="Normal"/>
    <w:rsid w:val="008A1BC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scxw197522084">
    <w:name w:val="scxw197522084"/>
    <w:basedOn w:val="DefaultParagraphFont"/>
    <w:rsid w:val="008A1BC8"/>
  </w:style>
  <w:style w:type="paragraph" w:customStyle="1" w:styleId="p1">
    <w:name w:val="p1"/>
    <w:basedOn w:val="Normal"/>
    <w:rsid w:val="003F3D0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1">
    <w:name w:val="s1"/>
    <w:basedOn w:val="DefaultParagraphFont"/>
    <w:rsid w:val="003F3D0A"/>
  </w:style>
  <w:style w:type="character" w:customStyle="1" w:styleId="s2">
    <w:name w:val="s2"/>
    <w:basedOn w:val="DefaultParagraphFont"/>
    <w:rsid w:val="003F3D0A"/>
  </w:style>
  <w:style w:type="character" w:customStyle="1" w:styleId="s3">
    <w:name w:val="s3"/>
    <w:basedOn w:val="DefaultParagraphFont"/>
    <w:rsid w:val="003F3D0A"/>
  </w:style>
  <w:style w:type="character" w:customStyle="1" w:styleId="s4">
    <w:name w:val="s4"/>
    <w:basedOn w:val="DefaultParagraphFont"/>
    <w:rsid w:val="003F3D0A"/>
  </w:style>
  <w:style w:type="paragraph" w:customStyle="1" w:styleId="p3">
    <w:name w:val="p3"/>
    <w:basedOn w:val="Normal"/>
    <w:rsid w:val="003F3D0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A96A1D"/>
    <w:rPr>
      <w:b/>
      <w:bCs/>
    </w:rPr>
  </w:style>
  <w:style w:type="character" w:styleId="Emphasis">
    <w:name w:val="Emphasis"/>
    <w:basedOn w:val="DefaultParagraphFont"/>
    <w:uiPriority w:val="20"/>
    <w:qFormat/>
    <w:rsid w:val="00A96A1D"/>
    <w:rPr>
      <w:i/>
      <w:iCs/>
    </w:rPr>
  </w:style>
  <w:style w:type="paragraph" w:customStyle="1" w:styleId="Default">
    <w:name w:val="Default"/>
    <w:basedOn w:val="Normal"/>
    <w:uiPriority w:val="1"/>
    <w:rsid w:val="35F9E276"/>
    <w:pPr>
      <w:spacing w:after="0"/>
    </w:pPr>
    <w:rPr>
      <w:rFonts w:eastAsiaTheme="minorEastAsia"/>
      <w:color w:val="000000" w:themeColor="text1"/>
      <w:sz w:val="24"/>
      <w:szCs w:val="24"/>
      <w:lang w:eastAsia="en-GB"/>
    </w:rPr>
  </w:style>
  <w:style w:type="character" w:styleId="Mention">
    <w:name w:val="Mention"/>
    <w:basedOn w:val="DefaultParagraphFont"/>
    <w:uiPriority w:val="99"/>
    <w:unhideWhenUsed/>
    <w:rsid w:val="002B2D6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08427">
      <w:bodyDiv w:val="1"/>
      <w:marLeft w:val="0"/>
      <w:marRight w:val="0"/>
      <w:marTop w:val="0"/>
      <w:marBottom w:val="0"/>
      <w:divBdr>
        <w:top w:val="none" w:sz="0" w:space="0" w:color="auto"/>
        <w:left w:val="none" w:sz="0" w:space="0" w:color="auto"/>
        <w:bottom w:val="none" w:sz="0" w:space="0" w:color="auto"/>
        <w:right w:val="none" w:sz="0" w:space="0" w:color="auto"/>
      </w:divBdr>
    </w:div>
    <w:div w:id="107169354">
      <w:bodyDiv w:val="1"/>
      <w:marLeft w:val="0"/>
      <w:marRight w:val="0"/>
      <w:marTop w:val="0"/>
      <w:marBottom w:val="0"/>
      <w:divBdr>
        <w:top w:val="none" w:sz="0" w:space="0" w:color="auto"/>
        <w:left w:val="none" w:sz="0" w:space="0" w:color="auto"/>
        <w:bottom w:val="none" w:sz="0" w:space="0" w:color="auto"/>
        <w:right w:val="none" w:sz="0" w:space="0" w:color="auto"/>
      </w:divBdr>
    </w:div>
    <w:div w:id="125243630">
      <w:bodyDiv w:val="1"/>
      <w:marLeft w:val="0"/>
      <w:marRight w:val="0"/>
      <w:marTop w:val="0"/>
      <w:marBottom w:val="0"/>
      <w:divBdr>
        <w:top w:val="none" w:sz="0" w:space="0" w:color="auto"/>
        <w:left w:val="none" w:sz="0" w:space="0" w:color="auto"/>
        <w:bottom w:val="none" w:sz="0" w:space="0" w:color="auto"/>
        <w:right w:val="none" w:sz="0" w:space="0" w:color="auto"/>
      </w:divBdr>
    </w:div>
    <w:div w:id="145123836">
      <w:bodyDiv w:val="1"/>
      <w:marLeft w:val="0"/>
      <w:marRight w:val="0"/>
      <w:marTop w:val="0"/>
      <w:marBottom w:val="0"/>
      <w:divBdr>
        <w:top w:val="none" w:sz="0" w:space="0" w:color="auto"/>
        <w:left w:val="none" w:sz="0" w:space="0" w:color="auto"/>
        <w:bottom w:val="none" w:sz="0" w:space="0" w:color="auto"/>
        <w:right w:val="none" w:sz="0" w:space="0" w:color="auto"/>
      </w:divBdr>
      <w:divsChild>
        <w:div w:id="1308825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446827">
      <w:bodyDiv w:val="1"/>
      <w:marLeft w:val="0"/>
      <w:marRight w:val="0"/>
      <w:marTop w:val="0"/>
      <w:marBottom w:val="0"/>
      <w:divBdr>
        <w:top w:val="none" w:sz="0" w:space="0" w:color="auto"/>
        <w:left w:val="none" w:sz="0" w:space="0" w:color="auto"/>
        <w:bottom w:val="none" w:sz="0" w:space="0" w:color="auto"/>
        <w:right w:val="none" w:sz="0" w:space="0" w:color="auto"/>
      </w:divBdr>
    </w:div>
    <w:div w:id="214784370">
      <w:bodyDiv w:val="1"/>
      <w:marLeft w:val="0"/>
      <w:marRight w:val="0"/>
      <w:marTop w:val="0"/>
      <w:marBottom w:val="0"/>
      <w:divBdr>
        <w:top w:val="none" w:sz="0" w:space="0" w:color="auto"/>
        <w:left w:val="none" w:sz="0" w:space="0" w:color="auto"/>
        <w:bottom w:val="none" w:sz="0" w:space="0" w:color="auto"/>
        <w:right w:val="none" w:sz="0" w:space="0" w:color="auto"/>
      </w:divBdr>
    </w:div>
    <w:div w:id="306014266">
      <w:bodyDiv w:val="1"/>
      <w:marLeft w:val="0"/>
      <w:marRight w:val="0"/>
      <w:marTop w:val="0"/>
      <w:marBottom w:val="0"/>
      <w:divBdr>
        <w:top w:val="none" w:sz="0" w:space="0" w:color="auto"/>
        <w:left w:val="none" w:sz="0" w:space="0" w:color="auto"/>
        <w:bottom w:val="none" w:sz="0" w:space="0" w:color="auto"/>
        <w:right w:val="none" w:sz="0" w:space="0" w:color="auto"/>
      </w:divBdr>
    </w:div>
    <w:div w:id="683898586">
      <w:bodyDiv w:val="1"/>
      <w:marLeft w:val="0"/>
      <w:marRight w:val="0"/>
      <w:marTop w:val="0"/>
      <w:marBottom w:val="0"/>
      <w:divBdr>
        <w:top w:val="none" w:sz="0" w:space="0" w:color="auto"/>
        <w:left w:val="none" w:sz="0" w:space="0" w:color="auto"/>
        <w:bottom w:val="none" w:sz="0" w:space="0" w:color="auto"/>
        <w:right w:val="none" w:sz="0" w:space="0" w:color="auto"/>
      </w:divBdr>
    </w:div>
    <w:div w:id="826482211">
      <w:bodyDiv w:val="1"/>
      <w:marLeft w:val="0"/>
      <w:marRight w:val="0"/>
      <w:marTop w:val="0"/>
      <w:marBottom w:val="0"/>
      <w:divBdr>
        <w:top w:val="none" w:sz="0" w:space="0" w:color="auto"/>
        <w:left w:val="none" w:sz="0" w:space="0" w:color="auto"/>
        <w:bottom w:val="none" w:sz="0" w:space="0" w:color="auto"/>
        <w:right w:val="none" w:sz="0" w:space="0" w:color="auto"/>
      </w:divBdr>
    </w:div>
    <w:div w:id="865676193">
      <w:bodyDiv w:val="1"/>
      <w:marLeft w:val="0"/>
      <w:marRight w:val="0"/>
      <w:marTop w:val="0"/>
      <w:marBottom w:val="0"/>
      <w:divBdr>
        <w:top w:val="none" w:sz="0" w:space="0" w:color="auto"/>
        <w:left w:val="none" w:sz="0" w:space="0" w:color="auto"/>
        <w:bottom w:val="none" w:sz="0" w:space="0" w:color="auto"/>
        <w:right w:val="none" w:sz="0" w:space="0" w:color="auto"/>
      </w:divBdr>
      <w:divsChild>
        <w:div w:id="12828818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625171">
      <w:bodyDiv w:val="1"/>
      <w:marLeft w:val="0"/>
      <w:marRight w:val="0"/>
      <w:marTop w:val="0"/>
      <w:marBottom w:val="0"/>
      <w:divBdr>
        <w:top w:val="none" w:sz="0" w:space="0" w:color="auto"/>
        <w:left w:val="none" w:sz="0" w:space="0" w:color="auto"/>
        <w:bottom w:val="none" w:sz="0" w:space="0" w:color="auto"/>
        <w:right w:val="none" w:sz="0" w:space="0" w:color="auto"/>
      </w:divBdr>
    </w:div>
    <w:div w:id="1095781671">
      <w:bodyDiv w:val="1"/>
      <w:marLeft w:val="0"/>
      <w:marRight w:val="0"/>
      <w:marTop w:val="0"/>
      <w:marBottom w:val="0"/>
      <w:divBdr>
        <w:top w:val="none" w:sz="0" w:space="0" w:color="auto"/>
        <w:left w:val="none" w:sz="0" w:space="0" w:color="auto"/>
        <w:bottom w:val="none" w:sz="0" w:space="0" w:color="auto"/>
        <w:right w:val="none" w:sz="0" w:space="0" w:color="auto"/>
      </w:divBdr>
    </w:div>
    <w:div w:id="1125198194">
      <w:bodyDiv w:val="1"/>
      <w:marLeft w:val="0"/>
      <w:marRight w:val="0"/>
      <w:marTop w:val="0"/>
      <w:marBottom w:val="0"/>
      <w:divBdr>
        <w:top w:val="none" w:sz="0" w:space="0" w:color="auto"/>
        <w:left w:val="none" w:sz="0" w:space="0" w:color="auto"/>
        <w:bottom w:val="none" w:sz="0" w:space="0" w:color="auto"/>
        <w:right w:val="none" w:sz="0" w:space="0" w:color="auto"/>
      </w:divBdr>
    </w:div>
    <w:div w:id="1166018144">
      <w:bodyDiv w:val="1"/>
      <w:marLeft w:val="0"/>
      <w:marRight w:val="0"/>
      <w:marTop w:val="0"/>
      <w:marBottom w:val="0"/>
      <w:divBdr>
        <w:top w:val="none" w:sz="0" w:space="0" w:color="auto"/>
        <w:left w:val="none" w:sz="0" w:space="0" w:color="auto"/>
        <w:bottom w:val="none" w:sz="0" w:space="0" w:color="auto"/>
        <w:right w:val="none" w:sz="0" w:space="0" w:color="auto"/>
      </w:divBdr>
      <w:divsChild>
        <w:div w:id="1224558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6348474">
      <w:bodyDiv w:val="1"/>
      <w:marLeft w:val="0"/>
      <w:marRight w:val="0"/>
      <w:marTop w:val="0"/>
      <w:marBottom w:val="0"/>
      <w:divBdr>
        <w:top w:val="none" w:sz="0" w:space="0" w:color="auto"/>
        <w:left w:val="none" w:sz="0" w:space="0" w:color="auto"/>
        <w:bottom w:val="none" w:sz="0" w:space="0" w:color="auto"/>
        <w:right w:val="none" w:sz="0" w:space="0" w:color="auto"/>
      </w:divBdr>
    </w:div>
    <w:div w:id="1440563822">
      <w:bodyDiv w:val="1"/>
      <w:marLeft w:val="0"/>
      <w:marRight w:val="0"/>
      <w:marTop w:val="0"/>
      <w:marBottom w:val="0"/>
      <w:divBdr>
        <w:top w:val="none" w:sz="0" w:space="0" w:color="auto"/>
        <w:left w:val="none" w:sz="0" w:space="0" w:color="auto"/>
        <w:bottom w:val="none" w:sz="0" w:space="0" w:color="auto"/>
        <w:right w:val="none" w:sz="0" w:space="0" w:color="auto"/>
      </w:divBdr>
    </w:div>
    <w:div w:id="1570652923">
      <w:bodyDiv w:val="1"/>
      <w:marLeft w:val="0"/>
      <w:marRight w:val="0"/>
      <w:marTop w:val="0"/>
      <w:marBottom w:val="0"/>
      <w:divBdr>
        <w:top w:val="none" w:sz="0" w:space="0" w:color="auto"/>
        <w:left w:val="none" w:sz="0" w:space="0" w:color="auto"/>
        <w:bottom w:val="none" w:sz="0" w:space="0" w:color="auto"/>
        <w:right w:val="none" w:sz="0" w:space="0" w:color="auto"/>
      </w:divBdr>
    </w:div>
    <w:div w:id="1571427511">
      <w:bodyDiv w:val="1"/>
      <w:marLeft w:val="0"/>
      <w:marRight w:val="0"/>
      <w:marTop w:val="0"/>
      <w:marBottom w:val="0"/>
      <w:divBdr>
        <w:top w:val="none" w:sz="0" w:space="0" w:color="auto"/>
        <w:left w:val="none" w:sz="0" w:space="0" w:color="auto"/>
        <w:bottom w:val="none" w:sz="0" w:space="0" w:color="auto"/>
        <w:right w:val="none" w:sz="0" w:space="0" w:color="auto"/>
      </w:divBdr>
      <w:divsChild>
        <w:div w:id="167064636">
          <w:marLeft w:val="0"/>
          <w:marRight w:val="0"/>
          <w:marTop w:val="0"/>
          <w:marBottom w:val="0"/>
          <w:divBdr>
            <w:top w:val="none" w:sz="0" w:space="0" w:color="auto"/>
            <w:left w:val="none" w:sz="0" w:space="0" w:color="auto"/>
            <w:bottom w:val="none" w:sz="0" w:space="0" w:color="auto"/>
            <w:right w:val="none" w:sz="0" w:space="0" w:color="auto"/>
          </w:divBdr>
          <w:divsChild>
            <w:div w:id="141701887">
              <w:marLeft w:val="0"/>
              <w:marRight w:val="0"/>
              <w:marTop w:val="0"/>
              <w:marBottom w:val="0"/>
              <w:divBdr>
                <w:top w:val="none" w:sz="0" w:space="0" w:color="auto"/>
                <w:left w:val="none" w:sz="0" w:space="0" w:color="auto"/>
                <w:bottom w:val="none" w:sz="0" w:space="0" w:color="auto"/>
                <w:right w:val="none" w:sz="0" w:space="0" w:color="auto"/>
              </w:divBdr>
            </w:div>
            <w:div w:id="999849199">
              <w:marLeft w:val="0"/>
              <w:marRight w:val="0"/>
              <w:marTop w:val="0"/>
              <w:marBottom w:val="0"/>
              <w:divBdr>
                <w:top w:val="none" w:sz="0" w:space="0" w:color="auto"/>
                <w:left w:val="none" w:sz="0" w:space="0" w:color="auto"/>
                <w:bottom w:val="none" w:sz="0" w:space="0" w:color="auto"/>
                <w:right w:val="none" w:sz="0" w:space="0" w:color="auto"/>
              </w:divBdr>
            </w:div>
          </w:divsChild>
        </w:div>
        <w:div w:id="174226619">
          <w:marLeft w:val="0"/>
          <w:marRight w:val="0"/>
          <w:marTop w:val="0"/>
          <w:marBottom w:val="0"/>
          <w:divBdr>
            <w:top w:val="none" w:sz="0" w:space="0" w:color="auto"/>
            <w:left w:val="none" w:sz="0" w:space="0" w:color="auto"/>
            <w:bottom w:val="none" w:sz="0" w:space="0" w:color="auto"/>
            <w:right w:val="none" w:sz="0" w:space="0" w:color="auto"/>
          </w:divBdr>
          <w:divsChild>
            <w:div w:id="1439258343">
              <w:marLeft w:val="0"/>
              <w:marRight w:val="0"/>
              <w:marTop w:val="0"/>
              <w:marBottom w:val="0"/>
              <w:divBdr>
                <w:top w:val="none" w:sz="0" w:space="0" w:color="auto"/>
                <w:left w:val="none" w:sz="0" w:space="0" w:color="auto"/>
                <w:bottom w:val="none" w:sz="0" w:space="0" w:color="auto"/>
                <w:right w:val="none" w:sz="0" w:space="0" w:color="auto"/>
              </w:divBdr>
            </w:div>
          </w:divsChild>
        </w:div>
        <w:div w:id="310409985">
          <w:marLeft w:val="0"/>
          <w:marRight w:val="0"/>
          <w:marTop w:val="0"/>
          <w:marBottom w:val="0"/>
          <w:divBdr>
            <w:top w:val="none" w:sz="0" w:space="0" w:color="auto"/>
            <w:left w:val="none" w:sz="0" w:space="0" w:color="auto"/>
            <w:bottom w:val="none" w:sz="0" w:space="0" w:color="auto"/>
            <w:right w:val="none" w:sz="0" w:space="0" w:color="auto"/>
          </w:divBdr>
          <w:divsChild>
            <w:div w:id="798302423">
              <w:marLeft w:val="0"/>
              <w:marRight w:val="0"/>
              <w:marTop w:val="0"/>
              <w:marBottom w:val="0"/>
              <w:divBdr>
                <w:top w:val="none" w:sz="0" w:space="0" w:color="auto"/>
                <w:left w:val="none" w:sz="0" w:space="0" w:color="auto"/>
                <w:bottom w:val="none" w:sz="0" w:space="0" w:color="auto"/>
                <w:right w:val="none" w:sz="0" w:space="0" w:color="auto"/>
              </w:divBdr>
            </w:div>
            <w:div w:id="1656256620">
              <w:marLeft w:val="0"/>
              <w:marRight w:val="0"/>
              <w:marTop w:val="0"/>
              <w:marBottom w:val="0"/>
              <w:divBdr>
                <w:top w:val="none" w:sz="0" w:space="0" w:color="auto"/>
                <w:left w:val="none" w:sz="0" w:space="0" w:color="auto"/>
                <w:bottom w:val="none" w:sz="0" w:space="0" w:color="auto"/>
                <w:right w:val="none" w:sz="0" w:space="0" w:color="auto"/>
              </w:divBdr>
            </w:div>
            <w:div w:id="1837376758">
              <w:marLeft w:val="0"/>
              <w:marRight w:val="0"/>
              <w:marTop w:val="0"/>
              <w:marBottom w:val="0"/>
              <w:divBdr>
                <w:top w:val="none" w:sz="0" w:space="0" w:color="auto"/>
                <w:left w:val="none" w:sz="0" w:space="0" w:color="auto"/>
                <w:bottom w:val="none" w:sz="0" w:space="0" w:color="auto"/>
                <w:right w:val="none" w:sz="0" w:space="0" w:color="auto"/>
              </w:divBdr>
            </w:div>
          </w:divsChild>
        </w:div>
        <w:div w:id="481432428">
          <w:marLeft w:val="0"/>
          <w:marRight w:val="0"/>
          <w:marTop w:val="0"/>
          <w:marBottom w:val="0"/>
          <w:divBdr>
            <w:top w:val="none" w:sz="0" w:space="0" w:color="auto"/>
            <w:left w:val="none" w:sz="0" w:space="0" w:color="auto"/>
            <w:bottom w:val="none" w:sz="0" w:space="0" w:color="auto"/>
            <w:right w:val="none" w:sz="0" w:space="0" w:color="auto"/>
          </w:divBdr>
          <w:divsChild>
            <w:div w:id="1601375010">
              <w:marLeft w:val="0"/>
              <w:marRight w:val="0"/>
              <w:marTop w:val="0"/>
              <w:marBottom w:val="0"/>
              <w:divBdr>
                <w:top w:val="none" w:sz="0" w:space="0" w:color="auto"/>
                <w:left w:val="none" w:sz="0" w:space="0" w:color="auto"/>
                <w:bottom w:val="none" w:sz="0" w:space="0" w:color="auto"/>
                <w:right w:val="none" w:sz="0" w:space="0" w:color="auto"/>
              </w:divBdr>
            </w:div>
          </w:divsChild>
        </w:div>
        <w:div w:id="531696562">
          <w:marLeft w:val="0"/>
          <w:marRight w:val="0"/>
          <w:marTop w:val="0"/>
          <w:marBottom w:val="0"/>
          <w:divBdr>
            <w:top w:val="none" w:sz="0" w:space="0" w:color="auto"/>
            <w:left w:val="none" w:sz="0" w:space="0" w:color="auto"/>
            <w:bottom w:val="none" w:sz="0" w:space="0" w:color="auto"/>
            <w:right w:val="none" w:sz="0" w:space="0" w:color="auto"/>
          </w:divBdr>
          <w:divsChild>
            <w:div w:id="1863084891">
              <w:marLeft w:val="0"/>
              <w:marRight w:val="0"/>
              <w:marTop w:val="0"/>
              <w:marBottom w:val="0"/>
              <w:divBdr>
                <w:top w:val="none" w:sz="0" w:space="0" w:color="auto"/>
                <w:left w:val="none" w:sz="0" w:space="0" w:color="auto"/>
                <w:bottom w:val="none" w:sz="0" w:space="0" w:color="auto"/>
                <w:right w:val="none" w:sz="0" w:space="0" w:color="auto"/>
              </w:divBdr>
            </w:div>
          </w:divsChild>
        </w:div>
        <w:div w:id="739064409">
          <w:marLeft w:val="0"/>
          <w:marRight w:val="0"/>
          <w:marTop w:val="0"/>
          <w:marBottom w:val="0"/>
          <w:divBdr>
            <w:top w:val="none" w:sz="0" w:space="0" w:color="auto"/>
            <w:left w:val="none" w:sz="0" w:space="0" w:color="auto"/>
            <w:bottom w:val="none" w:sz="0" w:space="0" w:color="auto"/>
            <w:right w:val="none" w:sz="0" w:space="0" w:color="auto"/>
          </w:divBdr>
          <w:divsChild>
            <w:div w:id="1463035040">
              <w:marLeft w:val="0"/>
              <w:marRight w:val="0"/>
              <w:marTop w:val="0"/>
              <w:marBottom w:val="0"/>
              <w:divBdr>
                <w:top w:val="none" w:sz="0" w:space="0" w:color="auto"/>
                <w:left w:val="none" w:sz="0" w:space="0" w:color="auto"/>
                <w:bottom w:val="none" w:sz="0" w:space="0" w:color="auto"/>
                <w:right w:val="none" w:sz="0" w:space="0" w:color="auto"/>
              </w:divBdr>
            </w:div>
          </w:divsChild>
        </w:div>
        <w:div w:id="834147437">
          <w:marLeft w:val="0"/>
          <w:marRight w:val="0"/>
          <w:marTop w:val="0"/>
          <w:marBottom w:val="0"/>
          <w:divBdr>
            <w:top w:val="none" w:sz="0" w:space="0" w:color="auto"/>
            <w:left w:val="none" w:sz="0" w:space="0" w:color="auto"/>
            <w:bottom w:val="none" w:sz="0" w:space="0" w:color="auto"/>
            <w:right w:val="none" w:sz="0" w:space="0" w:color="auto"/>
          </w:divBdr>
          <w:divsChild>
            <w:div w:id="1920480024">
              <w:marLeft w:val="0"/>
              <w:marRight w:val="0"/>
              <w:marTop w:val="0"/>
              <w:marBottom w:val="0"/>
              <w:divBdr>
                <w:top w:val="none" w:sz="0" w:space="0" w:color="auto"/>
                <w:left w:val="none" w:sz="0" w:space="0" w:color="auto"/>
                <w:bottom w:val="none" w:sz="0" w:space="0" w:color="auto"/>
                <w:right w:val="none" w:sz="0" w:space="0" w:color="auto"/>
              </w:divBdr>
            </w:div>
          </w:divsChild>
        </w:div>
        <w:div w:id="1379478160">
          <w:marLeft w:val="0"/>
          <w:marRight w:val="0"/>
          <w:marTop w:val="0"/>
          <w:marBottom w:val="0"/>
          <w:divBdr>
            <w:top w:val="none" w:sz="0" w:space="0" w:color="auto"/>
            <w:left w:val="none" w:sz="0" w:space="0" w:color="auto"/>
            <w:bottom w:val="none" w:sz="0" w:space="0" w:color="auto"/>
            <w:right w:val="none" w:sz="0" w:space="0" w:color="auto"/>
          </w:divBdr>
          <w:divsChild>
            <w:div w:id="622884748">
              <w:marLeft w:val="0"/>
              <w:marRight w:val="0"/>
              <w:marTop w:val="0"/>
              <w:marBottom w:val="0"/>
              <w:divBdr>
                <w:top w:val="none" w:sz="0" w:space="0" w:color="auto"/>
                <w:left w:val="none" w:sz="0" w:space="0" w:color="auto"/>
                <w:bottom w:val="none" w:sz="0" w:space="0" w:color="auto"/>
                <w:right w:val="none" w:sz="0" w:space="0" w:color="auto"/>
              </w:divBdr>
            </w:div>
          </w:divsChild>
        </w:div>
        <w:div w:id="1629243523">
          <w:marLeft w:val="0"/>
          <w:marRight w:val="0"/>
          <w:marTop w:val="0"/>
          <w:marBottom w:val="0"/>
          <w:divBdr>
            <w:top w:val="none" w:sz="0" w:space="0" w:color="auto"/>
            <w:left w:val="none" w:sz="0" w:space="0" w:color="auto"/>
            <w:bottom w:val="none" w:sz="0" w:space="0" w:color="auto"/>
            <w:right w:val="none" w:sz="0" w:space="0" w:color="auto"/>
          </w:divBdr>
          <w:divsChild>
            <w:div w:id="773601043">
              <w:marLeft w:val="0"/>
              <w:marRight w:val="0"/>
              <w:marTop w:val="0"/>
              <w:marBottom w:val="0"/>
              <w:divBdr>
                <w:top w:val="none" w:sz="0" w:space="0" w:color="auto"/>
                <w:left w:val="none" w:sz="0" w:space="0" w:color="auto"/>
                <w:bottom w:val="none" w:sz="0" w:space="0" w:color="auto"/>
                <w:right w:val="none" w:sz="0" w:space="0" w:color="auto"/>
              </w:divBdr>
            </w:div>
          </w:divsChild>
        </w:div>
        <w:div w:id="1781794782">
          <w:marLeft w:val="0"/>
          <w:marRight w:val="0"/>
          <w:marTop w:val="0"/>
          <w:marBottom w:val="0"/>
          <w:divBdr>
            <w:top w:val="none" w:sz="0" w:space="0" w:color="auto"/>
            <w:left w:val="none" w:sz="0" w:space="0" w:color="auto"/>
            <w:bottom w:val="none" w:sz="0" w:space="0" w:color="auto"/>
            <w:right w:val="none" w:sz="0" w:space="0" w:color="auto"/>
          </w:divBdr>
          <w:divsChild>
            <w:div w:id="197399624">
              <w:marLeft w:val="0"/>
              <w:marRight w:val="0"/>
              <w:marTop w:val="0"/>
              <w:marBottom w:val="0"/>
              <w:divBdr>
                <w:top w:val="none" w:sz="0" w:space="0" w:color="auto"/>
                <w:left w:val="none" w:sz="0" w:space="0" w:color="auto"/>
                <w:bottom w:val="none" w:sz="0" w:space="0" w:color="auto"/>
                <w:right w:val="none" w:sz="0" w:space="0" w:color="auto"/>
              </w:divBdr>
            </w:div>
            <w:div w:id="67712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589369">
      <w:bodyDiv w:val="1"/>
      <w:marLeft w:val="0"/>
      <w:marRight w:val="0"/>
      <w:marTop w:val="0"/>
      <w:marBottom w:val="0"/>
      <w:divBdr>
        <w:top w:val="none" w:sz="0" w:space="0" w:color="auto"/>
        <w:left w:val="none" w:sz="0" w:space="0" w:color="auto"/>
        <w:bottom w:val="none" w:sz="0" w:space="0" w:color="auto"/>
        <w:right w:val="none" w:sz="0" w:space="0" w:color="auto"/>
      </w:divBdr>
    </w:div>
    <w:div w:id="1673797257">
      <w:bodyDiv w:val="1"/>
      <w:marLeft w:val="0"/>
      <w:marRight w:val="0"/>
      <w:marTop w:val="0"/>
      <w:marBottom w:val="0"/>
      <w:divBdr>
        <w:top w:val="none" w:sz="0" w:space="0" w:color="auto"/>
        <w:left w:val="none" w:sz="0" w:space="0" w:color="auto"/>
        <w:bottom w:val="none" w:sz="0" w:space="0" w:color="auto"/>
        <w:right w:val="none" w:sz="0" w:space="0" w:color="auto"/>
      </w:divBdr>
    </w:div>
    <w:div w:id="1677997602">
      <w:bodyDiv w:val="1"/>
      <w:marLeft w:val="0"/>
      <w:marRight w:val="0"/>
      <w:marTop w:val="0"/>
      <w:marBottom w:val="0"/>
      <w:divBdr>
        <w:top w:val="none" w:sz="0" w:space="0" w:color="auto"/>
        <w:left w:val="none" w:sz="0" w:space="0" w:color="auto"/>
        <w:bottom w:val="none" w:sz="0" w:space="0" w:color="auto"/>
        <w:right w:val="none" w:sz="0" w:space="0" w:color="auto"/>
      </w:divBdr>
    </w:div>
    <w:div w:id="1884752003">
      <w:bodyDiv w:val="1"/>
      <w:marLeft w:val="0"/>
      <w:marRight w:val="0"/>
      <w:marTop w:val="0"/>
      <w:marBottom w:val="0"/>
      <w:divBdr>
        <w:top w:val="none" w:sz="0" w:space="0" w:color="auto"/>
        <w:left w:val="none" w:sz="0" w:space="0" w:color="auto"/>
        <w:bottom w:val="none" w:sz="0" w:space="0" w:color="auto"/>
        <w:right w:val="none" w:sz="0" w:space="0" w:color="auto"/>
      </w:divBdr>
    </w:div>
    <w:div w:id="1965889542">
      <w:bodyDiv w:val="1"/>
      <w:marLeft w:val="0"/>
      <w:marRight w:val="0"/>
      <w:marTop w:val="0"/>
      <w:marBottom w:val="0"/>
      <w:divBdr>
        <w:top w:val="none" w:sz="0" w:space="0" w:color="auto"/>
        <w:left w:val="none" w:sz="0" w:space="0" w:color="auto"/>
        <w:bottom w:val="none" w:sz="0" w:space="0" w:color="auto"/>
        <w:right w:val="none" w:sz="0" w:space="0" w:color="auto"/>
      </w:divBdr>
    </w:div>
    <w:div w:id="2146926023">
      <w:bodyDiv w:val="1"/>
      <w:marLeft w:val="0"/>
      <w:marRight w:val="0"/>
      <w:marTop w:val="0"/>
      <w:marBottom w:val="0"/>
      <w:divBdr>
        <w:top w:val="none" w:sz="0" w:space="0" w:color="auto"/>
        <w:left w:val="none" w:sz="0" w:space="0" w:color="auto"/>
        <w:bottom w:val="none" w:sz="0" w:space="0" w:color="auto"/>
        <w:right w:val="none" w:sz="0" w:space="0" w:color="auto"/>
      </w:divBdr>
      <w:divsChild>
        <w:div w:id="19588321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ajournals.onlinelibrary.wiley.com/doi/full/10.1002/fee.2148"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report.territoriesoflife.org/global-analysis/" TargetMode="External"/><Relationship Id="rId17" Type="http://schemas.openxmlformats.org/officeDocument/2006/relationships/hyperlink" Target="https://www.fao.org/policy-support/tools-and-publications/resources-details/en/c/416990/%22%20/l%20%22:~:text=%2F%20Guidelines%20%26%20methodologies-,Voluntary%20Guidelines%20on%20the%20Responsible%20Governance%20of%20Tenure%20of%20Land,be%20prepared%20through%20intergovernmental%20negotiations." TargetMode="External"/><Relationship Id="rId2" Type="http://schemas.openxmlformats.org/officeDocument/2006/relationships/customXml" Target="../customXml/item2.xml"/><Relationship Id="rId16" Type="http://schemas.openxmlformats.org/officeDocument/2006/relationships/hyperlink" Target="https://landportal.org/library/resources/indigenous-peoples-and-local-communities-forest-tenure-pledge-annual-report-2023"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fordfoundation.org/news-and-stories/news-and-press/news/governments-and-private-funders-announce-historic-us1-7-billion-pledge-at-cop26-in-support-of-indigenous-peoples-and-local-communitie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cologyandsociety.org/vol26/iss3/art19/"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081dbcec-f8f8-470e-9cf1-ff758009fc79">
      <Terms xmlns="http://schemas.microsoft.com/office/infopath/2007/PartnerControls"/>
    </lcf76f155ced4ddcb4097134ff3c332f>
    <SharedWithUsers xmlns="b22eec61-2d44-43c5-b594-c27c970b8cd8">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9195B9495523448EAA8C2805A437E4" ma:contentTypeVersion="15" ma:contentTypeDescription="Create a new document." ma:contentTypeScope="" ma:versionID="bb8444a416ee5fe1e29b8c5f5af863bb">
  <xsd:schema xmlns:xsd="http://www.w3.org/2001/XMLSchema" xmlns:xs="http://www.w3.org/2001/XMLSchema" xmlns:p="http://schemas.microsoft.com/office/2006/metadata/properties" xmlns:ns2="b22eec61-2d44-43c5-b594-c27c970b8cd8" xmlns:ns3="081dbcec-f8f8-470e-9cf1-ff758009fc79" xmlns:ns4="985ec44e-1bab-4c0b-9df0-6ba128686fc9" targetNamespace="http://schemas.microsoft.com/office/2006/metadata/properties" ma:root="true" ma:fieldsID="d3a31ff294e197b7b01d2e7d43cc42af" ns2:_="" ns3:_="" ns4:_="">
    <xsd:import namespace="b22eec61-2d44-43c5-b594-c27c970b8cd8"/>
    <xsd:import namespace="081dbcec-f8f8-470e-9cf1-ff758009fc79"/>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2eec61-2d44-43c5-b594-c27c970b8cd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1dbcec-f8f8-470e-9cf1-ff758009fc7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c44679b-3369-4aa4-9b0e-a35420982155}" ma:internalName="TaxCatchAll" ma:showField="CatchAllData" ma:web="b22eec61-2d44-43c5-b594-c27c970b8c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117EAF-0700-494F-8C68-D85DF27F1F31}">
  <ds:schemaRefs>
    <ds:schemaRef ds:uri="http://schemas.openxmlformats.org/officeDocument/2006/bibliography"/>
  </ds:schemaRefs>
</ds:datastoreItem>
</file>

<file path=customXml/itemProps2.xml><?xml version="1.0" encoding="utf-8"?>
<ds:datastoreItem xmlns:ds="http://schemas.openxmlformats.org/officeDocument/2006/customXml" ds:itemID="{0EA6EB9E-E124-4CA4-9BB5-3CFAA486580B}">
  <ds:schemaRefs>
    <ds:schemaRef ds:uri="http://schemas.microsoft.com/sharepoint/v3/contenttype/forms"/>
  </ds:schemaRefs>
</ds:datastoreItem>
</file>

<file path=customXml/itemProps3.xml><?xml version="1.0" encoding="utf-8"?>
<ds:datastoreItem xmlns:ds="http://schemas.openxmlformats.org/officeDocument/2006/customXml" ds:itemID="{E3A9D197-B86D-4B78-A457-6659D1AC5C56}">
  <ds:schemaRefs>
    <ds:schemaRef ds:uri="http://schemas.microsoft.com/office/2006/metadata/properties"/>
    <ds:schemaRef ds:uri="http://schemas.microsoft.com/office/infopath/2007/PartnerControls"/>
    <ds:schemaRef ds:uri="985ec44e-1bab-4c0b-9df0-6ba128686fc9"/>
    <ds:schemaRef ds:uri="081dbcec-f8f8-470e-9cf1-ff758009fc79"/>
    <ds:schemaRef ds:uri="b22eec61-2d44-43c5-b594-c27c970b8cd8"/>
  </ds:schemaRefs>
</ds:datastoreItem>
</file>

<file path=customXml/itemProps4.xml><?xml version="1.0" encoding="utf-8"?>
<ds:datastoreItem xmlns:ds="http://schemas.openxmlformats.org/officeDocument/2006/customXml" ds:itemID="{845CEB4F-994F-4889-AD78-96B5F42DF3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2eec61-2d44-43c5-b594-c27c970b8cd8"/>
    <ds:schemaRef ds:uri="081dbcec-f8f8-470e-9cf1-ff758009fc79"/>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8</Pages>
  <Words>2920</Words>
  <Characters>16648</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19529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 Secrieru</dc:creator>
  <cp:keywords/>
  <dc:description/>
  <cp:lastModifiedBy>Sharon Mcauslan</cp:lastModifiedBy>
  <cp:revision>8</cp:revision>
  <dcterms:created xsi:type="dcterms:W3CDTF">2025-11-14T02:35:00Z</dcterms:created>
  <dcterms:modified xsi:type="dcterms:W3CDTF">2025-11-14T02:55:00Z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0x010100549195B9495523448EAA8C2805A437E4</vt:lpwstr>
  </property>
  <property fmtid="{D5CDD505-2E9C-101B-9397-08002B2CF9AE}" pid="3" name="MediaServiceImageTags">
    <vt:lpwstr/>
  </property>
  <property fmtid="{D5CDD505-2E9C-101B-9397-08002B2CF9AE}" pid="4" name="Order">
    <vt:i4>156900</vt:i4>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TaxKeyword">
    <vt:lpwstr/>
  </property>
  <property fmtid="{D5CDD505-2E9C-101B-9397-08002B2CF9AE}" pid="12" name="Weight">
    <vt:lpwstr/>
  </property>
</Properties>
</file>