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B351" w14:textId="77777777" w:rsidR="00762CAE" w:rsidRDefault="00762CAE" w:rsidP="67E1CCD0">
      <w:pPr>
        <w:rPr>
          <w:b/>
          <w:bCs/>
        </w:rPr>
      </w:pPr>
    </w:p>
    <w:tbl>
      <w:tblPr>
        <w:tblStyle w:val="TableGrid"/>
        <w:tblW w:w="0" w:type="auto"/>
        <w:tblLook w:val="04A0" w:firstRow="1" w:lastRow="0" w:firstColumn="1" w:lastColumn="0" w:noHBand="0" w:noVBand="1"/>
      </w:tblPr>
      <w:tblGrid>
        <w:gridCol w:w="846"/>
        <w:gridCol w:w="7371"/>
        <w:gridCol w:w="799"/>
      </w:tblGrid>
      <w:tr w:rsidR="00A7019F" w:rsidRPr="00AD674B" w14:paraId="3384C4BB" w14:textId="77777777" w:rsidTr="00EF5C09">
        <w:tc>
          <w:tcPr>
            <w:tcW w:w="846" w:type="dxa"/>
          </w:tcPr>
          <w:p w14:paraId="54D9ED7C"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371" w:type="dxa"/>
          </w:tcPr>
          <w:p w14:paraId="47789DB1"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79465B80"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4989660A"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371C6467" w14:textId="77777777" w:rsidR="00A7019F" w:rsidRDefault="00A7019F">
            <w:pPr>
              <w:spacing w:before="0" w:after="0" w:line="240" w:lineRule="auto"/>
              <w:rPr>
                <w:rFonts w:ascii="Aptos" w:eastAsia="Aptos" w:hAnsi="Aptos" w:cs="Arial"/>
                <w:b/>
                <w:color w:val="215E99" w:themeColor="text2" w:themeTint="BF"/>
                <w:sz w:val="28"/>
                <w:szCs w:val="28"/>
                <w:lang w:val="it-IT"/>
              </w:rPr>
            </w:pPr>
          </w:p>
          <w:p w14:paraId="574483EE"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r>
              <w:rPr>
                <w:rFonts w:ascii="Aptos" w:eastAsia="Aptos" w:hAnsi="Aptos" w:cs="Arial"/>
                <w:b/>
                <w:noProof/>
                <w:color w:val="215E99" w:themeColor="text2" w:themeTint="BF"/>
                <w:sz w:val="28"/>
                <w:szCs w:val="28"/>
                <w:lang w:val="it-IT"/>
              </w:rPr>
              <w:drawing>
                <wp:inline distT="0" distB="0" distL="0" distR="0" wp14:anchorId="6198C589" wp14:editId="77F5923B">
                  <wp:extent cx="1188720" cy="664877"/>
                  <wp:effectExtent l="0" t="0" r="0" b="1905"/>
                  <wp:docPr id="319893295" name="Picture 1"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3295" name="Picture 1" descr="A black background with red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928" cy="670027"/>
                          </a:xfrm>
                          <a:prstGeom prst="rect">
                            <a:avLst/>
                          </a:prstGeom>
                          <a:noFill/>
                        </pic:spPr>
                      </pic:pic>
                    </a:graphicData>
                  </a:graphic>
                </wp:inline>
              </w:drawing>
            </w:r>
          </w:p>
          <w:p w14:paraId="7A862A5B"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p w14:paraId="0813F0A7" w14:textId="77777777" w:rsidR="00A7019F" w:rsidRPr="008A45B6"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0003F96F"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30B372D8" w14:textId="77777777" w:rsidTr="00EF5C09">
        <w:tc>
          <w:tcPr>
            <w:tcW w:w="846" w:type="dxa"/>
            <w:tcBorders>
              <w:right w:val="single" w:sz="24" w:space="0" w:color="336699"/>
            </w:tcBorders>
          </w:tcPr>
          <w:p w14:paraId="077C16A0"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50195152" w14:textId="49900B80" w:rsidR="00A7019F" w:rsidRPr="00305E39" w:rsidRDefault="00A7019F">
            <w:pPr>
              <w:spacing w:before="0" w:after="0" w:line="240" w:lineRule="auto"/>
              <w:rPr>
                <w:rFonts w:eastAsia="Aptos" w:cs="Times New Roman"/>
                <w:b/>
                <w:color w:val="215E99" w:themeColor="text2" w:themeTint="BF"/>
                <w:sz w:val="56"/>
                <w:szCs w:val="56"/>
                <w:lang w:val="it-IT"/>
              </w:rPr>
            </w:pPr>
            <w:r w:rsidRPr="00305E39">
              <w:rPr>
                <w:rFonts w:eastAsia="Aptos" w:cs="Times New Roman"/>
                <w:b/>
                <w:color w:val="215E99" w:themeColor="text2" w:themeTint="BF"/>
                <w:sz w:val="44"/>
                <w:szCs w:val="44"/>
                <w:lang w:val="it-IT"/>
              </w:rPr>
              <w:t>Out</w:t>
            </w:r>
            <w:r w:rsidR="00BC0555">
              <w:rPr>
                <w:rFonts w:eastAsia="Aptos" w:cs="Times New Roman"/>
                <w:b/>
                <w:color w:val="215E99" w:themeColor="text2" w:themeTint="BF"/>
                <w:sz w:val="44"/>
                <w:szCs w:val="44"/>
                <w:lang w:val="it-IT"/>
              </w:rPr>
              <w:t>put</w:t>
            </w:r>
            <w:r w:rsidR="006636DC" w:rsidRPr="00305E39">
              <w:rPr>
                <w:rFonts w:eastAsia="Aptos" w:cs="Times New Roman"/>
                <w:b/>
                <w:color w:val="215E99" w:themeColor="text2" w:themeTint="BF"/>
                <w:sz w:val="44"/>
                <w:szCs w:val="44"/>
                <w:lang w:val="it-IT"/>
              </w:rPr>
              <w:t xml:space="preserve"> </w:t>
            </w:r>
            <w:r w:rsidR="00720B08">
              <w:rPr>
                <w:rFonts w:eastAsia="Aptos" w:cs="Times New Roman"/>
                <w:b/>
                <w:color w:val="215E99" w:themeColor="text2" w:themeTint="BF"/>
                <w:sz w:val="44"/>
                <w:szCs w:val="44"/>
                <w:lang w:val="it-IT"/>
              </w:rPr>
              <w:t>4</w:t>
            </w:r>
            <w:r w:rsidR="00BC0555">
              <w:rPr>
                <w:rFonts w:eastAsia="Aptos" w:cs="Times New Roman"/>
                <w:b/>
                <w:color w:val="215E99" w:themeColor="text2" w:themeTint="BF"/>
                <w:sz w:val="44"/>
                <w:szCs w:val="44"/>
                <w:lang w:val="it-IT"/>
              </w:rPr>
              <w:t>.1</w:t>
            </w:r>
            <w:r w:rsidRPr="00305E39">
              <w:rPr>
                <w:rFonts w:eastAsia="Aptos" w:cs="Times New Roman"/>
                <w:b/>
                <w:color w:val="215E99" w:themeColor="text2" w:themeTint="BF"/>
                <w:sz w:val="44"/>
                <w:szCs w:val="44"/>
                <w:lang w:val="it-IT"/>
              </w:rPr>
              <w:t xml:space="preserve">: </w:t>
            </w:r>
            <w:proofErr w:type="spellStart"/>
            <w:r w:rsidR="00AC419E" w:rsidRPr="00AC419E">
              <w:rPr>
                <w:rFonts w:eastAsia="Aptos" w:cs="Times New Roman"/>
                <w:b/>
                <w:color w:val="215E99" w:themeColor="text2" w:themeTint="BF"/>
                <w:sz w:val="44"/>
                <w:szCs w:val="44"/>
                <w:lang w:val="it-IT"/>
              </w:rPr>
              <w:t>Forest</w:t>
            </w:r>
            <w:proofErr w:type="spellEnd"/>
            <w:r w:rsidR="00AC419E" w:rsidRPr="00AC419E">
              <w:rPr>
                <w:rFonts w:eastAsia="Aptos" w:cs="Times New Roman"/>
                <w:b/>
                <w:color w:val="215E99" w:themeColor="text2" w:themeTint="BF"/>
                <w:sz w:val="44"/>
                <w:szCs w:val="44"/>
                <w:lang w:val="it-IT"/>
              </w:rPr>
              <w:t xml:space="preserve"> Sector Policy and Governance </w:t>
            </w:r>
            <w:proofErr w:type="spellStart"/>
            <w:r w:rsidR="00AC419E" w:rsidRPr="00AC419E">
              <w:rPr>
                <w:rFonts w:eastAsia="Aptos" w:cs="Times New Roman"/>
                <w:b/>
                <w:color w:val="215E99" w:themeColor="text2" w:themeTint="BF"/>
                <w:sz w:val="44"/>
                <w:szCs w:val="44"/>
                <w:lang w:val="it-IT"/>
              </w:rPr>
              <w:t>Changes</w:t>
            </w:r>
            <w:proofErr w:type="spellEnd"/>
            <w:r w:rsidR="00AC419E" w:rsidRPr="00AC419E">
              <w:rPr>
                <w:rFonts w:eastAsia="Aptos" w:cs="Times New Roman"/>
                <w:b/>
                <w:color w:val="215E99" w:themeColor="text2" w:themeTint="BF"/>
                <w:sz w:val="44"/>
                <w:szCs w:val="44"/>
                <w:lang w:val="it-IT"/>
              </w:rPr>
              <w:t xml:space="preserve"> </w:t>
            </w:r>
            <w:proofErr w:type="spellStart"/>
            <w:r w:rsidR="00AC419E" w:rsidRPr="00AC419E">
              <w:rPr>
                <w:rFonts w:eastAsia="Aptos" w:cs="Times New Roman"/>
                <w:b/>
                <w:color w:val="215E99" w:themeColor="text2" w:themeTint="BF"/>
                <w:sz w:val="44"/>
                <w:szCs w:val="44"/>
                <w:lang w:val="it-IT"/>
              </w:rPr>
              <w:t>Supported</w:t>
            </w:r>
            <w:proofErr w:type="spellEnd"/>
          </w:p>
        </w:tc>
        <w:tc>
          <w:tcPr>
            <w:tcW w:w="799" w:type="dxa"/>
          </w:tcPr>
          <w:p w14:paraId="765186F6"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020DB48" w14:textId="77777777" w:rsidTr="00EF5C09">
        <w:tc>
          <w:tcPr>
            <w:tcW w:w="846" w:type="dxa"/>
            <w:tcBorders>
              <w:right w:val="single" w:sz="24" w:space="0" w:color="336699"/>
            </w:tcBorders>
          </w:tcPr>
          <w:p w14:paraId="6F499C76"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76044C75" w14:textId="77777777" w:rsidR="00A7019F" w:rsidRPr="00305E39" w:rsidRDefault="00A7019F">
            <w:pPr>
              <w:spacing w:before="0" w:after="0" w:line="240" w:lineRule="auto"/>
              <w:rPr>
                <w:rFonts w:eastAsia="Aptos" w:cs="Arial"/>
                <w:b/>
                <w:color w:val="215E99" w:themeColor="text2" w:themeTint="BF"/>
                <w:sz w:val="28"/>
                <w:szCs w:val="28"/>
                <w:lang w:val="it-IT"/>
              </w:rPr>
            </w:pPr>
          </w:p>
          <w:p w14:paraId="1A92FCD9" w14:textId="157A4884" w:rsidR="00220C87"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sz w:val="28"/>
                <w:szCs w:val="28"/>
                <w:lang w:val="it-IT"/>
              </w:rPr>
              <w:t xml:space="preserve">UN-REDD </w:t>
            </w:r>
            <w:r w:rsidR="00220C87">
              <w:rPr>
                <w:rFonts w:eastAsia="Aptos" w:cs="Arial"/>
                <w:b/>
                <w:color w:val="215E99" w:themeColor="text2" w:themeTint="BF"/>
                <w:sz w:val="28"/>
                <w:szCs w:val="28"/>
                <w:lang w:val="it-IT"/>
              </w:rPr>
              <w:t>Programme</w:t>
            </w:r>
            <w:r w:rsidRPr="00305E39">
              <w:rPr>
                <w:rFonts w:eastAsia="Aptos" w:cs="Arial"/>
                <w:b/>
                <w:color w:val="215E99" w:themeColor="text2" w:themeTint="BF"/>
                <w:sz w:val="28"/>
                <w:szCs w:val="28"/>
                <w:lang w:val="it-IT"/>
              </w:rPr>
              <w:t xml:space="preserve"> 2026–2030      </w:t>
            </w:r>
          </w:p>
          <w:p w14:paraId="1DF60C6F" w14:textId="57CF4258" w:rsidR="00A7019F" w:rsidRPr="00305E39" w:rsidRDefault="00C62FFD">
            <w:pPr>
              <w:spacing w:before="0" w:after="0" w:line="240" w:lineRule="auto"/>
              <w:rPr>
                <w:rFonts w:eastAsia="Aptos" w:cs="Arial"/>
                <w:b/>
                <w:color w:val="215E99" w:themeColor="text2" w:themeTint="BF"/>
                <w:sz w:val="28"/>
                <w:szCs w:val="28"/>
                <w:lang w:val="it-IT"/>
              </w:rPr>
            </w:pPr>
            <w:proofErr w:type="spellStart"/>
            <w:r>
              <w:rPr>
                <w:rFonts w:eastAsia="Aptos" w:cs="Arial"/>
                <w:b/>
                <w:color w:val="215E99" w:themeColor="text2" w:themeTint="BF"/>
                <w:sz w:val="28"/>
                <w:szCs w:val="28"/>
                <w:lang w:val="it-IT"/>
              </w:rPr>
              <w:t>Thematic</w:t>
            </w:r>
            <w:proofErr w:type="spellEnd"/>
            <w:r>
              <w:rPr>
                <w:rFonts w:eastAsia="Aptos" w:cs="Arial"/>
                <w:b/>
                <w:color w:val="215E99" w:themeColor="text2" w:themeTint="BF"/>
                <w:sz w:val="28"/>
                <w:szCs w:val="28"/>
                <w:lang w:val="it-IT"/>
              </w:rPr>
              <w:t xml:space="preserve"> Brief</w:t>
            </w:r>
          </w:p>
        </w:tc>
        <w:tc>
          <w:tcPr>
            <w:tcW w:w="799" w:type="dxa"/>
          </w:tcPr>
          <w:p w14:paraId="0347AF68"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54CBB38" w14:textId="77777777" w:rsidTr="00EF5C09">
        <w:tc>
          <w:tcPr>
            <w:tcW w:w="846" w:type="dxa"/>
            <w:tcBorders>
              <w:right w:val="single" w:sz="24" w:space="0" w:color="336699"/>
            </w:tcBorders>
          </w:tcPr>
          <w:p w14:paraId="37894355"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27E8ED1F" w14:textId="77777777" w:rsidR="00A7019F" w:rsidRPr="00305E39" w:rsidRDefault="00A7019F">
            <w:pPr>
              <w:spacing w:before="0" w:after="0" w:line="240" w:lineRule="auto"/>
              <w:rPr>
                <w:rFonts w:eastAsia="Aptos" w:cs="Arial"/>
                <w:b/>
                <w:color w:val="215E99" w:themeColor="text2" w:themeTint="BF"/>
                <w:sz w:val="28"/>
                <w:szCs w:val="28"/>
                <w:lang w:val="it-IT"/>
              </w:rPr>
            </w:pPr>
          </w:p>
        </w:tc>
        <w:tc>
          <w:tcPr>
            <w:tcW w:w="799" w:type="dxa"/>
          </w:tcPr>
          <w:p w14:paraId="2DDD7E8D"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CEA0E1D" w14:textId="77777777" w:rsidTr="00EF5C09">
        <w:trPr>
          <w:trHeight w:val="68"/>
        </w:trPr>
        <w:tc>
          <w:tcPr>
            <w:tcW w:w="846" w:type="dxa"/>
            <w:tcBorders>
              <w:right w:val="single" w:sz="24" w:space="0" w:color="336699"/>
            </w:tcBorders>
          </w:tcPr>
          <w:p w14:paraId="0BB71E9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left w:val="single" w:sz="24" w:space="0" w:color="336699"/>
            </w:tcBorders>
          </w:tcPr>
          <w:p w14:paraId="0B1CAEF8" w14:textId="77777777" w:rsidR="00A7019F" w:rsidRPr="00305E39" w:rsidRDefault="00A7019F">
            <w:pPr>
              <w:spacing w:before="0" w:after="0" w:line="240" w:lineRule="auto"/>
              <w:rPr>
                <w:rFonts w:eastAsia="Aptos" w:cs="Arial"/>
                <w:b/>
                <w:color w:val="215E99" w:themeColor="text2" w:themeTint="BF"/>
                <w:lang w:val="it-IT"/>
              </w:rPr>
            </w:pPr>
            <w:proofErr w:type="spellStart"/>
            <w:r w:rsidRPr="00305E39">
              <w:rPr>
                <w:rFonts w:eastAsia="Aptos" w:cs="Arial"/>
                <w:b/>
                <w:color w:val="215E99" w:themeColor="text2" w:themeTint="BF"/>
                <w:lang w:val="it-IT"/>
              </w:rPr>
              <w:t>Prepared</w:t>
            </w:r>
            <w:proofErr w:type="spellEnd"/>
            <w:r w:rsidRPr="00305E39">
              <w:rPr>
                <w:rFonts w:eastAsia="Aptos" w:cs="Arial"/>
                <w:b/>
                <w:color w:val="215E99" w:themeColor="text2" w:themeTint="BF"/>
                <w:lang w:val="it-IT"/>
              </w:rPr>
              <w:t xml:space="preserve"> by UN-REDD Programme</w:t>
            </w:r>
          </w:p>
          <w:p w14:paraId="66711118" w14:textId="4B88480F" w:rsidR="00A7019F" w:rsidRPr="00305E39" w:rsidRDefault="00A7019F">
            <w:pPr>
              <w:spacing w:before="0" w:after="0" w:line="240" w:lineRule="auto"/>
              <w:rPr>
                <w:rFonts w:eastAsia="Aptos" w:cs="Arial"/>
                <w:b/>
                <w:color w:val="215E99" w:themeColor="text2" w:themeTint="BF"/>
                <w:sz w:val="28"/>
                <w:szCs w:val="28"/>
                <w:lang w:val="it-IT"/>
              </w:rPr>
            </w:pPr>
            <w:r w:rsidRPr="00305E39">
              <w:rPr>
                <w:rFonts w:eastAsia="Aptos" w:cs="Arial"/>
                <w:b/>
                <w:color w:val="215E99" w:themeColor="text2" w:themeTint="BF"/>
                <w:lang w:val="it-IT"/>
              </w:rPr>
              <w:t>2025</w:t>
            </w:r>
          </w:p>
        </w:tc>
        <w:tc>
          <w:tcPr>
            <w:tcW w:w="799" w:type="dxa"/>
          </w:tcPr>
          <w:p w14:paraId="1AA9BDFB"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7972DFB2" w14:textId="77777777" w:rsidTr="00EF5C09">
        <w:trPr>
          <w:trHeight w:val="3470"/>
        </w:trPr>
        <w:tc>
          <w:tcPr>
            <w:tcW w:w="846" w:type="dxa"/>
          </w:tcPr>
          <w:p w14:paraId="3A2C56C3"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371" w:type="dxa"/>
            <w:tcBorders>
              <w:bottom w:val="single" w:sz="4" w:space="0" w:color="auto"/>
            </w:tcBorders>
          </w:tcPr>
          <w:p w14:paraId="520943CA"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p w14:paraId="07ABF41C" w14:textId="77777777" w:rsidR="00A7019F" w:rsidRPr="00F84651" w:rsidRDefault="00A7019F">
            <w:pPr>
              <w:spacing w:before="0" w:after="0" w:line="240" w:lineRule="auto"/>
              <w:rPr>
                <w:rFonts w:ascii="Aptos" w:eastAsia="Aptos" w:hAnsi="Aptos" w:cs="Arial"/>
                <w:b/>
                <w:color w:val="215E99" w:themeColor="text2" w:themeTint="BF"/>
                <w:sz w:val="28"/>
                <w:szCs w:val="28"/>
                <w:lang w:val="it-IT"/>
              </w:rPr>
            </w:pPr>
          </w:p>
        </w:tc>
        <w:tc>
          <w:tcPr>
            <w:tcW w:w="799" w:type="dxa"/>
          </w:tcPr>
          <w:p w14:paraId="6AC09722" w14:textId="77777777" w:rsidR="00A7019F" w:rsidRPr="00AD674B" w:rsidRDefault="00A7019F">
            <w:pPr>
              <w:spacing w:before="0" w:after="0" w:line="240" w:lineRule="auto"/>
              <w:rPr>
                <w:rFonts w:ascii="Aptos" w:eastAsia="Aptos" w:hAnsi="Aptos" w:cs="Arial"/>
                <w:b/>
                <w:sz w:val="28"/>
                <w:szCs w:val="28"/>
                <w:lang w:val="it-IT"/>
              </w:rPr>
            </w:pPr>
          </w:p>
        </w:tc>
      </w:tr>
      <w:tr w:rsidR="00A7019F" w:rsidRPr="00AD674B" w14:paraId="21B2C0BD" w14:textId="77777777" w:rsidTr="002B7A87">
        <w:trPr>
          <w:trHeight w:val="730"/>
        </w:trPr>
        <w:tc>
          <w:tcPr>
            <w:tcW w:w="846" w:type="dxa"/>
            <w:tcBorders>
              <w:right w:val="single" w:sz="4" w:space="0" w:color="auto"/>
            </w:tcBorders>
          </w:tcPr>
          <w:p w14:paraId="46FCA287" w14:textId="77777777" w:rsidR="00A7019F" w:rsidRPr="00AD674B" w:rsidRDefault="00A7019F">
            <w:pPr>
              <w:spacing w:before="0" w:after="0" w:line="240" w:lineRule="auto"/>
              <w:rPr>
                <w:rFonts w:ascii="Aptos" w:eastAsia="Aptos" w:hAnsi="Aptos" w:cs="Arial"/>
                <w:b/>
                <w:sz w:val="28"/>
                <w:szCs w:val="28"/>
                <w:lang w:val="it-IT"/>
              </w:rPr>
            </w:pPr>
          </w:p>
        </w:tc>
        <w:tc>
          <w:tcPr>
            <w:tcW w:w="7371" w:type="dxa"/>
            <w:tcBorders>
              <w:top w:val="single" w:sz="4" w:space="0" w:color="auto"/>
              <w:left w:val="single" w:sz="4" w:space="0" w:color="auto"/>
              <w:bottom w:val="single" w:sz="4" w:space="0" w:color="auto"/>
              <w:right w:val="single" w:sz="4" w:space="0" w:color="auto"/>
            </w:tcBorders>
          </w:tcPr>
          <w:p w14:paraId="64F4006A" w14:textId="7D1CCFF0" w:rsidR="00B24702" w:rsidRPr="00AD674B" w:rsidRDefault="00A7019F" w:rsidP="00574469">
            <w:pPr>
              <w:spacing w:after="120" w:line="240" w:lineRule="auto"/>
              <w:ind w:right="57"/>
              <w:jc w:val="both"/>
              <w:rPr>
                <w:rFonts w:ascii="Roboto" w:eastAsia="Aptos" w:hAnsi="Roboto" w:cs="Arial"/>
                <w:b/>
                <w:i/>
                <w:iCs/>
                <w:sz w:val="18"/>
                <w:szCs w:val="18"/>
                <w:lang w:val="it-IT"/>
              </w:rPr>
            </w:pPr>
            <w:r w:rsidRPr="00AD674B">
              <w:rPr>
                <w:rFonts w:ascii="Roboto" w:eastAsia="Aptos" w:hAnsi="Roboto" w:cs="Arial"/>
                <w:i/>
                <w:iCs/>
                <w:sz w:val="20"/>
                <w:szCs w:val="20"/>
              </w:rPr>
              <w:t>This brief has been prepared by the UN-REDD Programme team based on strategic insights and</w:t>
            </w:r>
            <w:r w:rsidR="00942E36">
              <w:rPr>
                <w:rFonts w:ascii="Roboto" w:eastAsia="Aptos" w:hAnsi="Roboto" w:cs="Arial"/>
                <w:i/>
                <w:iCs/>
                <w:sz w:val="20"/>
                <w:szCs w:val="20"/>
              </w:rPr>
              <w:t xml:space="preserve"> </w:t>
            </w:r>
            <w:r w:rsidRPr="00AD674B">
              <w:rPr>
                <w:rFonts w:ascii="Roboto" w:eastAsia="Aptos" w:hAnsi="Roboto" w:cs="Arial"/>
                <w:i/>
                <w:iCs/>
                <w:sz w:val="20"/>
                <w:szCs w:val="20"/>
              </w:rPr>
              <w:t>consultations</w:t>
            </w:r>
            <w:r w:rsidR="00942E36">
              <w:rPr>
                <w:rFonts w:ascii="Roboto" w:eastAsia="Aptos" w:hAnsi="Roboto" w:cs="Arial"/>
                <w:i/>
                <w:iCs/>
                <w:sz w:val="20"/>
                <w:szCs w:val="20"/>
              </w:rPr>
              <w:t xml:space="preserve"> </w:t>
            </w:r>
            <w:r w:rsidR="00350BC8">
              <w:rPr>
                <w:rFonts w:ascii="Roboto" w:eastAsia="Aptos" w:hAnsi="Roboto" w:cs="Arial"/>
                <w:i/>
                <w:iCs/>
                <w:sz w:val="20"/>
                <w:szCs w:val="20"/>
              </w:rPr>
              <w:t>related to</w:t>
            </w:r>
            <w:r w:rsidR="00942E36">
              <w:rPr>
                <w:rFonts w:ascii="Roboto" w:eastAsia="Aptos" w:hAnsi="Roboto" w:cs="Arial"/>
                <w:i/>
                <w:iCs/>
                <w:sz w:val="20"/>
                <w:szCs w:val="20"/>
              </w:rPr>
              <w:t xml:space="preserve"> the development of the 2026-2030 Strategy</w:t>
            </w:r>
            <w:r w:rsidRPr="00AD674B">
              <w:rPr>
                <w:rFonts w:ascii="Roboto" w:eastAsia="Aptos" w:hAnsi="Roboto" w:cs="Arial"/>
                <w:i/>
                <w:iCs/>
                <w:sz w:val="20"/>
                <w:szCs w:val="20"/>
              </w:rPr>
              <w:t>. It is intended to provide</w:t>
            </w:r>
            <w:r w:rsidR="00BD38A7">
              <w:rPr>
                <w:rFonts w:ascii="Roboto" w:eastAsia="Aptos" w:hAnsi="Roboto" w:cs="Arial"/>
                <w:i/>
                <w:iCs/>
                <w:sz w:val="20"/>
                <w:szCs w:val="20"/>
              </w:rPr>
              <w:t xml:space="preserve"> an</w:t>
            </w:r>
            <w:r w:rsidRPr="00AD674B">
              <w:rPr>
                <w:rFonts w:ascii="Roboto" w:eastAsia="Aptos" w:hAnsi="Roboto" w:cs="Arial"/>
                <w:i/>
                <w:iCs/>
                <w:sz w:val="20"/>
                <w:szCs w:val="20"/>
              </w:rPr>
              <w:t xml:space="preserve"> illustrative </w:t>
            </w:r>
            <w:r w:rsidR="00BD38A7">
              <w:rPr>
                <w:rFonts w:ascii="Roboto" w:eastAsia="Aptos" w:hAnsi="Roboto" w:cs="Arial"/>
                <w:i/>
                <w:iCs/>
                <w:sz w:val="20"/>
                <w:szCs w:val="20"/>
              </w:rPr>
              <w:t>summary</w:t>
            </w:r>
            <w:r w:rsidRPr="00AD674B">
              <w:rPr>
                <w:rFonts w:ascii="Roboto" w:eastAsia="Aptos" w:hAnsi="Roboto" w:cs="Arial"/>
                <w:i/>
                <w:iCs/>
                <w:sz w:val="20"/>
                <w:szCs w:val="20"/>
              </w:rPr>
              <w:t xml:space="preserve"> o</w:t>
            </w:r>
            <w:r w:rsidR="00BD38A7">
              <w:rPr>
                <w:rFonts w:ascii="Roboto" w:eastAsia="Aptos" w:hAnsi="Roboto" w:cs="Arial"/>
                <w:i/>
                <w:iCs/>
                <w:sz w:val="20"/>
                <w:szCs w:val="20"/>
              </w:rPr>
              <w:t>f</w:t>
            </w:r>
            <w:r w:rsidRPr="00AD674B">
              <w:rPr>
                <w:rFonts w:ascii="Roboto" w:eastAsia="Aptos" w:hAnsi="Roboto" w:cs="Arial"/>
                <w:i/>
                <w:iCs/>
                <w:sz w:val="20"/>
                <w:szCs w:val="20"/>
              </w:rPr>
              <w:t xml:space="preserve"> potential areas of UN-REDD support </w:t>
            </w:r>
            <w:r w:rsidR="00B4512C">
              <w:rPr>
                <w:rFonts w:ascii="Roboto" w:eastAsia="Aptos" w:hAnsi="Roboto" w:cs="Arial"/>
                <w:i/>
                <w:iCs/>
                <w:sz w:val="20"/>
                <w:szCs w:val="20"/>
              </w:rPr>
              <w:t>during</w:t>
            </w:r>
            <w:r w:rsidRPr="00AD674B">
              <w:rPr>
                <w:rFonts w:ascii="Roboto" w:eastAsia="Aptos" w:hAnsi="Roboto" w:cs="Arial"/>
                <w:i/>
                <w:iCs/>
                <w:sz w:val="20"/>
                <w:szCs w:val="20"/>
              </w:rPr>
              <w:t xml:space="preserve"> the 2026–2030 period</w:t>
            </w:r>
            <w:r w:rsidR="00094CB6">
              <w:rPr>
                <w:rFonts w:ascii="Roboto" w:eastAsia="Aptos" w:hAnsi="Roboto" w:cs="Arial"/>
                <w:i/>
                <w:iCs/>
                <w:sz w:val="20"/>
                <w:szCs w:val="20"/>
              </w:rPr>
              <w:t xml:space="preserve">. </w:t>
            </w:r>
            <w:r w:rsidR="00B4512C">
              <w:rPr>
                <w:rFonts w:ascii="Roboto" w:eastAsia="Aptos" w:hAnsi="Roboto" w:cs="Arial"/>
                <w:i/>
                <w:iCs/>
                <w:sz w:val="20"/>
                <w:szCs w:val="20"/>
              </w:rPr>
              <w:t xml:space="preserve">The information here </w:t>
            </w:r>
            <w:r w:rsidR="003723EA">
              <w:rPr>
                <w:rFonts w:ascii="Roboto" w:eastAsia="Aptos" w:hAnsi="Roboto" w:cs="Arial"/>
                <w:i/>
                <w:iCs/>
                <w:sz w:val="20"/>
                <w:szCs w:val="20"/>
              </w:rPr>
              <w:t xml:space="preserve">is indicative </w:t>
            </w:r>
            <w:r w:rsidR="00CB594B">
              <w:rPr>
                <w:rFonts w:ascii="Roboto" w:eastAsia="Aptos" w:hAnsi="Roboto" w:cs="Arial"/>
                <w:i/>
                <w:iCs/>
                <w:sz w:val="20"/>
                <w:szCs w:val="20"/>
              </w:rPr>
              <w:t>and</w:t>
            </w:r>
            <w:r w:rsidR="00E40E11">
              <w:rPr>
                <w:rFonts w:ascii="Roboto" w:eastAsia="Aptos" w:hAnsi="Roboto" w:cs="Arial"/>
                <w:i/>
                <w:iCs/>
                <w:sz w:val="20"/>
                <w:szCs w:val="20"/>
              </w:rPr>
              <w:t xml:space="preserve"> does not </w:t>
            </w:r>
            <w:r w:rsidR="002A0910">
              <w:rPr>
                <w:rFonts w:ascii="Roboto" w:eastAsia="Aptos" w:hAnsi="Roboto" w:cs="Arial"/>
                <w:i/>
                <w:iCs/>
                <w:sz w:val="20"/>
                <w:szCs w:val="20"/>
              </w:rPr>
              <w:t xml:space="preserve">represent a commitment of </w:t>
            </w:r>
            <w:r w:rsidR="00B727FA">
              <w:rPr>
                <w:rFonts w:ascii="Roboto" w:eastAsia="Aptos" w:hAnsi="Roboto" w:cs="Arial"/>
                <w:i/>
                <w:iCs/>
                <w:sz w:val="20"/>
                <w:szCs w:val="20"/>
              </w:rPr>
              <w:t>the</w:t>
            </w:r>
            <w:r w:rsidR="002A0910">
              <w:rPr>
                <w:rFonts w:ascii="Roboto" w:eastAsia="Aptos" w:hAnsi="Roboto" w:cs="Arial"/>
                <w:i/>
                <w:iCs/>
                <w:sz w:val="20"/>
                <w:szCs w:val="20"/>
              </w:rPr>
              <w:t xml:space="preserve"> 2026-2030 work</w:t>
            </w:r>
            <w:r w:rsidR="00205E27">
              <w:rPr>
                <w:rFonts w:ascii="Roboto" w:eastAsia="Aptos" w:hAnsi="Roboto" w:cs="Arial"/>
                <w:i/>
                <w:iCs/>
                <w:sz w:val="20"/>
                <w:szCs w:val="20"/>
              </w:rPr>
              <w:t xml:space="preserve"> </w:t>
            </w:r>
            <w:r w:rsidR="002A0910">
              <w:rPr>
                <w:rFonts w:ascii="Roboto" w:eastAsia="Aptos" w:hAnsi="Roboto" w:cs="Arial"/>
                <w:i/>
                <w:iCs/>
                <w:sz w:val="20"/>
                <w:szCs w:val="20"/>
              </w:rPr>
              <w:t xml:space="preserve">plan, which will be developed through the </w:t>
            </w:r>
            <w:r w:rsidR="00EE02EE">
              <w:rPr>
                <w:rFonts w:ascii="Roboto" w:eastAsia="Aptos" w:hAnsi="Roboto" w:cs="Arial"/>
                <w:i/>
                <w:iCs/>
                <w:sz w:val="20"/>
                <w:szCs w:val="20"/>
              </w:rPr>
              <w:t xml:space="preserve">regular programming process. </w:t>
            </w:r>
          </w:p>
        </w:tc>
        <w:tc>
          <w:tcPr>
            <w:tcW w:w="799" w:type="dxa"/>
            <w:tcBorders>
              <w:left w:val="single" w:sz="4" w:space="0" w:color="auto"/>
            </w:tcBorders>
          </w:tcPr>
          <w:p w14:paraId="7FC0C782" w14:textId="77777777" w:rsidR="00A7019F" w:rsidRPr="00AD674B" w:rsidRDefault="00A7019F">
            <w:pPr>
              <w:spacing w:before="0" w:after="0" w:line="240" w:lineRule="auto"/>
              <w:rPr>
                <w:rFonts w:ascii="Roboto" w:eastAsia="Aptos" w:hAnsi="Roboto" w:cs="Arial"/>
                <w:b/>
                <w:sz w:val="18"/>
                <w:szCs w:val="18"/>
                <w:lang w:val="it-IT"/>
              </w:rPr>
            </w:pPr>
          </w:p>
        </w:tc>
      </w:tr>
    </w:tbl>
    <w:p w14:paraId="643C49E0" w14:textId="77777777" w:rsidR="00A7019F" w:rsidRPr="00A7019F" w:rsidRDefault="00A7019F" w:rsidP="00A7019F">
      <w:pPr>
        <w:sectPr w:rsidR="00A7019F" w:rsidRPr="00A7019F" w:rsidSect="00242FA0">
          <w:pgSz w:w="11906" w:h="16838"/>
          <w:pgMar w:top="1440" w:right="1080" w:bottom="1440" w:left="1080" w:header="708" w:footer="708" w:gutter="0"/>
          <w:cols w:space="708"/>
          <w:docGrid w:linePitch="360"/>
        </w:sectPr>
      </w:pPr>
    </w:p>
    <w:p w14:paraId="38AEF2AF" w14:textId="794C2B57" w:rsidR="00164CC9" w:rsidRPr="00EB72D2" w:rsidRDefault="00164CC9" w:rsidP="00164CC9">
      <w:pPr>
        <w:pStyle w:val="Heading1"/>
        <w:spacing w:after="240"/>
        <w:jc w:val="center"/>
      </w:pPr>
      <w:r w:rsidRPr="67E1CCD0">
        <w:lastRenderedPageBreak/>
        <w:t xml:space="preserve">Output </w:t>
      </w:r>
      <w:r w:rsidR="00815036">
        <w:t>4</w:t>
      </w:r>
      <w:r w:rsidRPr="67E1CCD0">
        <w:t xml:space="preserve">.1: </w:t>
      </w:r>
      <w:proofErr w:type="spellStart"/>
      <w:r w:rsidR="00815036" w:rsidRPr="00815036">
        <w:rPr>
          <w:lang w:val="it-IT"/>
        </w:rPr>
        <w:t>Forest</w:t>
      </w:r>
      <w:proofErr w:type="spellEnd"/>
      <w:r w:rsidR="00815036" w:rsidRPr="00815036">
        <w:rPr>
          <w:lang w:val="it-IT"/>
        </w:rPr>
        <w:t xml:space="preserve"> Sector Policy and Governance </w:t>
      </w:r>
      <w:proofErr w:type="spellStart"/>
      <w:r w:rsidR="00815036" w:rsidRPr="00815036">
        <w:rPr>
          <w:lang w:val="it-IT"/>
        </w:rPr>
        <w:t>Changes</w:t>
      </w:r>
      <w:proofErr w:type="spellEnd"/>
      <w:r w:rsidR="00815036" w:rsidRPr="00815036">
        <w:rPr>
          <w:lang w:val="it-IT"/>
        </w:rPr>
        <w:t xml:space="preserve"> </w:t>
      </w:r>
      <w:proofErr w:type="spellStart"/>
      <w:r w:rsidR="00815036" w:rsidRPr="00815036">
        <w:rPr>
          <w:lang w:val="it-IT"/>
        </w:rPr>
        <w:t>Supported</w:t>
      </w:r>
      <w:proofErr w:type="spellEnd"/>
    </w:p>
    <w:p w14:paraId="2389A194" w14:textId="7893BF9F" w:rsidR="00970ED2" w:rsidRPr="00970ED2" w:rsidRDefault="00970ED2" w:rsidP="00DA2F85">
      <w:pPr>
        <w:pBdr>
          <w:top w:val="single" w:sz="4" w:space="1" w:color="auto"/>
          <w:left w:val="single" w:sz="4" w:space="4" w:color="auto"/>
          <w:bottom w:val="single" w:sz="4" w:space="1" w:color="auto"/>
          <w:right w:val="single" w:sz="4" w:space="0" w:color="auto"/>
        </w:pBdr>
        <w:spacing w:after="120"/>
        <w:rPr>
          <w:rFonts w:eastAsiaTheme="minorEastAsia"/>
          <w:i/>
          <w:iCs/>
          <w:lang w:val="en-US"/>
        </w:rPr>
      </w:pPr>
      <w:r w:rsidRPr="00970ED2">
        <w:rPr>
          <w:rFonts w:eastAsiaTheme="minorEastAsia"/>
          <w:b/>
          <w:bCs/>
          <w:i/>
          <w:lang w:val="en-US"/>
        </w:rPr>
        <w:t xml:space="preserve">This is one of four outputs </w:t>
      </w:r>
      <w:r w:rsidRPr="00970ED2">
        <w:rPr>
          <w:rFonts w:eastAsiaTheme="minorEastAsia"/>
          <w:b/>
          <w:bCs/>
          <w:i/>
        </w:rPr>
        <w:t xml:space="preserve">forming </w:t>
      </w:r>
      <w:r w:rsidRPr="00970ED2">
        <w:rPr>
          <w:rFonts w:eastAsiaTheme="minorEastAsia"/>
          <w:b/>
          <w:bCs/>
          <w:i/>
          <w:lang w:val="en-US"/>
        </w:rPr>
        <w:t xml:space="preserve">Outcome 4: </w:t>
      </w:r>
      <w:r w:rsidRPr="00970ED2">
        <w:rPr>
          <w:rFonts w:eastAsiaTheme="minorEastAsia"/>
          <w:b/>
          <w:bCs/>
          <w:i/>
        </w:rPr>
        <w:t>Enhancing Actions to Address Drivers of Deforestation</w:t>
      </w:r>
      <w:r w:rsidRPr="00970ED2">
        <w:rPr>
          <w:rFonts w:eastAsiaTheme="minorEastAsia"/>
          <w:b/>
          <w:bCs/>
          <w:i/>
          <w:lang w:val="en-US"/>
        </w:rPr>
        <w:t>:</w:t>
      </w:r>
      <w:r w:rsidRPr="00970ED2">
        <w:rPr>
          <w:rFonts w:eastAsiaTheme="minorEastAsia"/>
          <w:i/>
          <w:lang w:val="en-US"/>
        </w:rPr>
        <w:t xml:space="preserve"> </w:t>
      </w:r>
      <w:r w:rsidRPr="00970ED2">
        <w:rPr>
          <w:rFonts w:eastAsiaTheme="minorEastAsia"/>
          <w:i/>
          <w:iCs/>
          <w:lang w:val="en-US"/>
        </w:rPr>
        <w:t xml:space="preserve">Linking and leveraging actions and actors to address deforestation drivers. Strengthening and aligning policies, governance, and incentives within the forest sector and across relevant land use sectors and stakeholders towards protection of forests and reduction in forest emissions. Promoting appropriate solutions towards transformative change that address and respect safeguards. </w:t>
      </w:r>
      <w:r w:rsidRPr="00970ED2">
        <w:rPr>
          <w:rFonts w:eastAsiaTheme="minorEastAsia"/>
          <w:i/>
          <w:iCs/>
          <w:lang w:val="en-CA"/>
        </w:rPr>
        <w:t>and support rural and smallholder producers, engage private sector actors, and foster cross-sector collaboration. UN-REDD will promote solutions that support transformative change, aligning mitigation, adaptation and biodiversity agendas, and strengthening access to upfront finance to enable implementation of these solutions</w:t>
      </w:r>
    </w:p>
    <w:p w14:paraId="4686682F" w14:textId="77777777" w:rsidR="00BD7526" w:rsidDel="00230F05" w:rsidRDefault="00BD7526" w:rsidP="00BD7526">
      <w:pPr>
        <w:pStyle w:val="Heading1"/>
      </w:pPr>
      <w:r w:rsidRPr="32771F1F">
        <w:t>The Challenge</w:t>
      </w:r>
    </w:p>
    <w:p w14:paraId="15E7F1D3" w14:textId="77777777" w:rsidR="00BD7526" w:rsidRDefault="00BD7526" w:rsidP="00BD7526">
      <w:pPr>
        <w:rPr>
          <w:rFonts w:ascii="Aptos" w:eastAsia="Aptos" w:hAnsi="Aptos" w:cs="Aptos"/>
          <w:color w:val="000000" w:themeColor="text1"/>
        </w:rPr>
      </w:pPr>
      <w:r w:rsidRPr="6E389119">
        <w:rPr>
          <w:rFonts w:ascii="Aptos" w:eastAsia="Aptos" w:hAnsi="Aptos" w:cs="Aptos"/>
          <w:color w:val="000000" w:themeColor="text1"/>
        </w:rPr>
        <w:t xml:space="preserve">The world's forests store a significant amount of carbon, approximately 662 gigatonnes according to FAO's </w:t>
      </w:r>
      <w:hyperlink r:id="rId12" w:history="1">
        <w:r w:rsidRPr="6E389119">
          <w:rPr>
            <w:rStyle w:val="Hyperlink"/>
            <w:rFonts w:ascii="Aptos" w:eastAsia="Aptos" w:hAnsi="Aptos" w:cs="Aptos"/>
          </w:rPr>
          <w:t>Global Forest Resources Assessment 2020</w:t>
        </w:r>
      </w:hyperlink>
      <w:r w:rsidRPr="6E389119">
        <w:rPr>
          <w:rFonts w:ascii="Aptos" w:eastAsia="Aptos" w:hAnsi="Aptos" w:cs="Aptos"/>
          <w:color w:val="000000" w:themeColor="text1"/>
        </w:rPr>
        <w:t xml:space="preserve">, in living biomass, soil organic matter and dead wood. Over the past three decades, carbon stocks in forest biomass have decreased by nearly 6 gigatonnes, primarily due to deforestation and forest degradation. The ability of forests to fulfil their carbon storage, sequestration and substitution functions, is under threat from exacerbating climate change. Wildfires, droughts, floods and other natural disasters, and other direct and underlying deforestation drivers are </w:t>
      </w:r>
      <w:hyperlink r:id="rId13" w:history="1">
        <w:r w:rsidRPr="6E389119">
          <w:rPr>
            <w:rStyle w:val="Hyperlink"/>
            <w:rFonts w:ascii="Aptos" w:eastAsia="Aptos" w:hAnsi="Aptos" w:cs="Aptos"/>
          </w:rPr>
          <w:t>converting</w:t>
        </w:r>
      </w:hyperlink>
      <w:r w:rsidRPr="6E389119">
        <w:rPr>
          <w:rFonts w:ascii="Aptos" w:eastAsia="Aptos" w:hAnsi="Aptos" w:cs="Aptos"/>
          <w:color w:val="000000" w:themeColor="text1"/>
        </w:rPr>
        <w:t xml:space="preserve"> forest and land carbon sinks into sources of emissions. Similarly, the ecological integrity of forests is severely impacted by biodiversity loss, which further undermines their ability to contribute to climate mitigation and adaptation. As the impacts of climate change increase, the role of forests in mitigation and adaptation becomes particularly relevant, including through restoration efforts.</w:t>
      </w:r>
    </w:p>
    <w:p w14:paraId="7E34DAC7" w14:textId="77777777" w:rsidR="00BD7526" w:rsidRDefault="00BD7526" w:rsidP="00BD7526">
      <w:pPr>
        <w:rPr>
          <w:rFonts w:ascii="Aptos" w:eastAsia="Aptos" w:hAnsi="Aptos" w:cs="Aptos"/>
          <w:color w:val="000000" w:themeColor="text1"/>
        </w:rPr>
      </w:pPr>
      <w:r w:rsidRPr="6E389119">
        <w:rPr>
          <w:rFonts w:ascii="Aptos" w:eastAsia="Aptos" w:hAnsi="Aptos" w:cs="Aptos"/>
          <w:color w:val="000000" w:themeColor="text1"/>
        </w:rPr>
        <w:t>Despite forests' critical socio-economic and environmental role, forest management remains one of the most underdeveloped components of national climate strategies. Deforestation and degradation continue at alarming rates, while efforts to restore, sustainably manage, and utilize forests often operate in silos, disconnected from climate and development goals.</w:t>
      </w:r>
    </w:p>
    <w:p w14:paraId="18BE1D21" w14:textId="2243AE3C" w:rsidR="00BD7526" w:rsidRDefault="00BD7526" w:rsidP="00BD7526">
      <w:pPr>
        <w:rPr>
          <w:rFonts w:ascii="Aptos" w:eastAsia="Aptos" w:hAnsi="Aptos" w:cs="Aptos"/>
          <w:color w:val="000000" w:themeColor="text1"/>
        </w:rPr>
      </w:pPr>
      <w:r w:rsidRPr="32771F1F">
        <w:rPr>
          <w:rFonts w:ascii="Aptos" w:eastAsia="Aptos" w:hAnsi="Aptos" w:cs="Aptos"/>
          <w:color w:val="000000" w:themeColor="text1"/>
        </w:rPr>
        <w:t>Forests need to be conserved, as much as sustainably managed and restored to continue contributing to the reduction of GHG emissions and the enhancement of removals, while improving the adaptation of ecosystems and population. Current policy agendas for the forestry and land-use sector are fragmented, management and restoration capacities are limited, while Indigenous Peoples, local communities, and smallholders are not sufficiently supported to play their role of forest stewards and local climate actors. The management and restoration of forests require collective action, including the government, Indigenous Peoples, local communities, smallholders and the private sector.</w:t>
      </w:r>
      <w:r>
        <w:rPr>
          <w:rFonts w:ascii="Aptos" w:eastAsia="Aptos" w:hAnsi="Aptos" w:cs="Aptos"/>
          <w:color w:val="000000" w:themeColor="text1"/>
        </w:rPr>
        <w:t xml:space="preserve"> </w:t>
      </w:r>
      <w:r w:rsidRPr="32771F1F">
        <w:rPr>
          <w:rFonts w:ascii="Aptos" w:eastAsia="Aptos" w:hAnsi="Aptos" w:cs="Aptos"/>
          <w:color w:val="000000" w:themeColor="text1"/>
        </w:rPr>
        <w:t xml:space="preserve">Enhancing the forest sector's contribution to climate change has multiple social, economic and environmental co-benefits.  It can be a win for </w:t>
      </w:r>
      <w:r w:rsidRPr="32771F1F">
        <w:rPr>
          <w:rFonts w:ascii="Aptos" w:eastAsia="Aptos" w:hAnsi="Aptos" w:cs="Aptos"/>
          <w:b/>
          <w:color w:val="000000" w:themeColor="text1"/>
        </w:rPr>
        <w:t>forests</w:t>
      </w:r>
      <w:r w:rsidRPr="32771F1F">
        <w:rPr>
          <w:rFonts w:ascii="Aptos" w:eastAsia="Aptos" w:hAnsi="Aptos" w:cs="Aptos"/>
          <w:color w:val="000000" w:themeColor="text1"/>
        </w:rPr>
        <w:t xml:space="preserve"> which are being maintained and managed sustainably, with positive impacts on biodiversity, ecosystem health, in addition to climate mitigation and adaptation. A win for its contribution to </w:t>
      </w:r>
      <w:r w:rsidRPr="32771F1F">
        <w:rPr>
          <w:rFonts w:ascii="Aptos" w:eastAsia="Aptos" w:hAnsi="Aptos" w:cs="Aptos"/>
          <w:b/>
          <w:color w:val="000000" w:themeColor="text1"/>
        </w:rPr>
        <w:t xml:space="preserve">low-emission and resilient economic development </w:t>
      </w:r>
      <w:r w:rsidRPr="32771F1F">
        <w:rPr>
          <w:rFonts w:ascii="Aptos" w:eastAsia="Aptos" w:hAnsi="Aptos" w:cs="Aptos"/>
          <w:color w:val="000000" w:themeColor="text1"/>
        </w:rPr>
        <w:t xml:space="preserve">through forest livelihoods and enterprises that add value to forests </w:t>
      </w:r>
      <w:r w:rsidRPr="32771F1F">
        <w:rPr>
          <w:rFonts w:ascii="Aptos" w:eastAsia="Aptos" w:hAnsi="Aptos" w:cs="Aptos"/>
          <w:i/>
          <w:color w:val="000000" w:themeColor="text1"/>
        </w:rPr>
        <w:t>versus</w:t>
      </w:r>
      <w:r w:rsidRPr="32771F1F">
        <w:rPr>
          <w:rFonts w:ascii="Aptos" w:eastAsia="Aptos" w:hAnsi="Aptos" w:cs="Aptos"/>
          <w:color w:val="000000" w:themeColor="text1"/>
        </w:rPr>
        <w:t xml:space="preserve"> other land uses and contribute to a low-emission and resilient national economic growth. A win for </w:t>
      </w:r>
      <w:r w:rsidRPr="32771F1F">
        <w:rPr>
          <w:rFonts w:ascii="Aptos" w:eastAsia="Aptos" w:hAnsi="Aptos" w:cs="Aptos"/>
          <w:b/>
          <w:color w:val="000000" w:themeColor="text1"/>
        </w:rPr>
        <w:t>Indigenous Peoples and local communities</w:t>
      </w:r>
      <w:r w:rsidRPr="32771F1F">
        <w:rPr>
          <w:rFonts w:ascii="Aptos" w:eastAsia="Aptos" w:hAnsi="Aptos" w:cs="Aptos"/>
          <w:color w:val="000000" w:themeColor="text1"/>
        </w:rPr>
        <w:t xml:space="preserve">, who are empowered as guardians of forests, enhancing local governance and livelihoods.  </w:t>
      </w:r>
    </w:p>
    <w:p w14:paraId="7B73F43C" w14:textId="0577277F" w:rsidR="00BD7526" w:rsidRDefault="00BD7526" w:rsidP="00BD7526">
      <w:r w:rsidRPr="6E389119">
        <w:rPr>
          <w:rFonts w:ascii="Aptos" w:eastAsia="Aptos" w:hAnsi="Aptos" w:cs="Aptos"/>
          <w:color w:val="000000" w:themeColor="text1"/>
        </w:rPr>
        <w:t>Forest mitigation action has the potential to address local, national and global challenges.</w:t>
      </w:r>
      <w:r>
        <w:rPr>
          <w:rFonts w:ascii="Aptos" w:eastAsia="Aptos" w:hAnsi="Aptos" w:cs="Aptos"/>
          <w:color w:val="000000" w:themeColor="text1"/>
        </w:rPr>
        <w:t xml:space="preserve"> However, t</w:t>
      </w:r>
      <w:r w:rsidRPr="00BD7526">
        <w:rPr>
          <w:rFonts w:ascii="Aptos" w:eastAsia="Aptos" w:hAnsi="Aptos" w:cs="Aptos"/>
          <w:color w:val="000000" w:themeColor="text1"/>
        </w:rPr>
        <w:t>he window to harness forest</w:t>
      </w:r>
      <w:r>
        <w:rPr>
          <w:rFonts w:ascii="Aptos" w:eastAsia="Aptos" w:hAnsi="Aptos" w:cs="Aptos"/>
          <w:color w:val="000000" w:themeColor="text1"/>
        </w:rPr>
        <w:t xml:space="preserve"> </w:t>
      </w:r>
      <w:r w:rsidRPr="00BD7526">
        <w:rPr>
          <w:rFonts w:ascii="Aptos" w:eastAsia="Aptos" w:hAnsi="Aptos" w:cs="Aptos"/>
          <w:color w:val="000000" w:themeColor="text1"/>
        </w:rPr>
        <w:t>mitigation at scale is closing. With mounting pressure from climate impacts, commodity expansion, and governance challenges, failing to coordinate and elevate forest</w:t>
      </w:r>
      <w:r>
        <w:rPr>
          <w:rFonts w:ascii="Aptos" w:eastAsia="Aptos" w:hAnsi="Aptos" w:cs="Aptos"/>
          <w:color w:val="000000" w:themeColor="text1"/>
        </w:rPr>
        <w:t xml:space="preserve"> </w:t>
      </w:r>
      <w:r w:rsidRPr="00BD7526">
        <w:rPr>
          <w:rFonts w:ascii="Aptos" w:eastAsia="Aptos" w:hAnsi="Aptos" w:cs="Aptos"/>
          <w:color w:val="000000" w:themeColor="text1"/>
        </w:rPr>
        <w:lastRenderedPageBreak/>
        <w:t>sector efforts within climate policy frameworks would represent a major missed opportunity. Forests can deliver high-impact</w:t>
      </w:r>
      <w:r>
        <w:rPr>
          <w:rFonts w:ascii="Aptos" w:eastAsia="Aptos" w:hAnsi="Aptos" w:cs="Aptos"/>
          <w:color w:val="000000" w:themeColor="text1"/>
        </w:rPr>
        <w:t xml:space="preserve"> climate mitigation results</w:t>
      </w:r>
      <w:r w:rsidRPr="00BD7526">
        <w:rPr>
          <w:rFonts w:ascii="Aptos" w:eastAsia="Aptos" w:hAnsi="Aptos" w:cs="Aptos"/>
          <w:color w:val="000000" w:themeColor="text1"/>
        </w:rPr>
        <w:t xml:space="preserve">, </w:t>
      </w:r>
      <w:r>
        <w:rPr>
          <w:rFonts w:ascii="Aptos" w:eastAsia="Aptos" w:hAnsi="Aptos" w:cs="Aptos"/>
          <w:color w:val="000000" w:themeColor="text1"/>
        </w:rPr>
        <w:t xml:space="preserve">at </w:t>
      </w:r>
      <w:r w:rsidRPr="00BD7526">
        <w:rPr>
          <w:rFonts w:ascii="Aptos" w:eastAsia="Aptos" w:hAnsi="Aptos" w:cs="Aptos"/>
          <w:color w:val="000000" w:themeColor="text1"/>
        </w:rPr>
        <w:t>relatively low-cost</w:t>
      </w:r>
      <w:r>
        <w:rPr>
          <w:rFonts w:ascii="Aptos" w:eastAsia="Aptos" w:hAnsi="Aptos" w:cs="Aptos"/>
          <w:color w:val="000000" w:themeColor="text1"/>
        </w:rPr>
        <w:t xml:space="preserve"> - compared to other mitigation measures</w:t>
      </w:r>
      <w:r w:rsidRPr="00BD7526">
        <w:rPr>
          <w:rFonts w:ascii="Aptos" w:eastAsia="Aptos" w:hAnsi="Aptos" w:cs="Aptos"/>
          <w:color w:val="000000" w:themeColor="text1"/>
        </w:rPr>
        <w:t xml:space="preserve">, </w:t>
      </w:r>
      <w:r>
        <w:rPr>
          <w:rFonts w:ascii="Aptos" w:eastAsia="Aptos" w:hAnsi="Aptos" w:cs="Aptos"/>
          <w:color w:val="000000" w:themeColor="text1"/>
        </w:rPr>
        <w:t>in a</w:t>
      </w:r>
      <w:r w:rsidRPr="00BD7526">
        <w:rPr>
          <w:rFonts w:ascii="Aptos" w:eastAsia="Aptos" w:hAnsi="Aptos" w:cs="Aptos"/>
          <w:color w:val="000000" w:themeColor="text1"/>
        </w:rPr>
        <w:t xml:space="preserve"> socially inclusive </w:t>
      </w:r>
      <w:r>
        <w:rPr>
          <w:rFonts w:ascii="Aptos" w:eastAsia="Aptos" w:hAnsi="Aptos" w:cs="Aptos"/>
          <w:color w:val="000000" w:themeColor="text1"/>
        </w:rPr>
        <w:t xml:space="preserve">manner including gender equality, and with multiple social, economic, and environmental co-benefits. Nonetheless, delivering such results requires </w:t>
      </w:r>
      <w:r w:rsidRPr="00BD7526">
        <w:rPr>
          <w:rFonts w:ascii="Aptos" w:eastAsia="Aptos" w:hAnsi="Aptos" w:cs="Aptos"/>
          <w:color w:val="000000" w:themeColor="text1"/>
        </w:rPr>
        <w:t xml:space="preserve">coherent, timely, and collaborative action across </w:t>
      </w:r>
      <w:r>
        <w:rPr>
          <w:rFonts w:ascii="Aptos" w:eastAsia="Aptos" w:hAnsi="Aptos" w:cs="Aptos"/>
          <w:color w:val="000000" w:themeColor="text1"/>
        </w:rPr>
        <w:t>stakeholders</w:t>
      </w:r>
      <w:r w:rsidRPr="00BD7526">
        <w:rPr>
          <w:rFonts w:ascii="Aptos" w:eastAsia="Aptos" w:hAnsi="Aptos" w:cs="Aptos"/>
          <w:color w:val="000000" w:themeColor="text1"/>
        </w:rPr>
        <w:t xml:space="preserve"> and levels</w:t>
      </w:r>
      <w:r>
        <w:rPr>
          <w:rFonts w:ascii="Aptos" w:eastAsia="Aptos" w:hAnsi="Aptos" w:cs="Aptos"/>
          <w:color w:val="000000" w:themeColor="text1"/>
        </w:rPr>
        <w:t xml:space="preserve"> of governance</w:t>
      </w:r>
      <w:r w:rsidRPr="00BD7526">
        <w:rPr>
          <w:rFonts w:ascii="Aptos" w:eastAsia="Aptos" w:hAnsi="Aptos" w:cs="Aptos"/>
          <w:color w:val="000000" w:themeColor="text1"/>
        </w:rPr>
        <w:t>.</w:t>
      </w:r>
      <w:r w:rsidRPr="00230F05">
        <w:rPr>
          <w:rFonts w:ascii="Aptos" w:eastAsia="Aptos" w:hAnsi="Aptos" w:cs="Aptos"/>
          <w:color w:val="000000" w:themeColor="text1"/>
        </w:rPr>
        <w:t xml:space="preserve"> </w:t>
      </w:r>
    </w:p>
    <w:p w14:paraId="2A6D99FC" w14:textId="77777777" w:rsidR="00BD7526" w:rsidRDefault="00BD7526" w:rsidP="00BD7526">
      <w:pPr>
        <w:pStyle w:val="Heading1"/>
      </w:pPr>
      <w:r w:rsidRPr="32771F1F">
        <w:t>The Value Proposition</w:t>
      </w:r>
    </w:p>
    <w:p w14:paraId="49B91982" w14:textId="2A46F8F7" w:rsidR="00BD7526" w:rsidRDefault="00BD7526" w:rsidP="00BD7526">
      <w:r w:rsidRPr="32771F1F">
        <w:t xml:space="preserve">This </w:t>
      </w:r>
      <w:proofErr w:type="gramStart"/>
      <w:r w:rsidRPr="32771F1F">
        <w:t>output</w:t>
      </w:r>
      <w:proofErr w:type="gramEnd"/>
      <w:r w:rsidRPr="32771F1F">
        <w:t xml:space="preserve"> benefits from extensive technical resources and methodologies of UN-REDD agencies by leveraging in-house experts on sustainable management of forest and restoration, forest products value chains, social forestry, social and environmental safeguards (given their deep roots in forest and land-use governance and policies), and social inclusion and gender. The deliverables are closely tied to support deployed within, and reinforce local solutions covered by, Output 4.3. Under UN-REDD, these technical resources strengthen capacities and generate new knowledge that are shared through global publications and interactive resources, for example the “Legal and Sustainable Forest Value Chains for Climate Action Examples of Country Experiences” or E-learning on Community Forestry.</w:t>
      </w:r>
    </w:p>
    <w:p w14:paraId="5D147C92" w14:textId="77777777" w:rsidR="00BD7526" w:rsidRDefault="00BD7526" w:rsidP="00BD7526">
      <w:pPr>
        <w:rPr>
          <w:b/>
          <w:i/>
        </w:rPr>
      </w:pPr>
      <w:r w:rsidRPr="32771F1F">
        <w:t>Under UN-REDD, recent initiatives have elevated and enhanced the contribution of social forestry as an approach for local climate mitigation, integration in NDCs and national policies, and disseminating good practices.</w:t>
      </w:r>
      <w:r w:rsidRPr="32771F1F">
        <w:rPr>
          <w:b/>
          <w:i/>
        </w:rPr>
        <w:t xml:space="preserve"> </w:t>
      </w:r>
      <w:r w:rsidRPr="32771F1F">
        <w:t xml:space="preserve">The existing UN-REDD agency portfolio for this output is extensive and varied. Recent country and regional examples of support under UN-REDD agency portfolio have included in Cote d’Ivoire (agroforestry), Colombia (community forestry, timber enterprises), DRC (carbon payments, restoration &amp; agroforestry) and Zambia (forest management plans, community-based forestry, forest value chains), Cambodia/ASEAN (forest value chains and social forestry contribution to NDCs). </w:t>
      </w:r>
    </w:p>
    <w:p w14:paraId="75FBDFE7" w14:textId="4BF993E9" w:rsidR="00BD7526" w:rsidRDefault="00BD7526" w:rsidP="00BD7526">
      <w:r w:rsidRPr="6E389119">
        <w:rPr>
          <w:b/>
        </w:rPr>
        <w:t xml:space="preserve">UN-REDD's unique value in this output is in the </w:t>
      </w:r>
      <w:r>
        <w:rPr>
          <w:b/>
        </w:rPr>
        <w:t xml:space="preserve">support to </w:t>
      </w:r>
      <w:r w:rsidRPr="6E389119">
        <w:rPr>
          <w:b/>
        </w:rPr>
        <w:t xml:space="preserve">coordination and alignment </w:t>
      </w:r>
      <w:r>
        <w:rPr>
          <w:b/>
        </w:rPr>
        <w:t xml:space="preserve">of </w:t>
      </w:r>
      <w:r w:rsidRPr="6E389119">
        <w:rPr>
          <w:b/>
        </w:rPr>
        <w:t xml:space="preserve">forest </w:t>
      </w:r>
      <w:r>
        <w:rPr>
          <w:b/>
        </w:rPr>
        <w:t xml:space="preserve">and land-use </w:t>
      </w:r>
      <w:r w:rsidRPr="6E389119">
        <w:rPr>
          <w:b/>
        </w:rPr>
        <w:t xml:space="preserve">sector policy and governance processes </w:t>
      </w:r>
      <w:r>
        <w:rPr>
          <w:b/>
        </w:rPr>
        <w:t>with a focus on</w:t>
      </w:r>
      <w:r w:rsidRPr="6E389119">
        <w:rPr>
          <w:b/>
        </w:rPr>
        <w:t xml:space="preserve"> climate mitigation.</w:t>
      </w:r>
      <w:r w:rsidRPr="6E389119">
        <w:t xml:space="preserve"> The fragmentation of forest</w:t>
      </w:r>
      <w:r>
        <w:t xml:space="preserve"> and land-use</w:t>
      </w:r>
      <w:r w:rsidRPr="6E389119">
        <w:t xml:space="preserve"> sector initiatives often limits their effectiveness. UN-REDD as an impartial convener has an essential role to play to ensure different forest sector initiatives connect into and contribute to the forest-based climate mitigation agenda, and more specifically</w:t>
      </w:r>
      <w:r>
        <w:t xml:space="preserve"> to the implementation of</w:t>
      </w:r>
      <w:r w:rsidRPr="6E389119">
        <w:t xml:space="preserve"> REDD+.</w:t>
      </w:r>
    </w:p>
    <w:p w14:paraId="5AC98C37" w14:textId="78C455F5" w:rsidR="00BD7526" w:rsidRDefault="00BD7526" w:rsidP="00BD7526">
      <w:r w:rsidRPr="32771F1F">
        <w:t xml:space="preserve">Beyond the convening role, </w:t>
      </w:r>
      <w:r w:rsidRPr="32771F1F">
        <w:rPr>
          <w:b/>
        </w:rPr>
        <w:t>UN-</w:t>
      </w:r>
      <w:proofErr w:type="gramStart"/>
      <w:r w:rsidRPr="32771F1F">
        <w:rPr>
          <w:b/>
        </w:rPr>
        <w:t>REDD's</w:t>
      </w:r>
      <w:proofErr w:type="gramEnd"/>
      <w:r w:rsidRPr="32771F1F">
        <w:rPr>
          <w:b/>
        </w:rPr>
        <w:t xml:space="preserve"> trusted in country support can ensure that the forest and land-use policy and governance reforms are guided by the climate agenda, recognizing the critical role of forests on this agenda. </w:t>
      </w:r>
      <w:r w:rsidRPr="32771F1F">
        <w:t xml:space="preserve">UN-REDD operates through the collective technical and policy capacities of the Agencies, leveraging their considerable country’s presence. As much as possible, UN-REDD technical support in this output leverages Agency support through the Sustainable Development Goals (SDGs), NDCs, and engagement with relevant UN conventions including the UN Permanent Forum on Indigenous Issues – UNPFII. As a trusted provider of technical assistance, UN-REDD </w:t>
      </w:r>
      <w:proofErr w:type="spellStart"/>
      <w:r w:rsidRPr="32771F1F">
        <w:t>catalyzes</w:t>
      </w:r>
      <w:proofErr w:type="spellEnd"/>
      <w:r w:rsidRPr="32771F1F">
        <w:t xml:space="preserve"> policy coherence across ministries and partners, enables coordinated technical inputs, and fosters knowledge-sharing that supports REDD+ implementation by working, as much as possible, with existing multi-stakeholder platforms and coordination spaces on climate, forests, and natural resources governance agendas at the national level.</w:t>
      </w:r>
    </w:p>
    <w:p w14:paraId="0114F805" w14:textId="77777777" w:rsidR="00BD7526" w:rsidRDefault="00BD7526" w:rsidP="00BD7526">
      <w:r w:rsidRPr="6B00CD1A">
        <w:t>UN-REDD support builds on and strengthens existing forest-related platforms and initiatives, including the Forest and Farm Facility (FFF), Forest Landscape Restoration Mechanism (FLRM), the UN Decade on Ecosystem Restoration, and the Global Fire Management Hub. Opportunities exist to collaborate more closely with the Committee on Forestry (COFO) and the Collaborative Partnership on Forests (CPF), further reinforcing institutional coherence and FAO’s role as a global forest knowledge hub.</w:t>
      </w:r>
    </w:p>
    <w:p w14:paraId="1C7B89B9" w14:textId="77777777" w:rsidR="00BD7526" w:rsidRDefault="00BD7526" w:rsidP="00BD7526">
      <w:r w:rsidRPr="32771F1F">
        <w:lastRenderedPageBreak/>
        <w:t>Partnerships and alignment will be further strengthened other global and regional forest governance actors such as CIFOR-ICRAF, ITTO, TFA, FSC, CBD, UNFF, and national-level forest commissions and civil society networks, ensuring that UN-REDD facilitates and enhances coherence, rather than duplicating efforts.</w:t>
      </w:r>
    </w:p>
    <w:p w14:paraId="40D9A58F" w14:textId="77777777" w:rsidR="00BD7526" w:rsidRDefault="00BD7526" w:rsidP="00BD7526">
      <w:pPr>
        <w:pStyle w:val="Heading1"/>
        <w:rPr>
          <w:highlight w:val="yellow"/>
        </w:rPr>
      </w:pPr>
      <w:r w:rsidRPr="32771F1F">
        <w:rPr>
          <w:bCs/>
          <w:i/>
          <w:iCs/>
        </w:rPr>
        <w:t>Scenario</w:t>
      </w:r>
    </w:p>
    <w:p w14:paraId="78B133EA" w14:textId="6DBE5A61" w:rsidR="00BD7526" w:rsidRDefault="00BD7526" w:rsidP="00BD7526">
      <w:r w:rsidRPr="32771F1F">
        <w:t xml:space="preserve">Output 4.1 will focus on </w:t>
      </w:r>
      <w:r w:rsidRPr="00BD7526">
        <w:t>connecting, aligning, and climate-linking</w:t>
      </w:r>
      <w:r w:rsidRPr="32771F1F">
        <w:t xml:space="preserve"> ongoing national, regional, and global forest </w:t>
      </w:r>
      <w:r w:rsidRPr="00C72473">
        <w:t xml:space="preserve">policies, governance frameworks, and incentives </w:t>
      </w:r>
      <w:r w:rsidRPr="32771F1F">
        <w:t xml:space="preserve">initiatives with national REDD+ strategies and broader climate objectives. </w:t>
      </w:r>
      <w:proofErr w:type="gramStart"/>
      <w:r w:rsidR="00627F1B" w:rsidRPr="00627F1B">
        <w:t>In particular, countries</w:t>
      </w:r>
      <w:proofErr w:type="gramEnd"/>
      <w:r w:rsidR="00627F1B" w:rsidRPr="00627F1B">
        <w:t xml:space="preserve"> will be supported to harmonise biodiversity restoration and climate resilience initiatives, including those related to fire management, within national and subnational forest-climate mitigation responses and plans.</w:t>
      </w:r>
    </w:p>
    <w:p w14:paraId="41219776" w14:textId="77777777" w:rsidR="00BD7526" w:rsidRDefault="00BD7526" w:rsidP="00BD7526">
      <w:r w:rsidRPr="28DEB9FE">
        <w:t xml:space="preserve">This output will enhance the evidence-based on the contribution of social forestry, community-based forestry and sustainable forest management to climate mitigation and associated co-benefits. By generating new knowledge and connecting to the climate agenda, proven conservation and management approaches can become more prominent in international discourse. </w:t>
      </w:r>
    </w:p>
    <w:p w14:paraId="40BC62A8" w14:textId="1632081A" w:rsidR="00BD7526" w:rsidRDefault="00BD7526" w:rsidP="00BD7526">
      <w:r w:rsidRPr="28DEB9FE">
        <w:t>At a</w:t>
      </w:r>
      <w:r w:rsidRPr="0093790B">
        <w:t xml:space="preserve"> </w:t>
      </w:r>
      <w:r w:rsidRPr="28DEB9FE">
        <w:t>country level, this output will connect forest policy and governance initiatives with the climate mitigation agenda</w:t>
      </w:r>
      <w:r>
        <w:t xml:space="preserve"> by strengthening and aligning policies, governance frameworks, and incentives within the forest sector and across relevant land-use stakeholders. The focus is to contribute to national efforts to address the drivers of deforestation and forest degradation, to then realize climate mitigation outcomes, fostering social inclusion, social and environmental safeguards, and delivering co-benefits</w:t>
      </w:r>
      <w:r w:rsidRPr="28DEB9FE">
        <w:t xml:space="preserve">.  </w:t>
      </w:r>
    </w:p>
    <w:p w14:paraId="1621AA3D" w14:textId="3E33B5AC" w:rsidR="00BD7526" w:rsidRDefault="00BD7526" w:rsidP="00BD7526">
      <w:pPr>
        <w:pStyle w:val="ListParagraph"/>
        <w:numPr>
          <w:ilvl w:val="0"/>
          <w:numId w:val="30"/>
        </w:numPr>
        <w:spacing w:before="0" w:after="200" w:line="240" w:lineRule="auto"/>
      </w:pPr>
      <w:r w:rsidRPr="32771F1F">
        <w:t>UN-REDD will leverage its convening power, country presence, and strong technical partnerships to elevate climate action as a core objective of forest governance reforms.</w:t>
      </w:r>
    </w:p>
    <w:p w14:paraId="248CAC85" w14:textId="77777777" w:rsidR="00BD7526" w:rsidRDefault="00BD7526" w:rsidP="00BD7526">
      <w:pPr>
        <w:pStyle w:val="ListParagraph"/>
        <w:numPr>
          <w:ilvl w:val="0"/>
          <w:numId w:val="30"/>
        </w:numPr>
        <w:spacing w:before="0" w:after="200" w:line="240" w:lineRule="auto"/>
      </w:pPr>
      <w:r>
        <w:t>Strengthen national institutional capacity and align existing forest initiatives with national REDD+ architecture, safeguards, and climate finance instruments.</w:t>
      </w:r>
    </w:p>
    <w:p w14:paraId="43C3334C" w14:textId="77777777" w:rsidR="00BD7526" w:rsidRDefault="00BD7526" w:rsidP="00BD7526">
      <w:pPr>
        <w:pStyle w:val="ListParagraph"/>
        <w:numPr>
          <w:ilvl w:val="0"/>
          <w:numId w:val="30"/>
        </w:numPr>
        <w:spacing w:before="0" w:after="200" w:line="240" w:lineRule="auto"/>
      </w:pPr>
      <w:r w:rsidRPr="6B00CD1A">
        <w:t>Advocate for forest-sector climate action through studies, knowledge dissemination and capacity development.</w:t>
      </w:r>
    </w:p>
    <w:p w14:paraId="3293C14D" w14:textId="77777777" w:rsidR="00BD7526" w:rsidRDefault="00BD7526" w:rsidP="00BD7526">
      <w:pPr>
        <w:pStyle w:val="ListParagraph"/>
        <w:numPr>
          <w:ilvl w:val="0"/>
          <w:numId w:val="30"/>
        </w:numPr>
        <w:spacing w:before="0" w:after="200" w:line="240" w:lineRule="auto"/>
      </w:pPr>
      <w:r w:rsidRPr="6B00CD1A">
        <w:t>Promote integrated, community-based, and multi-benefit approaches to the sustainable management, restoration, and use of forests.</w:t>
      </w:r>
    </w:p>
    <w:p w14:paraId="696B86E1" w14:textId="77777777" w:rsidR="00BD7526" w:rsidRDefault="00BD7526" w:rsidP="00BD7526">
      <w:pPr>
        <w:pStyle w:val="ListParagraph"/>
        <w:numPr>
          <w:ilvl w:val="0"/>
          <w:numId w:val="30"/>
        </w:numPr>
        <w:spacing w:before="0" w:after="200" w:line="240" w:lineRule="auto"/>
      </w:pPr>
      <w:r w:rsidRPr="6B00CD1A">
        <w:t xml:space="preserve">Add value to standing forests </w:t>
      </w:r>
      <w:r w:rsidRPr="0007699E">
        <w:rPr>
          <w:i/>
        </w:rPr>
        <w:t>versus</w:t>
      </w:r>
      <w:r w:rsidRPr="6B00CD1A">
        <w:t xml:space="preserve"> other land-uses through low-emission and resilient forest value chains, livelihoods and bioeconomy.</w:t>
      </w:r>
    </w:p>
    <w:p w14:paraId="6721D734" w14:textId="77777777" w:rsidR="00367FBA" w:rsidRDefault="00367FBA" w:rsidP="00762CAE">
      <w:pPr>
        <w:pStyle w:val="Heading1"/>
        <w:sectPr w:rsidR="00367FBA" w:rsidSect="00970ED2">
          <w:headerReference w:type="default" r:id="rId14"/>
          <w:footerReference w:type="default" r:id="rId15"/>
          <w:pgSz w:w="11906" w:h="16838"/>
          <w:pgMar w:top="1440" w:right="1080" w:bottom="1440" w:left="1080" w:header="708" w:footer="708" w:gutter="0"/>
          <w:pgNumType w:start="1"/>
          <w:cols w:space="708"/>
          <w:docGrid w:linePitch="360"/>
        </w:sectPr>
      </w:pP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326"/>
        <w:gridCol w:w="6410"/>
      </w:tblGrid>
      <w:tr w:rsidR="00367FBA" w:rsidRPr="00173DC5" w14:paraId="119BEDD4" w14:textId="77777777" w:rsidTr="00222414">
        <w:trPr>
          <w:cnfStyle w:val="100000000000" w:firstRow="1" w:lastRow="0" w:firstColumn="0" w:lastColumn="0" w:oddVBand="0" w:evenVBand="0" w:oddHBand="0" w:evenHBand="0" w:firstRowFirstColumn="0" w:firstRowLastColumn="0" w:lastRowFirstColumn="0" w:lastRowLastColumn="0"/>
          <w:trHeight w:val="567"/>
          <w:tblHeader/>
        </w:trPr>
        <w:tc>
          <w:tcPr>
            <w:tcW w:w="1708" w:type="pct"/>
            <w:shd w:val="clear" w:color="auto" w:fill="215E99" w:themeFill="text2" w:themeFillTint="BF"/>
            <w:vAlign w:val="center"/>
          </w:tcPr>
          <w:p w14:paraId="1849C521" w14:textId="77777777" w:rsidR="00367FBA" w:rsidRPr="0007699E" w:rsidRDefault="00367FBA" w:rsidP="00222414">
            <w:pPr>
              <w:spacing w:after="0"/>
              <w:jc w:val="center"/>
              <w:rPr>
                <w:b/>
                <w:bCs/>
                <w:color w:val="FFFFFF" w:themeColor="background1"/>
              </w:rPr>
            </w:pPr>
            <w:r w:rsidRPr="0007699E">
              <w:rPr>
                <w:b/>
                <w:bCs/>
                <w:color w:val="FFFFFF" w:themeColor="background1"/>
              </w:rPr>
              <w:lastRenderedPageBreak/>
              <w:t>Deliverable</w:t>
            </w:r>
          </w:p>
        </w:tc>
        <w:tc>
          <w:tcPr>
            <w:tcW w:w="3292" w:type="pct"/>
            <w:shd w:val="clear" w:color="auto" w:fill="215E99" w:themeFill="text2" w:themeFillTint="BF"/>
            <w:vAlign w:val="center"/>
          </w:tcPr>
          <w:p w14:paraId="611C314B" w14:textId="77777777" w:rsidR="00367FBA" w:rsidRPr="0007699E" w:rsidRDefault="00367FBA" w:rsidP="00222414">
            <w:pPr>
              <w:spacing w:after="0"/>
              <w:jc w:val="center"/>
              <w:rPr>
                <w:b/>
                <w:bCs/>
                <w:color w:val="FFFFFF" w:themeColor="background1"/>
              </w:rPr>
            </w:pPr>
            <w:r w:rsidRPr="0007699E">
              <w:rPr>
                <w:b/>
                <w:bCs/>
                <w:color w:val="FFFFFF" w:themeColor="background1"/>
              </w:rPr>
              <w:t>Activities</w:t>
            </w:r>
          </w:p>
        </w:tc>
      </w:tr>
      <w:tr w:rsidR="00367FBA" w:rsidRPr="00173DC5" w14:paraId="16127D38" w14:textId="77777777" w:rsidTr="00222414">
        <w:trPr>
          <w:trHeight w:val="2294"/>
        </w:trPr>
        <w:tc>
          <w:tcPr>
            <w:tcW w:w="1708" w:type="pct"/>
          </w:tcPr>
          <w:p w14:paraId="25FFA0DB" w14:textId="77777777" w:rsidR="00367FBA" w:rsidRPr="00367FBA" w:rsidRDefault="00367FBA" w:rsidP="00367FBA">
            <w:pPr>
              <w:pStyle w:val="ListParagraph"/>
              <w:numPr>
                <w:ilvl w:val="0"/>
                <w:numId w:val="36"/>
              </w:numPr>
              <w:spacing w:before="0" w:after="120" w:line="240" w:lineRule="auto"/>
              <w:rPr>
                <w:rFonts w:ascii="Aptos" w:eastAsia="Aptos" w:hAnsi="Aptos" w:cs="Aptos"/>
                <w:color w:val="000000" w:themeColor="text1"/>
              </w:rPr>
            </w:pPr>
            <w:r w:rsidRPr="00367FBA">
              <w:rPr>
                <w:rFonts w:ascii="Aptos" w:eastAsia="Aptos" w:hAnsi="Aptos" w:cs="Aptos"/>
                <w:b/>
                <w:bCs/>
                <w:color w:val="000000" w:themeColor="text1"/>
              </w:rPr>
              <w:t xml:space="preserve">National Forest Institutions, policies and strategies strengthened </w:t>
            </w:r>
            <w:r w:rsidRPr="00367FBA">
              <w:rPr>
                <w:rFonts w:ascii="Aptos" w:eastAsia="Aptos" w:hAnsi="Aptos" w:cs="Aptos"/>
                <w:color w:val="000000" w:themeColor="text1"/>
              </w:rPr>
              <w:t>to enable sustainable management, conservation and restoration of forests for climate</w:t>
            </w:r>
          </w:p>
        </w:tc>
        <w:tc>
          <w:tcPr>
            <w:tcW w:w="3292" w:type="pct"/>
          </w:tcPr>
          <w:p w14:paraId="5ACAA5EF" w14:textId="77777777" w:rsidR="00367FBA" w:rsidRPr="0007699E" w:rsidRDefault="00367FBA" w:rsidP="00367FBA">
            <w:pPr>
              <w:pStyle w:val="ListParagraph"/>
              <w:numPr>
                <w:ilvl w:val="0"/>
                <w:numId w:val="31"/>
              </w:numPr>
              <w:spacing w:before="0" w:after="120" w:line="240" w:lineRule="auto"/>
              <w:rPr>
                <w:rFonts w:ascii="Aptos" w:eastAsia="Aptos" w:hAnsi="Aptos" w:cs="Aptos"/>
                <w:color w:val="000000" w:themeColor="text1"/>
              </w:rPr>
            </w:pPr>
            <w:r w:rsidRPr="0007699E">
              <w:rPr>
                <w:rFonts w:ascii="Aptos" w:eastAsia="Aptos" w:hAnsi="Aptos" w:cs="Aptos"/>
                <w:color w:val="000000" w:themeColor="text1"/>
              </w:rPr>
              <w:t>Strengthen forest institutions at national and subnational levels for climate action.</w:t>
            </w:r>
          </w:p>
          <w:p w14:paraId="2B4C9A64" w14:textId="77777777" w:rsidR="00367FBA" w:rsidRPr="0007699E" w:rsidRDefault="00367FBA" w:rsidP="00367FBA">
            <w:pPr>
              <w:pStyle w:val="ListParagraph"/>
              <w:numPr>
                <w:ilvl w:val="0"/>
                <w:numId w:val="31"/>
              </w:numPr>
              <w:spacing w:before="0" w:after="120" w:line="240" w:lineRule="auto"/>
              <w:rPr>
                <w:rFonts w:ascii="Aptos" w:eastAsia="Aptos" w:hAnsi="Aptos" w:cs="Aptos"/>
                <w:color w:val="000000" w:themeColor="text1"/>
              </w:rPr>
            </w:pPr>
            <w:r w:rsidRPr="0007699E">
              <w:rPr>
                <w:rFonts w:ascii="Aptos" w:eastAsia="Aptos" w:hAnsi="Aptos" w:cs="Aptos"/>
                <w:color w:val="000000" w:themeColor="text1"/>
              </w:rPr>
              <w:t>Develop data and knowledge for informed decision making.</w:t>
            </w:r>
          </w:p>
          <w:p w14:paraId="34CBBCA1" w14:textId="77777777" w:rsidR="00367FBA" w:rsidRPr="0007699E" w:rsidRDefault="00367FBA" w:rsidP="00367FBA">
            <w:pPr>
              <w:pStyle w:val="ListParagraph"/>
              <w:numPr>
                <w:ilvl w:val="0"/>
                <w:numId w:val="31"/>
              </w:numPr>
              <w:spacing w:before="0" w:after="120" w:line="240" w:lineRule="auto"/>
              <w:rPr>
                <w:rFonts w:ascii="Aptos" w:eastAsia="Aptos" w:hAnsi="Aptos" w:cs="Aptos"/>
                <w:color w:val="000000" w:themeColor="text1"/>
              </w:rPr>
            </w:pPr>
            <w:r w:rsidRPr="0007699E">
              <w:rPr>
                <w:rFonts w:ascii="Aptos" w:eastAsia="Aptos" w:hAnsi="Aptos" w:cs="Aptos"/>
                <w:color w:val="000000" w:themeColor="text1"/>
              </w:rPr>
              <w:t>Assessment of the carbon impact of sustainable forest management and community-based forestry, as well as co-benefits to biodiversity, adaptation and food security, to support advocacy efforts.</w:t>
            </w:r>
          </w:p>
          <w:p w14:paraId="07103F37" w14:textId="77777777" w:rsidR="00367FBA" w:rsidRPr="0007699E" w:rsidRDefault="00367FBA" w:rsidP="00367FBA">
            <w:pPr>
              <w:pStyle w:val="ListParagraph"/>
              <w:numPr>
                <w:ilvl w:val="0"/>
                <w:numId w:val="31"/>
              </w:numPr>
              <w:spacing w:before="0" w:after="120" w:line="240" w:lineRule="auto"/>
              <w:rPr>
                <w:rFonts w:ascii="Aptos" w:eastAsia="Aptos" w:hAnsi="Aptos" w:cs="Aptos"/>
                <w:color w:val="000000" w:themeColor="text1"/>
              </w:rPr>
            </w:pPr>
            <w:r w:rsidRPr="0007699E">
              <w:rPr>
                <w:rFonts w:ascii="Aptos" w:eastAsia="Aptos" w:hAnsi="Aptos" w:cs="Aptos"/>
                <w:color w:val="000000" w:themeColor="text1"/>
              </w:rPr>
              <w:t>Capacity development to national administrations to implement forest-sector solutions to climate change.</w:t>
            </w:r>
          </w:p>
          <w:p w14:paraId="1555C27A" w14:textId="77777777" w:rsidR="00367FBA" w:rsidRPr="0007699E" w:rsidRDefault="00367FBA" w:rsidP="00367FBA">
            <w:pPr>
              <w:pStyle w:val="ListParagraph"/>
              <w:numPr>
                <w:ilvl w:val="0"/>
                <w:numId w:val="31"/>
              </w:numPr>
              <w:spacing w:before="0" w:after="120" w:line="240" w:lineRule="auto"/>
              <w:rPr>
                <w:rFonts w:ascii="Aptos" w:eastAsia="Aptos" w:hAnsi="Aptos" w:cs="Aptos"/>
                <w:color w:val="000000" w:themeColor="text1"/>
              </w:rPr>
            </w:pPr>
            <w:r w:rsidRPr="0007699E">
              <w:rPr>
                <w:rFonts w:ascii="Aptos" w:eastAsia="Aptos" w:hAnsi="Aptos" w:cs="Aptos"/>
                <w:color w:val="000000" w:themeColor="text1"/>
              </w:rPr>
              <w:t>Technical assistance to REDD+ strategy development, and alignment with biodiversity and adaptation agendas, policies and incentives.</w:t>
            </w:r>
          </w:p>
        </w:tc>
      </w:tr>
      <w:tr w:rsidR="00367FBA" w14:paraId="3728B29A" w14:textId="77777777" w:rsidTr="00222414">
        <w:trPr>
          <w:trHeight w:val="1506"/>
        </w:trPr>
        <w:tc>
          <w:tcPr>
            <w:tcW w:w="1708" w:type="pct"/>
            <w:tcBorders>
              <w:top w:val="single" w:sz="4" w:space="0" w:color="auto"/>
              <w:left w:val="single" w:sz="4" w:space="0" w:color="auto"/>
              <w:bottom w:val="single" w:sz="4" w:space="0" w:color="auto"/>
              <w:right w:val="single" w:sz="4" w:space="0" w:color="auto"/>
            </w:tcBorders>
          </w:tcPr>
          <w:p w14:paraId="5E5A77FA" w14:textId="77777777" w:rsidR="00367FBA" w:rsidRPr="00367FBA" w:rsidRDefault="00367FBA" w:rsidP="00367FBA">
            <w:pPr>
              <w:pStyle w:val="ListParagraph"/>
              <w:numPr>
                <w:ilvl w:val="0"/>
                <w:numId w:val="36"/>
              </w:numPr>
              <w:spacing w:before="0" w:after="0" w:line="240" w:lineRule="auto"/>
              <w:rPr>
                <w:rFonts w:ascii="Aptos" w:eastAsia="Aptos" w:hAnsi="Aptos" w:cs="Aptos"/>
                <w:b/>
                <w:bCs/>
                <w:color w:val="000000" w:themeColor="text1"/>
              </w:rPr>
            </w:pPr>
            <w:r w:rsidRPr="00367FBA">
              <w:rPr>
                <w:rFonts w:ascii="Aptos" w:eastAsia="Aptos" w:hAnsi="Aptos" w:cs="Aptos"/>
                <w:color w:val="000000" w:themeColor="text1"/>
              </w:rPr>
              <w:t>Countries supported to</w:t>
            </w:r>
            <w:r w:rsidRPr="00367FBA">
              <w:rPr>
                <w:rFonts w:ascii="Aptos" w:eastAsia="Aptos" w:hAnsi="Aptos" w:cs="Aptos"/>
                <w:b/>
                <w:bCs/>
                <w:color w:val="000000" w:themeColor="text1"/>
              </w:rPr>
              <w:t xml:space="preserve"> align forest policy and initiatives for climate action</w:t>
            </w:r>
          </w:p>
        </w:tc>
        <w:tc>
          <w:tcPr>
            <w:tcW w:w="3292" w:type="pct"/>
            <w:tcBorders>
              <w:top w:val="single" w:sz="4" w:space="0" w:color="auto"/>
              <w:left w:val="single" w:sz="4" w:space="0" w:color="auto"/>
              <w:bottom w:val="single" w:sz="4" w:space="0" w:color="auto"/>
              <w:right w:val="single" w:sz="4" w:space="0" w:color="auto"/>
            </w:tcBorders>
          </w:tcPr>
          <w:p w14:paraId="4FB99939" w14:textId="77777777" w:rsidR="00367FBA" w:rsidRPr="0007699E" w:rsidRDefault="00367FBA" w:rsidP="00367FBA">
            <w:pPr>
              <w:pStyle w:val="ListParagraph"/>
              <w:numPr>
                <w:ilvl w:val="0"/>
                <w:numId w:val="32"/>
              </w:numPr>
              <w:spacing w:before="0" w:after="0" w:line="240" w:lineRule="auto"/>
              <w:rPr>
                <w:rFonts w:ascii="Aptos" w:eastAsia="Aptos" w:hAnsi="Aptos" w:cs="Aptos"/>
                <w:color w:val="000000" w:themeColor="text1"/>
              </w:rPr>
            </w:pPr>
            <w:r w:rsidRPr="0007699E">
              <w:rPr>
                <w:rFonts w:ascii="Aptos" w:eastAsia="Aptos" w:hAnsi="Aptos" w:cs="Aptos"/>
                <w:color w:val="000000" w:themeColor="text1"/>
              </w:rPr>
              <w:t>Align and improve forest policies to REDD+, NDCs and BTRs.</w:t>
            </w:r>
          </w:p>
          <w:p w14:paraId="1E37ECA9" w14:textId="77777777" w:rsidR="00367FBA" w:rsidRPr="0007699E" w:rsidRDefault="00367FBA" w:rsidP="00367FBA">
            <w:pPr>
              <w:pStyle w:val="ListParagraph"/>
              <w:numPr>
                <w:ilvl w:val="0"/>
                <w:numId w:val="32"/>
              </w:numPr>
              <w:spacing w:before="0" w:after="0" w:line="240" w:lineRule="auto"/>
              <w:rPr>
                <w:rFonts w:ascii="Aptos" w:eastAsia="Aptos" w:hAnsi="Aptos" w:cs="Aptos"/>
                <w:color w:val="000000" w:themeColor="text1"/>
              </w:rPr>
            </w:pPr>
            <w:r w:rsidRPr="0007699E">
              <w:rPr>
                <w:rFonts w:ascii="Aptos" w:eastAsia="Aptos" w:hAnsi="Aptos" w:cs="Aptos"/>
                <w:color w:val="000000" w:themeColor="text1"/>
              </w:rPr>
              <w:t xml:space="preserve">Align FLR with REDD+ and NDC targets; Restore carbon-rich ecosystems; Collaborate with relevant UN-REDD agencies’ adaptation team to strengthen mitigation-adaptation synergies </w:t>
            </w:r>
          </w:p>
          <w:p w14:paraId="627ED7C6" w14:textId="77777777" w:rsidR="00367FBA" w:rsidRPr="0007699E" w:rsidRDefault="00367FBA" w:rsidP="00367FBA">
            <w:pPr>
              <w:pStyle w:val="ListParagraph"/>
              <w:numPr>
                <w:ilvl w:val="0"/>
                <w:numId w:val="32"/>
              </w:numPr>
              <w:spacing w:before="0" w:after="0" w:line="240" w:lineRule="auto"/>
              <w:rPr>
                <w:rFonts w:ascii="Aptos" w:eastAsia="Aptos" w:hAnsi="Aptos" w:cs="Aptos"/>
                <w:color w:val="000000" w:themeColor="text1"/>
              </w:rPr>
            </w:pPr>
            <w:r w:rsidRPr="0007699E">
              <w:rPr>
                <w:rFonts w:ascii="Aptos" w:eastAsia="Aptos" w:hAnsi="Aptos" w:cs="Aptos"/>
                <w:color w:val="000000" w:themeColor="text1"/>
              </w:rPr>
              <w:t>Technical assistance to develop forest management plans at subnational level to guide and coordinate forest-sector climate action.</w:t>
            </w:r>
          </w:p>
        </w:tc>
      </w:tr>
      <w:tr w:rsidR="00367FBA" w:rsidRPr="00173DC5" w14:paraId="16D3F690" w14:textId="77777777" w:rsidTr="00222414">
        <w:tc>
          <w:tcPr>
            <w:tcW w:w="1708" w:type="pct"/>
          </w:tcPr>
          <w:p w14:paraId="2F589876" w14:textId="77777777" w:rsidR="00367FBA" w:rsidRPr="00367FBA" w:rsidRDefault="00367FBA" w:rsidP="00367FBA">
            <w:pPr>
              <w:pStyle w:val="ListParagraph"/>
              <w:numPr>
                <w:ilvl w:val="0"/>
                <w:numId w:val="36"/>
              </w:numPr>
              <w:spacing w:before="0" w:after="200" w:line="240" w:lineRule="auto"/>
              <w:rPr>
                <w:rFonts w:ascii="Aptos" w:eastAsia="Aptos" w:hAnsi="Aptos" w:cs="Aptos"/>
                <w:color w:val="000000" w:themeColor="text1"/>
              </w:rPr>
            </w:pPr>
            <w:r w:rsidRPr="00367FBA">
              <w:rPr>
                <w:rFonts w:ascii="Aptos" w:eastAsia="Aptos" w:hAnsi="Aptos" w:cs="Aptos"/>
                <w:color w:val="000000" w:themeColor="text1"/>
              </w:rPr>
              <w:t xml:space="preserve">Countries supported to </w:t>
            </w:r>
            <w:r w:rsidRPr="00367FBA">
              <w:rPr>
                <w:rFonts w:ascii="Aptos" w:eastAsia="Aptos" w:hAnsi="Aptos" w:cs="Aptos"/>
                <w:b/>
                <w:bCs/>
                <w:color w:val="000000" w:themeColor="text1"/>
              </w:rPr>
              <w:t>accelerate and value the contribution of</w:t>
            </w:r>
            <w:r w:rsidRPr="00367FBA">
              <w:rPr>
                <w:rFonts w:ascii="Aptos" w:eastAsia="Aptos" w:hAnsi="Aptos" w:cs="Aptos"/>
                <w:color w:val="000000" w:themeColor="text1"/>
              </w:rPr>
              <w:t xml:space="preserve"> s</w:t>
            </w:r>
            <w:r w:rsidRPr="00367FBA">
              <w:rPr>
                <w:b/>
                <w:bCs/>
                <w:color w:val="000000" w:themeColor="text1"/>
              </w:rPr>
              <w:t>ocial forestry and community-based forestry</w:t>
            </w:r>
            <w:r w:rsidRPr="00367FBA">
              <w:rPr>
                <w:rFonts w:ascii="Aptos" w:eastAsia="Aptos" w:hAnsi="Aptos" w:cs="Aptos"/>
                <w:b/>
                <w:bCs/>
                <w:color w:val="000000" w:themeColor="text1"/>
              </w:rPr>
              <w:t xml:space="preserve"> for Climate Action</w:t>
            </w:r>
          </w:p>
          <w:p w14:paraId="74DDAA86" w14:textId="77777777" w:rsidR="00367FBA" w:rsidRPr="00367FBA" w:rsidRDefault="00367FBA" w:rsidP="00222414">
            <w:pPr>
              <w:rPr>
                <w:b/>
                <w:bCs/>
                <w:color w:val="000000" w:themeColor="text1"/>
              </w:rPr>
            </w:pPr>
          </w:p>
        </w:tc>
        <w:tc>
          <w:tcPr>
            <w:tcW w:w="3292" w:type="pct"/>
          </w:tcPr>
          <w:p w14:paraId="76E3D7B4" w14:textId="77777777" w:rsidR="00367FBA" w:rsidRPr="0007699E" w:rsidRDefault="00367FBA" w:rsidP="00367FBA">
            <w:pPr>
              <w:pStyle w:val="ListParagraph"/>
              <w:numPr>
                <w:ilvl w:val="0"/>
                <w:numId w:val="33"/>
              </w:numPr>
              <w:spacing w:before="0" w:after="120" w:line="240" w:lineRule="auto"/>
              <w:rPr>
                <w:rFonts w:ascii="Aptos" w:eastAsia="Aptos" w:hAnsi="Aptos" w:cs="Aptos"/>
                <w:color w:val="000000" w:themeColor="text1"/>
              </w:rPr>
            </w:pPr>
            <w:r w:rsidRPr="0007699E">
              <w:rPr>
                <w:rFonts w:ascii="Aptos" w:eastAsia="Aptos" w:hAnsi="Aptos" w:cs="Aptos"/>
                <w:color w:val="000000" w:themeColor="text1"/>
              </w:rPr>
              <w:t xml:space="preserve">Support the development of national policies and regulations to enable the expansion of social forestry including </w:t>
            </w:r>
            <w:proofErr w:type="gramStart"/>
            <w:r w:rsidRPr="0007699E">
              <w:rPr>
                <w:rFonts w:ascii="Aptos" w:eastAsia="Aptos" w:hAnsi="Aptos" w:cs="Aptos"/>
                <w:color w:val="000000" w:themeColor="text1"/>
              </w:rPr>
              <w:t>community based</w:t>
            </w:r>
            <w:proofErr w:type="gramEnd"/>
            <w:r w:rsidRPr="0007699E">
              <w:rPr>
                <w:rFonts w:ascii="Aptos" w:eastAsia="Aptos" w:hAnsi="Aptos" w:cs="Aptos"/>
                <w:color w:val="000000" w:themeColor="text1"/>
              </w:rPr>
              <w:t xml:space="preserve"> forestry.</w:t>
            </w:r>
          </w:p>
          <w:p w14:paraId="1DD70C81" w14:textId="77777777" w:rsidR="00367FBA" w:rsidRPr="0007699E" w:rsidRDefault="00367FBA" w:rsidP="00367FBA">
            <w:pPr>
              <w:pStyle w:val="ListParagraph"/>
              <w:numPr>
                <w:ilvl w:val="0"/>
                <w:numId w:val="33"/>
              </w:numPr>
              <w:spacing w:before="0" w:after="120" w:line="240" w:lineRule="auto"/>
              <w:rPr>
                <w:rFonts w:ascii="Aptos" w:eastAsia="Aptos" w:hAnsi="Aptos" w:cs="Aptos"/>
                <w:color w:val="000000" w:themeColor="text1"/>
              </w:rPr>
            </w:pPr>
            <w:r w:rsidRPr="0007699E">
              <w:rPr>
                <w:rFonts w:ascii="Aptos" w:eastAsia="Aptos" w:hAnsi="Aptos" w:cs="Aptos"/>
                <w:color w:val="000000" w:themeColor="text1"/>
              </w:rPr>
              <w:t>Support the realization of economic benefits from social forestry to ensure sustainability.</w:t>
            </w:r>
          </w:p>
          <w:p w14:paraId="5E076AEE" w14:textId="77777777" w:rsidR="00367FBA" w:rsidRPr="0007699E" w:rsidRDefault="00367FBA" w:rsidP="00367FBA">
            <w:pPr>
              <w:pStyle w:val="ListParagraph"/>
              <w:numPr>
                <w:ilvl w:val="0"/>
                <w:numId w:val="33"/>
              </w:numPr>
              <w:spacing w:before="0" w:after="120" w:line="240" w:lineRule="auto"/>
              <w:rPr>
                <w:rFonts w:ascii="Aptos" w:eastAsia="Aptos" w:hAnsi="Aptos" w:cs="Aptos"/>
                <w:color w:val="000000" w:themeColor="text1"/>
              </w:rPr>
            </w:pPr>
            <w:r w:rsidRPr="0007699E">
              <w:rPr>
                <w:rFonts w:ascii="Aptos" w:eastAsia="Aptos" w:hAnsi="Aptos" w:cs="Aptos"/>
                <w:color w:val="000000" w:themeColor="text1"/>
              </w:rPr>
              <w:t>Undertake studies on the climate impact of social forestry.</w:t>
            </w:r>
          </w:p>
          <w:p w14:paraId="5D9E23E5" w14:textId="77777777" w:rsidR="00367FBA" w:rsidRPr="0007699E" w:rsidRDefault="00367FBA" w:rsidP="00367FBA">
            <w:pPr>
              <w:pStyle w:val="ListParagraph"/>
              <w:numPr>
                <w:ilvl w:val="0"/>
                <w:numId w:val="33"/>
              </w:numPr>
              <w:spacing w:before="0" w:after="120" w:line="240" w:lineRule="auto"/>
              <w:rPr>
                <w:rFonts w:ascii="Aptos" w:eastAsia="Aptos" w:hAnsi="Aptos" w:cs="Aptos"/>
                <w:color w:val="000000" w:themeColor="text1"/>
              </w:rPr>
            </w:pPr>
            <w:r w:rsidRPr="0007699E">
              <w:rPr>
                <w:rFonts w:ascii="Aptos" w:eastAsia="Aptos" w:hAnsi="Aptos" w:cs="Aptos"/>
                <w:color w:val="000000" w:themeColor="text1"/>
              </w:rPr>
              <w:t>South-South exchanges -at government and local level-on community-based forestry for local climate action.</w:t>
            </w:r>
          </w:p>
        </w:tc>
      </w:tr>
      <w:tr w:rsidR="00367FBA" w:rsidRPr="00173DC5" w14:paraId="20679256" w14:textId="77777777" w:rsidTr="00222414">
        <w:trPr>
          <w:trHeight w:val="999"/>
        </w:trPr>
        <w:tc>
          <w:tcPr>
            <w:tcW w:w="1708" w:type="pct"/>
            <w:tcBorders>
              <w:top w:val="single" w:sz="4" w:space="0" w:color="auto"/>
              <w:left w:val="single" w:sz="4" w:space="0" w:color="auto"/>
              <w:bottom w:val="single" w:sz="4" w:space="0" w:color="auto"/>
              <w:right w:val="single" w:sz="4" w:space="0" w:color="auto"/>
            </w:tcBorders>
          </w:tcPr>
          <w:p w14:paraId="5CA6BB24" w14:textId="77777777" w:rsidR="00367FBA" w:rsidRPr="00367FBA" w:rsidRDefault="00367FBA" w:rsidP="00367FBA">
            <w:pPr>
              <w:pStyle w:val="ListParagraph"/>
              <w:numPr>
                <w:ilvl w:val="0"/>
                <w:numId w:val="36"/>
              </w:numPr>
              <w:spacing w:before="0" w:after="120" w:line="240" w:lineRule="auto"/>
              <w:rPr>
                <w:rFonts w:ascii="Aptos" w:eastAsia="Aptos" w:hAnsi="Aptos" w:cs="Aptos"/>
                <w:color w:val="000000" w:themeColor="text1"/>
              </w:rPr>
            </w:pPr>
            <w:r w:rsidRPr="00367FBA">
              <w:rPr>
                <w:rFonts w:ascii="Aptos" w:eastAsia="Aptos" w:hAnsi="Aptos" w:cs="Aptos"/>
                <w:color w:val="000000" w:themeColor="text1"/>
              </w:rPr>
              <w:t>Forest-Climate businesses contribut</w:t>
            </w:r>
            <w:r w:rsidRPr="00367FBA">
              <w:rPr>
                <w:color w:val="000000" w:themeColor="text1"/>
              </w:rPr>
              <w:t xml:space="preserve">e </w:t>
            </w:r>
            <w:r w:rsidRPr="00367FBA">
              <w:rPr>
                <w:rFonts w:ascii="Aptos" w:eastAsia="Aptos" w:hAnsi="Aptos" w:cs="Aptos"/>
                <w:color w:val="000000" w:themeColor="text1"/>
              </w:rPr>
              <w:t>to low-emission and resilient livelihoods,</w:t>
            </w:r>
            <w:r w:rsidRPr="00367FBA">
              <w:rPr>
                <w:rFonts w:ascii="Aptos" w:eastAsia="Aptos" w:hAnsi="Aptos" w:cs="Aptos"/>
                <w:b/>
                <w:bCs/>
                <w:color w:val="000000" w:themeColor="text1"/>
              </w:rPr>
              <w:t xml:space="preserve"> bioeconomy and the substitution of high-emission materials.</w:t>
            </w:r>
          </w:p>
        </w:tc>
        <w:tc>
          <w:tcPr>
            <w:tcW w:w="3292" w:type="pct"/>
            <w:tcBorders>
              <w:top w:val="single" w:sz="4" w:space="0" w:color="auto"/>
              <w:left w:val="single" w:sz="4" w:space="0" w:color="auto"/>
              <w:bottom w:val="single" w:sz="4" w:space="0" w:color="auto"/>
              <w:right w:val="single" w:sz="4" w:space="0" w:color="auto"/>
            </w:tcBorders>
          </w:tcPr>
          <w:p w14:paraId="03664333" w14:textId="77777777" w:rsidR="00367FBA" w:rsidRPr="0007699E" w:rsidRDefault="00367FBA" w:rsidP="00367FBA">
            <w:pPr>
              <w:pStyle w:val="ListParagraph"/>
              <w:numPr>
                <w:ilvl w:val="0"/>
                <w:numId w:val="34"/>
              </w:numPr>
              <w:spacing w:before="0" w:after="120" w:line="240" w:lineRule="auto"/>
              <w:rPr>
                <w:rFonts w:ascii="Aptos" w:eastAsia="Aptos" w:hAnsi="Aptos" w:cs="Aptos"/>
                <w:color w:val="000000" w:themeColor="text1"/>
              </w:rPr>
            </w:pPr>
            <w:r w:rsidRPr="0007699E">
              <w:rPr>
                <w:rFonts w:ascii="Aptos" w:eastAsia="Aptos" w:hAnsi="Aptos" w:cs="Aptos"/>
                <w:color w:val="000000" w:themeColor="text1"/>
              </w:rPr>
              <w:t>Technical assistance to the sustainable development of timber value chains, businesses and trade, including certification and traceability and legality.</w:t>
            </w:r>
          </w:p>
          <w:p w14:paraId="052CBD51" w14:textId="77777777" w:rsidR="00367FBA" w:rsidRPr="0007699E" w:rsidRDefault="00367FBA" w:rsidP="00367FBA">
            <w:pPr>
              <w:pStyle w:val="ListParagraph"/>
              <w:numPr>
                <w:ilvl w:val="0"/>
                <w:numId w:val="34"/>
              </w:numPr>
              <w:spacing w:before="0" w:after="120" w:line="240" w:lineRule="auto"/>
              <w:rPr>
                <w:rFonts w:ascii="Aptos" w:eastAsia="Aptos" w:hAnsi="Aptos" w:cs="Aptos"/>
                <w:color w:val="000000" w:themeColor="text1"/>
              </w:rPr>
            </w:pPr>
            <w:r w:rsidRPr="0007699E">
              <w:rPr>
                <w:rFonts w:ascii="Aptos" w:eastAsia="Aptos" w:hAnsi="Aptos" w:cs="Aptos"/>
                <w:color w:val="000000" w:themeColor="text1"/>
              </w:rPr>
              <w:t>Technical assistance to the sustainable development of low-emission and resilient NWFP value chains, businesses and trade.</w:t>
            </w:r>
          </w:p>
        </w:tc>
      </w:tr>
      <w:tr w:rsidR="00367FBA" w:rsidRPr="00173DC5" w14:paraId="3038A010" w14:textId="77777777" w:rsidTr="00222414">
        <w:trPr>
          <w:trHeight w:val="1335"/>
        </w:trPr>
        <w:tc>
          <w:tcPr>
            <w:tcW w:w="1708" w:type="pct"/>
            <w:tcBorders>
              <w:top w:val="single" w:sz="4" w:space="0" w:color="auto"/>
              <w:left w:val="single" w:sz="4" w:space="0" w:color="auto"/>
              <w:bottom w:val="single" w:sz="4" w:space="0" w:color="auto"/>
              <w:right w:val="single" w:sz="4" w:space="0" w:color="auto"/>
            </w:tcBorders>
          </w:tcPr>
          <w:p w14:paraId="4065B2C7" w14:textId="77777777" w:rsidR="00367FBA" w:rsidRPr="00367FBA" w:rsidRDefault="00367FBA" w:rsidP="00367FBA">
            <w:pPr>
              <w:pStyle w:val="ListParagraph"/>
              <w:numPr>
                <w:ilvl w:val="0"/>
                <w:numId w:val="36"/>
              </w:numPr>
              <w:spacing w:before="0" w:after="200" w:line="240" w:lineRule="auto"/>
              <w:rPr>
                <w:rFonts w:ascii="Aptos" w:eastAsia="Aptos" w:hAnsi="Aptos" w:cs="Aptos"/>
                <w:color w:val="000000" w:themeColor="text1"/>
              </w:rPr>
            </w:pPr>
            <w:r w:rsidRPr="00367FBA">
              <w:rPr>
                <w:b/>
                <w:bCs/>
                <w:color w:val="000000" w:themeColor="text1"/>
              </w:rPr>
              <w:t>E</w:t>
            </w:r>
            <w:r w:rsidRPr="00367FBA">
              <w:rPr>
                <w:rFonts w:ascii="Aptos" w:eastAsia="Aptos" w:hAnsi="Aptos" w:cs="Aptos"/>
                <w:b/>
                <w:bCs/>
                <w:color w:val="000000" w:themeColor="text1"/>
              </w:rPr>
              <w:t xml:space="preserve">nhance non-carbon mitigation </w:t>
            </w:r>
            <w:r w:rsidRPr="00367FBA">
              <w:rPr>
                <w:b/>
                <w:bCs/>
                <w:color w:val="000000" w:themeColor="text1"/>
              </w:rPr>
              <w:t>benefits</w:t>
            </w:r>
            <w:r w:rsidRPr="00367FBA">
              <w:rPr>
                <w:rFonts w:ascii="Aptos" w:eastAsia="Aptos" w:hAnsi="Aptos" w:cs="Aptos"/>
                <w:b/>
                <w:bCs/>
                <w:color w:val="000000" w:themeColor="text1"/>
              </w:rPr>
              <w:t xml:space="preserve"> of forests,</w:t>
            </w:r>
            <w:r w:rsidRPr="00367FBA">
              <w:rPr>
                <w:rFonts w:ascii="Aptos" w:eastAsia="Aptos" w:hAnsi="Aptos" w:cs="Aptos"/>
                <w:color w:val="000000" w:themeColor="text1"/>
              </w:rPr>
              <w:t xml:space="preserve"> and bridge climate mitigation, adaptation and biodiversity agendas</w:t>
            </w:r>
          </w:p>
        </w:tc>
        <w:tc>
          <w:tcPr>
            <w:tcW w:w="3292" w:type="pct"/>
            <w:tcBorders>
              <w:top w:val="single" w:sz="4" w:space="0" w:color="auto"/>
              <w:left w:val="single" w:sz="4" w:space="0" w:color="auto"/>
              <w:bottom w:val="single" w:sz="4" w:space="0" w:color="auto"/>
              <w:right w:val="single" w:sz="4" w:space="0" w:color="auto"/>
            </w:tcBorders>
          </w:tcPr>
          <w:p w14:paraId="1888455A" w14:textId="77777777" w:rsidR="00367FBA" w:rsidRPr="0007699E" w:rsidRDefault="00367FBA" w:rsidP="00367FBA">
            <w:pPr>
              <w:pStyle w:val="ListParagraph"/>
              <w:numPr>
                <w:ilvl w:val="0"/>
                <w:numId w:val="35"/>
              </w:numPr>
              <w:spacing w:before="0" w:after="200" w:line="240" w:lineRule="auto"/>
              <w:ind w:left="360"/>
              <w:rPr>
                <w:rFonts w:ascii="Aptos" w:eastAsia="Aptos" w:hAnsi="Aptos" w:cs="Aptos"/>
                <w:color w:val="000000" w:themeColor="text1"/>
              </w:rPr>
            </w:pPr>
            <w:r w:rsidRPr="0007699E">
              <w:rPr>
                <w:rFonts w:ascii="Aptos" w:eastAsia="Aptos" w:hAnsi="Aptos" w:cs="Aptos"/>
                <w:color w:val="000000" w:themeColor="text1"/>
              </w:rPr>
              <w:t>Supporting the mitigation and adaptation potential of Forest-Water-Climate nexus.</w:t>
            </w:r>
          </w:p>
          <w:p w14:paraId="3ED944FE" w14:textId="77777777" w:rsidR="00367FBA" w:rsidRPr="0007699E" w:rsidRDefault="00367FBA" w:rsidP="00367FBA">
            <w:pPr>
              <w:pStyle w:val="ListParagraph"/>
              <w:numPr>
                <w:ilvl w:val="0"/>
                <w:numId w:val="35"/>
              </w:numPr>
              <w:spacing w:before="0" w:after="200" w:line="240" w:lineRule="auto"/>
              <w:ind w:left="360"/>
              <w:rPr>
                <w:rFonts w:ascii="Aptos" w:eastAsia="Aptos" w:hAnsi="Aptos" w:cs="Aptos"/>
                <w:color w:val="000000" w:themeColor="text1"/>
              </w:rPr>
            </w:pPr>
            <w:r w:rsidRPr="0007699E">
              <w:rPr>
                <w:rFonts w:ascii="Aptos" w:eastAsia="Aptos" w:hAnsi="Aptos" w:cs="Aptos"/>
                <w:color w:val="000000" w:themeColor="text1"/>
              </w:rPr>
              <w:t>Align forest climate mitigation objectives with biodiversity, adaptation co-benefits and through forest-related disaster risk management</w:t>
            </w:r>
          </w:p>
        </w:tc>
      </w:tr>
    </w:tbl>
    <w:p w14:paraId="35F14C68" w14:textId="77777777" w:rsidR="00970ED2" w:rsidRDefault="00970ED2" w:rsidP="00762CAE">
      <w:pPr>
        <w:pStyle w:val="Heading1"/>
      </w:pPr>
    </w:p>
    <w:sectPr w:rsidR="00970ED2" w:rsidSect="00367FB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1CDDA" w14:textId="77777777" w:rsidR="00CA568F" w:rsidRDefault="00CA568F" w:rsidP="00E62A58">
      <w:pPr>
        <w:spacing w:before="0" w:after="0" w:line="240" w:lineRule="auto"/>
      </w:pPr>
      <w:r>
        <w:separator/>
      </w:r>
    </w:p>
  </w:endnote>
  <w:endnote w:type="continuationSeparator" w:id="0">
    <w:p w14:paraId="4A9586AB" w14:textId="77777777" w:rsidR="00CA568F" w:rsidRDefault="00CA568F" w:rsidP="00E62A58">
      <w:pPr>
        <w:spacing w:before="0" w:after="0" w:line="240" w:lineRule="auto"/>
      </w:pPr>
      <w:r>
        <w:continuationSeparator/>
      </w:r>
    </w:p>
  </w:endnote>
  <w:endnote w:type="continuationNotice" w:id="1">
    <w:p w14:paraId="1BA997B7" w14:textId="77777777" w:rsidR="00CA568F" w:rsidRDefault="00CA568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014488"/>
      <w:docPartObj>
        <w:docPartGallery w:val="Page Numbers (Bottom of Page)"/>
        <w:docPartUnique/>
      </w:docPartObj>
    </w:sdtPr>
    <w:sdtEndPr>
      <w:rPr>
        <w:noProof/>
      </w:rPr>
    </w:sdtEndPr>
    <w:sdtContent>
      <w:p w14:paraId="23553FD1" w14:textId="77777777" w:rsidR="00BA27F3" w:rsidRDefault="00BA2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E0002" w14:textId="77777777" w:rsidR="00BA27F3" w:rsidRDefault="00B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E3A0F" w14:textId="77777777" w:rsidR="00CA568F" w:rsidRDefault="00CA568F" w:rsidP="00E62A58">
      <w:pPr>
        <w:spacing w:before="0" w:after="0" w:line="240" w:lineRule="auto"/>
      </w:pPr>
      <w:r>
        <w:separator/>
      </w:r>
    </w:p>
  </w:footnote>
  <w:footnote w:type="continuationSeparator" w:id="0">
    <w:p w14:paraId="104DC801" w14:textId="77777777" w:rsidR="00CA568F" w:rsidRDefault="00CA568F" w:rsidP="00E62A58">
      <w:pPr>
        <w:spacing w:before="0" w:after="0" w:line="240" w:lineRule="auto"/>
      </w:pPr>
      <w:r>
        <w:continuationSeparator/>
      </w:r>
    </w:p>
  </w:footnote>
  <w:footnote w:type="continuationNotice" w:id="1">
    <w:p w14:paraId="4A9C71B2" w14:textId="77777777" w:rsidR="00CA568F" w:rsidRDefault="00CA568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8A83" w14:textId="690E8190" w:rsidR="00BA27F3" w:rsidRPr="00EA2B9A" w:rsidRDefault="00BA27F3">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8E9"/>
    <w:multiLevelType w:val="hybridMultilevel"/>
    <w:tmpl w:val="E35A781A"/>
    <w:lvl w:ilvl="0" w:tplc="2000000F">
      <w:start w:val="1"/>
      <w:numFmt w:val="decimal"/>
      <w:lvlText w:val="%1."/>
      <w:lvlJc w:val="left"/>
      <w:pPr>
        <w:ind w:left="360" w:hanging="360"/>
      </w:pPr>
    </w:lvl>
    <w:lvl w:ilvl="1" w:tplc="E402B674">
      <w:start w:val="1"/>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6779D"/>
    <w:multiLevelType w:val="hybridMultilevel"/>
    <w:tmpl w:val="CA244926"/>
    <w:lvl w:ilvl="0" w:tplc="9A9AB564">
      <w:start w:val="1"/>
      <w:numFmt w:val="decimal"/>
      <w:lvlText w:val="%1."/>
      <w:lvlJc w:val="left"/>
      <w:pPr>
        <w:ind w:left="360" w:hanging="360"/>
      </w:pPr>
      <w:rPr>
        <w:rFonts w:hint="default"/>
      </w:rPr>
    </w:lvl>
    <w:lvl w:ilvl="1" w:tplc="834EE940">
      <w:start w:val="1"/>
      <w:numFmt w:val="lowerLetter"/>
      <w:lvlText w:val="%2."/>
      <w:lvlJc w:val="left"/>
      <w:pPr>
        <w:ind w:left="852" w:hanging="132"/>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A20582"/>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1F5EE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13206A"/>
    <w:multiLevelType w:val="hybridMultilevel"/>
    <w:tmpl w:val="70A6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31AF5"/>
    <w:multiLevelType w:val="hybridMultilevel"/>
    <w:tmpl w:val="BE74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F16CB"/>
    <w:multiLevelType w:val="hybridMultilevel"/>
    <w:tmpl w:val="6354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3C9"/>
    <w:multiLevelType w:val="hybridMultilevel"/>
    <w:tmpl w:val="82FA22F4"/>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0C25D7"/>
    <w:multiLevelType w:val="hybridMultilevel"/>
    <w:tmpl w:val="C3FADC1E"/>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82C8A"/>
    <w:multiLevelType w:val="hybridMultilevel"/>
    <w:tmpl w:val="B88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461F7"/>
    <w:multiLevelType w:val="hybridMultilevel"/>
    <w:tmpl w:val="06B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72F2E"/>
    <w:multiLevelType w:val="hybridMultilevel"/>
    <w:tmpl w:val="9270454A"/>
    <w:lvl w:ilvl="0" w:tplc="2000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70918DE"/>
    <w:multiLevelType w:val="hybridMultilevel"/>
    <w:tmpl w:val="A12A2FEA"/>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75D2760"/>
    <w:multiLevelType w:val="hybridMultilevel"/>
    <w:tmpl w:val="C804EF6C"/>
    <w:lvl w:ilvl="0" w:tplc="B1B29462">
      <w:start w:val="1"/>
      <w:numFmt w:val="decimal"/>
      <w:lvlText w:val="%1."/>
      <w:lvlJc w:val="left"/>
      <w:pPr>
        <w:ind w:left="360" w:hanging="360"/>
      </w:pPr>
      <w:rPr>
        <w:rFonts w:asciiTheme="minorHAnsi" w:eastAsiaTheme="minorHAnsi" w:hAnsiTheme="minorHAnsi" w:cstheme="minorBidi" w:hint="default"/>
        <w:b w:val="0"/>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DC57D2C"/>
    <w:multiLevelType w:val="hybridMultilevel"/>
    <w:tmpl w:val="DB2E3338"/>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07A3756"/>
    <w:multiLevelType w:val="hybridMultilevel"/>
    <w:tmpl w:val="323A6706"/>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E07BD2"/>
    <w:multiLevelType w:val="hybridMultilevel"/>
    <w:tmpl w:val="A25C451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1F87736"/>
    <w:multiLevelType w:val="hybridMultilevel"/>
    <w:tmpl w:val="64DA9CFA"/>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355475A"/>
    <w:multiLevelType w:val="hybridMultilevel"/>
    <w:tmpl w:val="BD784F04"/>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5AB01CD"/>
    <w:multiLevelType w:val="hybridMultilevel"/>
    <w:tmpl w:val="BD784F04"/>
    <w:lvl w:ilvl="0" w:tplc="200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36183A"/>
    <w:multiLevelType w:val="hybridMultilevel"/>
    <w:tmpl w:val="D29AE80C"/>
    <w:lvl w:ilvl="0" w:tplc="FFFFFFFF">
      <w:start w:val="1"/>
      <w:numFmt w:val="decimal"/>
      <w:lvlText w:val="%1."/>
      <w:lvlJc w:val="left"/>
      <w:pPr>
        <w:ind w:left="360" w:hanging="360"/>
      </w:pPr>
      <w:rPr>
        <w:rFonts w:hint="default"/>
        <w:b/>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BF12B9C"/>
    <w:multiLevelType w:val="hybridMultilevel"/>
    <w:tmpl w:val="6FDCEC32"/>
    <w:lvl w:ilvl="0" w:tplc="2000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CF10B3F"/>
    <w:multiLevelType w:val="hybridMultilevel"/>
    <w:tmpl w:val="36F81CB0"/>
    <w:lvl w:ilvl="0" w:tplc="A24CC1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FA4EF6"/>
    <w:multiLevelType w:val="hybridMultilevel"/>
    <w:tmpl w:val="CEE2637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8924D8"/>
    <w:multiLevelType w:val="hybridMultilevel"/>
    <w:tmpl w:val="3F7A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134957"/>
    <w:multiLevelType w:val="hybridMultilevel"/>
    <w:tmpl w:val="B310201A"/>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6B7EA2"/>
    <w:multiLevelType w:val="hybridMultilevel"/>
    <w:tmpl w:val="B0F2BC0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D5267C8"/>
    <w:multiLevelType w:val="hybridMultilevel"/>
    <w:tmpl w:val="7674AF78"/>
    <w:lvl w:ilvl="0" w:tplc="3CE692F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DE31AB0"/>
    <w:multiLevelType w:val="hybridMultilevel"/>
    <w:tmpl w:val="20A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1323A4"/>
    <w:multiLevelType w:val="hybridMultilevel"/>
    <w:tmpl w:val="E3DAD5F4"/>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C12EC3"/>
    <w:multiLevelType w:val="hybridMultilevel"/>
    <w:tmpl w:val="F7C87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7D3E9D"/>
    <w:multiLevelType w:val="hybridMultilevel"/>
    <w:tmpl w:val="3FDE9AA2"/>
    <w:lvl w:ilvl="0" w:tplc="200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BEF7A4A"/>
    <w:multiLevelType w:val="hybridMultilevel"/>
    <w:tmpl w:val="7EB8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0259AF"/>
    <w:multiLevelType w:val="hybridMultilevel"/>
    <w:tmpl w:val="B92AEEF8"/>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6FB570D"/>
    <w:multiLevelType w:val="hybridMultilevel"/>
    <w:tmpl w:val="94760C26"/>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165AE7"/>
    <w:multiLevelType w:val="hybridMultilevel"/>
    <w:tmpl w:val="34284A5C"/>
    <w:lvl w:ilvl="0" w:tplc="2000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2104770">
    <w:abstractNumId w:val="32"/>
  </w:num>
  <w:num w:numId="2" w16cid:durableId="628583751">
    <w:abstractNumId w:val="6"/>
  </w:num>
  <w:num w:numId="3" w16cid:durableId="1973559108">
    <w:abstractNumId w:val="9"/>
  </w:num>
  <w:num w:numId="4" w16cid:durableId="890120941">
    <w:abstractNumId w:val="0"/>
  </w:num>
  <w:num w:numId="5" w16cid:durableId="1179856396">
    <w:abstractNumId w:val="15"/>
  </w:num>
  <w:num w:numId="6" w16cid:durableId="754857283">
    <w:abstractNumId w:val="7"/>
  </w:num>
  <w:num w:numId="7" w16cid:durableId="338428606">
    <w:abstractNumId w:val="29"/>
  </w:num>
  <w:num w:numId="8" w16cid:durableId="999966452">
    <w:abstractNumId w:val="11"/>
  </w:num>
  <w:num w:numId="9" w16cid:durableId="1784884577">
    <w:abstractNumId w:val="10"/>
  </w:num>
  <w:num w:numId="10" w16cid:durableId="804546971">
    <w:abstractNumId w:val="27"/>
  </w:num>
  <w:num w:numId="11" w16cid:durableId="604847844">
    <w:abstractNumId w:val="20"/>
  </w:num>
  <w:num w:numId="12" w16cid:durableId="1461415782">
    <w:abstractNumId w:val="19"/>
  </w:num>
  <w:num w:numId="13" w16cid:durableId="1205562053">
    <w:abstractNumId w:val="1"/>
  </w:num>
  <w:num w:numId="14" w16cid:durableId="1897159792">
    <w:abstractNumId w:val="2"/>
  </w:num>
  <w:num w:numId="15" w16cid:durableId="2129856163">
    <w:abstractNumId w:val="18"/>
  </w:num>
  <w:num w:numId="16" w16cid:durableId="1974754305">
    <w:abstractNumId w:val="3"/>
  </w:num>
  <w:num w:numId="17" w16cid:durableId="1934392897">
    <w:abstractNumId w:val="21"/>
  </w:num>
  <w:num w:numId="18" w16cid:durableId="844638022">
    <w:abstractNumId w:val="26"/>
  </w:num>
  <w:num w:numId="19" w16cid:durableId="1623341512">
    <w:abstractNumId w:val="35"/>
  </w:num>
  <w:num w:numId="20" w16cid:durableId="1937516796">
    <w:abstractNumId w:val="34"/>
  </w:num>
  <w:num w:numId="21" w16cid:durableId="1916742550">
    <w:abstractNumId w:val="28"/>
  </w:num>
  <w:num w:numId="22" w16cid:durableId="1133988518">
    <w:abstractNumId w:val="4"/>
  </w:num>
  <w:num w:numId="23" w16cid:durableId="5862863">
    <w:abstractNumId w:val="24"/>
  </w:num>
  <w:num w:numId="24" w16cid:durableId="940406743">
    <w:abstractNumId w:val="12"/>
  </w:num>
  <w:num w:numId="25" w16cid:durableId="81924292">
    <w:abstractNumId w:val="16"/>
  </w:num>
  <w:num w:numId="26" w16cid:durableId="1488938434">
    <w:abstractNumId w:val="31"/>
  </w:num>
  <w:num w:numId="27" w16cid:durableId="1314136328">
    <w:abstractNumId w:val="14"/>
  </w:num>
  <w:num w:numId="28" w16cid:durableId="80109082">
    <w:abstractNumId w:val="22"/>
  </w:num>
  <w:num w:numId="29" w16cid:durableId="1668485430">
    <w:abstractNumId w:val="30"/>
  </w:num>
  <w:num w:numId="30" w16cid:durableId="377165745">
    <w:abstractNumId w:val="5"/>
  </w:num>
  <w:num w:numId="31" w16cid:durableId="449326328">
    <w:abstractNumId w:val="25"/>
  </w:num>
  <w:num w:numId="32" w16cid:durableId="65344068">
    <w:abstractNumId w:val="33"/>
  </w:num>
  <w:num w:numId="33" w16cid:durableId="2116636478">
    <w:abstractNumId w:val="17"/>
  </w:num>
  <w:num w:numId="34" w16cid:durableId="68618031">
    <w:abstractNumId w:val="23"/>
  </w:num>
  <w:num w:numId="35" w16cid:durableId="1050882254">
    <w:abstractNumId w:val="8"/>
  </w:num>
  <w:num w:numId="36" w16cid:durableId="147082832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58"/>
    <w:rsid w:val="0000005A"/>
    <w:rsid w:val="00000A1C"/>
    <w:rsid w:val="0000736C"/>
    <w:rsid w:val="00011BAF"/>
    <w:rsid w:val="00012E26"/>
    <w:rsid w:val="00021DBF"/>
    <w:rsid w:val="000279F3"/>
    <w:rsid w:val="00035C09"/>
    <w:rsid w:val="00044345"/>
    <w:rsid w:val="0005027A"/>
    <w:rsid w:val="00054D01"/>
    <w:rsid w:val="000558DB"/>
    <w:rsid w:val="00067865"/>
    <w:rsid w:val="00080D30"/>
    <w:rsid w:val="0008232A"/>
    <w:rsid w:val="000828F7"/>
    <w:rsid w:val="0008383B"/>
    <w:rsid w:val="00094CB6"/>
    <w:rsid w:val="000A0F1E"/>
    <w:rsid w:val="000B5AEA"/>
    <w:rsid w:val="000D381B"/>
    <w:rsid w:val="000D65C3"/>
    <w:rsid w:val="000D6A76"/>
    <w:rsid w:val="000F2964"/>
    <w:rsid w:val="001026C5"/>
    <w:rsid w:val="00102A08"/>
    <w:rsid w:val="00120811"/>
    <w:rsid w:val="0013017C"/>
    <w:rsid w:val="00130B71"/>
    <w:rsid w:val="00135AA4"/>
    <w:rsid w:val="00135B68"/>
    <w:rsid w:val="00137013"/>
    <w:rsid w:val="0014041D"/>
    <w:rsid w:val="00144613"/>
    <w:rsid w:val="00145A3D"/>
    <w:rsid w:val="00145C7A"/>
    <w:rsid w:val="00151110"/>
    <w:rsid w:val="00152FEB"/>
    <w:rsid w:val="001534D8"/>
    <w:rsid w:val="001602F5"/>
    <w:rsid w:val="00164CC9"/>
    <w:rsid w:val="001651FF"/>
    <w:rsid w:val="0016535B"/>
    <w:rsid w:val="00166F96"/>
    <w:rsid w:val="00176710"/>
    <w:rsid w:val="00177E8D"/>
    <w:rsid w:val="0018016E"/>
    <w:rsid w:val="001846E9"/>
    <w:rsid w:val="00190097"/>
    <w:rsid w:val="00192B48"/>
    <w:rsid w:val="001A08EE"/>
    <w:rsid w:val="001A37BF"/>
    <w:rsid w:val="001A3991"/>
    <w:rsid w:val="001A642D"/>
    <w:rsid w:val="001A696C"/>
    <w:rsid w:val="001B12F4"/>
    <w:rsid w:val="001B1F36"/>
    <w:rsid w:val="001B7E31"/>
    <w:rsid w:val="001C0E52"/>
    <w:rsid w:val="001C13AD"/>
    <w:rsid w:val="001C4C68"/>
    <w:rsid w:val="001C5A85"/>
    <w:rsid w:val="001C7AD0"/>
    <w:rsid w:val="001E08D9"/>
    <w:rsid w:val="001E3067"/>
    <w:rsid w:val="001E5070"/>
    <w:rsid w:val="001E54EB"/>
    <w:rsid w:val="001F7EF7"/>
    <w:rsid w:val="002026E8"/>
    <w:rsid w:val="00202BDE"/>
    <w:rsid w:val="002052A1"/>
    <w:rsid w:val="00205E27"/>
    <w:rsid w:val="00211CB9"/>
    <w:rsid w:val="0021398A"/>
    <w:rsid w:val="00220C87"/>
    <w:rsid w:val="00221A67"/>
    <w:rsid w:val="0022535F"/>
    <w:rsid w:val="00230967"/>
    <w:rsid w:val="002324A1"/>
    <w:rsid w:val="002342CA"/>
    <w:rsid w:val="00242FA0"/>
    <w:rsid w:val="00244F7E"/>
    <w:rsid w:val="0024648D"/>
    <w:rsid w:val="002509A3"/>
    <w:rsid w:val="00252951"/>
    <w:rsid w:val="00267587"/>
    <w:rsid w:val="00273FB5"/>
    <w:rsid w:val="002765E1"/>
    <w:rsid w:val="002768BF"/>
    <w:rsid w:val="00277B6F"/>
    <w:rsid w:val="00281167"/>
    <w:rsid w:val="00286E8A"/>
    <w:rsid w:val="00293D58"/>
    <w:rsid w:val="002961D3"/>
    <w:rsid w:val="00296267"/>
    <w:rsid w:val="002A05F0"/>
    <w:rsid w:val="002A0910"/>
    <w:rsid w:val="002A0D4D"/>
    <w:rsid w:val="002A650E"/>
    <w:rsid w:val="002B2D67"/>
    <w:rsid w:val="002B5CF9"/>
    <w:rsid w:val="002B7A87"/>
    <w:rsid w:val="002B7E72"/>
    <w:rsid w:val="002C0FB2"/>
    <w:rsid w:val="002C77A9"/>
    <w:rsid w:val="002D2EAA"/>
    <w:rsid w:val="002D4F79"/>
    <w:rsid w:val="002E0E57"/>
    <w:rsid w:val="002F10DA"/>
    <w:rsid w:val="002F7B47"/>
    <w:rsid w:val="003013F1"/>
    <w:rsid w:val="00305E39"/>
    <w:rsid w:val="003072B7"/>
    <w:rsid w:val="003142A6"/>
    <w:rsid w:val="00316D3D"/>
    <w:rsid w:val="003173B0"/>
    <w:rsid w:val="00324A83"/>
    <w:rsid w:val="00326546"/>
    <w:rsid w:val="00333E6E"/>
    <w:rsid w:val="00335078"/>
    <w:rsid w:val="00340EC1"/>
    <w:rsid w:val="003429AE"/>
    <w:rsid w:val="00344734"/>
    <w:rsid w:val="00346308"/>
    <w:rsid w:val="00346DD2"/>
    <w:rsid w:val="00350BC8"/>
    <w:rsid w:val="00353DDE"/>
    <w:rsid w:val="00366438"/>
    <w:rsid w:val="003670F1"/>
    <w:rsid w:val="00367FBA"/>
    <w:rsid w:val="00371511"/>
    <w:rsid w:val="003723EA"/>
    <w:rsid w:val="00374332"/>
    <w:rsid w:val="003753EA"/>
    <w:rsid w:val="0037718E"/>
    <w:rsid w:val="003814CD"/>
    <w:rsid w:val="003839B4"/>
    <w:rsid w:val="0038793E"/>
    <w:rsid w:val="003A3ECD"/>
    <w:rsid w:val="003A3F34"/>
    <w:rsid w:val="003B157E"/>
    <w:rsid w:val="003C35B1"/>
    <w:rsid w:val="003D44E3"/>
    <w:rsid w:val="003E2569"/>
    <w:rsid w:val="003E5473"/>
    <w:rsid w:val="003E5F2C"/>
    <w:rsid w:val="003E6932"/>
    <w:rsid w:val="003F3D0A"/>
    <w:rsid w:val="003F442D"/>
    <w:rsid w:val="003F445A"/>
    <w:rsid w:val="00406FA3"/>
    <w:rsid w:val="00411BCD"/>
    <w:rsid w:val="0041430F"/>
    <w:rsid w:val="00417B09"/>
    <w:rsid w:val="00423A50"/>
    <w:rsid w:val="00425638"/>
    <w:rsid w:val="00430378"/>
    <w:rsid w:val="00432EF1"/>
    <w:rsid w:val="00442301"/>
    <w:rsid w:val="00447806"/>
    <w:rsid w:val="004618DD"/>
    <w:rsid w:val="0046752D"/>
    <w:rsid w:val="00472A17"/>
    <w:rsid w:val="004741DB"/>
    <w:rsid w:val="004A303E"/>
    <w:rsid w:val="004A5898"/>
    <w:rsid w:val="004B6330"/>
    <w:rsid w:val="004B6E2F"/>
    <w:rsid w:val="004B7092"/>
    <w:rsid w:val="004C1B8A"/>
    <w:rsid w:val="004D0A96"/>
    <w:rsid w:val="004D559A"/>
    <w:rsid w:val="004E6884"/>
    <w:rsid w:val="004E713F"/>
    <w:rsid w:val="004E76AA"/>
    <w:rsid w:val="004F582D"/>
    <w:rsid w:val="00503748"/>
    <w:rsid w:val="00503E7C"/>
    <w:rsid w:val="0050484D"/>
    <w:rsid w:val="00512840"/>
    <w:rsid w:val="0051465A"/>
    <w:rsid w:val="00531CFF"/>
    <w:rsid w:val="0054005B"/>
    <w:rsid w:val="0055155E"/>
    <w:rsid w:val="005554E9"/>
    <w:rsid w:val="00557B50"/>
    <w:rsid w:val="00557B63"/>
    <w:rsid w:val="00561118"/>
    <w:rsid w:val="00562A0C"/>
    <w:rsid w:val="0056462B"/>
    <w:rsid w:val="00566E4C"/>
    <w:rsid w:val="00574469"/>
    <w:rsid w:val="0057777B"/>
    <w:rsid w:val="00585A20"/>
    <w:rsid w:val="00592EF2"/>
    <w:rsid w:val="0059371F"/>
    <w:rsid w:val="00594520"/>
    <w:rsid w:val="005A2121"/>
    <w:rsid w:val="005A21A2"/>
    <w:rsid w:val="005B22C3"/>
    <w:rsid w:val="005B2C4C"/>
    <w:rsid w:val="005C0693"/>
    <w:rsid w:val="005D21E6"/>
    <w:rsid w:val="005D524D"/>
    <w:rsid w:val="005D60A6"/>
    <w:rsid w:val="005E320E"/>
    <w:rsid w:val="005E6D33"/>
    <w:rsid w:val="005E6FFA"/>
    <w:rsid w:val="005F2D3E"/>
    <w:rsid w:val="005F6520"/>
    <w:rsid w:val="006054D4"/>
    <w:rsid w:val="00605F41"/>
    <w:rsid w:val="00613542"/>
    <w:rsid w:val="00621601"/>
    <w:rsid w:val="00623F03"/>
    <w:rsid w:val="00624CE9"/>
    <w:rsid w:val="00627F1B"/>
    <w:rsid w:val="00630969"/>
    <w:rsid w:val="00634D7D"/>
    <w:rsid w:val="00644E3C"/>
    <w:rsid w:val="006564DB"/>
    <w:rsid w:val="006636DC"/>
    <w:rsid w:val="006721BB"/>
    <w:rsid w:val="00677729"/>
    <w:rsid w:val="0068579F"/>
    <w:rsid w:val="006942CE"/>
    <w:rsid w:val="00695B32"/>
    <w:rsid w:val="006A099A"/>
    <w:rsid w:val="006A1C49"/>
    <w:rsid w:val="006B1C0C"/>
    <w:rsid w:val="006C4D70"/>
    <w:rsid w:val="006D111E"/>
    <w:rsid w:val="006D70E0"/>
    <w:rsid w:val="006E6C58"/>
    <w:rsid w:val="006F0D73"/>
    <w:rsid w:val="006F1853"/>
    <w:rsid w:val="006F6E90"/>
    <w:rsid w:val="00706FBB"/>
    <w:rsid w:val="00710A78"/>
    <w:rsid w:val="007203B0"/>
    <w:rsid w:val="00720B08"/>
    <w:rsid w:val="00721F41"/>
    <w:rsid w:val="007305BA"/>
    <w:rsid w:val="00746ED1"/>
    <w:rsid w:val="007503F1"/>
    <w:rsid w:val="00762421"/>
    <w:rsid w:val="00762CAE"/>
    <w:rsid w:val="0077207B"/>
    <w:rsid w:val="00772FF5"/>
    <w:rsid w:val="00780567"/>
    <w:rsid w:val="00782FF1"/>
    <w:rsid w:val="007902A6"/>
    <w:rsid w:val="00793B79"/>
    <w:rsid w:val="00795521"/>
    <w:rsid w:val="007D1887"/>
    <w:rsid w:val="007D2A55"/>
    <w:rsid w:val="007D4CA1"/>
    <w:rsid w:val="007E03B8"/>
    <w:rsid w:val="007E1319"/>
    <w:rsid w:val="007E4F0C"/>
    <w:rsid w:val="007F16F1"/>
    <w:rsid w:val="007F36A4"/>
    <w:rsid w:val="007F63E9"/>
    <w:rsid w:val="00802755"/>
    <w:rsid w:val="0080335E"/>
    <w:rsid w:val="00807C94"/>
    <w:rsid w:val="008129EC"/>
    <w:rsid w:val="00815036"/>
    <w:rsid w:val="008164E6"/>
    <w:rsid w:val="00823483"/>
    <w:rsid w:val="00830EF5"/>
    <w:rsid w:val="00831BD5"/>
    <w:rsid w:val="00833B9E"/>
    <w:rsid w:val="00834F30"/>
    <w:rsid w:val="008415E8"/>
    <w:rsid w:val="00845183"/>
    <w:rsid w:val="008541D2"/>
    <w:rsid w:val="00854DC7"/>
    <w:rsid w:val="00855DA7"/>
    <w:rsid w:val="00860752"/>
    <w:rsid w:val="008652BE"/>
    <w:rsid w:val="00867785"/>
    <w:rsid w:val="00873755"/>
    <w:rsid w:val="00885943"/>
    <w:rsid w:val="008907A4"/>
    <w:rsid w:val="0089360A"/>
    <w:rsid w:val="008971C5"/>
    <w:rsid w:val="008A1BC8"/>
    <w:rsid w:val="008A60E4"/>
    <w:rsid w:val="008B0C7C"/>
    <w:rsid w:val="008B7ADD"/>
    <w:rsid w:val="008C28A3"/>
    <w:rsid w:val="008D0AE0"/>
    <w:rsid w:val="008D1A1E"/>
    <w:rsid w:val="008D7348"/>
    <w:rsid w:val="008E27EE"/>
    <w:rsid w:val="008E2FCC"/>
    <w:rsid w:val="008F1CF0"/>
    <w:rsid w:val="008F4287"/>
    <w:rsid w:val="008F49BF"/>
    <w:rsid w:val="008F59C2"/>
    <w:rsid w:val="008F5B58"/>
    <w:rsid w:val="009020F0"/>
    <w:rsid w:val="00913C08"/>
    <w:rsid w:val="00914867"/>
    <w:rsid w:val="00914BED"/>
    <w:rsid w:val="009309A8"/>
    <w:rsid w:val="00941F4C"/>
    <w:rsid w:val="00942E36"/>
    <w:rsid w:val="0094488E"/>
    <w:rsid w:val="00954509"/>
    <w:rsid w:val="00962C2F"/>
    <w:rsid w:val="00970ED2"/>
    <w:rsid w:val="00971185"/>
    <w:rsid w:val="00977E4F"/>
    <w:rsid w:val="00992721"/>
    <w:rsid w:val="009A0634"/>
    <w:rsid w:val="009A10FC"/>
    <w:rsid w:val="009A3162"/>
    <w:rsid w:val="009A6F41"/>
    <w:rsid w:val="009B1C40"/>
    <w:rsid w:val="009C514E"/>
    <w:rsid w:val="009C5D3A"/>
    <w:rsid w:val="009C6169"/>
    <w:rsid w:val="009D6FD7"/>
    <w:rsid w:val="009F0B23"/>
    <w:rsid w:val="00A03068"/>
    <w:rsid w:val="00A06A99"/>
    <w:rsid w:val="00A10408"/>
    <w:rsid w:val="00A1315D"/>
    <w:rsid w:val="00A131F3"/>
    <w:rsid w:val="00A169AE"/>
    <w:rsid w:val="00A2280F"/>
    <w:rsid w:val="00A305AE"/>
    <w:rsid w:val="00A40A8A"/>
    <w:rsid w:val="00A42A8C"/>
    <w:rsid w:val="00A45BAB"/>
    <w:rsid w:val="00A461F6"/>
    <w:rsid w:val="00A47243"/>
    <w:rsid w:val="00A5110C"/>
    <w:rsid w:val="00A60356"/>
    <w:rsid w:val="00A611CE"/>
    <w:rsid w:val="00A6184E"/>
    <w:rsid w:val="00A63C5D"/>
    <w:rsid w:val="00A7019F"/>
    <w:rsid w:val="00A729E5"/>
    <w:rsid w:val="00A8157B"/>
    <w:rsid w:val="00A849AA"/>
    <w:rsid w:val="00A93687"/>
    <w:rsid w:val="00A936EF"/>
    <w:rsid w:val="00A942DB"/>
    <w:rsid w:val="00A94A9A"/>
    <w:rsid w:val="00A952A0"/>
    <w:rsid w:val="00A967CB"/>
    <w:rsid w:val="00A96A1D"/>
    <w:rsid w:val="00AA5DE9"/>
    <w:rsid w:val="00AB658B"/>
    <w:rsid w:val="00AC419E"/>
    <w:rsid w:val="00AC42FE"/>
    <w:rsid w:val="00AC5A76"/>
    <w:rsid w:val="00AD1C65"/>
    <w:rsid w:val="00AD6418"/>
    <w:rsid w:val="00AE03E8"/>
    <w:rsid w:val="00AE2C46"/>
    <w:rsid w:val="00AE3D83"/>
    <w:rsid w:val="00AF02C4"/>
    <w:rsid w:val="00B12FA3"/>
    <w:rsid w:val="00B138D6"/>
    <w:rsid w:val="00B172A3"/>
    <w:rsid w:val="00B24702"/>
    <w:rsid w:val="00B3038C"/>
    <w:rsid w:val="00B30AC7"/>
    <w:rsid w:val="00B3542C"/>
    <w:rsid w:val="00B36A15"/>
    <w:rsid w:val="00B37A4E"/>
    <w:rsid w:val="00B37CDB"/>
    <w:rsid w:val="00B43148"/>
    <w:rsid w:val="00B4512C"/>
    <w:rsid w:val="00B565BB"/>
    <w:rsid w:val="00B632BB"/>
    <w:rsid w:val="00B643FB"/>
    <w:rsid w:val="00B727FA"/>
    <w:rsid w:val="00B72908"/>
    <w:rsid w:val="00B72FB9"/>
    <w:rsid w:val="00B75B2D"/>
    <w:rsid w:val="00B83BE1"/>
    <w:rsid w:val="00B916CE"/>
    <w:rsid w:val="00B91793"/>
    <w:rsid w:val="00B929C6"/>
    <w:rsid w:val="00B93925"/>
    <w:rsid w:val="00BA082F"/>
    <w:rsid w:val="00BA27F3"/>
    <w:rsid w:val="00BB66AB"/>
    <w:rsid w:val="00BC0555"/>
    <w:rsid w:val="00BD006E"/>
    <w:rsid w:val="00BD38A7"/>
    <w:rsid w:val="00BD7526"/>
    <w:rsid w:val="00BE08F3"/>
    <w:rsid w:val="00BE2AFD"/>
    <w:rsid w:val="00BE49FD"/>
    <w:rsid w:val="00BE65E5"/>
    <w:rsid w:val="00BE7DFE"/>
    <w:rsid w:val="00BF10FE"/>
    <w:rsid w:val="00BF4CA5"/>
    <w:rsid w:val="00BF4D88"/>
    <w:rsid w:val="00BF538B"/>
    <w:rsid w:val="00BF62FB"/>
    <w:rsid w:val="00C03FC6"/>
    <w:rsid w:val="00C044AE"/>
    <w:rsid w:val="00C056C8"/>
    <w:rsid w:val="00C12D32"/>
    <w:rsid w:val="00C13B6E"/>
    <w:rsid w:val="00C146E3"/>
    <w:rsid w:val="00C24669"/>
    <w:rsid w:val="00C2683D"/>
    <w:rsid w:val="00C36131"/>
    <w:rsid w:val="00C36AC6"/>
    <w:rsid w:val="00C37309"/>
    <w:rsid w:val="00C44391"/>
    <w:rsid w:val="00C46C9B"/>
    <w:rsid w:val="00C50D22"/>
    <w:rsid w:val="00C53891"/>
    <w:rsid w:val="00C54F9A"/>
    <w:rsid w:val="00C62FFD"/>
    <w:rsid w:val="00C66902"/>
    <w:rsid w:val="00C7088A"/>
    <w:rsid w:val="00C74BBE"/>
    <w:rsid w:val="00C82C66"/>
    <w:rsid w:val="00C83753"/>
    <w:rsid w:val="00C85F1F"/>
    <w:rsid w:val="00C9241A"/>
    <w:rsid w:val="00C943C4"/>
    <w:rsid w:val="00C94D94"/>
    <w:rsid w:val="00C95977"/>
    <w:rsid w:val="00CA232E"/>
    <w:rsid w:val="00CA361A"/>
    <w:rsid w:val="00CA568F"/>
    <w:rsid w:val="00CB4517"/>
    <w:rsid w:val="00CB594B"/>
    <w:rsid w:val="00CC57BC"/>
    <w:rsid w:val="00CD2922"/>
    <w:rsid w:val="00CD4F47"/>
    <w:rsid w:val="00CE12C4"/>
    <w:rsid w:val="00CE4D3C"/>
    <w:rsid w:val="00CF43A3"/>
    <w:rsid w:val="00D00442"/>
    <w:rsid w:val="00D03E6A"/>
    <w:rsid w:val="00D1108D"/>
    <w:rsid w:val="00D137B1"/>
    <w:rsid w:val="00D229C5"/>
    <w:rsid w:val="00D23D33"/>
    <w:rsid w:val="00D25D57"/>
    <w:rsid w:val="00D32035"/>
    <w:rsid w:val="00D330F2"/>
    <w:rsid w:val="00D36F5E"/>
    <w:rsid w:val="00D511E7"/>
    <w:rsid w:val="00D51537"/>
    <w:rsid w:val="00D52FDC"/>
    <w:rsid w:val="00D539E3"/>
    <w:rsid w:val="00D55A63"/>
    <w:rsid w:val="00D73934"/>
    <w:rsid w:val="00D74401"/>
    <w:rsid w:val="00D803D2"/>
    <w:rsid w:val="00D80991"/>
    <w:rsid w:val="00D848B3"/>
    <w:rsid w:val="00D85B28"/>
    <w:rsid w:val="00DA1B25"/>
    <w:rsid w:val="00DA1CA7"/>
    <w:rsid w:val="00DA2F85"/>
    <w:rsid w:val="00DA3BCD"/>
    <w:rsid w:val="00DB0282"/>
    <w:rsid w:val="00DB3F60"/>
    <w:rsid w:val="00DB48CD"/>
    <w:rsid w:val="00DB63AC"/>
    <w:rsid w:val="00DB6AA4"/>
    <w:rsid w:val="00DC22C0"/>
    <w:rsid w:val="00DC2E0C"/>
    <w:rsid w:val="00DC3992"/>
    <w:rsid w:val="00DD1000"/>
    <w:rsid w:val="00DD4B2C"/>
    <w:rsid w:val="00DD5CBC"/>
    <w:rsid w:val="00DE39EE"/>
    <w:rsid w:val="00DF09FB"/>
    <w:rsid w:val="00DF34C2"/>
    <w:rsid w:val="00DF7C70"/>
    <w:rsid w:val="00DF7F92"/>
    <w:rsid w:val="00E047F2"/>
    <w:rsid w:val="00E15BBA"/>
    <w:rsid w:val="00E17F8E"/>
    <w:rsid w:val="00E20FA0"/>
    <w:rsid w:val="00E22648"/>
    <w:rsid w:val="00E23C61"/>
    <w:rsid w:val="00E24C1D"/>
    <w:rsid w:val="00E27E7C"/>
    <w:rsid w:val="00E32CB3"/>
    <w:rsid w:val="00E36303"/>
    <w:rsid w:val="00E3640B"/>
    <w:rsid w:val="00E40E11"/>
    <w:rsid w:val="00E41947"/>
    <w:rsid w:val="00E5320E"/>
    <w:rsid w:val="00E5733E"/>
    <w:rsid w:val="00E62A58"/>
    <w:rsid w:val="00E66AF7"/>
    <w:rsid w:val="00E846A6"/>
    <w:rsid w:val="00E8675E"/>
    <w:rsid w:val="00E951F6"/>
    <w:rsid w:val="00EB72D2"/>
    <w:rsid w:val="00EB7A2A"/>
    <w:rsid w:val="00EC1222"/>
    <w:rsid w:val="00EC1561"/>
    <w:rsid w:val="00EC533D"/>
    <w:rsid w:val="00EC560F"/>
    <w:rsid w:val="00ED0FBC"/>
    <w:rsid w:val="00ED1D63"/>
    <w:rsid w:val="00ED3785"/>
    <w:rsid w:val="00ED562D"/>
    <w:rsid w:val="00ED6976"/>
    <w:rsid w:val="00ED6ED0"/>
    <w:rsid w:val="00EE02EE"/>
    <w:rsid w:val="00EE114C"/>
    <w:rsid w:val="00EF5C09"/>
    <w:rsid w:val="00F15BDC"/>
    <w:rsid w:val="00F1618A"/>
    <w:rsid w:val="00F1721D"/>
    <w:rsid w:val="00F20255"/>
    <w:rsid w:val="00F223C1"/>
    <w:rsid w:val="00F22A16"/>
    <w:rsid w:val="00F231C9"/>
    <w:rsid w:val="00F33C7D"/>
    <w:rsid w:val="00F35FB0"/>
    <w:rsid w:val="00F3634E"/>
    <w:rsid w:val="00F40F67"/>
    <w:rsid w:val="00F450D0"/>
    <w:rsid w:val="00F4599B"/>
    <w:rsid w:val="00F46A06"/>
    <w:rsid w:val="00F51B0E"/>
    <w:rsid w:val="00F572A1"/>
    <w:rsid w:val="00F60D2A"/>
    <w:rsid w:val="00F64E2A"/>
    <w:rsid w:val="00F66987"/>
    <w:rsid w:val="00F76E95"/>
    <w:rsid w:val="00F8346A"/>
    <w:rsid w:val="00F92B20"/>
    <w:rsid w:val="00F97575"/>
    <w:rsid w:val="00F97B72"/>
    <w:rsid w:val="00FA1259"/>
    <w:rsid w:val="00FA25D0"/>
    <w:rsid w:val="00FA6C36"/>
    <w:rsid w:val="00FB1C61"/>
    <w:rsid w:val="00FB488B"/>
    <w:rsid w:val="00FC52B5"/>
    <w:rsid w:val="00FE22DF"/>
    <w:rsid w:val="00FF5839"/>
    <w:rsid w:val="01DA210A"/>
    <w:rsid w:val="01DEB022"/>
    <w:rsid w:val="01E1A2C5"/>
    <w:rsid w:val="030122DD"/>
    <w:rsid w:val="04D70CF3"/>
    <w:rsid w:val="055F4E04"/>
    <w:rsid w:val="05738D73"/>
    <w:rsid w:val="0583D595"/>
    <w:rsid w:val="058B7B3B"/>
    <w:rsid w:val="05DE0080"/>
    <w:rsid w:val="05FFF9C7"/>
    <w:rsid w:val="06975DA5"/>
    <w:rsid w:val="06B60BF9"/>
    <w:rsid w:val="07E143F2"/>
    <w:rsid w:val="0814ABE8"/>
    <w:rsid w:val="0858BBBC"/>
    <w:rsid w:val="08D5E084"/>
    <w:rsid w:val="08FB3AAE"/>
    <w:rsid w:val="094D7535"/>
    <w:rsid w:val="098C27CB"/>
    <w:rsid w:val="09C97787"/>
    <w:rsid w:val="0A2244AA"/>
    <w:rsid w:val="0A906A9C"/>
    <w:rsid w:val="0BFD153B"/>
    <w:rsid w:val="0C4239D2"/>
    <w:rsid w:val="0C993002"/>
    <w:rsid w:val="0CA8C27C"/>
    <w:rsid w:val="0CE27E0C"/>
    <w:rsid w:val="0DF3163D"/>
    <w:rsid w:val="0E1E5383"/>
    <w:rsid w:val="0E4F3FEE"/>
    <w:rsid w:val="0EC8EBD2"/>
    <w:rsid w:val="0F1E1392"/>
    <w:rsid w:val="0F2CB492"/>
    <w:rsid w:val="10D9B067"/>
    <w:rsid w:val="113C06D0"/>
    <w:rsid w:val="116CE340"/>
    <w:rsid w:val="1209BD36"/>
    <w:rsid w:val="1222C743"/>
    <w:rsid w:val="1332FE63"/>
    <w:rsid w:val="136FD38C"/>
    <w:rsid w:val="13C8E049"/>
    <w:rsid w:val="13DC3AD2"/>
    <w:rsid w:val="1455A131"/>
    <w:rsid w:val="14A0CB0E"/>
    <w:rsid w:val="14E017BB"/>
    <w:rsid w:val="14F7F8DB"/>
    <w:rsid w:val="151A27A6"/>
    <w:rsid w:val="1586FAB5"/>
    <w:rsid w:val="15AF4981"/>
    <w:rsid w:val="162EE7D6"/>
    <w:rsid w:val="1634ABA8"/>
    <w:rsid w:val="16749F5C"/>
    <w:rsid w:val="176CB95E"/>
    <w:rsid w:val="18455A5E"/>
    <w:rsid w:val="1C44FDDC"/>
    <w:rsid w:val="1D1D462C"/>
    <w:rsid w:val="1DE6BF87"/>
    <w:rsid w:val="1E6FDD13"/>
    <w:rsid w:val="1EABB0CF"/>
    <w:rsid w:val="1F406359"/>
    <w:rsid w:val="1F811E26"/>
    <w:rsid w:val="214350E2"/>
    <w:rsid w:val="21AE9F06"/>
    <w:rsid w:val="22FA8D58"/>
    <w:rsid w:val="2342E819"/>
    <w:rsid w:val="23967263"/>
    <w:rsid w:val="239E94D0"/>
    <w:rsid w:val="23AECB2D"/>
    <w:rsid w:val="23F5C096"/>
    <w:rsid w:val="24236ED6"/>
    <w:rsid w:val="245D45CC"/>
    <w:rsid w:val="245D6479"/>
    <w:rsid w:val="24B022E3"/>
    <w:rsid w:val="25297474"/>
    <w:rsid w:val="2571E83D"/>
    <w:rsid w:val="25B105B4"/>
    <w:rsid w:val="2668BB66"/>
    <w:rsid w:val="27608657"/>
    <w:rsid w:val="284AEC5F"/>
    <w:rsid w:val="288511F5"/>
    <w:rsid w:val="29BDAE01"/>
    <w:rsid w:val="2A1777B1"/>
    <w:rsid w:val="2A344B2B"/>
    <w:rsid w:val="2A9BB6E5"/>
    <w:rsid w:val="2AA346D5"/>
    <w:rsid w:val="2BC67F9E"/>
    <w:rsid w:val="2BC8E610"/>
    <w:rsid w:val="2E966B04"/>
    <w:rsid w:val="2F5756F6"/>
    <w:rsid w:val="30269082"/>
    <w:rsid w:val="304F5A73"/>
    <w:rsid w:val="30516C9C"/>
    <w:rsid w:val="309795B0"/>
    <w:rsid w:val="30A0AEF8"/>
    <w:rsid w:val="30CAC976"/>
    <w:rsid w:val="31375565"/>
    <w:rsid w:val="31D75318"/>
    <w:rsid w:val="329CBCB2"/>
    <w:rsid w:val="334CE291"/>
    <w:rsid w:val="33A54C2D"/>
    <w:rsid w:val="33BB3871"/>
    <w:rsid w:val="33BE49AB"/>
    <w:rsid w:val="349DF21F"/>
    <w:rsid w:val="35F9E276"/>
    <w:rsid w:val="363E9946"/>
    <w:rsid w:val="364A4504"/>
    <w:rsid w:val="36FB3B02"/>
    <w:rsid w:val="37C134FE"/>
    <w:rsid w:val="37EE27B9"/>
    <w:rsid w:val="3803E733"/>
    <w:rsid w:val="3805A305"/>
    <w:rsid w:val="384FED77"/>
    <w:rsid w:val="386504AE"/>
    <w:rsid w:val="3874D567"/>
    <w:rsid w:val="3913F753"/>
    <w:rsid w:val="3A81C0A1"/>
    <w:rsid w:val="3B5DB681"/>
    <w:rsid w:val="3B8FA0BE"/>
    <w:rsid w:val="3B9835B4"/>
    <w:rsid w:val="3BE2229F"/>
    <w:rsid w:val="3C5078A2"/>
    <w:rsid w:val="3CF715CD"/>
    <w:rsid w:val="3F9CC111"/>
    <w:rsid w:val="3FE594D6"/>
    <w:rsid w:val="4050EE05"/>
    <w:rsid w:val="40B2B31D"/>
    <w:rsid w:val="41339433"/>
    <w:rsid w:val="422F3429"/>
    <w:rsid w:val="42572992"/>
    <w:rsid w:val="4270C7B8"/>
    <w:rsid w:val="4298952C"/>
    <w:rsid w:val="42A5C3AF"/>
    <w:rsid w:val="43477C2D"/>
    <w:rsid w:val="434CD619"/>
    <w:rsid w:val="436EED6E"/>
    <w:rsid w:val="446257C6"/>
    <w:rsid w:val="46428495"/>
    <w:rsid w:val="46456095"/>
    <w:rsid w:val="46459CB8"/>
    <w:rsid w:val="48D116FE"/>
    <w:rsid w:val="48DA6556"/>
    <w:rsid w:val="49E5D7E9"/>
    <w:rsid w:val="4A86368A"/>
    <w:rsid w:val="4A9053A4"/>
    <w:rsid w:val="4B04F17F"/>
    <w:rsid w:val="4C3929C2"/>
    <w:rsid w:val="4C5A607B"/>
    <w:rsid w:val="4CDFF6EA"/>
    <w:rsid w:val="4D0BB97C"/>
    <w:rsid w:val="4DEE4239"/>
    <w:rsid w:val="4E707DDD"/>
    <w:rsid w:val="4F1467F5"/>
    <w:rsid w:val="4FB554EF"/>
    <w:rsid w:val="4FC4D2E1"/>
    <w:rsid w:val="50B48437"/>
    <w:rsid w:val="513D0617"/>
    <w:rsid w:val="52285CA2"/>
    <w:rsid w:val="525084FD"/>
    <w:rsid w:val="53794A3E"/>
    <w:rsid w:val="53C8F9F2"/>
    <w:rsid w:val="53CFDA3B"/>
    <w:rsid w:val="53F1DB3B"/>
    <w:rsid w:val="54AC423A"/>
    <w:rsid w:val="55106494"/>
    <w:rsid w:val="5528F28D"/>
    <w:rsid w:val="567E51E2"/>
    <w:rsid w:val="568B0755"/>
    <w:rsid w:val="570C9C49"/>
    <w:rsid w:val="57CBC943"/>
    <w:rsid w:val="58EAFDE2"/>
    <w:rsid w:val="591A1338"/>
    <w:rsid w:val="5A501123"/>
    <w:rsid w:val="5AF89573"/>
    <w:rsid w:val="5B46D3AF"/>
    <w:rsid w:val="5BE3050E"/>
    <w:rsid w:val="5C9536E7"/>
    <w:rsid w:val="5CE793DE"/>
    <w:rsid w:val="5D1C563A"/>
    <w:rsid w:val="5D25F424"/>
    <w:rsid w:val="5D29733E"/>
    <w:rsid w:val="5D4F7BF3"/>
    <w:rsid w:val="5DCFADE8"/>
    <w:rsid w:val="5E431164"/>
    <w:rsid w:val="5F22E4BE"/>
    <w:rsid w:val="5FF2B6CF"/>
    <w:rsid w:val="604772C0"/>
    <w:rsid w:val="610B8D66"/>
    <w:rsid w:val="6163FF02"/>
    <w:rsid w:val="61C4B11F"/>
    <w:rsid w:val="62534947"/>
    <w:rsid w:val="62E75DB5"/>
    <w:rsid w:val="649454C3"/>
    <w:rsid w:val="664AB6B8"/>
    <w:rsid w:val="66FA19A6"/>
    <w:rsid w:val="6706CAF1"/>
    <w:rsid w:val="67E1CCD0"/>
    <w:rsid w:val="68364E2A"/>
    <w:rsid w:val="689E04D9"/>
    <w:rsid w:val="68D98EC8"/>
    <w:rsid w:val="68FB22E6"/>
    <w:rsid w:val="69DBC3AB"/>
    <w:rsid w:val="6A189E32"/>
    <w:rsid w:val="6A88086A"/>
    <w:rsid w:val="6ADC1846"/>
    <w:rsid w:val="6B19CED0"/>
    <w:rsid w:val="6B2673BB"/>
    <w:rsid w:val="6B6B8800"/>
    <w:rsid w:val="6C5B550E"/>
    <w:rsid w:val="6CD8550B"/>
    <w:rsid w:val="6CE4D0D4"/>
    <w:rsid w:val="6D8A65D7"/>
    <w:rsid w:val="6DAD03E8"/>
    <w:rsid w:val="6EB05AA5"/>
    <w:rsid w:val="6F02A5FC"/>
    <w:rsid w:val="6FC344B2"/>
    <w:rsid w:val="700A8856"/>
    <w:rsid w:val="70383F11"/>
    <w:rsid w:val="708ECF84"/>
    <w:rsid w:val="717B570A"/>
    <w:rsid w:val="737126D2"/>
    <w:rsid w:val="74027367"/>
    <w:rsid w:val="7476165E"/>
    <w:rsid w:val="747E5392"/>
    <w:rsid w:val="75AD8EF2"/>
    <w:rsid w:val="775849FF"/>
    <w:rsid w:val="787BB944"/>
    <w:rsid w:val="798566BB"/>
    <w:rsid w:val="7A54FFE3"/>
    <w:rsid w:val="7AC7F98F"/>
    <w:rsid w:val="7B73BFAF"/>
    <w:rsid w:val="7C2155AA"/>
    <w:rsid w:val="7CA7A35A"/>
    <w:rsid w:val="7D570813"/>
    <w:rsid w:val="7ED3CD78"/>
    <w:rsid w:val="7F404C83"/>
    <w:rsid w:val="7F514F21"/>
    <w:rsid w:val="7FA3D3A4"/>
    <w:rsid w:val="7FDD14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537A"/>
  <w15:chartTrackingRefBased/>
  <w15:docId w15:val="{8D7E80A6-654B-144B-850C-9A5AC0FF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58"/>
    <w:pPr>
      <w:spacing w:before="120" w:after="240" w:line="259" w:lineRule="auto"/>
    </w:pPr>
    <w:rPr>
      <w:sz w:val="22"/>
      <w:szCs w:val="22"/>
    </w:rPr>
  </w:style>
  <w:style w:type="paragraph" w:styleId="Heading1">
    <w:name w:val="heading 1"/>
    <w:basedOn w:val="Normal"/>
    <w:next w:val="Normal"/>
    <w:link w:val="Heading1Char"/>
    <w:uiPriority w:val="9"/>
    <w:qFormat/>
    <w:rsid w:val="00762CAE"/>
    <w:pPr>
      <w:keepNext/>
      <w:keepLines/>
      <w:spacing w:before="360" w:after="80"/>
      <w:outlineLvl w:val="0"/>
    </w:pPr>
    <w:rPr>
      <w:rFonts w:asciiTheme="majorHAnsi" w:eastAsiaTheme="majorEastAsia" w:hAnsiTheme="majorHAnsi" w:cstheme="majorBidi"/>
      <w:b/>
      <w:color w:val="215E99" w:themeColor="text2" w:themeTint="BF"/>
      <w:sz w:val="24"/>
      <w:szCs w:val="40"/>
    </w:rPr>
  </w:style>
  <w:style w:type="paragraph" w:styleId="Heading2">
    <w:name w:val="heading 2"/>
    <w:basedOn w:val="Normal"/>
    <w:next w:val="Normal"/>
    <w:link w:val="Heading2Char"/>
    <w:uiPriority w:val="9"/>
    <w:unhideWhenUsed/>
    <w:qFormat/>
    <w:rsid w:val="00E6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CAE"/>
    <w:rPr>
      <w:rFonts w:asciiTheme="majorHAnsi" w:eastAsiaTheme="majorEastAsia" w:hAnsiTheme="majorHAnsi" w:cstheme="majorBidi"/>
      <w:b/>
      <w:color w:val="215E99" w:themeColor="text2" w:themeTint="BF"/>
      <w:szCs w:val="40"/>
    </w:rPr>
  </w:style>
  <w:style w:type="character" w:customStyle="1" w:styleId="Heading2Char">
    <w:name w:val="Heading 2 Char"/>
    <w:basedOn w:val="DefaultParagraphFont"/>
    <w:link w:val="Heading2"/>
    <w:uiPriority w:val="9"/>
    <w:rsid w:val="00E6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58"/>
    <w:rPr>
      <w:rFonts w:eastAsiaTheme="majorEastAsia" w:cstheme="majorBidi"/>
      <w:color w:val="272727" w:themeColor="text1" w:themeTint="D8"/>
    </w:rPr>
  </w:style>
  <w:style w:type="paragraph" w:styleId="Title">
    <w:name w:val="Title"/>
    <w:basedOn w:val="Normal"/>
    <w:next w:val="Normal"/>
    <w:link w:val="TitleChar"/>
    <w:uiPriority w:val="10"/>
    <w:qFormat/>
    <w:rsid w:val="00E6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5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58"/>
    <w:rPr>
      <w:i/>
      <w:iCs/>
      <w:color w:val="404040" w:themeColor="text1" w:themeTint="BF"/>
    </w:rPr>
  </w:style>
  <w:style w:type="paragraph" w:styleId="ListParagraph">
    <w:name w:val="List Paragraph"/>
    <w:basedOn w:val="Normal"/>
    <w:uiPriority w:val="34"/>
    <w:qFormat/>
    <w:rsid w:val="00E62A58"/>
    <w:pPr>
      <w:ind w:left="720"/>
      <w:contextualSpacing/>
    </w:pPr>
  </w:style>
  <w:style w:type="character" w:styleId="IntenseEmphasis">
    <w:name w:val="Intense Emphasis"/>
    <w:basedOn w:val="DefaultParagraphFont"/>
    <w:uiPriority w:val="21"/>
    <w:qFormat/>
    <w:rsid w:val="00E62A58"/>
    <w:rPr>
      <w:i/>
      <w:iCs/>
      <w:color w:val="0F4761" w:themeColor="accent1" w:themeShade="BF"/>
    </w:rPr>
  </w:style>
  <w:style w:type="paragraph" w:styleId="IntenseQuote">
    <w:name w:val="Intense Quote"/>
    <w:basedOn w:val="Normal"/>
    <w:next w:val="Normal"/>
    <w:link w:val="IntenseQuoteChar"/>
    <w:uiPriority w:val="30"/>
    <w:qFormat/>
    <w:rsid w:val="00E6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A58"/>
    <w:rPr>
      <w:i/>
      <w:iCs/>
      <w:color w:val="0F4761" w:themeColor="accent1" w:themeShade="BF"/>
    </w:rPr>
  </w:style>
  <w:style w:type="character" w:styleId="IntenseReference">
    <w:name w:val="Intense Reference"/>
    <w:basedOn w:val="DefaultParagraphFont"/>
    <w:uiPriority w:val="32"/>
    <w:qFormat/>
    <w:rsid w:val="00E62A58"/>
    <w:rPr>
      <w:b/>
      <w:bCs/>
      <w:smallCaps/>
      <w:color w:val="0F4761" w:themeColor="accent1" w:themeShade="BF"/>
      <w:spacing w:val="5"/>
    </w:rPr>
  </w:style>
  <w:style w:type="paragraph" w:styleId="FootnoteText">
    <w:name w:val="footnote text"/>
    <w:basedOn w:val="Normal"/>
    <w:link w:val="FootnoteTextChar"/>
    <w:uiPriority w:val="99"/>
    <w:unhideWhenUsed/>
    <w:rsid w:val="00E62A58"/>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E62A58"/>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E62A58"/>
    <w:rPr>
      <w:vertAlign w:val="superscript"/>
    </w:rPr>
  </w:style>
  <w:style w:type="table" w:styleId="TableGrid">
    <w:name w:val="Table Grid"/>
    <w:basedOn w:val="TableNormal"/>
    <w:uiPriority w:val="39"/>
    <w:rsid w:val="00E62A58"/>
    <w:pPr>
      <w:spacing w:after="0" w:line="240" w:lineRule="auto"/>
    </w:pPr>
    <w:rPr>
      <w:sz w:val="22"/>
      <w:szCs w:val="22"/>
      <w:lang w:val="en-US"/>
    </w:rPr>
    <w:tblPr/>
  </w:style>
  <w:style w:type="paragraph" w:styleId="Revision">
    <w:name w:val="Revision"/>
    <w:hidden/>
    <w:uiPriority w:val="99"/>
    <w:semiHidden/>
    <w:rsid w:val="00D32035"/>
    <w:pPr>
      <w:spacing w:after="0" w:line="240" w:lineRule="auto"/>
    </w:pPr>
    <w:rPr>
      <w:sz w:val="22"/>
      <w:szCs w:val="22"/>
    </w:rPr>
  </w:style>
  <w:style w:type="character" w:customStyle="1" w:styleId="normaltextrun">
    <w:name w:val="normaltextrun"/>
    <w:basedOn w:val="DefaultParagraphFont"/>
    <w:rsid w:val="00D32035"/>
  </w:style>
  <w:style w:type="character" w:customStyle="1" w:styleId="eop">
    <w:name w:val="eop"/>
    <w:basedOn w:val="DefaultParagraphFont"/>
    <w:rsid w:val="00D32035"/>
  </w:style>
  <w:style w:type="character" w:styleId="CommentReference">
    <w:name w:val="annotation reference"/>
    <w:basedOn w:val="DefaultParagraphFont"/>
    <w:unhideWhenUsed/>
    <w:rsid w:val="00D32035"/>
    <w:rPr>
      <w:sz w:val="16"/>
      <w:szCs w:val="16"/>
    </w:rPr>
  </w:style>
  <w:style w:type="paragraph" w:styleId="CommentText">
    <w:name w:val="annotation text"/>
    <w:basedOn w:val="Normal"/>
    <w:link w:val="CommentTextChar"/>
    <w:unhideWhenUsed/>
    <w:rsid w:val="00D32035"/>
    <w:pPr>
      <w:spacing w:line="240" w:lineRule="auto"/>
    </w:pPr>
    <w:rPr>
      <w:sz w:val="20"/>
      <w:szCs w:val="20"/>
    </w:rPr>
  </w:style>
  <w:style w:type="character" w:customStyle="1" w:styleId="CommentTextChar">
    <w:name w:val="Comment Text Char"/>
    <w:basedOn w:val="DefaultParagraphFont"/>
    <w:link w:val="CommentText"/>
    <w:rsid w:val="00D32035"/>
    <w:rPr>
      <w:sz w:val="20"/>
      <w:szCs w:val="20"/>
    </w:rPr>
  </w:style>
  <w:style w:type="paragraph" w:styleId="CommentSubject">
    <w:name w:val="annotation subject"/>
    <w:basedOn w:val="CommentText"/>
    <w:next w:val="CommentText"/>
    <w:link w:val="CommentSubjectChar"/>
    <w:uiPriority w:val="99"/>
    <w:semiHidden/>
    <w:unhideWhenUsed/>
    <w:rsid w:val="00D32035"/>
    <w:rPr>
      <w:b/>
      <w:bCs/>
    </w:rPr>
  </w:style>
  <w:style w:type="character" w:customStyle="1" w:styleId="CommentSubjectChar">
    <w:name w:val="Comment Subject Char"/>
    <w:basedOn w:val="CommentTextChar"/>
    <w:link w:val="CommentSubject"/>
    <w:uiPriority w:val="99"/>
    <w:semiHidden/>
    <w:rsid w:val="00D32035"/>
    <w:rPr>
      <w:b/>
      <w:bCs/>
      <w:sz w:val="20"/>
      <w:szCs w:val="20"/>
    </w:rPr>
  </w:style>
  <w:style w:type="character" w:styleId="Hyperlink">
    <w:name w:val="Hyperlink"/>
    <w:basedOn w:val="DefaultParagraphFont"/>
    <w:uiPriority w:val="99"/>
    <w:unhideWhenUsed/>
    <w:rsid w:val="00D32035"/>
    <w:rPr>
      <w:color w:val="467886" w:themeColor="hyperlink"/>
      <w:u w:val="single"/>
    </w:rPr>
  </w:style>
  <w:style w:type="character" w:styleId="UnresolvedMention">
    <w:name w:val="Unresolved Mention"/>
    <w:basedOn w:val="DefaultParagraphFont"/>
    <w:uiPriority w:val="99"/>
    <w:semiHidden/>
    <w:unhideWhenUsed/>
    <w:rsid w:val="00D32035"/>
    <w:rPr>
      <w:color w:val="605E5C"/>
      <w:shd w:val="clear" w:color="auto" w:fill="E1DFDD"/>
    </w:rPr>
  </w:style>
  <w:style w:type="paragraph" w:styleId="Header">
    <w:name w:val="header"/>
    <w:basedOn w:val="Normal"/>
    <w:link w:val="HeaderChar"/>
    <w:uiPriority w:val="99"/>
    <w:unhideWhenUsed/>
    <w:rsid w:val="004F582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F582D"/>
    <w:rPr>
      <w:sz w:val="22"/>
      <w:szCs w:val="22"/>
    </w:rPr>
  </w:style>
  <w:style w:type="paragraph" w:styleId="Footer">
    <w:name w:val="footer"/>
    <w:basedOn w:val="Normal"/>
    <w:link w:val="FooterChar"/>
    <w:uiPriority w:val="99"/>
    <w:unhideWhenUsed/>
    <w:rsid w:val="004F582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F582D"/>
    <w:rPr>
      <w:sz w:val="22"/>
      <w:szCs w:val="22"/>
    </w:rPr>
  </w:style>
  <w:style w:type="paragraph" w:customStyle="1" w:styleId="paragraph">
    <w:name w:val="paragraph"/>
    <w:basedOn w:val="Normal"/>
    <w:rsid w:val="008A1B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97522084">
    <w:name w:val="scxw197522084"/>
    <w:basedOn w:val="DefaultParagraphFont"/>
    <w:rsid w:val="008A1BC8"/>
  </w:style>
  <w:style w:type="paragraph" w:customStyle="1" w:styleId="p1">
    <w:name w:val="p1"/>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3F3D0A"/>
  </w:style>
  <w:style w:type="character" w:customStyle="1" w:styleId="s2">
    <w:name w:val="s2"/>
    <w:basedOn w:val="DefaultParagraphFont"/>
    <w:rsid w:val="003F3D0A"/>
  </w:style>
  <w:style w:type="character" w:customStyle="1" w:styleId="s3">
    <w:name w:val="s3"/>
    <w:basedOn w:val="DefaultParagraphFont"/>
    <w:rsid w:val="003F3D0A"/>
  </w:style>
  <w:style w:type="character" w:customStyle="1" w:styleId="s4">
    <w:name w:val="s4"/>
    <w:basedOn w:val="DefaultParagraphFont"/>
    <w:rsid w:val="003F3D0A"/>
  </w:style>
  <w:style w:type="paragraph" w:customStyle="1" w:styleId="p3">
    <w:name w:val="p3"/>
    <w:basedOn w:val="Normal"/>
    <w:rsid w:val="003F3D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96A1D"/>
    <w:rPr>
      <w:b/>
      <w:bCs/>
    </w:rPr>
  </w:style>
  <w:style w:type="character" w:styleId="Emphasis">
    <w:name w:val="Emphasis"/>
    <w:basedOn w:val="DefaultParagraphFont"/>
    <w:uiPriority w:val="20"/>
    <w:qFormat/>
    <w:rsid w:val="00A96A1D"/>
    <w:rPr>
      <w:i/>
      <w:iCs/>
    </w:rPr>
  </w:style>
  <w:style w:type="paragraph" w:customStyle="1" w:styleId="Default">
    <w:name w:val="Default"/>
    <w:basedOn w:val="Normal"/>
    <w:uiPriority w:val="1"/>
    <w:rsid w:val="35F9E276"/>
    <w:pPr>
      <w:spacing w:after="0"/>
    </w:pPr>
    <w:rPr>
      <w:rFonts w:eastAsiaTheme="minorEastAsia"/>
      <w:color w:val="000000" w:themeColor="text1"/>
      <w:sz w:val="24"/>
      <w:szCs w:val="24"/>
      <w:lang w:eastAsia="en-GB"/>
    </w:rPr>
  </w:style>
  <w:style w:type="character" w:styleId="Mention">
    <w:name w:val="Mention"/>
    <w:basedOn w:val="DefaultParagraphFont"/>
    <w:uiPriority w:val="99"/>
    <w:unhideWhenUsed/>
    <w:rsid w:val="002B2D67"/>
    <w:rPr>
      <w:color w:val="2B579A"/>
      <w:shd w:val="clear" w:color="auto" w:fill="E1DFDD"/>
    </w:rPr>
  </w:style>
  <w:style w:type="table" w:customStyle="1" w:styleId="Table">
    <w:name w:val="Table"/>
    <w:semiHidden/>
    <w:unhideWhenUsed/>
    <w:qFormat/>
    <w:rsid w:val="00367FBA"/>
    <w:pPr>
      <w:spacing w:after="200" w:line="240" w:lineRule="auto"/>
    </w:pPr>
    <w:rPr>
      <w:kern w:val="0"/>
      <w:lang w:val="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8427">
      <w:bodyDiv w:val="1"/>
      <w:marLeft w:val="0"/>
      <w:marRight w:val="0"/>
      <w:marTop w:val="0"/>
      <w:marBottom w:val="0"/>
      <w:divBdr>
        <w:top w:val="none" w:sz="0" w:space="0" w:color="auto"/>
        <w:left w:val="none" w:sz="0" w:space="0" w:color="auto"/>
        <w:bottom w:val="none" w:sz="0" w:space="0" w:color="auto"/>
        <w:right w:val="none" w:sz="0" w:space="0" w:color="auto"/>
      </w:divBdr>
    </w:div>
    <w:div w:id="107169354">
      <w:bodyDiv w:val="1"/>
      <w:marLeft w:val="0"/>
      <w:marRight w:val="0"/>
      <w:marTop w:val="0"/>
      <w:marBottom w:val="0"/>
      <w:divBdr>
        <w:top w:val="none" w:sz="0" w:space="0" w:color="auto"/>
        <w:left w:val="none" w:sz="0" w:space="0" w:color="auto"/>
        <w:bottom w:val="none" w:sz="0" w:space="0" w:color="auto"/>
        <w:right w:val="none" w:sz="0" w:space="0" w:color="auto"/>
      </w:divBdr>
    </w:div>
    <w:div w:id="125243630">
      <w:bodyDiv w:val="1"/>
      <w:marLeft w:val="0"/>
      <w:marRight w:val="0"/>
      <w:marTop w:val="0"/>
      <w:marBottom w:val="0"/>
      <w:divBdr>
        <w:top w:val="none" w:sz="0" w:space="0" w:color="auto"/>
        <w:left w:val="none" w:sz="0" w:space="0" w:color="auto"/>
        <w:bottom w:val="none" w:sz="0" w:space="0" w:color="auto"/>
        <w:right w:val="none" w:sz="0" w:space="0" w:color="auto"/>
      </w:divBdr>
    </w:div>
    <w:div w:id="145123836">
      <w:bodyDiv w:val="1"/>
      <w:marLeft w:val="0"/>
      <w:marRight w:val="0"/>
      <w:marTop w:val="0"/>
      <w:marBottom w:val="0"/>
      <w:divBdr>
        <w:top w:val="none" w:sz="0" w:space="0" w:color="auto"/>
        <w:left w:val="none" w:sz="0" w:space="0" w:color="auto"/>
        <w:bottom w:val="none" w:sz="0" w:space="0" w:color="auto"/>
        <w:right w:val="none" w:sz="0" w:space="0" w:color="auto"/>
      </w:divBdr>
      <w:divsChild>
        <w:div w:id="130882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6827">
      <w:bodyDiv w:val="1"/>
      <w:marLeft w:val="0"/>
      <w:marRight w:val="0"/>
      <w:marTop w:val="0"/>
      <w:marBottom w:val="0"/>
      <w:divBdr>
        <w:top w:val="none" w:sz="0" w:space="0" w:color="auto"/>
        <w:left w:val="none" w:sz="0" w:space="0" w:color="auto"/>
        <w:bottom w:val="none" w:sz="0" w:space="0" w:color="auto"/>
        <w:right w:val="none" w:sz="0" w:space="0" w:color="auto"/>
      </w:divBdr>
    </w:div>
    <w:div w:id="214784370">
      <w:bodyDiv w:val="1"/>
      <w:marLeft w:val="0"/>
      <w:marRight w:val="0"/>
      <w:marTop w:val="0"/>
      <w:marBottom w:val="0"/>
      <w:divBdr>
        <w:top w:val="none" w:sz="0" w:space="0" w:color="auto"/>
        <w:left w:val="none" w:sz="0" w:space="0" w:color="auto"/>
        <w:bottom w:val="none" w:sz="0" w:space="0" w:color="auto"/>
        <w:right w:val="none" w:sz="0" w:space="0" w:color="auto"/>
      </w:divBdr>
    </w:div>
    <w:div w:id="306014266">
      <w:bodyDiv w:val="1"/>
      <w:marLeft w:val="0"/>
      <w:marRight w:val="0"/>
      <w:marTop w:val="0"/>
      <w:marBottom w:val="0"/>
      <w:divBdr>
        <w:top w:val="none" w:sz="0" w:space="0" w:color="auto"/>
        <w:left w:val="none" w:sz="0" w:space="0" w:color="auto"/>
        <w:bottom w:val="none" w:sz="0" w:space="0" w:color="auto"/>
        <w:right w:val="none" w:sz="0" w:space="0" w:color="auto"/>
      </w:divBdr>
    </w:div>
    <w:div w:id="683898586">
      <w:bodyDiv w:val="1"/>
      <w:marLeft w:val="0"/>
      <w:marRight w:val="0"/>
      <w:marTop w:val="0"/>
      <w:marBottom w:val="0"/>
      <w:divBdr>
        <w:top w:val="none" w:sz="0" w:space="0" w:color="auto"/>
        <w:left w:val="none" w:sz="0" w:space="0" w:color="auto"/>
        <w:bottom w:val="none" w:sz="0" w:space="0" w:color="auto"/>
        <w:right w:val="none" w:sz="0" w:space="0" w:color="auto"/>
      </w:divBdr>
    </w:div>
    <w:div w:id="826482211">
      <w:bodyDiv w:val="1"/>
      <w:marLeft w:val="0"/>
      <w:marRight w:val="0"/>
      <w:marTop w:val="0"/>
      <w:marBottom w:val="0"/>
      <w:divBdr>
        <w:top w:val="none" w:sz="0" w:space="0" w:color="auto"/>
        <w:left w:val="none" w:sz="0" w:space="0" w:color="auto"/>
        <w:bottom w:val="none" w:sz="0" w:space="0" w:color="auto"/>
        <w:right w:val="none" w:sz="0" w:space="0" w:color="auto"/>
      </w:divBdr>
    </w:div>
    <w:div w:id="865676193">
      <w:bodyDiv w:val="1"/>
      <w:marLeft w:val="0"/>
      <w:marRight w:val="0"/>
      <w:marTop w:val="0"/>
      <w:marBottom w:val="0"/>
      <w:divBdr>
        <w:top w:val="none" w:sz="0" w:space="0" w:color="auto"/>
        <w:left w:val="none" w:sz="0" w:space="0" w:color="auto"/>
        <w:bottom w:val="none" w:sz="0" w:space="0" w:color="auto"/>
        <w:right w:val="none" w:sz="0" w:space="0" w:color="auto"/>
      </w:divBdr>
      <w:divsChild>
        <w:div w:id="128288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625171">
      <w:bodyDiv w:val="1"/>
      <w:marLeft w:val="0"/>
      <w:marRight w:val="0"/>
      <w:marTop w:val="0"/>
      <w:marBottom w:val="0"/>
      <w:divBdr>
        <w:top w:val="none" w:sz="0" w:space="0" w:color="auto"/>
        <w:left w:val="none" w:sz="0" w:space="0" w:color="auto"/>
        <w:bottom w:val="none" w:sz="0" w:space="0" w:color="auto"/>
        <w:right w:val="none" w:sz="0" w:space="0" w:color="auto"/>
      </w:divBdr>
    </w:div>
    <w:div w:id="1095781671">
      <w:bodyDiv w:val="1"/>
      <w:marLeft w:val="0"/>
      <w:marRight w:val="0"/>
      <w:marTop w:val="0"/>
      <w:marBottom w:val="0"/>
      <w:divBdr>
        <w:top w:val="none" w:sz="0" w:space="0" w:color="auto"/>
        <w:left w:val="none" w:sz="0" w:space="0" w:color="auto"/>
        <w:bottom w:val="none" w:sz="0" w:space="0" w:color="auto"/>
        <w:right w:val="none" w:sz="0" w:space="0" w:color="auto"/>
      </w:divBdr>
    </w:div>
    <w:div w:id="1125198194">
      <w:bodyDiv w:val="1"/>
      <w:marLeft w:val="0"/>
      <w:marRight w:val="0"/>
      <w:marTop w:val="0"/>
      <w:marBottom w:val="0"/>
      <w:divBdr>
        <w:top w:val="none" w:sz="0" w:space="0" w:color="auto"/>
        <w:left w:val="none" w:sz="0" w:space="0" w:color="auto"/>
        <w:bottom w:val="none" w:sz="0" w:space="0" w:color="auto"/>
        <w:right w:val="none" w:sz="0" w:space="0" w:color="auto"/>
      </w:divBdr>
    </w:div>
    <w:div w:id="1166018144">
      <w:bodyDiv w:val="1"/>
      <w:marLeft w:val="0"/>
      <w:marRight w:val="0"/>
      <w:marTop w:val="0"/>
      <w:marBottom w:val="0"/>
      <w:divBdr>
        <w:top w:val="none" w:sz="0" w:space="0" w:color="auto"/>
        <w:left w:val="none" w:sz="0" w:space="0" w:color="auto"/>
        <w:bottom w:val="none" w:sz="0" w:space="0" w:color="auto"/>
        <w:right w:val="none" w:sz="0" w:space="0" w:color="auto"/>
      </w:divBdr>
      <w:divsChild>
        <w:div w:id="122455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348474">
      <w:bodyDiv w:val="1"/>
      <w:marLeft w:val="0"/>
      <w:marRight w:val="0"/>
      <w:marTop w:val="0"/>
      <w:marBottom w:val="0"/>
      <w:divBdr>
        <w:top w:val="none" w:sz="0" w:space="0" w:color="auto"/>
        <w:left w:val="none" w:sz="0" w:space="0" w:color="auto"/>
        <w:bottom w:val="none" w:sz="0" w:space="0" w:color="auto"/>
        <w:right w:val="none" w:sz="0" w:space="0" w:color="auto"/>
      </w:divBdr>
    </w:div>
    <w:div w:id="1440563822">
      <w:bodyDiv w:val="1"/>
      <w:marLeft w:val="0"/>
      <w:marRight w:val="0"/>
      <w:marTop w:val="0"/>
      <w:marBottom w:val="0"/>
      <w:divBdr>
        <w:top w:val="none" w:sz="0" w:space="0" w:color="auto"/>
        <w:left w:val="none" w:sz="0" w:space="0" w:color="auto"/>
        <w:bottom w:val="none" w:sz="0" w:space="0" w:color="auto"/>
        <w:right w:val="none" w:sz="0" w:space="0" w:color="auto"/>
      </w:divBdr>
    </w:div>
    <w:div w:id="1570652923">
      <w:bodyDiv w:val="1"/>
      <w:marLeft w:val="0"/>
      <w:marRight w:val="0"/>
      <w:marTop w:val="0"/>
      <w:marBottom w:val="0"/>
      <w:divBdr>
        <w:top w:val="none" w:sz="0" w:space="0" w:color="auto"/>
        <w:left w:val="none" w:sz="0" w:space="0" w:color="auto"/>
        <w:bottom w:val="none" w:sz="0" w:space="0" w:color="auto"/>
        <w:right w:val="none" w:sz="0" w:space="0" w:color="auto"/>
      </w:divBdr>
    </w:div>
    <w:div w:id="1571427511">
      <w:bodyDiv w:val="1"/>
      <w:marLeft w:val="0"/>
      <w:marRight w:val="0"/>
      <w:marTop w:val="0"/>
      <w:marBottom w:val="0"/>
      <w:divBdr>
        <w:top w:val="none" w:sz="0" w:space="0" w:color="auto"/>
        <w:left w:val="none" w:sz="0" w:space="0" w:color="auto"/>
        <w:bottom w:val="none" w:sz="0" w:space="0" w:color="auto"/>
        <w:right w:val="none" w:sz="0" w:space="0" w:color="auto"/>
      </w:divBdr>
      <w:divsChild>
        <w:div w:id="167064636">
          <w:marLeft w:val="0"/>
          <w:marRight w:val="0"/>
          <w:marTop w:val="0"/>
          <w:marBottom w:val="0"/>
          <w:divBdr>
            <w:top w:val="none" w:sz="0" w:space="0" w:color="auto"/>
            <w:left w:val="none" w:sz="0" w:space="0" w:color="auto"/>
            <w:bottom w:val="none" w:sz="0" w:space="0" w:color="auto"/>
            <w:right w:val="none" w:sz="0" w:space="0" w:color="auto"/>
          </w:divBdr>
          <w:divsChild>
            <w:div w:id="141701887">
              <w:marLeft w:val="0"/>
              <w:marRight w:val="0"/>
              <w:marTop w:val="0"/>
              <w:marBottom w:val="0"/>
              <w:divBdr>
                <w:top w:val="none" w:sz="0" w:space="0" w:color="auto"/>
                <w:left w:val="none" w:sz="0" w:space="0" w:color="auto"/>
                <w:bottom w:val="none" w:sz="0" w:space="0" w:color="auto"/>
                <w:right w:val="none" w:sz="0" w:space="0" w:color="auto"/>
              </w:divBdr>
            </w:div>
            <w:div w:id="999849199">
              <w:marLeft w:val="0"/>
              <w:marRight w:val="0"/>
              <w:marTop w:val="0"/>
              <w:marBottom w:val="0"/>
              <w:divBdr>
                <w:top w:val="none" w:sz="0" w:space="0" w:color="auto"/>
                <w:left w:val="none" w:sz="0" w:space="0" w:color="auto"/>
                <w:bottom w:val="none" w:sz="0" w:space="0" w:color="auto"/>
                <w:right w:val="none" w:sz="0" w:space="0" w:color="auto"/>
              </w:divBdr>
            </w:div>
          </w:divsChild>
        </w:div>
        <w:div w:id="174226619">
          <w:marLeft w:val="0"/>
          <w:marRight w:val="0"/>
          <w:marTop w:val="0"/>
          <w:marBottom w:val="0"/>
          <w:divBdr>
            <w:top w:val="none" w:sz="0" w:space="0" w:color="auto"/>
            <w:left w:val="none" w:sz="0" w:space="0" w:color="auto"/>
            <w:bottom w:val="none" w:sz="0" w:space="0" w:color="auto"/>
            <w:right w:val="none" w:sz="0" w:space="0" w:color="auto"/>
          </w:divBdr>
          <w:divsChild>
            <w:div w:id="1439258343">
              <w:marLeft w:val="0"/>
              <w:marRight w:val="0"/>
              <w:marTop w:val="0"/>
              <w:marBottom w:val="0"/>
              <w:divBdr>
                <w:top w:val="none" w:sz="0" w:space="0" w:color="auto"/>
                <w:left w:val="none" w:sz="0" w:space="0" w:color="auto"/>
                <w:bottom w:val="none" w:sz="0" w:space="0" w:color="auto"/>
                <w:right w:val="none" w:sz="0" w:space="0" w:color="auto"/>
              </w:divBdr>
            </w:div>
          </w:divsChild>
        </w:div>
        <w:div w:id="310409985">
          <w:marLeft w:val="0"/>
          <w:marRight w:val="0"/>
          <w:marTop w:val="0"/>
          <w:marBottom w:val="0"/>
          <w:divBdr>
            <w:top w:val="none" w:sz="0" w:space="0" w:color="auto"/>
            <w:left w:val="none" w:sz="0" w:space="0" w:color="auto"/>
            <w:bottom w:val="none" w:sz="0" w:space="0" w:color="auto"/>
            <w:right w:val="none" w:sz="0" w:space="0" w:color="auto"/>
          </w:divBdr>
          <w:divsChild>
            <w:div w:id="798302423">
              <w:marLeft w:val="0"/>
              <w:marRight w:val="0"/>
              <w:marTop w:val="0"/>
              <w:marBottom w:val="0"/>
              <w:divBdr>
                <w:top w:val="none" w:sz="0" w:space="0" w:color="auto"/>
                <w:left w:val="none" w:sz="0" w:space="0" w:color="auto"/>
                <w:bottom w:val="none" w:sz="0" w:space="0" w:color="auto"/>
                <w:right w:val="none" w:sz="0" w:space="0" w:color="auto"/>
              </w:divBdr>
            </w:div>
            <w:div w:id="1656256620">
              <w:marLeft w:val="0"/>
              <w:marRight w:val="0"/>
              <w:marTop w:val="0"/>
              <w:marBottom w:val="0"/>
              <w:divBdr>
                <w:top w:val="none" w:sz="0" w:space="0" w:color="auto"/>
                <w:left w:val="none" w:sz="0" w:space="0" w:color="auto"/>
                <w:bottom w:val="none" w:sz="0" w:space="0" w:color="auto"/>
                <w:right w:val="none" w:sz="0" w:space="0" w:color="auto"/>
              </w:divBdr>
            </w:div>
            <w:div w:id="1837376758">
              <w:marLeft w:val="0"/>
              <w:marRight w:val="0"/>
              <w:marTop w:val="0"/>
              <w:marBottom w:val="0"/>
              <w:divBdr>
                <w:top w:val="none" w:sz="0" w:space="0" w:color="auto"/>
                <w:left w:val="none" w:sz="0" w:space="0" w:color="auto"/>
                <w:bottom w:val="none" w:sz="0" w:space="0" w:color="auto"/>
                <w:right w:val="none" w:sz="0" w:space="0" w:color="auto"/>
              </w:divBdr>
            </w:div>
          </w:divsChild>
        </w:div>
        <w:div w:id="481432428">
          <w:marLeft w:val="0"/>
          <w:marRight w:val="0"/>
          <w:marTop w:val="0"/>
          <w:marBottom w:val="0"/>
          <w:divBdr>
            <w:top w:val="none" w:sz="0" w:space="0" w:color="auto"/>
            <w:left w:val="none" w:sz="0" w:space="0" w:color="auto"/>
            <w:bottom w:val="none" w:sz="0" w:space="0" w:color="auto"/>
            <w:right w:val="none" w:sz="0" w:space="0" w:color="auto"/>
          </w:divBdr>
          <w:divsChild>
            <w:div w:id="1601375010">
              <w:marLeft w:val="0"/>
              <w:marRight w:val="0"/>
              <w:marTop w:val="0"/>
              <w:marBottom w:val="0"/>
              <w:divBdr>
                <w:top w:val="none" w:sz="0" w:space="0" w:color="auto"/>
                <w:left w:val="none" w:sz="0" w:space="0" w:color="auto"/>
                <w:bottom w:val="none" w:sz="0" w:space="0" w:color="auto"/>
                <w:right w:val="none" w:sz="0" w:space="0" w:color="auto"/>
              </w:divBdr>
            </w:div>
          </w:divsChild>
        </w:div>
        <w:div w:id="531696562">
          <w:marLeft w:val="0"/>
          <w:marRight w:val="0"/>
          <w:marTop w:val="0"/>
          <w:marBottom w:val="0"/>
          <w:divBdr>
            <w:top w:val="none" w:sz="0" w:space="0" w:color="auto"/>
            <w:left w:val="none" w:sz="0" w:space="0" w:color="auto"/>
            <w:bottom w:val="none" w:sz="0" w:space="0" w:color="auto"/>
            <w:right w:val="none" w:sz="0" w:space="0" w:color="auto"/>
          </w:divBdr>
          <w:divsChild>
            <w:div w:id="1863084891">
              <w:marLeft w:val="0"/>
              <w:marRight w:val="0"/>
              <w:marTop w:val="0"/>
              <w:marBottom w:val="0"/>
              <w:divBdr>
                <w:top w:val="none" w:sz="0" w:space="0" w:color="auto"/>
                <w:left w:val="none" w:sz="0" w:space="0" w:color="auto"/>
                <w:bottom w:val="none" w:sz="0" w:space="0" w:color="auto"/>
                <w:right w:val="none" w:sz="0" w:space="0" w:color="auto"/>
              </w:divBdr>
            </w:div>
          </w:divsChild>
        </w:div>
        <w:div w:id="739064409">
          <w:marLeft w:val="0"/>
          <w:marRight w:val="0"/>
          <w:marTop w:val="0"/>
          <w:marBottom w:val="0"/>
          <w:divBdr>
            <w:top w:val="none" w:sz="0" w:space="0" w:color="auto"/>
            <w:left w:val="none" w:sz="0" w:space="0" w:color="auto"/>
            <w:bottom w:val="none" w:sz="0" w:space="0" w:color="auto"/>
            <w:right w:val="none" w:sz="0" w:space="0" w:color="auto"/>
          </w:divBdr>
          <w:divsChild>
            <w:div w:id="1463035040">
              <w:marLeft w:val="0"/>
              <w:marRight w:val="0"/>
              <w:marTop w:val="0"/>
              <w:marBottom w:val="0"/>
              <w:divBdr>
                <w:top w:val="none" w:sz="0" w:space="0" w:color="auto"/>
                <w:left w:val="none" w:sz="0" w:space="0" w:color="auto"/>
                <w:bottom w:val="none" w:sz="0" w:space="0" w:color="auto"/>
                <w:right w:val="none" w:sz="0" w:space="0" w:color="auto"/>
              </w:divBdr>
            </w:div>
          </w:divsChild>
        </w:div>
        <w:div w:id="834147437">
          <w:marLeft w:val="0"/>
          <w:marRight w:val="0"/>
          <w:marTop w:val="0"/>
          <w:marBottom w:val="0"/>
          <w:divBdr>
            <w:top w:val="none" w:sz="0" w:space="0" w:color="auto"/>
            <w:left w:val="none" w:sz="0" w:space="0" w:color="auto"/>
            <w:bottom w:val="none" w:sz="0" w:space="0" w:color="auto"/>
            <w:right w:val="none" w:sz="0" w:space="0" w:color="auto"/>
          </w:divBdr>
          <w:divsChild>
            <w:div w:id="1920480024">
              <w:marLeft w:val="0"/>
              <w:marRight w:val="0"/>
              <w:marTop w:val="0"/>
              <w:marBottom w:val="0"/>
              <w:divBdr>
                <w:top w:val="none" w:sz="0" w:space="0" w:color="auto"/>
                <w:left w:val="none" w:sz="0" w:space="0" w:color="auto"/>
                <w:bottom w:val="none" w:sz="0" w:space="0" w:color="auto"/>
                <w:right w:val="none" w:sz="0" w:space="0" w:color="auto"/>
              </w:divBdr>
            </w:div>
          </w:divsChild>
        </w:div>
        <w:div w:id="1379478160">
          <w:marLeft w:val="0"/>
          <w:marRight w:val="0"/>
          <w:marTop w:val="0"/>
          <w:marBottom w:val="0"/>
          <w:divBdr>
            <w:top w:val="none" w:sz="0" w:space="0" w:color="auto"/>
            <w:left w:val="none" w:sz="0" w:space="0" w:color="auto"/>
            <w:bottom w:val="none" w:sz="0" w:space="0" w:color="auto"/>
            <w:right w:val="none" w:sz="0" w:space="0" w:color="auto"/>
          </w:divBdr>
          <w:divsChild>
            <w:div w:id="622884748">
              <w:marLeft w:val="0"/>
              <w:marRight w:val="0"/>
              <w:marTop w:val="0"/>
              <w:marBottom w:val="0"/>
              <w:divBdr>
                <w:top w:val="none" w:sz="0" w:space="0" w:color="auto"/>
                <w:left w:val="none" w:sz="0" w:space="0" w:color="auto"/>
                <w:bottom w:val="none" w:sz="0" w:space="0" w:color="auto"/>
                <w:right w:val="none" w:sz="0" w:space="0" w:color="auto"/>
              </w:divBdr>
            </w:div>
          </w:divsChild>
        </w:div>
        <w:div w:id="1629243523">
          <w:marLeft w:val="0"/>
          <w:marRight w:val="0"/>
          <w:marTop w:val="0"/>
          <w:marBottom w:val="0"/>
          <w:divBdr>
            <w:top w:val="none" w:sz="0" w:space="0" w:color="auto"/>
            <w:left w:val="none" w:sz="0" w:space="0" w:color="auto"/>
            <w:bottom w:val="none" w:sz="0" w:space="0" w:color="auto"/>
            <w:right w:val="none" w:sz="0" w:space="0" w:color="auto"/>
          </w:divBdr>
          <w:divsChild>
            <w:div w:id="773601043">
              <w:marLeft w:val="0"/>
              <w:marRight w:val="0"/>
              <w:marTop w:val="0"/>
              <w:marBottom w:val="0"/>
              <w:divBdr>
                <w:top w:val="none" w:sz="0" w:space="0" w:color="auto"/>
                <w:left w:val="none" w:sz="0" w:space="0" w:color="auto"/>
                <w:bottom w:val="none" w:sz="0" w:space="0" w:color="auto"/>
                <w:right w:val="none" w:sz="0" w:space="0" w:color="auto"/>
              </w:divBdr>
            </w:div>
          </w:divsChild>
        </w:div>
        <w:div w:id="1781794782">
          <w:marLeft w:val="0"/>
          <w:marRight w:val="0"/>
          <w:marTop w:val="0"/>
          <w:marBottom w:val="0"/>
          <w:divBdr>
            <w:top w:val="none" w:sz="0" w:space="0" w:color="auto"/>
            <w:left w:val="none" w:sz="0" w:space="0" w:color="auto"/>
            <w:bottom w:val="none" w:sz="0" w:space="0" w:color="auto"/>
            <w:right w:val="none" w:sz="0" w:space="0" w:color="auto"/>
          </w:divBdr>
          <w:divsChild>
            <w:div w:id="197399624">
              <w:marLeft w:val="0"/>
              <w:marRight w:val="0"/>
              <w:marTop w:val="0"/>
              <w:marBottom w:val="0"/>
              <w:divBdr>
                <w:top w:val="none" w:sz="0" w:space="0" w:color="auto"/>
                <w:left w:val="none" w:sz="0" w:space="0" w:color="auto"/>
                <w:bottom w:val="none" w:sz="0" w:space="0" w:color="auto"/>
                <w:right w:val="none" w:sz="0" w:space="0" w:color="auto"/>
              </w:divBdr>
            </w:div>
            <w:div w:id="6771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9369">
      <w:bodyDiv w:val="1"/>
      <w:marLeft w:val="0"/>
      <w:marRight w:val="0"/>
      <w:marTop w:val="0"/>
      <w:marBottom w:val="0"/>
      <w:divBdr>
        <w:top w:val="none" w:sz="0" w:space="0" w:color="auto"/>
        <w:left w:val="none" w:sz="0" w:space="0" w:color="auto"/>
        <w:bottom w:val="none" w:sz="0" w:space="0" w:color="auto"/>
        <w:right w:val="none" w:sz="0" w:space="0" w:color="auto"/>
      </w:divBdr>
    </w:div>
    <w:div w:id="1673797257">
      <w:bodyDiv w:val="1"/>
      <w:marLeft w:val="0"/>
      <w:marRight w:val="0"/>
      <w:marTop w:val="0"/>
      <w:marBottom w:val="0"/>
      <w:divBdr>
        <w:top w:val="none" w:sz="0" w:space="0" w:color="auto"/>
        <w:left w:val="none" w:sz="0" w:space="0" w:color="auto"/>
        <w:bottom w:val="none" w:sz="0" w:space="0" w:color="auto"/>
        <w:right w:val="none" w:sz="0" w:space="0" w:color="auto"/>
      </w:divBdr>
    </w:div>
    <w:div w:id="1677997602">
      <w:bodyDiv w:val="1"/>
      <w:marLeft w:val="0"/>
      <w:marRight w:val="0"/>
      <w:marTop w:val="0"/>
      <w:marBottom w:val="0"/>
      <w:divBdr>
        <w:top w:val="none" w:sz="0" w:space="0" w:color="auto"/>
        <w:left w:val="none" w:sz="0" w:space="0" w:color="auto"/>
        <w:bottom w:val="none" w:sz="0" w:space="0" w:color="auto"/>
        <w:right w:val="none" w:sz="0" w:space="0" w:color="auto"/>
      </w:divBdr>
    </w:div>
    <w:div w:id="1884752003">
      <w:bodyDiv w:val="1"/>
      <w:marLeft w:val="0"/>
      <w:marRight w:val="0"/>
      <w:marTop w:val="0"/>
      <w:marBottom w:val="0"/>
      <w:divBdr>
        <w:top w:val="none" w:sz="0" w:space="0" w:color="auto"/>
        <w:left w:val="none" w:sz="0" w:space="0" w:color="auto"/>
        <w:bottom w:val="none" w:sz="0" w:space="0" w:color="auto"/>
        <w:right w:val="none" w:sz="0" w:space="0" w:color="auto"/>
      </w:divBdr>
    </w:div>
    <w:div w:id="1965889542">
      <w:bodyDiv w:val="1"/>
      <w:marLeft w:val="0"/>
      <w:marRight w:val="0"/>
      <w:marTop w:val="0"/>
      <w:marBottom w:val="0"/>
      <w:divBdr>
        <w:top w:val="none" w:sz="0" w:space="0" w:color="auto"/>
        <w:left w:val="none" w:sz="0" w:space="0" w:color="auto"/>
        <w:bottom w:val="none" w:sz="0" w:space="0" w:color="auto"/>
        <w:right w:val="none" w:sz="0" w:space="0" w:color="auto"/>
      </w:divBdr>
    </w:div>
    <w:div w:id="2146926023">
      <w:bodyDiv w:val="1"/>
      <w:marLeft w:val="0"/>
      <w:marRight w:val="0"/>
      <w:marTop w:val="0"/>
      <w:marBottom w:val="0"/>
      <w:divBdr>
        <w:top w:val="none" w:sz="0" w:space="0" w:color="auto"/>
        <w:left w:val="none" w:sz="0" w:space="0" w:color="auto"/>
        <w:bottom w:val="none" w:sz="0" w:space="0" w:color="auto"/>
        <w:right w:val="none" w:sz="0" w:space="0" w:color="auto"/>
      </w:divBdr>
      <w:divsChild>
        <w:div w:id="1958832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ure.com/articles/s41586-021-03629-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o.org/3/ca9825en/ca9825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081dbcec-f8f8-470e-9cf1-ff758009fc79">
      <Terms xmlns="http://schemas.microsoft.com/office/infopath/2007/PartnerControls"/>
    </lcf76f155ced4ddcb4097134ff3c332f>
    <SharedWithUsers xmlns="b22eec61-2d44-43c5-b594-c27c970b8cd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9195B9495523448EAA8C2805A437E4" ma:contentTypeVersion="15" ma:contentTypeDescription="Create a new document." ma:contentTypeScope="" ma:versionID="bb8444a416ee5fe1e29b8c5f5af863bb">
  <xsd:schema xmlns:xsd="http://www.w3.org/2001/XMLSchema" xmlns:xs="http://www.w3.org/2001/XMLSchema" xmlns:p="http://schemas.microsoft.com/office/2006/metadata/properties" xmlns:ns2="b22eec61-2d44-43c5-b594-c27c970b8cd8" xmlns:ns3="081dbcec-f8f8-470e-9cf1-ff758009fc79" xmlns:ns4="985ec44e-1bab-4c0b-9df0-6ba128686fc9" targetNamespace="http://schemas.microsoft.com/office/2006/metadata/properties" ma:root="true" ma:fieldsID="d3a31ff294e197b7b01d2e7d43cc42af" ns2:_="" ns3:_="" ns4:_="">
    <xsd:import namespace="b22eec61-2d44-43c5-b594-c27c970b8cd8"/>
    <xsd:import namespace="081dbcec-f8f8-470e-9cf1-ff758009fc79"/>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ec61-2d44-43c5-b594-c27c970b8c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dbcec-f8f8-470e-9cf1-ff758009fc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44679b-3369-4aa4-9b0e-a35420982155}" ma:internalName="TaxCatchAll" ma:showField="CatchAllData" ma:web="b22eec61-2d44-43c5-b594-c27c970b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9D197-B86D-4B78-A457-6659D1AC5C56}">
  <ds:schemaRefs>
    <ds:schemaRef ds:uri="http://schemas.microsoft.com/office/2006/metadata/properties"/>
    <ds:schemaRef ds:uri="http://schemas.microsoft.com/office/infopath/2007/PartnerControls"/>
    <ds:schemaRef ds:uri="985ec44e-1bab-4c0b-9df0-6ba128686fc9"/>
    <ds:schemaRef ds:uri="081dbcec-f8f8-470e-9cf1-ff758009fc79"/>
    <ds:schemaRef ds:uri="b22eec61-2d44-43c5-b594-c27c970b8cd8"/>
  </ds:schemaRefs>
</ds:datastoreItem>
</file>

<file path=customXml/itemProps2.xml><?xml version="1.0" encoding="utf-8"?>
<ds:datastoreItem xmlns:ds="http://schemas.openxmlformats.org/officeDocument/2006/customXml" ds:itemID="{845CEB4F-994F-4889-AD78-96B5F42D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ec61-2d44-43c5-b594-c27c970b8cd8"/>
    <ds:schemaRef ds:uri="081dbcec-f8f8-470e-9cf1-ff758009fc7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17EAF-0700-494F-8C68-D85DF27F1F31}">
  <ds:schemaRefs>
    <ds:schemaRef ds:uri="http://schemas.openxmlformats.org/officeDocument/2006/bibliography"/>
  </ds:schemaRefs>
</ds:datastoreItem>
</file>

<file path=customXml/itemProps4.xml><?xml version="1.0" encoding="utf-8"?>
<ds:datastoreItem xmlns:ds="http://schemas.openxmlformats.org/officeDocument/2006/customXml" ds:itemID="{0EA6EB9E-E124-4CA4-9BB5-3CFAA486580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5</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Secrieru</dc:creator>
  <cp:keywords/>
  <dc:description/>
  <cp:lastModifiedBy>Sharon Mcauslan</cp:lastModifiedBy>
  <cp:revision>10</cp:revision>
  <dcterms:created xsi:type="dcterms:W3CDTF">2025-11-13T22:29:00Z</dcterms:created>
  <dcterms:modified xsi:type="dcterms:W3CDTF">2025-11-14T02:03:00Z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0x010100549195B9495523448EAA8C2805A437E4</vt:lpwstr>
  </property>
  <property fmtid="{D5CDD505-2E9C-101B-9397-08002B2CF9AE}" pid="3" name="MediaServiceImageTags">
    <vt:lpwstr/>
  </property>
  <property fmtid="{D5CDD505-2E9C-101B-9397-08002B2CF9AE}" pid="4" name="Order">
    <vt:i4>156900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y fmtid="{D5CDD505-2E9C-101B-9397-08002B2CF9AE}" pid="12" name="Weight">
    <vt:lpwstr/>
  </property>
</Properties>
</file>