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C6B351" w14:textId="77777777" w:rsidR="00762CAE" w:rsidRDefault="00762CAE" w:rsidP="67E1CCD0">
      <w:pPr>
        <w:rPr>
          <w:b/>
          <w:bCs/>
        </w:rPr>
      </w:pPr>
    </w:p>
    <w:tbl>
      <w:tblPr>
        <w:tblStyle w:val="TableGrid"/>
        <w:tblW w:w="0" w:type="auto"/>
        <w:tblLook w:val="04A0" w:firstRow="1" w:lastRow="0" w:firstColumn="1" w:lastColumn="0" w:noHBand="0" w:noVBand="1"/>
      </w:tblPr>
      <w:tblGrid>
        <w:gridCol w:w="846"/>
        <w:gridCol w:w="7371"/>
        <w:gridCol w:w="799"/>
      </w:tblGrid>
      <w:tr w:rsidR="00A7019F" w:rsidRPr="00AD674B" w14:paraId="3384C4BB" w14:textId="77777777" w:rsidTr="00EF5C09">
        <w:tc>
          <w:tcPr>
            <w:tcW w:w="846" w:type="dxa"/>
          </w:tcPr>
          <w:p w14:paraId="54D9ED7C" w14:textId="77777777" w:rsidR="00A7019F" w:rsidRPr="008A45B6" w:rsidRDefault="00A7019F">
            <w:pPr>
              <w:spacing w:before="0" w:after="0" w:line="240" w:lineRule="auto"/>
              <w:rPr>
                <w:rFonts w:ascii="Aptos" w:eastAsia="Aptos" w:hAnsi="Aptos" w:cs="Arial"/>
                <w:b/>
                <w:color w:val="215E99" w:themeColor="text2" w:themeTint="BF"/>
                <w:sz w:val="28"/>
                <w:szCs w:val="28"/>
                <w:lang w:val="it-IT"/>
              </w:rPr>
            </w:pPr>
          </w:p>
        </w:tc>
        <w:tc>
          <w:tcPr>
            <w:tcW w:w="7371" w:type="dxa"/>
          </w:tcPr>
          <w:p w14:paraId="47789DB1" w14:textId="77777777" w:rsidR="00A7019F" w:rsidRDefault="00A7019F">
            <w:pPr>
              <w:spacing w:before="0" w:after="0" w:line="240" w:lineRule="auto"/>
              <w:rPr>
                <w:rFonts w:ascii="Aptos" w:eastAsia="Aptos" w:hAnsi="Aptos" w:cs="Arial"/>
                <w:b/>
                <w:color w:val="215E99" w:themeColor="text2" w:themeTint="BF"/>
                <w:sz w:val="28"/>
                <w:szCs w:val="28"/>
                <w:lang w:val="it-IT"/>
              </w:rPr>
            </w:pPr>
          </w:p>
          <w:p w14:paraId="79465B80" w14:textId="77777777" w:rsidR="00A7019F" w:rsidRDefault="00A7019F">
            <w:pPr>
              <w:spacing w:before="0" w:after="0" w:line="240" w:lineRule="auto"/>
              <w:rPr>
                <w:rFonts w:ascii="Aptos" w:eastAsia="Aptos" w:hAnsi="Aptos" w:cs="Arial"/>
                <w:b/>
                <w:color w:val="215E99" w:themeColor="text2" w:themeTint="BF"/>
                <w:sz w:val="28"/>
                <w:szCs w:val="28"/>
                <w:lang w:val="it-IT"/>
              </w:rPr>
            </w:pPr>
          </w:p>
          <w:p w14:paraId="4989660A" w14:textId="77777777" w:rsidR="00A7019F" w:rsidRDefault="00A7019F">
            <w:pPr>
              <w:spacing w:before="0" w:after="0" w:line="240" w:lineRule="auto"/>
              <w:rPr>
                <w:rFonts w:ascii="Aptos" w:eastAsia="Aptos" w:hAnsi="Aptos" w:cs="Arial"/>
                <w:b/>
                <w:color w:val="215E99" w:themeColor="text2" w:themeTint="BF"/>
                <w:sz w:val="28"/>
                <w:szCs w:val="28"/>
                <w:lang w:val="it-IT"/>
              </w:rPr>
            </w:pPr>
          </w:p>
          <w:p w14:paraId="371C6467" w14:textId="77777777" w:rsidR="00A7019F" w:rsidRDefault="00A7019F">
            <w:pPr>
              <w:spacing w:before="0" w:after="0" w:line="240" w:lineRule="auto"/>
              <w:rPr>
                <w:rFonts w:ascii="Aptos" w:eastAsia="Aptos" w:hAnsi="Aptos" w:cs="Arial"/>
                <w:b/>
                <w:color w:val="215E99" w:themeColor="text2" w:themeTint="BF"/>
                <w:sz w:val="28"/>
                <w:szCs w:val="28"/>
                <w:lang w:val="it-IT"/>
              </w:rPr>
            </w:pPr>
          </w:p>
          <w:p w14:paraId="574483EE" w14:textId="77777777" w:rsidR="00A7019F" w:rsidRPr="008A45B6" w:rsidRDefault="00A7019F">
            <w:pPr>
              <w:spacing w:before="0" w:after="0" w:line="240" w:lineRule="auto"/>
              <w:rPr>
                <w:rFonts w:ascii="Aptos" w:eastAsia="Aptos" w:hAnsi="Aptos" w:cs="Arial"/>
                <w:b/>
                <w:color w:val="215E99" w:themeColor="text2" w:themeTint="BF"/>
                <w:sz w:val="28"/>
                <w:szCs w:val="28"/>
                <w:lang w:val="it-IT"/>
              </w:rPr>
            </w:pPr>
            <w:r>
              <w:rPr>
                <w:rFonts w:ascii="Aptos" w:eastAsia="Aptos" w:hAnsi="Aptos" w:cs="Arial"/>
                <w:b/>
                <w:noProof/>
                <w:color w:val="215E99" w:themeColor="text2" w:themeTint="BF"/>
                <w:sz w:val="28"/>
                <w:szCs w:val="28"/>
                <w:lang w:val="it-IT"/>
              </w:rPr>
              <w:drawing>
                <wp:inline distT="0" distB="0" distL="0" distR="0" wp14:anchorId="6198C589" wp14:editId="77F5923B">
                  <wp:extent cx="1188720" cy="664877"/>
                  <wp:effectExtent l="0" t="0" r="0" b="1905"/>
                  <wp:docPr id="319893295" name="Picture 1" descr="A black background with red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893295" name="Picture 1" descr="A black background with red and blue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97928" cy="670027"/>
                          </a:xfrm>
                          <a:prstGeom prst="rect">
                            <a:avLst/>
                          </a:prstGeom>
                          <a:noFill/>
                        </pic:spPr>
                      </pic:pic>
                    </a:graphicData>
                  </a:graphic>
                </wp:inline>
              </w:drawing>
            </w:r>
          </w:p>
          <w:p w14:paraId="7A862A5B" w14:textId="77777777" w:rsidR="00A7019F" w:rsidRPr="008A45B6" w:rsidRDefault="00A7019F">
            <w:pPr>
              <w:spacing w:before="0" w:after="0" w:line="240" w:lineRule="auto"/>
              <w:rPr>
                <w:rFonts w:ascii="Aptos" w:eastAsia="Aptos" w:hAnsi="Aptos" w:cs="Arial"/>
                <w:b/>
                <w:color w:val="215E99" w:themeColor="text2" w:themeTint="BF"/>
                <w:sz w:val="28"/>
                <w:szCs w:val="28"/>
                <w:lang w:val="it-IT"/>
              </w:rPr>
            </w:pPr>
          </w:p>
          <w:p w14:paraId="0813F0A7" w14:textId="77777777" w:rsidR="00A7019F" w:rsidRPr="008A45B6" w:rsidRDefault="00A7019F">
            <w:pPr>
              <w:spacing w:before="0" w:after="0" w:line="240" w:lineRule="auto"/>
              <w:rPr>
                <w:rFonts w:ascii="Aptos" w:eastAsia="Aptos" w:hAnsi="Aptos" w:cs="Arial"/>
                <w:b/>
                <w:color w:val="215E99" w:themeColor="text2" w:themeTint="BF"/>
                <w:sz w:val="28"/>
                <w:szCs w:val="28"/>
                <w:lang w:val="it-IT"/>
              </w:rPr>
            </w:pPr>
          </w:p>
        </w:tc>
        <w:tc>
          <w:tcPr>
            <w:tcW w:w="799" w:type="dxa"/>
          </w:tcPr>
          <w:p w14:paraId="0003F96F" w14:textId="77777777" w:rsidR="00A7019F" w:rsidRPr="00AD674B" w:rsidRDefault="00A7019F">
            <w:pPr>
              <w:spacing w:before="0" w:after="0" w:line="240" w:lineRule="auto"/>
              <w:rPr>
                <w:rFonts w:ascii="Aptos" w:eastAsia="Aptos" w:hAnsi="Aptos" w:cs="Arial"/>
                <w:b/>
                <w:sz w:val="28"/>
                <w:szCs w:val="28"/>
                <w:lang w:val="it-IT"/>
              </w:rPr>
            </w:pPr>
          </w:p>
        </w:tc>
      </w:tr>
      <w:tr w:rsidR="00A7019F" w:rsidRPr="00AD674B" w14:paraId="30B372D8" w14:textId="77777777" w:rsidTr="00EF5C09">
        <w:tc>
          <w:tcPr>
            <w:tcW w:w="846" w:type="dxa"/>
            <w:tcBorders>
              <w:right w:val="single" w:sz="24" w:space="0" w:color="336699"/>
            </w:tcBorders>
          </w:tcPr>
          <w:p w14:paraId="077C16A0"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tc>
        <w:tc>
          <w:tcPr>
            <w:tcW w:w="7371" w:type="dxa"/>
            <w:tcBorders>
              <w:left w:val="single" w:sz="24" w:space="0" w:color="336699"/>
            </w:tcBorders>
          </w:tcPr>
          <w:p w14:paraId="50195152" w14:textId="73B91707" w:rsidR="00A7019F" w:rsidRPr="00305E39" w:rsidRDefault="00A7019F">
            <w:pPr>
              <w:spacing w:before="0" w:after="0" w:line="240" w:lineRule="auto"/>
              <w:rPr>
                <w:rFonts w:eastAsia="Aptos" w:cs="Times New Roman"/>
                <w:b/>
                <w:color w:val="215E99" w:themeColor="text2" w:themeTint="BF"/>
                <w:sz w:val="56"/>
                <w:szCs w:val="56"/>
                <w:lang w:val="it-IT"/>
              </w:rPr>
            </w:pPr>
            <w:r w:rsidRPr="00305E39">
              <w:rPr>
                <w:rFonts w:eastAsia="Aptos" w:cs="Times New Roman"/>
                <w:b/>
                <w:color w:val="215E99" w:themeColor="text2" w:themeTint="BF"/>
                <w:sz w:val="44"/>
                <w:szCs w:val="44"/>
                <w:lang w:val="it-IT"/>
              </w:rPr>
              <w:t>Out</w:t>
            </w:r>
            <w:r w:rsidR="00BC0555">
              <w:rPr>
                <w:rFonts w:eastAsia="Aptos" w:cs="Times New Roman"/>
                <w:b/>
                <w:color w:val="215E99" w:themeColor="text2" w:themeTint="BF"/>
                <w:sz w:val="44"/>
                <w:szCs w:val="44"/>
                <w:lang w:val="it-IT"/>
              </w:rPr>
              <w:t>put</w:t>
            </w:r>
            <w:r w:rsidR="006636DC" w:rsidRPr="00305E39">
              <w:rPr>
                <w:rFonts w:eastAsia="Aptos" w:cs="Times New Roman"/>
                <w:b/>
                <w:color w:val="215E99" w:themeColor="text2" w:themeTint="BF"/>
                <w:sz w:val="44"/>
                <w:szCs w:val="44"/>
                <w:lang w:val="it-IT"/>
              </w:rPr>
              <w:t xml:space="preserve"> </w:t>
            </w:r>
            <w:r w:rsidR="005E238C">
              <w:rPr>
                <w:rFonts w:eastAsia="Aptos" w:cs="Times New Roman"/>
                <w:b/>
                <w:color w:val="215E99" w:themeColor="text2" w:themeTint="BF"/>
                <w:sz w:val="44"/>
                <w:szCs w:val="44"/>
                <w:lang w:val="it-IT"/>
              </w:rPr>
              <w:t>3.3</w:t>
            </w:r>
            <w:r w:rsidRPr="00305E39">
              <w:rPr>
                <w:rFonts w:eastAsia="Aptos" w:cs="Times New Roman"/>
                <w:b/>
                <w:color w:val="215E99" w:themeColor="text2" w:themeTint="BF"/>
                <w:sz w:val="44"/>
                <w:szCs w:val="44"/>
                <w:lang w:val="it-IT"/>
              </w:rPr>
              <w:t xml:space="preserve">: </w:t>
            </w:r>
            <w:r w:rsidR="00325C9A" w:rsidRPr="00325C9A">
              <w:rPr>
                <w:rFonts w:eastAsia="Aptos" w:cs="Times New Roman"/>
                <w:b/>
                <w:color w:val="215E99" w:themeColor="text2" w:themeTint="BF"/>
                <w:sz w:val="44"/>
                <w:szCs w:val="44"/>
                <w:lang w:val="it-IT"/>
              </w:rPr>
              <w:t xml:space="preserve">Policy </w:t>
            </w:r>
            <w:proofErr w:type="spellStart"/>
            <w:r w:rsidR="00325C9A" w:rsidRPr="00325C9A">
              <w:rPr>
                <w:rFonts w:eastAsia="Aptos" w:cs="Times New Roman"/>
                <w:b/>
                <w:color w:val="215E99" w:themeColor="text2" w:themeTint="BF"/>
                <w:sz w:val="44"/>
                <w:szCs w:val="44"/>
                <w:lang w:val="it-IT"/>
              </w:rPr>
              <w:t>analysis</w:t>
            </w:r>
            <w:proofErr w:type="spellEnd"/>
            <w:r w:rsidR="00325C9A" w:rsidRPr="00325C9A">
              <w:rPr>
                <w:rFonts w:eastAsia="Aptos" w:cs="Times New Roman"/>
                <w:b/>
                <w:color w:val="215E99" w:themeColor="text2" w:themeTint="BF"/>
                <w:sz w:val="44"/>
                <w:szCs w:val="44"/>
                <w:lang w:val="it-IT"/>
              </w:rPr>
              <w:t xml:space="preserve"> and information systems </w:t>
            </w:r>
            <w:proofErr w:type="spellStart"/>
            <w:r w:rsidR="00325C9A" w:rsidRPr="00325C9A">
              <w:rPr>
                <w:rFonts w:eastAsia="Aptos" w:cs="Times New Roman"/>
                <w:b/>
                <w:color w:val="215E99" w:themeColor="text2" w:themeTint="BF"/>
                <w:sz w:val="44"/>
                <w:szCs w:val="44"/>
                <w:lang w:val="it-IT"/>
              </w:rPr>
              <w:t>supported</w:t>
            </w:r>
            <w:proofErr w:type="spellEnd"/>
            <w:r w:rsidR="00325C9A" w:rsidRPr="00325C9A">
              <w:rPr>
                <w:rFonts w:eastAsia="Aptos" w:cs="Times New Roman"/>
                <w:b/>
                <w:color w:val="215E99" w:themeColor="text2" w:themeTint="BF"/>
                <w:sz w:val="44"/>
                <w:szCs w:val="44"/>
                <w:lang w:val="it-IT"/>
              </w:rPr>
              <w:t xml:space="preserve"> to </w:t>
            </w:r>
            <w:proofErr w:type="spellStart"/>
            <w:r w:rsidR="00325C9A" w:rsidRPr="00325C9A">
              <w:rPr>
                <w:rFonts w:eastAsia="Aptos" w:cs="Times New Roman"/>
                <w:b/>
                <w:color w:val="215E99" w:themeColor="text2" w:themeTint="BF"/>
                <w:sz w:val="44"/>
                <w:szCs w:val="44"/>
                <w:lang w:val="it-IT"/>
              </w:rPr>
              <w:t>improve</w:t>
            </w:r>
            <w:proofErr w:type="spellEnd"/>
            <w:r w:rsidR="00325C9A" w:rsidRPr="00325C9A">
              <w:rPr>
                <w:rFonts w:eastAsia="Aptos" w:cs="Times New Roman"/>
                <w:b/>
                <w:color w:val="215E99" w:themeColor="text2" w:themeTint="BF"/>
                <w:sz w:val="44"/>
                <w:szCs w:val="44"/>
                <w:lang w:val="it-IT"/>
              </w:rPr>
              <w:t xml:space="preserve"> action and </w:t>
            </w:r>
            <w:proofErr w:type="spellStart"/>
            <w:r w:rsidR="00325C9A" w:rsidRPr="00325C9A">
              <w:rPr>
                <w:rFonts w:eastAsia="Aptos" w:cs="Times New Roman"/>
                <w:b/>
                <w:color w:val="215E99" w:themeColor="text2" w:themeTint="BF"/>
                <w:sz w:val="44"/>
                <w:szCs w:val="44"/>
                <w:lang w:val="it-IT"/>
              </w:rPr>
              <w:t>unlock</w:t>
            </w:r>
            <w:proofErr w:type="spellEnd"/>
            <w:r w:rsidR="00325C9A" w:rsidRPr="00325C9A">
              <w:rPr>
                <w:rFonts w:eastAsia="Aptos" w:cs="Times New Roman"/>
                <w:b/>
                <w:color w:val="215E99" w:themeColor="text2" w:themeTint="BF"/>
                <w:sz w:val="44"/>
                <w:szCs w:val="44"/>
                <w:lang w:val="it-IT"/>
              </w:rPr>
              <w:t xml:space="preserve"> </w:t>
            </w:r>
            <w:proofErr w:type="spellStart"/>
            <w:r w:rsidR="00325C9A" w:rsidRPr="00325C9A">
              <w:rPr>
                <w:rFonts w:eastAsia="Aptos" w:cs="Times New Roman"/>
                <w:b/>
                <w:color w:val="215E99" w:themeColor="text2" w:themeTint="BF"/>
                <w:sz w:val="44"/>
                <w:szCs w:val="44"/>
                <w:lang w:val="it-IT"/>
              </w:rPr>
              <w:t>ambition</w:t>
            </w:r>
            <w:proofErr w:type="spellEnd"/>
          </w:p>
        </w:tc>
        <w:tc>
          <w:tcPr>
            <w:tcW w:w="799" w:type="dxa"/>
          </w:tcPr>
          <w:p w14:paraId="765186F6" w14:textId="77777777" w:rsidR="00A7019F" w:rsidRPr="00AD674B" w:rsidRDefault="00A7019F">
            <w:pPr>
              <w:spacing w:before="0" w:after="0" w:line="240" w:lineRule="auto"/>
              <w:rPr>
                <w:rFonts w:ascii="Aptos" w:eastAsia="Aptos" w:hAnsi="Aptos" w:cs="Arial"/>
                <w:b/>
                <w:sz w:val="28"/>
                <w:szCs w:val="28"/>
                <w:lang w:val="it-IT"/>
              </w:rPr>
            </w:pPr>
          </w:p>
        </w:tc>
      </w:tr>
      <w:tr w:rsidR="00A7019F" w:rsidRPr="00AD674B" w14:paraId="7020DB48" w14:textId="77777777" w:rsidTr="00EF5C09">
        <w:tc>
          <w:tcPr>
            <w:tcW w:w="846" w:type="dxa"/>
            <w:tcBorders>
              <w:right w:val="single" w:sz="24" w:space="0" w:color="336699"/>
            </w:tcBorders>
          </w:tcPr>
          <w:p w14:paraId="6F499C76"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tc>
        <w:tc>
          <w:tcPr>
            <w:tcW w:w="7371" w:type="dxa"/>
            <w:tcBorders>
              <w:left w:val="single" w:sz="24" w:space="0" w:color="336699"/>
            </w:tcBorders>
          </w:tcPr>
          <w:p w14:paraId="76044C75" w14:textId="77777777" w:rsidR="00A7019F" w:rsidRPr="00305E39" w:rsidRDefault="00A7019F">
            <w:pPr>
              <w:spacing w:before="0" w:after="0" w:line="240" w:lineRule="auto"/>
              <w:rPr>
                <w:rFonts w:eastAsia="Aptos" w:cs="Arial"/>
                <w:b/>
                <w:color w:val="215E99" w:themeColor="text2" w:themeTint="BF"/>
                <w:sz w:val="28"/>
                <w:szCs w:val="28"/>
                <w:lang w:val="it-IT"/>
              </w:rPr>
            </w:pPr>
          </w:p>
          <w:p w14:paraId="1A92FCD9" w14:textId="157A4884" w:rsidR="00220C87" w:rsidRDefault="00A7019F">
            <w:pPr>
              <w:spacing w:before="0" w:after="0" w:line="240" w:lineRule="auto"/>
              <w:rPr>
                <w:rFonts w:eastAsia="Aptos" w:cs="Arial"/>
                <w:b/>
                <w:color w:val="215E99" w:themeColor="text2" w:themeTint="BF"/>
                <w:sz w:val="28"/>
                <w:szCs w:val="28"/>
                <w:lang w:val="it-IT"/>
              </w:rPr>
            </w:pPr>
            <w:r w:rsidRPr="00305E39">
              <w:rPr>
                <w:rFonts w:eastAsia="Aptos" w:cs="Arial"/>
                <w:b/>
                <w:color w:val="215E99" w:themeColor="text2" w:themeTint="BF"/>
                <w:sz w:val="28"/>
                <w:szCs w:val="28"/>
                <w:lang w:val="it-IT"/>
              </w:rPr>
              <w:t xml:space="preserve">UN-REDD </w:t>
            </w:r>
            <w:r w:rsidR="00220C87">
              <w:rPr>
                <w:rFonts w:eastAsia="Aptos" w:cs="Arial"/>
                <w:b/>
                <w:color w:val="215E99" w:themeColor="text2" w:themeTint="BF"/>
                <w:sz w:val="28"/>
                <w:szCs w:val="28"/>
                <w:lang w:val="it-IT"/>
              </w:rPr>
              <w:t>Programme</w:t>
            </w:r>
            <w:r w:rsidRPr="00305E39">
              <w:rPr>
                <w:rFonts w:eastAsia="Aptos" w:cs="Arial"/>
                <w:b/>
                <w:color w:val="215E99" w:themeColor="text2" w:themeTint="BF"/>
                <w:sz w:val="28"/>
                <w:szCs w:val="28"/>
                <w:lang w:val="it-IT"/>
              </w:rPr>
              <w:t xml:space="preserve"> 2026–2030      </w:t>
            </w:r>
          </w:p>
          <w:p w14:paraId="1DF60C6F" w14:textId="57CF4258" w:rsidR="00A7019F" w:rsidRPr="00305E39" w:rsidRDefault="00C62FFD">
            <w:pPr>
              <w:spacing w:before="0" w:after="0" w:line="240" w:lineRule="auto"/>
              <w:rPr>
                <w:rFonts w:eastAsia="Aptos" w:cs="Arial"/>
                <w:b/>
                <w:color w:val="215E99" w:themeColor="text2" w:themeTint="BF"/>
                <w:sz w:val="28"/>
                <w:szCs w:val="28"/>
                <w:lang w:val="it-IT"/>
              </w:rPr>
            </w:pPr>
            <w:proofErr w:type="spellStart"/>
            <w:r>
              <w:rPr>
                <w:rFonts w:eastAsia="Aptos" w:cs="Arial"/>
                <w:b/>
                <w:color w:val="215E99" w:themeColor="text2" w:themeTint="BF"/>
                <w:sz w:val="28"/>
                <w:szCs w:val="28"/>
                <w:lang w:val="it-IT"/>
              </w:rPr>
              <w:t>Thematic</w:t>
            </w:r>
            <w:proofErr w:type="spellEnd"/>
            <w:r>
              <w:rPr>
                <w:rFonts w:eastAsia="Aptos" w:cs="Arial"/>
                <w:b/>
                <w:color w:val="215E99" w:themeColor="text2" w:themeTint="BF"/>
                <w:sz w:val="28"/>
                <w:szCs w:val="28"/>
                <w:lang w:val="it-IT"/>
              </w:rPr>
              <w:t xml:space="preserve"> Brief</w:t>
            </w:r>
          </w:p>
        </w:tc>
        <w:tc>
          <w:tcPr>
            <w:tcW w:w="799" w:type="dxa"/>
          </w:tcPr>
          <w:p w14:paraId="0347AF68" w14:textId="77777777" w:rsidR="00A7019F" w:rsidRPr="00AD674B" w:rsidRDefault="00A7019F">
            <w:pPr>
              <w:spacing w:before="0" w:after="0" w:line="240" w:lineRule="auto"/>
              <w:rPr>
                <w:rFonts w:ascii="Aptos" w:eastAsia="Aptos" w:hAnsi="Aptos" w:cs="Arial"/>
                <w:b/>
                <w:sz w:val="28"/>
                <w:szCs w:val="28"/>
                <w:lang w:val="it-IT"/>
              </w:rPr>
            </w:pPr>
          </w:p>
        </w:tc>
      </w:tr>
      <w:tr w:rsidR="00A7019F" w:rsidRPr="00AD674B" w14:paraId="254CBB38" w14:textId="77777777" w:rsidTr="00EF5C09">
        <w:tc>
          <w:tcPr>
            <w:tcW w:w="846" w:type="dxa"/>
            <w:tcBorders>
              <w:right w:val="single" w:sz="24" w:space="0" w:color="336699"/>
            </w:tcBorders>
          </w:tcPr>
          <w:p w14:paraId="37894355"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tc>
        <w:tc>
          <w:tcPr>
            <w:tcW w:w="7371" w:type="dxa"/>
            <w:tcBorders>
              <w:left w:val="single" w:sz="24" w:space="0" w:color="336699"/>
            </w:tcBorders>
          </w:tcPr>
          <w:p w14:paraId="27E8ED1F" w14:textId="77777777" w:rsidR="00A7019F" w:rsidRPr="00305E39" w:rsidRDefault="00A7019F">
            <w:pPr>
              <w:spacing w:before="0" w:after="0" w:line="240" w:lineRule="auto"/>
              <w:rPr>
                <w:rFonts w:eastAsia="Aptos" w:cs="Arial"/>
                <w:b/>
                <w:color w:val="215E99" w:themeColor="text2" w:themeTint="BF"/>
                <w:sz w:val="28"/>
                <w:szCs w:val="28"/>
                <w:lang w:val="it-IT"/>
              </w:rPr>
            </w:pPr>
          </w:p>
        </w:tc>
        <w:tc>
          <w:tcPr>
            <w:tcW w:w="799" w:type="dxa"/>
          </w:tcPr>
          <w:p w14:paraId="2DDD7E8D" w14:textId="77777777" w:rsidR="00A7019F" w:rsidRPr="00AD674B" w:rsidRDefault="00A7019F">
            <w:pPr>
              <w:spacing w:before="0" w:after="0" w:line="240" w:lineRule="auto"/>
              <w:rPr>
                <w:rFonts w:ascii="Aptos" w:eastAsia="Aptos" w:hAnsi="Aptos" w:cs="Arial"/>
                <w:b/>
                <w:sz w:val="28"/>
                <w:szCs w:val="28"/>
                <w:lang w:val="it-IT"/>
              </w:rPr>
            </w:pPr>
          </w:p>
        </w:tc>
      </w:tr>
      <w:tr w:rsidR="00A7019F" w:rsidRPr="00AD674B" w14:paraId="7CEA0E1D" w14:textId="77777777" w:rsidTr="00EF5C09">
        <w:trPr>
          <w:trHeight w:val="68"/>
        </w:trPr>
        <w:tc>
          <w:tcPr>
            <w:tcW w:w="846" w:type="dxa"/>
            <w:tcBorders>
              <w:right w:val="single" w:sz="24" w:space="0" w:color="336699"/>
            </w:tcBorders>
          </w:tcPr>
          <w:p w14:paraId="0BB71E93"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tc>
        <w:tc>
          <w:tcPr>
            <w:tcW w:w="7371" w:type="dxa"/>
            <w:tcBorders>
              <w:left w:val="single" w:sz="24" w:space="0" w:color="336699"/>
            </w:tcBorders>
          </w:tcPr>
          <w:p w14:paraId="0B1CAEF8" w14:textId="77777777" w:rsidR="00A7019F" w:rsidRPr="00305E39" w:rsidRDefault="00A7019F">
            <w:pPr>
              <w:spacing w:before="0" w:after="0" w:line="240" w:lineRule="auto"/>
              <w:rPr>
                <w:rFonts w:eastAsia="Aptos" w:cs="Arial"/>
                <w:b/>
                <w:color w:val="215E99" w:themeColor="text2" w:themeTint="BF"/>
                <w:lang w:val="it-IT"/>
              </w:rPr>
            </w:pPr>
            <w:proofErr w:type="spellStart"/>
            <w:r w:rsidRPr="00305E39">
              <w:rPr>
                <w:rFonts w:eastAsia="Aptos" w:cs="Arial"/>
                <w:b/>
                <w:color w:val="215E99" w:themeColor="text2" w:themeTint="BF"/>
                <w:lang w:val="it-IT"/>
              </w:rPr>
              <w:t>Prepared</w:t>
            </w:r>
            <w:proofErr w:type="spellEnd"/>
            <w:r w:rsidRPr="00305E39">
              <w:rPr>
                <w:rFonts w:eastAsia="Aptos" w:cs="Arial"/>
                <w:b/>
                <w:color w:val="215E99" w:themeColor="text2" w:themeTint="BF"/>
                <w:lang w:val="it-IT"/>
              </w:rPr>
              <w:t xml:space="preserve"> by UN-REDD Programme</w:t>
            </w:r>
          </w:p>
          <w:p w14:paraId="66711118" w14:textId="4B88480F" w:rsidR="00A7019F" w:rsidRPr="00305E39" w:rsidRDefault="00A7019F">
            <w:pPr>
              <w:spacing w:before="0" w:after="0" w:line="240" w:lineRule="auto"/>
              <w:rPr>
                <w:rFonts w:eastAsia="Aptos" w:cs="Arial"/>
                <w:b/>
                <w:color w:val="215E99" w:themeColor="text2" w:themeTint="BF"/>
                <w:sz w:val="28"/>
                <w:szCs w:val="28"/>
                <w:lang w:val="it-IT"/>
              </w:rPr>
            </w:pPr>
            <w:r w:rsidRPr="00305E39">
              <w:rPr>
                <w:rFonts w:eastAsia="Aptos" w:cs="Arial"/>
                <w:b/>
                <w:color w:val="215E99" w:themeColor="text2" w:themeTint="BF"/>
                <w:lang w:val="it-IT"/>
              </w:rPr>
              <w:t>2025</w:t>
            </w:r>
          </w:p>
        </w:tc>
        <w:tc>
          <w:tcPr>
            <w:tcW w:w="799" w:type="dxa"/>
          </w:tcPr>
          <w:p w14:paraId="1AA9BDFB" w14:textId="77777777" w:rsidR="00A7019F" w:rsidRPr="00AD674B" w:rsidRDefault="00A7019F">
            <w:pPr>
              <w:spacing w:before="0" w:after="0" w:line="240" w:lineRule="auto"/>
              <w:rPr>
                <w:rFonts w:ascii="Aptos" w:eastAsia="Aptos" w:hAnsi="Aptos" w:cs="Arial"/>
                <w:b/>
                <w:sz w:val="28"/>
                <w:szCs w:val="28"/>
                <w:lang w:val="it-IT"/>
              </w:rPr>
            </w:pPr>
          </w:p>
        </w:tc>
      </w:tr>
      <w:tr w:rsidR="00A7019F" w:rsidRPr="00AD674B" w14:paraId="7972DFB2" w14:textId="77777777" w:rsidTr="00EF5C09">
        <w:trPr>
          <w:trHeight w:val="3470"/>
        </w:trPr>
        <w:tc>
          <w:tcPr>
            <w:tcW w:w="846" w:type="dxa"/>
          </w:tcPr>
          <w:p w14:paraId="3A2C56C3"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tc>
        <w:tc>
          <w:tcPr>
            <w:tcW w:w="7371" w:type="dxa"/>
            <w:tcBorders>
              <w:bottom w:val="single" w:sz="4" w:space="0" w:color="auto"/>
            </w:tcBorders>
          </w:tcPr>
          <w:p w14:paraId="520943CA"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p w14:paraId="07ABF41C"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tc>
        <w:tc>
          <w:tcPr>
            <w:tcW w:w="799" w:type="dxa"/>
          </w:tcPr>
          <w:p w14:paraId="6AC09722" w14:textId="77777777" w:rsidR="00A7019F" w:rsidRPr="00AD674B" w:rsidRDefault="00A7019F">
            <w:pPr>
              <w:spacing w:before="0" w:after="0" w:line="240" w:lineRule="auto"/>
              <w:rPr>
                <w:rFonts w:ascii="Aptos" w:eastAsia="Aptos" w:hAnsi="Aptos" w:cs="Arial"/>
                <w:b/>
                <w:sz w:val="28"/>
                <w:szCs w:val="28"/>
                <w:lang w:val="it-IT"/>
              </w:rPr>
            </w:pPr>
          </w:p>
        </w:tc>
      </w:tr>
      <w:tr w:rsidR="00A7019F" w:rsidRPr="00AD674B" w14:paraId="21B2C0BD" w14:textId="77777777" w:rsidTr="002B7A87">
        <w:trPr>
          <w:trHeight w:val="730"/>
        </w:trPr>
        <w:tc>
          <w:tcPr>
            <w:tcW w:w="846" w:type="dxa"/>
            <w:tcBorders>
              <w:right w:val="single" w:sz="4" w:space="0" w:color="auto"/>
            </w:tcBorders>
          </w:tcPr>
          <w:p w14:paraId="46FCA287" w14:textId="77777777" w:rsidR="00A7019F" w:rsidRPr="00AD674B" w:rsidRDefault="00A7019F">
            <w:pPr>
              <w:spacing w:before="0" w:after="0" w:line="240" w:lineRule="auto"/>
              <w:rPr>
                <w:rFonts w:ascii="Aptos" w:eastAsia="Aptos" w:hAnsi="Aptos" w:cs="Arial"/>
                <w:b/>
                <w:sz w:val="28"/>
                <w:szCs w:val="28"/>
                <w:lang w:val="it-IT"/>
              </w:rPr>
            </w:pPr>
          </w:p>
        </w:tc>
        <w:tc>
          <w:tcPr>
            <w:tcW w:w="7371" w:type="dxa"/>
            <w:tcBorders>
              <w:top w:val="single" w:sz="4" w:space="0" w:color="auto"/>
              <w:left w:val="single" w:sz="4" w:space="0" w:color="auto"/>
              <w:bottom w:val="single" w:sz="4" w:space="0" w:color="auto"/>
              <w:right w:val="single" w:sz="4" w:space="0" w:color="auto"/>
            </w:tcBorders>
          </w:tcPr>
          <w:p w14:paraId="64F4006A" w14:textId="7D1CCFF0" w:rsidR="00B24702" w:rsidRPr="00AD674B" w:rsidRDefault="00A7019F" w:rsidP="00574469">
            <w:pPr>
              <w:spacing w:after="120" w:line="240" w:lineRule="auto"/>
              <w:ind w:right="57"/>
              <w:jc w:val="both"/>
              <w:rPr>
                <w:rFonts w:ascii="Roboto" w:eastAsia="Aptos" w:hAnsi="Roboto" w:cs="Arial"/>
                <w:b/>
                <w:i/>
                <w:iCs/>
                <w:sz w:val="18"/>
                <w:szCs w:val="18"/>
                <w:lang w:val="it-IT"/>
              </w:rPr>
            </w:pPr>
            <w:r w:rsidRPr="00AD674B">
              <w:rPr>
                <w:rFonts w:ascii="Roboto" w:eastAsia="Aptos" w:hAnsi="Roboto" w:cs="Arial"/>
                <w:i/>
                <w:iCs/>
                <w:sz w:val="20"/>
                <w:szCs w:val="20"/>
              </w:rPr>
              <w:t>This brief has been prepared by the UN-REDD Programme team based on strategic insights and</w:t>
            </w:r>
            <w:r w:rsidR="00942E36">
              <w:rPr>
                <w:rFonts w:ascii="Roboto" w:eastAsia="Aptos" w:hAnsi="Roboto" w:cs="Arial"/>
                <w:i/>
                <w:iCs/>
                <w:sz w:val="20"/>
                <w:szCs w:val="20"/>
              </w:rPr>
              <w:t xml:space="preserve"> </w:t>
            </w:r>
            <w:r w:rsidRPr="00AD674B">
              <w:rPr>
                <w:rFonts w:ascii="Roboto" w:eastAsia="Aptos" w:hAnsi="Roboto" w:cs="Arial"/>
                <w:i/>
                <w:iCs/>
                <w:sz w:val="20"/>
                <w:szCs w:val="20"/>
              </w:rPr>
              <w:t>consultations</w:t>
            </w:r>
            <w:r w:rsidR="00942E36">
              <w:rPr>
                <w:rFonts w:ascii="Roboto" w:eastAsia="Aptos" w:hAnsi="Roboto" w:cs="Arial"/>
                <w:i/>
                <w:iCs/>
                <w:sz w:val="20"/>
                <w:szCs w:val="20"/>
              </w:rPr>
              <w:t xml:space="preserve"> </w:t>
            </w:r>
            <w:r w:rsidR="00350BC8">
              <w:rPr>
                <w:rFonts w:ascii="Roboto" w:eastAsia="Aptos" w:hAnsi="Roboto" w:cs="Arial"/>
                <w:i/>
                <w:iCs/>
                <w:sz w:val="20"/>
                <w:szCs w:val="20"/>
              </w:rPr>
              <w:t>related to</w:t>
            </w:r>
            <w:r w:rsidR="00942E36">
              <w:rPr>
                <w:rFonts w:ascii="Roboto" w:eastAsia="Aptos" w:hAnsi="Roboto" w:cs="Arial"/>
                <w:i/>
                <w:iCs/>
                <w:sz w:val="20"/>
                <w:szCs w:val="20"/>
              </w:rPr>
              <w:t xml:space="preserve"> the development of the 2026-2030 Strategy</w:t>
            </w:r>
            <w:r w:rsidRPr="00AD674B">
              <w:rPr>
                <w:rFonts w:ascii="Roboto" w:eastAsia="Aptos" w:hAnsi="Roboto" w:cs="Arial"/>
                <w:i/>
                <w:iCs/>
                <w:sz w:val="20"/>
                <w:szCs w:val="20"/>
              </w:rPr>
              <w:t>. It is intended to provide</w:t>
            </w:r>
            <w:r w:rsidR="00BD38A7">
              <w:rPr>
                <w:rFonts w:ascii="Roboto" w:eastAsia="Aptos" w:hAnsi="Roboto" w:cs="Arial"/>
                <w:i/>
                <w:iCs/>
                <w:sz w:val="20"/>
                <w:szCs w:val="20"/>
              </w:rPr>
              <w:t xml:space="preserve"> an</w:t>
            </w:r>
            <w:r w:rsidRPr="00AD674B">
              <w:rPr>
                <w:rFonts w:ascii="Roboto" w:eastAsia="Aptos" w:hAnsi="Roboto" w:cs="Arial"/>
                <w:i/>
                <w:iCs/>
                <w:sz w:val="20"/>
                <w:szCs w:val="20"/>
              </w:rPr>
              <w:t xml:space="preserve"> illustrative </w:t>
            </w:r>
            <w:r w:rsidR="00BD38A7">
              <w:rPr>
                <w:rFonts w:ascii="Roboto" w:eastAsia="Aptos" w:hAnsi="Roboto" w:cs="Arial"/>
                <w:i/>
                <w:iCs/>
                <w:sz w:val="20"/>
                <w:szCs w:val="20"/>
              </w:rPr>
              <w:t>summary</w:t>
            </w:r>
            <w:r w:rsidRPr="00AD674B">
              <w:rPr>
                <w:rFonts w:ascii="Roboto" w:eastAsia="Aptos" w:hAnsi="Roboto" w:cs="Arial"/>
                <w:i/>
                <w:iCs/>
                <w:sz w:val="20"/>
                <w:szCs w:val="20"/>
              </w:rPr>
              <w:t xml:space="preserve"> o</w:t>
            </w:r>
            <w:r w:rsidR="00BD38A7">
              <w:rPr>
                <w:rFonts w:ascii="Roboto" w:eastAsia="Aptos" w:hAnsi="Roboto" w:cs="Arial"/>
                <w:i/>
                <w:iCs/>
                <w:sz w:val="20"/>
                <w:szCs w:val="20"/>
              </w:rPr>
              <w:t>f</w:t>
            </w:r>
            <w:r w:rsidRPr="00AD674B">
              <w:rPr>
                <w:rFonts w:ascii="Roboto" w:eastAsia="Aptos" w:hAnsi="Roboto" w:cs="Arial"/>
                <w:i/>
                <w:iCs/>
                <w:sz w:val="20"/>
                <w:szCs w:val="20"/>
              </w:rPr>
              <w:t xml:space="preserve"> potential areas of UN-REDD support </w:t>
            </w:r>
            <w:r w:rsidR="00B4512C">
              <w:rPr>
                <w:rFonts w:ascii="Roboto" w:eastAsia="Aptos" w:hAnsi="Roboto" w:cs="Arial"/>
                <w:i/>
                <w:iCs/>
                <w:sz w:val="20"/>
                <w:szCs w:val="20"/>
              </w:rPr>
              <w:t>during</w:t>
            </w:r>
            <w:r w:rsidRPr="00AD674B">
              <w:rPr>
                <w:rFonts w:ascii="Roboto" w:eastAsia="Aptos" w:hAnsi="Roboto" w:cs="Arial"/>
                <w:i/>
                <w:iCs/>
                <w:sz w:val="20"/>
                <w:szCs w:val="20"/>
              </w:rPr>
              <w:t xml:space="preserve"> the 2026–2030 period</w:t>
            </w:r>
            <w:r w:rsidR="00094CB6">
              <w:rPr>
                <w:rFonts w:ascii="Roboto" w:eastAsia="Aptos" w:hAnsi="Roboto" w:cs="Arial"/>
                <w:i/>
                <w:iCs/>
                <w:sz w:val="20"/>
                <w:szCs w:val="20"/>
              </w:rPr>
              <w:t xml:space="preserve">. </w:t>
            </w:r>
            <w:r w:rsidR="00B4512C">
              <w:rPr>
                <w:rFonts w:ascii="Roboto" w:eastAsia="Aptos" w:hAnsi="Roboto" w:cs="Arial"/>
                <w:i/>
                <w:iCs/>
                <w:sz w:val="20"/>
                <w:szCs w:val="20"/>
              </w:rPr>
              <w:t xml:space="preserve">The information here </w:t>
            </w:r>
            <w:r w:rsidR="003723EA">
              <w:rPr>
                <w:rFonts w:ascii="Roboto" w:eastAsia="Aptos" w:hAnsi="Roboto" w:cs="Arial"/>
                <w:i/>
                <w:iCs/>
                <w:sz w:val="20"/>
                <w:szCs w:val="20"/>
              </w:rPr>
              <w:t xml:space="preserve">is indicative </w:t>
            </w:r>
            <w:r w:rsidR="00CB594B">
              <w:rPr>
                <w:rFonts w:ascii="Roboto" w:eastAsia="Aptos" w:hAnsi="Roboto" w:cs="Arial"/>
                <w:i/>
                <w:iCs/>
                <w:sz w:val="20"/>
                <w:szCs w:val="20"/>
              </w:rPr>
              <w:t>and</w:t>
            </w:r>
            <w:r w:rsidR="00E40E11">
              <w:rPr>
                <w:rFonts w:ascii="Roboto" w:eastAsia="Aptos" w:hAnsi="Roboto" w:cs="Arial"/>
                <w:i/>
                <w:iCs/>
                <w:sz w:val="20"/>
                <w:szCs w:val="20"/>
              </w:rPr>
              <w:t xml:space="preserve"> does not </w:t>
            </w:r>
            <w:r w:rsidR="002A0910">
              <w:rPr>
                <w:rFonts w:ascii="Roboto" w:eastAsia="Aptos" w:hAnsi="Roboto" w:cs="Arial"/>
                <w:i/>
                <w:iCs/>
                <w:sz w:val="20"/>
                <w:szCs w:val="20"/>
              </w:rPr>
              <w:t xml:space="preserve">represent a commitment of </w:t>
            </w:r>
            <w:r w:rsidR="00B727FA">
              <w:rPr>
                <w:rFonts w:ascii="Roboto" w:eastAsia="Aptos" w:hAnsi="Roboto" w:cs="Arial"/>
                <w:i/>
                <w:iCs/>
                <w:sz w:val="20"/>
                <w:szCs w:val="20"/>
              </w:rPr>
              <w:t>the</w:t>
            </w:r>
            <w:r w:rsidR="002A0910">
              <w:rPr>
                <w:rFonts w:ascii="Roboto" w:eastAsia="Aptos" w:hAnsi="Roboto" w:cs="Arial"/>
                <w:i/>
                <w:iCs/>
                <w:sz w:val="20"/>
                <w:szCs w:val="20"/>
              </w:rPr>
              <w:t xml:space="preserve"> 2026-2030 work</w:t>
            </w:r>
            <w:r w:rsidR="00205E27">
              <w:rPr>
                <w:rFonts w:ascii="Roboto" w:eastAsia="Aptos" w:hAnsi="Roboto" w:cs="Arial"/>
                <w:i/>
                <w:iCs/>
                <w:sz w:val="20"/>
                <w:szCs w:val="20"/>
              </w:rPr>
              <w:t xml:space="preserve"> </w:t>
            </w:r>
            <w:r w:rsidR="002A0910">
              <w:rPr>
                <w:rFonts w:ascii="Roboto" w:eastAsia="Aptos" w:hAnsi="Roboto" w:cs="Arial"/>
                <w:i/>
                <w:iCs/>
                <w:sz w:val="20"/>
                <w:szCs w:val="20"/>
              </w:rPr>
              <w:t xml:space="preserve">plan, which will be developed through the </w:t>
            </w:r>
            <w:r w:rsidR="00EE02EE">
              <w:rPr>
                <w:rFonts w:ascii="Roboto" w:eastAsia="Aptos" w:hAnsi="Roboto" w:cs="Arial"/>
                <w:i/>
                <w:iCs/>
                <w:sz w:val="20"/>
                <w:szCs w:val="20"/>
              </w:rPr>
              <w:t xml:space="preserve">regular programming process. </w:t>
            </w:r>
          </w:p>
        </w:tc>
        <w:tc>
          <w:tcPr>
            <w:tcW w:w="799" w:type="dxa"/>
            <w:tcBorders>
              <w:left w:val="single" w:sz="4" w:space="0" w:color="auto"/>
            </w:tcBorders>
          </w:tcPr>
          <w:p w14:paraId="7FC0C782" w14:textId="77777777" w:rsidR="00A7019F" w:rsidRPr="00AD674B" w:rsidRDefault="00A7019F">
            <w:pPr>
              <w:spacing w:before="0" w:after="0" w:line="240" w:lineRule="auto"/>
              <w:rPr>
                <w:rFonts w:ascii="Roboto" w:eastAsia="Aptos" w:hAnsi="Roboto" w:cs="Arial"/>
                <w:b/>
                <w:sz w:val="18"/>
                <w:szCs w:val="18"/>
                <w:lang w:val="it-IT"/>
              </w:rPr>
            </w:pPr>
          </w:p>
        </w:tc>
      </w:tr>
    </w:tbl>
    <w:p w14:paraId="643C49E0" w14:textId="77777777" w:rsidR="00A7019F" w:rsidRPr="00A7019F" w:rsidRDefault="00A7019F" w:rsidP="00A7019F">
      <w:pPr>
        <w:sectPr w:rsidR="00A7019F" w:rsidRPr="00A7019F" w:rsidSect="00242FA0">
          <w:pgSz w:w="11906" w:h="16838"/>
          <w:pgMar w:top="1440" w:right="1080" w:bottom="1440" w:left="1080" w:header="708" w:footer="708" w:gutter="0"/>
          <w:cols w:space="708"/>
          <w:docGrid w:linePitch="360"/>
        </w:sectPr>
      </w:pPr>
    </w:p>
    <w:p w14:paraId="38AEF2AF" w14:textId="672981FB" w:rsidR="00164CC9" w:rsidRPr="00EB72D2" w:rsidRDefault="00164CC9" w:rsidP="00164CC9">
      <w:pPr>
        <w:pStyle w:val="Heading1"/>
        <w:spacing w:after="240"/>
        <w:jc w:val="center"/>
      </w:pPr>
      <w:r w:rsidRPr="67E1CCD0">
        <w:lastRenderedPageBreak/>
        <w:t xml:space="preserve">Output </w:t>
      </w:r>
      <w:r w:rsidR="005E238C">
        <w:t>3.3</w:t>
      </w:r>
      <w:r w:rsidRPr="67E1CCD0">
        <w:t xml:space="preserve">: </w:t>
      </w:r>
      <w:r w:rsidR="00325C9A" w:rsidRPr="00325C9A">
        <w:rPr>
          <w:lang w:val="it-IT"/>
        </w:rPr>
        <w:t xml:space="preserve">Policy </w:t>
      </w:r>
      <w:proofErr w:type="spellStart"/>
      <w:r w:rsidR="00325C9A" w:rsidRPr="00325C9A">
        <w:rPr>
          <w:lang w:val="it-IT"/>
        </w:rPr>
        <w:t>analysis</w:t>
      </w:r>
      <w:proofErr w:type="spellEnd"/>
      <w:r w:rsidR="00325C9A" w:rsidRPr="00325C9A">
        <w:rPr>
          <w:lang w:val="it-IT"/>
        </w:rPr>
        <w:t xml:space="preserve"> and information systems </w:t>
      </w:r>
      <w:proofErr w:type="spellStart"/>
      <w:r w:rsidR="00325C9A" w:rsidRPr="00325C9A">
        <w:rPr>
          <w:lang w:val="it-IT"/>
        </w:rPr>
        <w:t>supported</w:t>
      </w:r>
      <w:proofErr w:type="spellEnd"/>
      <w:r w:rsidR="00325C9A" w:rsidRPr="00325C9A">
        <w:rPr>
          <w:lang w:val="it-IT"/>
        </w:rPr>
        <w:t xml:space="preserve"> to </w:t>
      </w:r>
      <w:proofErr w:type="spellStart"/>
      <w:r w:rsidR="00325C9A" w:rsidRPr="00325C9A">
        <w:rPr>
          <w:lang w:val="it-IT"/>
        </w:rPr>
        <w:t>improve</w:t>
      </w:r>
      <w:proofErr w:type="spellEnd"/>
      <w:r w:rsidR="00325C9A" w:rsidRPr="00325C9A">
        <w:rPr>
          <w:lang w:val="it-IT"/>
        </w:rPr>
        <w:t xml:space="preserve"> action and </w:t>
      </w:r>
      <w:proofErr w:type="spellStart"/>
      <w:r w:rsidR="00325C9A" w:rsidRPr="00325C9A">
        <w:rPr>
          <w:lang w:val="it-IT"/>
        </w:rPr>
        <w:t>unlock</w:t>
      </w:r>
      <w:proofErr w:type="spellEnd"/>
      <w:r w:rsidR="00325C9A" w:rsidRPr="00325C9A">
        <w:rPr>
          <w:lang w:val="it-IT"/>
        </w:rPr>
        <w:t xml:space="preserve"> </w:t>
      </w:r>
      <w:proofErr w:type="spellStart"/>
      <w:r w:rsidR="00325C9A" w:rsidRPr="00325C9A">
        <w:rPr>
          <w:lang w:val="it-IT"/>
        </w:rPr>
        <w:t>ambition</w:t>
      </w:r>
      <w:proofErr w:type="spellEnd"/>
    </w:p>
    <w:p w14:paraId="208D6130" w14:textId="1F6DA06A" w:rsidR="00D668BA" w:rsidRDefault="00D668BA" w:rsidP="00DA2F85">
      <w:pPr>
        <w:pBdr>
          <w:top w:val="single" w:sz="4" w:space="1" w:color="auto"/>
          <w:left w:val="single" w:sz="4" w:space="4" w:color="auto"/>
          <w:bottom w:val="single" w:sz="4" w:space="1" w:color="auto"/>
          <w:right w:val="single" w:sz="4" w:space="0" w:color="auto"/>
        </w:pBdr>
        <w:spacing w:after="120"/>
        <w:rPr>
          <w:rFonts w:eastAsiaTheme="minorEastAsia"/>
          <w:i/>
        </w:rPr>
      </w:pPr>
      <w:r w:rsidRPr="00F67F56">
        <w:rPr>
          <w:rFonts w:eastAsiaTheme="minorEastAsia"/>
          <w:b/>
          <w:bCs/>
          <w:i/>
        </w:rPr>
        <w:t>This is one of three outputs forming Outcome 3: Enhancing Climate Ambition:</w:t>
      </w:r>
      <w:r>
        <w:rPr>
          <w:rFonts w:eastAsiaTheme="minorEastAsia"/>
          <w:i/>
        </w:rPr>
        <w:t xml:space="preserve"> </w:t>
      </w:r>
      <w:r w:rsidRPr="5336A008">
        <w:rPr>
          <w:rFonts w:eastAsiaTheme="minorEastAsia"/>
        </w:rPr>
        <w:t>Within the framework of the UN Climate Promise, supporting countries to enhance the climate ambition of their forest and land sector, in line with the global 1.5</w:t>
      </w:r>
      <w:r w:rsidRPr="5336A008">
        <w:rPr>
          <w:rFonts w:eastAsiaTheme="minorEastAsia"/>
          <w:vertAlign w:val="superscript"/>
        </w:rPr>
        <w:t>o</w:t>
      </w:r>
      <w:r w:rsidRPr="5336A008">
        <w:rPr>
          <w:rFonts w:eastAsiaTheme="minorEastAsia"/>
        </w:rPr>
        <w:t xml:space="preserve">C target. This comprises support along the NDC cycle, including coordination, stakeholder engagement, </w:t>
      </w:r>
      <w:r w:rsidR="00325C9A">
        <w:rPr>
          <w:rFonts w:eastAsiaTheme="minorEastAsia"/>
        </w:rPr>
        <w:t>quality assurance</w:t>
      </w:r>
      <w:r w:rsidRPr="5336A008">
        <w:rPr>
          <w:rFonts w:eastAsiaTheme="minorEastAsia"/>
        </w:rPr>
        <w:t xml:space="preserve">, enhancement, financing and implementation (thus contributing to Outcome 1), as well as </w:t>
      </w:r>
      <w:r w:rsidR="00E02633">
        <w:rPr>
          <w:rFonts w:eastAsiaTheme="minorEastAsia"/>
        </w:rPr>
        <w:t xml:space="preserve">reporting on NDC progress through </w:t>
      </w:r>
      <w:r w:rsidRPr="5336A008">
        <w:rPr>
          <w:rFonts w:eastAsiaTheme="minorEastAsia"/>
        </w:rPr>
        <w:t>the associated Enhanced Transparency Framework. The NDC support will integrate acceleration, ambition, and inclusivity.</w:t>
      </w:r>
    </w:p>
    <w:p w14:paraId="5F23962F" w14:textId="77777777" w:rsidR="004C77B1" w:rsidRPr="001F0A55" w:rsidRDefault="004C77B1" w:rsidP="004C77B1">
      <w:pPr>
        <w:pStyle w:val="Heading1"/>
      </w:pPr>
      <w:r w:rsidRPr="04CDC0B5">
        <w:t xml:space="preserve">The challenge </w:t>
      </w:r>
    </w:p>
    <w:p w14:paraId="73458155" w14:textId="77777777" w:rsidR="004C77B1" w:rsidRPr="003854CA" w:rsidRDefault="004C77B1" w:rsidP="004C77B1">
      <w:r w:rsidRPr="003854CA">
        <w:t>To effectively reduce emissions from deforestation and forest degradation, countries must do more than set targets—they must manage the policies and measures that will get them there. This requires moving beyond high-level strategies and GHG inventories to structured systems for tracking the design, implementation, and outcomes of mitigation-related policies, particularly in land use and forest sectors.</w:t>
      </w:r>
    </w:p>
    <w:p w14:paraId="4C7F882C" w14:textId="77777777" w:rsidR="004C77B1" w:rsidRPr="003854CA" w:rsidRDefault="004C77B1" w:rsidP="004C77B1">
      <w:r w:rsidRPr="003854CA">
        <w:t xml:space="preserve">In many countries, REDD+ strategies already provide a foundational policy </w:t>
      </w:r>
      <w:proofErr w:type="gramStart"/>
      <w:r w:rsidRPr="003854CA">
        <w:t>roadmaps</w:t>
      </w:r>
      <w:proofErr w:type="gramEnd"/>
      <w:r w:rsidRPr="003854CA">
        <w:t>. Developed through multi-stakeholder processes and informed by national deforestation drivers, these strategies outline actions to promote sustainable land use and reduce emissions. While implementation has varied, these strategies remain an essential reference point for future policymaking—provided countries have the tools to monitor what has worked, what hasn’t, and why.</w:t>
      </w:r>
    </w:p>
    <w:p w14:paraId="5397E835" w14:textId="77777777" w:rsidR="004C77B1" w:rsidRPr="003854CA" w:rsidRDefault="004C77B1" w:rsidP="004C77B1">
      <w:r w:rsidRPr="003854CA">
        <w:t>This is where institutional capacity becomes critical. Under the Enhanced Transparency Framework (FCCC/PA/CMA/2018/3/Add.2) countries are required to report not only on emissions, but on the specific policies and measures that contribute to NDC implementation. This includes policy’s objectives, instruments, sectors affected, implementation status, institutional lead, expected and actual impacts, and more.</w:t>
      </w:r>
    </w:p>
    <w:p w14:paraId="05B42C7F" w14:textId="77777777" w:rsidR="004C77B1" w:rsidRPr="003854CA" w:rsidRDefault="004C77B1" w:rsidP="004C77B1">
      <w:r w:rsidRPr="003854CA">
        <w:t>Crucially, this work supports more than compliance—it enables countries to internalize learning loops between policy design, implementation, and results. It helps governments align climate action with rural development, forest governance, and adaptation needs. And it allows them to project realistic pathways for their next NDCs, using their own data and experience.</w:t>
      </w:r>
    </w:p>
    <w:p w14:paraId="6C1BC58C" w14:textId="77777777" w:rsidR="004C77B1" w:rsidRPr="003854CA" w:rsidRDefault="004C77B1" w:rsidP="004C77B1">
      <w:r w:rsidRPr="003854CA">
        <w:t>In the current climate finance landscape, this kind of policy tracking is increasingly important for accessing and unlocking funding. Whether through GCF results-based payments, Article 6 cooperative approaches, or bilateral agreements, greater confidence that climate policies are being implemented, monitored, and adjusted effectively is important. The objective of this component is therefore to institutionalize policy tracking systems that serve both national and international purposes. By embedding these capabilities into government planning and monitoring cycles, countries can ensure that REDD+ strategies and NDCs translate into credible, adaptive, and well-resourced action.</w:t>
      </w:r>
    </w:p>
    <w:p w14:paraId="00767BA8" w14:textId="77777777" w:rsidR="004C77B1" w:rsidRDefault="004C77B1" w:rsidP="004C77B1">
      <w:r w:rsidRPr="04CDC0B5">
        <w:lastRenderedPageBreak/>
        <w:t>This work also facilitates </w:t>
      </w:r>
      <w:r w:rsidRPr="00086DEE">
        <w:t>engagement across ministries and sectors</w:t>
      </w:r>
      <w:r w:rsidRPr="04CDC0B5">
        <w:t>, enabling shared accountability for mitigation targets and better alignment with development priorities such as agriculture, energy, and finance.</w:t>
      </w:r>
    </w:p>
    <w:p w14:paraId="5C728FCE" w14:textId="77777777" w:rsidR="004C77B1" w:rsidRPr="00086DEE" w:rsidRDefault="004C77B1" w:rsidP="004C77B1">
      <w:r w:rsidRPr="04CDC0B5">
        <w:t>By creating a common evidence base and structured tracking system, it helps </w:t>
      </w:r>
      <w:r w:rsidRPr="00086DEE">
        <w:t>bridge silos</w:t>
      </w:r>
      <w:r w:rsidRPr="04CDC0B5">
        <w:t> between climate, land-use, and economic policy—ensuring that mitigation efforts are coordinated, not fragmented.</w:t>
      </w:r>
      <w:r>
        <w:t xml:space="preserve"> </w:t>
      </w:r>
      <w:r w:rsidRPr="04CDC0B5">
        <w:t>Further, by developing these platforms from a global perspective in mind, related approaches and experiences can be more readily shared, like in the case of some landmark policies such as Payments for Ecosystem Services. The proposed approach will enable greater understanding of not just individual policies, but of policy landscapes.</w:t>
      </w:r>
    </w:p>
    <w:p w14:paraId="3203BF62" w14:textId="77777777" w:rsidR="004C77B1" w:rsidRPr="001F0A55" w:rsidRDefault="004C77B1" w:rsidP="004C77B1">
      <w:pPr>
        <w:pStyle w:val="Heading1"/>
      </w:pPr>
      <w:r w:rsidRPr="04CDC0B5">
        <w:t>The value proposition</w:t>
      </w:r>
    </w:p>
    <w:p w14:paraId="54D1E6F8" w14:textId="77777777" w:rsidR="004C77B1" w:rsidRDefault="004C77B1" w:rsidP="004C77B1">
      <w:r w:rsidRPr="04CDC0B5">
        <w:t>The UN-REDD Programme has played a central role in supporting forest countries to develop national REDD+ strategies, providing structured platforms to assess deforestation drivers, consult stakeholders, and articulate cross-sectoral responses. These strategies marked a turning point by placing public policy at the core of forest and climate action. For many countries, they continue to serve as a reference point for aligning mitigation actions with broader development goals.</w:t>
      </w:r>
    </w:p>
    <w:p w14:paraId="1396A62B" w14:textId="77777777" w:rsidR="004C77B1" w:rsidRDefault="004C77B1" w:rsidP="004C77B1">
      <w:r w:rsidRPr="04CDC0B5">
        <w:t xml:space="preserve">As countries move from strategy development to implementation, the need for more institutionalized approaches to assess and manage the effectiveness of their policy responses has become increasingly clear. Governments are seeking to build on the foundations laid during the readiness phase to ensure that existing policies can deliver credible, measurable results—and to inform the design of future policies with greater precision and accountability. </w:t>
      </w:r>
    </w:p>
    <w:p w14:paraId="15716C95" w14:textId="77777777" w:rsidR="004C77B1" w:rsidRPr="003854CA" w:rsidRDefault="004C77B1" w:rsidP="004C77B1">
      <w:r w:rsidRPr="04CDC0B5">
        <w:t xml:space="preserve">UN-REDD brings a unique comparative advantage to this challenge. With over a decade of experience working directly with national institutions across forestry, land use, and climate planning, the Programme is well-positioned to support countries in moving from commitments to action. Its support draws on a combination of policy expertise, operational experience, and </w:t>
      </w:r>
      <w:r w:rsidRPr="003854CA">
        <w:t>technical resources developed across multiple agencies.</w:t>
      </w:r>
    </w:p>
    <w:p w14:paraId="3B5F4301" w14:textId="77777777" w:rsidR="004C77B1" w:rsidRPr="003854CA" w:rsidRDefault="004C77B1" w:rsidP="004C77B1">
      <w:r w:rsidRPr="003854CA">
        <w:t>This includes access to global public goods that help countries navigate complex policy landscapes and improve transparency. Among these are datasets and tools such as FAOLEX, a comprehensive repository of national legal and policy instruments related to agriculture, forestry, and natural resources, and FAPDA, which enables countries to track and analyse trends in policy decision-making over time. These are complemented by well-established platforms such as SEPAL, FRA, and FAOSTAT, which offer geospatial, forest inventory, and statistical data essential for linking policy actions to measurable outcomes.</w:t>
      </w:r>
    </w:p>
    <w:p w14:paraId="509A6404" w14:textId="77777777" w:rsidR="004C77B1" w:rsidRPr="003854CA" w:rsidRDefault="004C77B1" w:rsidP="004C77B1">
      <w:r w:rsidRPr="003854CA">
        <w:t>What sets UN-REDD apart is its ability to connect these tools and experiences into country-driven processes and global connections that enhance institutional coordination, align policy efforts with international reporting requirements, and support the integration of climate ambition into national planning and enhance international cooperation. Rather than creating parallel systems, UN-REDD works with countries to build on what already exists—strengthening the capacities and feedback loops needed to translate policy into sustained impact.</w:t>
      </w:r>
    </w:p>
    <w:p w14:paraId="4DFBC172" w14:textId="77777777" w:rsidR="004C77B1" w:rsidRPr="001F0A55" w:rsidRDefault="004C77B1" w:rsidP="004C77B1">
      <w:pPr>
        <w:pStyle w:val="Heading1"/>
      </w:pPr>
      <w:r w:rsidRPr="04CDC0B5">
        <w:lastRenderedPageBreak/>
        <w:t>Scenarios</w:t>
      </w:r>
    </w:p>
    <w:p w14:paraId="4E392401" w14:textId="77777777" w:rsidR="004C77B1" w:rsidRPr="001F0A55" w:rsidRDefault="004C77B1" w:rsidP="004C77B1">
      <w:r w:rsidRPr="04CDC0B5">
        <w:t>Strengthening countries’ ability to assess and improve the effectiveness of climate and forest-related policies requires a gradual and structured approach. This effort will unfold through a series of practical steps that build momentum over time—starting with basic tracking and moving toward full integration with national decision-making and reporting systems.</w:t>
      </w:r>
    </w:p>
    <w:p w14:paraId="0127224B" w14:textId="77777777" w:rsidR="004C77B1" w:rsidRPr="001F0A55" w:rsidRDefault="004C77B1" w:rsidP="004C77B1">
      <w:r w:rsidRPr="04CDC0B5">
        <w:t>The first step is to identify the set of relevant policies, measures, actions and plans and include them into a basic tracking system—both at the national and global levels. This system would provide a clear, accessible view of which policies are in place, where they are being implemented, and how they relate to national climate and forest goals. This visibility is essential for countries to communicate their policy pathways more clearly in NDCs and to identify gaps or inconsistencies early on.</w:t>
      </w:r>
    </w:p>
    <w:p w14:paraId="555B4840" w14:textId="77777777" w:rsidR="004C77B1" w:rsidRPr="001F0A55" w:rsidRDefault="004C77B1" w:rsidP="004C77B1">
      <w:r w:rsidRPr="04CDC0B5">
        <w:t>As the system takes shape, the next step is to link it to countries’ internal planning and budgeting processes. This means ensuring that policy tracking is not treated as a separate exercise, but is directly connected to how governments allocate resources, set priorities, and manage progress. By doing so, the system becomes a tool not just for reporting, but for strategic decision-making.</w:t>
      </w:r>
    </w:p>
    <w:p w14:paraId="29EF9126" w14:textId="77777777" w:rsidR="004C77B1" w:rsidRPr="001F0A55" w:rsidRDefault="004C77B1" w:rsidP="004C77B1">
      <w:r w:rsidRPr="04CDC0B5">
        <w:t>Once countries begin to generate and use this information, the focus shifts to building feedback mechanisms—ensuring that lessons from implementation can inform ongoing adjustments. This might involve reviewing which policies are delivering results, identifying where implementation is lagging, or understanding how different policies interact. Embedding this feedback into NDC updates and biennial transparency reports helps ensure that reporting processes support learning and course correction, rather than simply fulfilling external requirements.</w:t>
      </w:r>
    </w:p>
    <w:p w14:paraId="66A03233" w14:textId="77777777" w:rsidR="004C77B1" w:rsidRPr="001F0A55" w:rsidRDefault="004C77B1" w:rsidP="004C77B1">
      <w:r w:rsidRPr="04CDC0B5">
        <w:t>The final step is to consolidate the system and ensure its sustainability. This includes formalizing roles and responsibilities within national institutions, securing the necessary technical and financial resources, and building the long-term capacity needed to maintain and evolve the system. Over time, this approach can help countries move from reactive, fragmented policy management to a more proactive and integrated way of steering climate and forest action.</w:t>
      </w:r>
    </w:p>
    <w:p w14:paraId="2AB2AEBD" w14:textId="77777777" w:rsidR="004C77B1" w:rsidRPr="006F1D77" w:rsidRDefault="004C77B1" w:rsidP="004C77B1">
      <w:pPr>
        <w:sectPr w:rsidR="004C77B1" w:rsidRPr="006F1D77" w:rsidSect="004C77B1">
          <w:headerReference w:type="default" r:id="rId12"/>
          <w:footerReference w:type="default" r:id="rId13"/>
          <w:pgSz w:w="11906" w:h="16838" w:code="9"/>
          <w:pgMar w:top="1440" w:right="1440" w:bottom="1440" w:left="1440" w:header="708" w:footer="708" w:gutter="0"/>
          <w:pgNumType w:start="1"/>
          <w:cols w:space="708"/>
          <w:docGrid w:linePitch="360"/>
        </w:sectPr>
      </w:pPr>
      <w:r w:rsidRPr="04CDC0B5">
        <w:t>By gradually building these capabilities, countries can move beyond compliance-driven reporting to develop the tools and habits of adaptive governance. This enables governments not only to meet their transparency obligations under the Paris Agreement but also to improve the design and delivery of public policies that are central to achieving their climate and development goals.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6"/>
        <w:gridCol w:w="6870"/>
      </w:tblGrid>
      <w:tr w:rsidR="004C77B1" w14:paraId="050496AD" w14:textId="77777777" w:rsidTr="00222414">
        <w:trPr>
          <w:trHeight w:val="567"/>
        </w:trPr>
        <w:tc>
          <w:tcPr>
            <w:tcW w:w="1472" w:type="pct"/>
            <w:shd w:val="clear" w:color="auto" w:fill="215E99" w:themeFill="text2" w:themeFillTint="BF"/>
            <w:vAlign w:val="center"/>
          </w:tcPr>
          <w:p w14:paraId="23E644D4" w14:textId="77777777" w:rsidR="004C77B1" w:rsidRPr="00086DEE" w:rsidRDefault="004C77B1" w:rsidP="00222414">
            <w:pPr>
              <w:spacing w:before="0" w:after="0"/>
              <w:jc w:val="center"/>
              <w:rPr>
                <w:b/>
                <w:bCs/>
                <w:color w:val="FFFFFF" w:themeColor="background1"/>
              </w:rPr>
            </w:pPr>
            <w:r w:rsidRPr="00086DEE">
              <w:rPr>
                <w:b/>
                <w:bCs/>
                <w:color w:val="FFFFFF" w:themeColor="background1"/>
              </w:rPr>
              <w:lastRenderedPageBreak/>
              <w:t>Deliverables</w:t>
            </w:r>
          </w:p>
        </w:tc>
        <w:tc>
          <w:tcPr>
            <w:tcW w:w="3528" w:type="pct"/>
            <w:shd w:val="clear" w:color="auto" w:fill="215E99" w:themeFill="text2" w:themeFillTint="BF"/>
            <w:vAlign w:val="center"/>
          </w:tcPr>
          <w:p w14:paraId="53EB4D62" w14:textId="77777777" w:rsidR="004C77B1" w:rsidRPr="00086DEE" w:rsidRDefault="004C77B1" w:rsidP="00222414">
            <w:pPr>
              <w:spacing w:before="0" w:after="0"/>
              <w:jc w:val="center"/>
              <w:rPr>
                <w:b/>
                <w:bCs/>
                <w:color w:val="FFFFFF" w:themeColor="background1"/>
              </w:rPr>
            </w:pPr>
            <w:r w:rsidRPr="00086DEE">
              <w:rPr>
                <w:b/>
                <w:bCs/>
                <w:color w:val="FFFFFF" w:themeColor="background1"/>
              </w:rPr>
              <w:t>Types of Activities</w:t>
            </w:r>
          </w:p>
        </w:tc>
      </w:tr>
      <w:tr w:rsidR="004C77B1" w14:paraId="3ECBA68E" w14:textId="77777777" w:rsidTr="00222414">
        <w:trPr>
          <w:trHeight w:val="300"/>
        </w:trPr>
        <w:tc>
          <w:tcPr>
            <w:tcW w:w="1472" w:type="pct"/>
            <w:vMerge w:val="restart"/>
          </w:tcPr>
          <w:p w14:paraId="1C1517CF" w14:textId="77777777" w:rsidR="004C77B1" w:rsidRDefault="004C77B1" w:rsidP="004C77B1">
            <w:pPr>
              <w:pStyle w:val="ListParagraph"/>
              <w:numPr>
                <w:ilvl w:val="0"/>
                <w:numId w:val="32"/>
              </w:numPr>
              <w:spacing w:before="0" w:after="0"/>
            </w:pPr>
            <w:r w:rsidRPr="04CDC0B5">
              <w:t>Global policy information and tracking system</w:t>
            </w:r>
          </w:p>
        </w:tc>
        <w:tc>
          <w:tcPr>
            <w:tcW w:w="3528" w:type="pct"/>
          </w:tcPr>
          <w:p w14:paraId="703F1313" w14:textId="77777777" w:rsidR="004C77B1" w:rsidRDefault="004C77B1" w:rsidP="004C77B1">
            <w:pPr>
              <w:pStyle w:val="ListParagraph"/>
              <w:numPr>
                <w:ilvl w:val="0"/>
                <w:numId w:val="30"/>
              </w:numPr>
              <w:spacing w:before="0" w:after="0"/>
              <w:ind w:left="336"/>
            </w:pPr>
            <w:r w:rsidRPr="04CDC0B5">
              <w:t>Develop classification, indicators, and system framework; assemble and align global policy datasets</w:t>
            </w:r>
          </w:p>
        </w:tc>
      </w:tr>
      <w:tr w:rsidR="004C77B1" w14:paraId="2A30C152" w14:textId="77777777" w:rsidTr="00222414">
        <w:trPr>
          <w:trHeight w:val="300"/>
        </w:trPr>
        <w:tc>
          <w:tcPr>
            <w:tcW w:w="1472" w:type="pct"/>
            <w:vMerge/>
            <w:vAlign w:val="center"/>
          </w:tcPr>
          <w:p w14:paraId="25C169BB" w14:textId="77777777" w:rsidR="004C77B1" w:rsidRDefault="004C77B1" w:rsidP="00222414">
            <w:pPr>
              <w:spacing w:before="0" w:after="0"/>
            </w:pPr>
          </w:p>
        </w:tc>
        <w:tc>
          <w:tcPr>
            <w:tcW w:w="3528" w:type="pct"/>
          </w:tcPr>
          <w:p w14:paraId="0802041A" w14:textId="77777777" w:rsidR="004C77B1" w:rsidRDefault="004C77B1" w:rsidP="004C77B1">
            <w:pPr>
              <w:pStyle w:val="ListParagraph"/>
              <w:numPr>
                <w:ilvl w:val="0"/>
                <w:numId w:val="30"/>
              </w:numPr>
              <w:spacing w:before="0" w:after="0"/>
              <w:ind w:left="336"/>
            </w:pPr>
            <w:r w:rsidRPr="04CDC0B5">
              <w:t>Develop digital interface and supporting tools; prepare integration guidance for reporting (BTR/NDC); develop training materials; organize knowledge exchanges</w:t>
            </w:r>
          </w:p>
          <w:p w14:paraId="506412C4" w14:textId="77777777" w:rsidR="004C77B1" w:rsidRDefault="004C77B1" w:rsidP="004C77B1">
            <w:pPr>
              <w:pStyle w:val="ListParagraph"/>
              <w:numPr>
                <w:ilvl w:val="0"/>
                <w:numId w:val="30"/>
              </w:numPr>
              <w:spacing w:before="0" w:after="0"/>
              <w:ind w:left="336"/>
            </w:pPr>
            <w:r w:rsidRPr="04CDC0B5">
              <w:t>Create templates aligned with BTR processes; document good practices; support peer learning and synthesis</w:t>
            </w:r>
          </w:p>
        </w:tc>
      </w:tr>
      <w:tr w:rsidR="004C77B1" w14:paraId="07099E32" w14:textId="77777777" w:rsidTr="00222414">
        <w:trPr>
          <w:trHeight w:val="300"/>
        </w:trPr>
        <w:tc>
          <w:tcPr>
            <w:tcW w:w="1472" w:type="pct"/>
            <w:vMerge/>
            <w:vAlign w:val="center"/>
          </w:tcPr>
          <w:p w14:paraId="2B7531A5" w14:textId="77777777" w:rsidR="004C77B1" w:rsidRDefault="004C77B1" w:rsidP="00222414">
            <w:pPr>
              <w:spacing w:before="0" w:after="0"/>
            </w:pPr>
          </w:p>
        </w:tc>
        <w:tc>
          <w:tcPr>
            <w:tcW w:w="3528" w:type="pct"/>
          </w:tcPr>
          <w:p w14:paraId="49FE4C06" w14:textId="77777777" w:rsidR="004C77B1" w:rsidRDefault="004C77B1" w:rsidP="004C77B1">
            <w:pPr>
              <w:pStyle w:val="ListParagraph"/>
              <w:numPr>
                <w:ilvl w:val="0"/>
                <w:numId w:val="30"/>
              </w:numPr>
              <w:spacing w:before="0" w:after="0"/>
              <w:ind w:left="336"/>
            </w:pPr>
            <w:r w:rsidRPr="04CDC0B5">
              <w:t>Evaluate use and performance; update methodology and tools; align with future ETF architecture</w:t>
            </w:r>
          </w:p>
          <w:p w14:paraId="3BB76E27" w14:textId="77777777" w:rsidR="004C77B1" w:rsidRDefault="004C77B1" w:rsidP="004C77B1">
            <w:pPr>
              <w:pStyle w:val="ListParagraph"/>
              <w:numPr>
                <w:ilvl w:val="0"/>
                <w:numId w:val="30"/>
              </w:numPr>
              <w:spacing w:before="0" w:after="0"/>
              <w:ind w:left="336"/>
            </w:pPr>
            <w:r w:rsidRPr="04CDC0B5">
              <w:t>Exchanges on national experiences</w:t>
            </w:r>
          </w:p>
        </w:tc>
      </w:tr>
      <w:tr w:rsidR="004C77B1" w14:paraId="0EC11112" w14:textId="77777777" w:rsidTr="00222414">
        <w:trPr>
          <w:trHeight w:val="300"/>
        </w:trPr>
        <w:tc>
          <w:tcPr>
            <w:tcW w:w="1472" w:type="pct"/>
            <w:vMerge w:val="restart"/>
          </w:tcPr>
          <w:p w14:paraId="17069758" w14:textId="77777777" w:rsidR="004C77B1" w:rsidRDefault="004C77B1" w:rsidP="004C77B1">
            <w:pPr>
              <w:pStyle w:val="ListParagraph"/>
              <w:numPr>
                <w:ilvl w:val="0"/>
                <w:numId w:val="32"/>
              </w:numPr>
              <w:spacing w:before="0" w:after="0"/>
            </w:pPr>
            <w:r w:rsidRPr="04CDC0B5">
              <w:t>National creation and consolidation of policy tracking and learning systems</w:t>
            </w:r>
          </w:p>
          <w:p w14:paraId="72E8C0C4" w14:textId="77777777" w:rsidR="004C77B1" w:rsidRDefault="004C77B1" w:rsidP="00222414">
            <w:pPr>
              <w:spacing w:before="0" w:after="0"/>
            </w:pPr>
          </w:p>
        </w:tc>
        <w:tc>
          <w:tcPr>
            <w:tcW w:w="3528" w:type="pct"/>
          </w:tcPr>
          <w:p w14:paraId="66380913" w14:textId="77777777" w:rsidR="004C77B1" w:rsidRDefault="004C77B1" w:rsidP="004C77B1">
            <w:pPr>
              <w:pStyle w:val="ListParagraph"/>
              <w:numPr>
                <w:ilvl w:val="0"/>
                <w:numId w:val="31"/>
              </w:numPr>
              <w:spacing w:before="0" w:after="0"/>
              <w:ind w:left="336"/>
            </w:pPr>
            <w:r w:rsidRPr="04CDC0B5">
              <w:t>Conduct institutional diagnostics and co-design; identify links to national planning and reporting</w:t>
            </w:r>
          </w:p>
        </w:tc>
      </w:tr>
      <w:tr w:rsidR="004C77B1" w14:paraId="55DA66D8" w14:textId="77777777" w:rsidTr="00222414">
        <w:trPr>
          <w:trHeight w:val="300"/>
        </w:trPr>
        <w:tc>
          <w:tcPr>
            <w:tcW w:w="1472" w:type="pct"/>
            <w:vMerge/>
            <w:vAlign w:val="center"/>
          </w:tcPr>
          <w:p w14:paraId="1FB899FC" w14:textId="77777777" w:rsidR="004C77B1" w:rsidRDefault="004C77B1" w:rsidP="00222414">
            <w:pPr>
              <w:spacing w:before="0" w:after="0"/>
            </w:pPr>
          </w:p>
        </w:tc>
        <w:tc>
          <w:tcPr>
            <w:tcW w:w="3528" w:type="pct"/>
          </w:tcPr>
          <w:p w14:paraId="07F8261A" w14:textId="77777777" w:rsidR="004C77B1" w:rsidRDefault="004C77B1" w:rsidP="004C77B1">
            <w:pPr>
              <w:pStyle w:val="ListParagraph"/>
              <w:numPr>
                <w:ilvl w:val="0"/>
                <w:numId w:val="31"/>
              </w:numPr>
              <w:spacing w:before="0" w:after="0"/>
              <w:ind w:left="336"/>
            </w:pPr>
            <w:r w:rsidRPr="04CDC0B5">
              <w:t>Deploy systems in selected countries; link system outputs in national reports</w:t>
            </w:r>
          </w:p>
        </w:tc>
      </w:tr>
      <w:tr w:rsidR="004C77B1" w14:paraId="05114E03" w14:textId="77777777" w:rsidTr="00222414">
        <w:trPr>
          <w:trHeight w:val="300"/>
        </w:trPr>
        <w:tc>
          <w:tcPr>
            <w:tcW w:w="1472" w:type="pct"/>
            <w:vMerge/>
            <w:vAlign w:val="center"/>
          </w:tcPr>
          <w:p w14:paraId="36A85D89" w14:textId="77777777" w:rsidR="004C77B1" w:rsidRDefault="004C77B1" w:rsidP="00222414">
            <w:pPr>
              <w:spacing w:before="0" w:after="0"/>
            </w:pPr>
          </w:p>
        </w:tc>
        <w:tc>
          <w:tcPr>
            <w:tcW w:w="3528" w:type="pct"/>
          </w:tcPr>
          <w:p w14:paraId="74192E47" w14:textId="77777777" w:rsidR="004C77B1" w:rsidRDefault="004C77B1" w:rsidP="004C77B1">
            <w:pPr>
              <w:pStyle w:val="ListParagraph"/>
              <w:numPr>
                <w:ilvl w:val="0"/>
                <w:numId w:val="31"/>
              </w:numPr>
              <w:spacing w:before="0" w:after="0"/>
              <w:ind w:left="336"/>
            </w:pPr>
            <w:r w:rsidRPr="04CDC0B5">
              <w:t>Organize policy review; undertake initial assessments and learning loops; targeted capacity-building</w:t>
            </w:r>
          </w:p>
        </w:tc>
      </w:tr>
    </w:tbl>
    <w:p w14:paraId="03EA7214" w14:textId="77777777" w:rsidR="004C77B1" w:rsidRDefault="004C77B1" w:rsidP="004C77B1">
      <w:pPr>
        <w:spacing w:before="240"/>
        <w:rPr>
          <w:rFonts w:eastAsiaTheme="minorEastAsia"/>
        </w:rPr>
      </w:pPr>
    </w:p>
    <w:p w14:paraId="57A4003F" w14:textId="77777777" w:rsidR="00D668BA" w:rsidRDefault="00D668BA" w:rsidP="00762CAE">
      <w:pPr>
        <w:pStyle w:val="Heading1"/>
      </w:pPr>
    </w:p>
    <w:sectPr w:rsidR="00D668BA" w:rsidSect="00E02633">
      <w:headerReference w:type="default" r:id="rId14"/>
      <w:footerReference w:type="defaul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264FB5" w14:textId="77777777" w:rsidR="0022535F" w:rsidRDefault="0022535F" w:rsidP="00E62A58">
      <w:pPr>
        <w:spacing w:before="0" w:after="0" w:line="240" w:lineRule="auto"/>
      </w:pPr>
      <w:r>
        <w:separator/>
      </w:r>
    </w:p>
  </w:endnote>
  <w:endnote w:type="continuationSeparator" w:id="0">
    <w:p w14:paraId="4A33BBCD" w14:textId="77777777" w:rsidR="0022535F" w:rsidRDefault="0022535F" w:rsidP="00E62A58">
      <w:pPr>
        <w:spacing w:before="0" w:after="0" w:line="240" w:lineRule="auto"/>
      </w:pPr>
      <w:r>
        <w:continuationSeparator/>
      </w:r>
    </w:p>
  </w:endnote>
  <w:endnote w:type="continuationNotice" w:id="1">
    <w:p w14:paraId="6B2021E7" w14:textId="77777777" w:rsidR="0022535F" w:rsidRDefault="0022535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8608416"/>
      <w:docPartObj>
        <w:docPartGallery w:val="Page Numbers (Bottom of Page)"/>
        <w:docPartUnique/>
      </w:docPartObj>
    </w:sdtPr>
    <w:sdtEndPr>
      <w:rPr>
        <w:noProof/>
      </w:rPr>
    </w:sdtEndPr>
    <w:sdtContent>
      <w:p w14:paraId="44DA160B" w14:textId="77777777" w:rsidR="004C77B1" w:rsidRDefault="004C77B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8C906A" w14:textId="77777777" w:rsidR="004C77B1" w:rsidRDefault="004C77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2014488"/>
      <w:docPartObj>
        <w:docPartGallery w:val="Page Numbers (Bottom of Page)"/>
        <w:docPartUnique/>
      </w:docPartObj>
    </w:sdtPr>
    <w:sdtEndPr>
      <w:rPr>
        <w:noProof/>
      </w:rPr>
    </w:sdtEndPr>
    <w:sdtContent>
      <w:p w14:paraId="23553FD1" w14:textId="77777777" w:rsidR="00BA27F3" w:rsidRDefault="00BA27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7E0002" w14:textId="77777777" w:rsidR="00BA27F3" w:rsidRDefault="00BA27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A28471" w14:textId="77777777" w:rsidR="0022535F" w:rsidRDefault="0022535F" w:rsidP="00E62A58">
      <w:pPr>
        <w:spacing w:before="0" w:after="0" w:line="240" w:lineRule="auto"/>
      </w:pPr>
      <w:r>
        <w:separator/>
      </w:r>
    </w:p>
  </w:footnote>
  <w:footnote w:type="continuationSeparator" w:id="0">
    <w:p w14:paraId="61C9C7FB" w14:textId="77777777" w:rsidR="0022535F" w:rsidRDefault="0022535F" w:rsidP="00E62A58">
      <w:pPr>
        <w:spacing w:before="0" w:after="0" w:line="240" w:lineRule="auto"/>
      </w:pPr>
      <w:r>
        <w:continuationSeparator/>
      </w:r>
    </w:p>
  </w:footnote>
  <w:footnote w:type="continuationNotice" w:id="1">
    <w:p w14:paraId="359B4CDE" w14:textId="77777777" w:rsidR="0022535F" w:rsidRDefault="0022535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72A74" w14:textId="4BAFBFCC" w:rsidR="004C77B1" w:rsidRPr="006F1D77" w:rsidRDefault="004C77B1" w:rsidP="006F1D77">
    <w:pPr>
      <w:pStyle w:val="Header"/>
      <w:jc w:val="right"/>
      <w:rPr>
        <w:rFonts w:ascii="Times New Roman" w:hAnsi="Times New Roman" w:cs="Times New Roman"/>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F8A83" w14:textId="690E8190" w:rsidR="00BA27F3" w:rsidRPr="00EA2B9A" w:rsidRDefault="00BA27F3">
    <w:pPr>
      <w:pStyle w:val="Header"/>
      <w:jc w:val="right"/>
      <w:rPr>
        <w:rFonts w:ascii="Times New Roman" w:hAnsi="Times New Roman" w:cs="Times New Roman"/>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518E9"/>
    <w:multiLevelType w:val="hybridMultilevel"/>
    <w:tmpl w:val="E35A781A"/>
    <w:lvl w:ilvl="0" w:tplc="2000000F">
      <w:start w:val="1"/>
      <w:numFmt w:val="decimal"/>
      <w:lvlText w:val="%1."/>
      <w:lvlJc w:val="left"/>
      <w:pPr>
        <w:ind w:left="360" w:hanging="360"/>
      </w:pPr>
    </w:lvl>
    <w:lvl w:ilvl="1" w:tplc="E402B674">
      <w:start w:val="1"/>
      <w:numFmt w:val="bullet"/>
      <w:lvlText w:val="-"/>
      <w:lvlJc w:val="left"/>
      <w:pPr>
        <w:ind w:left="1080" w:hanging="360"/>
      </w:pPr>
      <w:rPr>
        <w:rFonts w:ascii="Aptos" w:eastAsiaTheme="minorHAnsi" w:hAnsi="Aptos" w:cstheme="minorBid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1A6779D"/>
    <w:multiLevelType w:val="hybridMultilevel"/>
    <w:tmpl w:val="CA244926"/>
    <w:lvl w:ilvl="0" w:tplc="9A9AB564">
      <w:start w:val="1"/>
      <w:numFmt w:val="decimal"/>
      <w:lvlText w:val="%1."/>
      <w:lvlJc w:val="left"/>
      <w:pPr>
        <w:ind w:left="360" w:hanging="360"/>
      </w:pPr>
      <w:rPr>
        <w:rFonts w:hint="default"/>
      </w:rPr>
    </w:lvl>
    <w:lvl w:ilvl="1" w:tplc="834EE940">
      <w:start w:val="1"/>
      <w:numFmt w:val="lowerLetter"/>
      <w:lvlText w:val="%2."/>
      <w:lvlJc w:val="left"/>
      <w:pPr>
        <w:ind w:left="852" w:hanging="132"/>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3A20582"/>
    <w:multiLevelType w:val="hybridMultilevel"/>
    <w:tmpl w:val="BD784F04"/>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63E21B8"/>
    <w:multiLevelType w:val="hybridMultilevel"/>
    <w:tmpl w:val="8940CBF8"/>
    <w:lvl w:ilvl="0" w:tplc="2000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1F5EEA"/>
    <w:multiLevelType w:val="hybridMultilevel"/>
    <w:tmpl w:val="BD784F04"/>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A13206A"/>
    <w:multiLevelType w:val="hybridMultilevel"/>
    <w:tmpl w:val="70A6F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DF16CB"/>
    <w:multiLevelType w:val="hybridMultilevel"/>
    <w:tmpl w:val="6354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2743C9"/>
    <w:multiLevelType w:val="hybridMultilevel"/>
    <w:tmpl w:val="82FA22F4"/>
    <w:lvl w:ilvl="0" w:tplc="20000019">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B4142AB"/>
    <w:multiLevelType w:val="hybridMultilevel"/>
    <w:tmpl w:val="EADC79CA"/>
    <w:lvl w:ilvl="0" w:tplc="4D60B1C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7982C8A"/>
    <w:multiLevelType w:val="hybridMultilevel"/>
    <w:tmpl w:val="B8869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0461F7"/>
    <w:multiLevelType w:val="hybridMultilevel"/>
    <w:tmpl w:val="06B25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772F2E"/>
    <w:multiLevelType w:val="hybridMultilevel"/>
    <w:tmpl w:val="9270454A"/>
    <w:lvl w:ilvl="0" w:tplc="20000019">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2" w15:restartNumberingAfterBreak="0">
    <w:nsid w:val="370918DE"/>
    <w:multiLevelType w:val="hybridMultilevel"/>
    <w:tmpl w:val="A12A2FEA"/>
    <w:lvl w:ilvl="0" w:tplc="2000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3DC57D2C"/>
    <w:multiLevelType w:val="hybridMultilevel"/>
    <w:tmpl w:val="DB2E3338"/>
    <w:lvl w:ilvl="0" w:tplc="2000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407A3756"/>
    <w:multiLevelType w:val="hybridMultilevel"/>
    <w:tmpl w:val="323A6706"/>
    <w:lvl w:ilvl="0" w:tplc="20000019">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1E07BD2"/>
    <w:multiLevelType w:val="hybridMultilevel"/>
    <w:tmpl w:val="A25C4512"/>
    <w:lvl w:ilvl="0" w:tplc="2000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355475A"/>
    <w:multiLevelType w:val="hybridMultilevel"/>
    <w:tmpl w:val="BD784F04"/>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45AB01CD"/>
    <w:multiLevelType w:val="hybridMultilevel"/>
    <w:tmpl w:val="BD784F04"/>
    <w:lvl w:ilvl="0" w:tplc="2000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736183A"/>
    <w:multiLevelType w:val="hybridMultilevel"/>
    <w:tmpl w:val="D29AE80C"/>
    <w:lvl w:ilvl="0" w:tplc="FFFFFFFF">
      <w:start w:val="1"/>
      <w:numFmt w:val="decimal"/>
      <w:lvlText w:val="%1."/>
      <w:lvlJc w:val="left"/>
      <w:pPr>
        <w:ind w:left="360" w:hanging="360"/>
      </w:pPr>
      <w:rPr>
        <w:rFonts w:hint="default"/>
        <w:b/>
      </w:r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BF12B9C"/>
    <w:multiLevelType w:val="hybridMultilevel"/>
    <w:tmpl w:val="6FDCEC32"/>
    <w:lvl w:ilvl="0" w:tplc="20000019">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CF10B3F"/>
    <w:multiLevelType w:val="hybridMultilevel"/>
    <w:tmpl w:val="36F81CB0"/>
    <w:lvl w:ilvl="0" w:tplc="A24CC1F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E8924D8"/>
    <w:multiLevelType w:val="hybridMultilevel"/>
    <w:tmpl w:val="3F7A8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68175B"/>
    <w:multiLevelType w:val="hybridMultilevel"/>
    <w:tmpl w:val="61F66FF8"/>
    <w:lvl w:ilvl="0" w:tplc="2000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76B7EA2"/>
    <w:multiLevelType w:val="hybridMultilevel"/>
    <w:tmpl w:val="B0F2BC04"/>
    <w:lvl w:ilvl="0" w:tplc="2000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D5267C8"/>
    <w:multiLevelType w:val="hybridMultilevel"/>
    <w:tmpl w:val="7674AF78"/>
    <w:lvl w:ilvl="0" w:tplc="3CE692F0">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DE31AB0"/>
    <w:multiLevelType w:val="hybridMultilevel"/>
    <w:tmpl w:val="20A4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1323A4"/>
    <w:multiLevelType w:val="hybridMultilevel"/>
    <w:tmpl w:val="E3DAD5F4"/>
    <w:lvl w:ilvl="0" w:tplc="2000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7C12EC3"/>
    <w:multiLevelType w:val="hybridMultilevel"/>
    <w:tmpl w:val="F7C877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97D3E9D"/>
    <w:multiLevelType w:val="hybridMultilevel"/>
    <w:tmpl w:val="3FDE9AA2"/>
    <w:lvl w:ilvl="0" w:tplc="2000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6BEF7A4A"/>
    <w:multiLevelType w:val="hybridMultilevel"/>
    <w:tmpl w:val="7EB8C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FB570D"/>
    <w:multiLevelType w:val="hybridMultilevel"/>
    <w:tmpl w:val="94760C26"/>
    <w:lvl w:ilvl="0" w:tplc="2000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B165AE7"/>
    <w:multiLevelType w:val="hybridMultilevel"/>
    <w:tmpl w:val="34284A5C"/>
    <w:lvl w:ilvl="0" w:tplc="2000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02104770">
    <w:abstractNumId w:val="29"/>
  </w:num>
  <w:num w:numId="2" w16cid:durableId="628583751">
    <w:abstractNumId w:val="6"/>
  </w:num>
  <w:num w:numId="3" w16cid:durableId="1973559108">
    <w:abstractNumId w:val="9"/>
  </w:num>
  <w:num w:numId="4" w16cid:durableId="890120941">
    <w:abstractNumId w:val="0"/>
  </w:num>
  <w:num w:numId="5" w16cid:durableId="1179856396">
    <w:abstractNumId w:val="14"/>
  </w:num>
  <w:num w:numId="6" w16cid:durableId="754857283">
    <w:abstractNumId w:val="7"/>
  </w:num>
  <w:num w:numId="7" w16cid:durableId="338428606">
    <w:abstractNumId w:val="26"/>
  </w:num>
  <w:num w:numId="8" w16cid:durableId="999966452">
    <w:abstractNumId w:val="11"/>
  </w:num>
  <w:num w:numId="9" w16cid:durableId="1784884577">
    <w:abstractNumId w:val="10"/>
  </w:num>
  <w:num w:numId="10" w16cid:durableId="804546971">
    <w:abstractNumId w:val="24"/>
  </w:num>
  <w:num w:numId="11" w16cid:durableId="604847844">
    <w:abstractNumId w:val="18"/>
  </w:num>
  <w:num w:numId="12" w16cid:durableId="1461415782">
    <w:abstractNumId w:val="17"/>
  </w:num>
  <w:num w:numId="13" w16cid:durableId="1205562053">
    <w:abstractNumId w:val="1"/>
  </w:num>
  <w:num w:numId="14" w16cid:durableId="1897159792">
    <w:abstractNumId w:val="2"/>
  </w:num>
  <w:num w:numId="15" w16cid:durableId="2129856163">
    <w:abstractNumId w:val="16"/>
  </w:num>
  <w:num w:numId="16" w16cid:durableId="1974754305">
    <w:abstractNumId w:val="4"/>
  </w:num>
  <w:num w:numId="17" w16cid:durableId="1934392897">
    <w:abstractNumId w:val="19"/>
  </w:num>
  <w:num w:numId="18" w16cid:durableId="844638022">
    <w:abstractNumId w:val="23"/>
  </w:num>
  <w:num w:numId="19" w16cid:durableId="1623341512">
    <w:abstractNumId w:val="31"/>
  </w:num>
  <w:num w:numId="20" w16cid:durableId="1937516796">
    <w:abstractNumId w:val="30"/>
  </w:num>
  <w:num w:numId="21" w16cid:durableId="1916742550">
    <w:abstractNumId w:val="25"/>
  </w:num>
  <w:num w:numId="22" w16cid:durableId="1133988518">
    <w:abstractNumId w:val="5"/>
  </w:num>
  <w:num w:numId="23" w16cid:durableId="5862863">
    <w:abstractNumId w:val="21"/>
  </w:num>
  <w:num w:numId="24" w16cid:durableId="940406743">
    <w:abstractNumId w:val="12"/>
  </w:num>
  <w:num w:numId="25" w16cid:durableId="81924292">
    <w:abstractNumId w:val="15"/>
  </w:num>
  <w:num w:numId="26" w16cid:durableId="1488938434">
    <w:abstractNumId w:val="28"/>
  </w:num>
  <w:num w:numId="27" w16cid:durableId="1314136328">
    <w:abstractNumId w:val="13"/>
  </w:num>
  <w:num w:numId="28" w16cid:durableId="80109082">
    <w:abstractNumId w:val="20"/>
  </w:num>
  <w:num w:numId="29" w16cid:durableId="1668485430">
    <w:abstractNumId w:val="27"/>
  </w:num>
  <w:num w:numId="30" w16cid:durableId="772090964">
    <w:abstractNumId w:val="22"/>
  </w:num>
  <w:num w:numId="31" w16cid:durableId="1308318325">
    <w:abstractNumId w:val="3"/>
  </w:num>
  <w:num w:numId="32" w16cid:durableId="1891110506">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A58"/>
    <w:rsid w:val="0000005A"/>
    <w:rsid w:val="00000A1C"/>
    <w:rsid w:val="0000736C"/>
    <w:rsid w:val="00011BAF"/>
    <w:rsid w:val="00012E26"/>
    <w:rsid w:val="00021DBF"/>
    <w:rsid w:val="000279F3"/>
    <w:rsid w:val="00035C09"/>
    <w:rsid w:val="00044345"/>
    <w:rsid w:val="0005027A"/>
    <w:rsid w:val="00054D01"/>
    <w:rsid w:val="000558DB"/>
    <w:rsid w:val="00067865"/>
    <w:rsid w:val="00080D30"/>
    <w:rsid w:val="0008232A"/>
    <w:rsid w:val="000828F7"/>
    <w:rsid w:val="0008383B"/>
    <w:rsid w:val="00094CB6"/>
    <w:rsid w:val="000A0F1E"/>
    <w:rsid w:val="000B5AEA"/>
    <w:rsid w:val="000D381B"/>
    <w:rsid w:val="000D65C3"/>
    <w:rsid w:val="000D6A76"/>
    <w:rsid w:val="000F2964"/>
    <w:rsid w:val="001026C5"/>
    <w:rsid w:val="00102A08"/>
    <w:rsid w:val="00120811"/>
    <w:rsid w:val="0013017C"/>
    <w:rsid w:val="00130B71"/>
    <w:rsid w:val="00135AA4"/>
    <w:rsid w:val="00135B68"/>
    <w:rsid w:val="00137013"/>
    <w:rsid w:val="0014041D"/>
    <w:rsid w:val="00144613"/>
    <w:rsid w:val="00145A3D"/>
    <w:rsid w:val="00145C7A"/>
    <w:rsid w:val="00151110"/>
    <w:rsid w:val="00152FEB"/>
    <w:rsid w:val="001534D8"/>
    <w:rsid w:val="001602F5"/>
    <w:rsid w:val="00164CC9"/>
    <w:rsid w:val="001651FF"/>
    <w:rsid w:val="0016535B"/>
    <w:rsid w:val="00166F96"/>
    <w:rsid w:val="00176710"/>
    <w:rsid w:val="00177E8D"/>
    <w:rsid w:val="0018016E"/>
    <w:rsid w:val="001846E9"/>
    <w:rsid w:val="00190097"/>
    <w:rsid w:val="00192B48"/>
    <w:rsid w:val="001A08EE"/>
    <w:rsid w:val="001A37BF"/>
    <w:rsid w:val="001A3991"/>
    <w:rsid w:val="001A642D"/>
    <w:rsid w:val="001A696C"/>
    <w:rsid w:val="001B12F4"/>
    <w:rsid w:val="001B1F36"/>
    <w:rsid w:val="001B7E31"/>
    <w:rsid w:val="001C0E52"/>
    <w:rsid w:val="001C13AD"/>
    <w:rsid w:val="001C4C68"/>
    <w:rsid w:val="001C5A85"/>
    <w:rsid w:val="001C7AD0"/>
    <w:rsid w:val="001E08D9"/>
    <w:rsid w:val="001E3067"/>
    <w:rsid w:val="001E5070"/>
    <w:rsid w:val="001E54EB"/>
    <w:rsid w:val="001F7EF7"/>
    <w:rsid w:val="002026E8"/>
    <w:rsid w:val="00202BDE"/>
    <w:rsid w:val="002052A1"/>
    <w:rsid w:val="00205E27"/>
    <w:rsid w:val="00211CB9"/>
    <w:rsid w:val="0021398A"/>
    <w:rsid w:val="00220C87"/>
    <w:rsid w:val="00221A67"/>
    <w:rsid w:val="0022535F"/>
    <w:rsid w:val="00230967"/>
    <w:rsid w:val="002324A1"/>
    <w:rsid w:val="002342CA"/>
    <w:rsid w:val="00242FA0"/>
    <w:rsid w:val="00244F7E"/>
    <w:rsid w:val="0024648D"/>
    <w:rsid w:val="002509A3"/>
    <w:rsid w:val="00252951"/>
    <w:rsid w:val="00267587"/>
    <w:rsid w:val="00273FB5"/>
    <w:rsid w:val="002765E1"/>
    <w:rsid w:val="002768BF"/>
    <w:rsid w:val="00277B6F"/>
    <w:rsid w:val="00281167"/>
    <w:rsid w:val="00286E8A"/>
    <w:rsid w:val="00293D58"/>
    <w:rsid w:val="002961D3"/>
    <w:rsid w:val="00296267"/>
    <w:rsid w:val="002A05F0"/>
    <w:rsid w:val="002A0910"/>
    <w:rsid w:val="002A0D4D"/>
    <w:rsid w:val="002A650E"/>
    <w:rsid w:val="002B2D67"/>
    <w:rsid w:val="002B5CF9"/>
    <w:rsid w:val="002B7A87"/>
    <w:rsid w:val="002B7E72"/>
    <w:rsid w:val="002C0FB2"/>
    <w:rsid w:val="002C77A9"/>
    <w:rsid w:val="002D2EAA"/>
    <w:rsid w:val="002D4F79"/>
    <w:rsid w:val="002E0E57"/>
    <w:rsid w:val="002F10DA"/>
    <w:rsid w:val="002F7B47"/>
    <w:rsid w:val="003013F1"/>
    <w:rsid w:val="00305E39"/>
    <w:rsid w:val="003072B7"/>
    <w:rsid w:val="003142A6"/>
    <w:rsid w:val="00316D3D"/>
    <w:rsid w:val="003173B0"/>
    <w:rsid w:val="00324A83"/>
    <w:rsid w:val="00325C9A"/>
    <w:rsid w:val="00326546"/>
    <w:rsid w:val="00333E6E"/>
    <w:rsid w:val="00335078"/>
    <w:rsid w:val="00340EC1"/>
    <w:rsid w:val="003429AE"/>
    <w:rsid w:val="00344734"/>
    <w:rsid w:val="00346308"/>
    <w:rsid w:val="00346DD2"/>
    <w:rsid w:val="00350BC8"/>
    <w:rsid w:val="00353DDE"/>
    <w:rsid w:val="00366438"/>
    <w:rsid w:val="003670F1"/>
    <w:rsid w:val="00371511"/>
    <w:rsid w:val="003723EA"/>
    <w:rsid w:val="00374332"/>
    <w:rsid w:val="003753EA"/>
    <w:rsid w:val="0037718E"/>
    <w:rsid w:val="003814CD"/>
    <w:rsid w:val="003839B4"/>
    <w:rsid w:val="0038793E"/>
    <w:rsid w:val="003A3ECD"/>
    <w:rsid w:val="003A3F34"/>
    <w:rsid w:val="003B157E"/>
    <w:rsid w:val="003C35B1"/>
    <w:rsid w:val="003D44E3"/>
    <w:rsid w:val="003E2569"/>
    <w:rsid w:val="003E5473"/>
    <w:rsid w:val="003E5F2C"/>
    <w:rsid w:val="003E6932"/>
    <w:rsid w:val="003F3D0A"/>
    <w:rsid w:val="003F442D"/>
    <w:rsid w:val="003F445A"/>
    <w:rsid w:val="00406FA3"/>
    <w:rsid w:val="00411BCD"/>
    <w:rsid w:val="0041430F"/>
    <w:rsid w:val="00417B09"/>
    <w:rsid w:val="00423A50"/>
    <w:rsid w:val="00425638"/>
    <w:rsid w:val="00430378"/>
    <w:rsid w:val="00432EF1"/>
    <w:rsid w:val="00442301"/>
    <w:rsid w:val="00447806"/>
    <w:rsid w:val="004618DD"/>
    <w:rsid w:val="0046752D"/>
    <w:rsid w:val="00472A17"/>
    <w:rsid w:val="004741DB"/>
    <w:rsid w:val="004A303E"/>
    <w:rsid w:val="004A5898"/>
    <w:rsid w:val="004B6330"/>
    <w:rsid w:val="004B6E2F"/>
    <w:rsid w:val="004B7092"/>
    <w:rsid w:val="004C1B8A"/>
    <w:rsid w:val="004C77B1"/>
    <w:rsid w:val="004D0A96"/>
    <w:rsid w:val="004D559A"/>
    <w:rsid w:val="004E6884"/>
    <w:rsid w:val="004E713F"/>
    <w:rsid w:val="004E76AA"/>
    <w:rsid w:val="004F582D"/>
    <w:rsid w:val="00503748"/>
    <w:rsid w:val="00503E7C"/>
    <w:rsid w:val="0050484D"/>
    <w:rsid w:val="00512840"/>
    <w:rsid w:val="0051465A"/>
    <w:rsid w:val="00531CFF"/>
    <w:rsid w:val="0054005B"/>
    <w:rsid w:val="0055155E"/>
    <w:rsid w:val="005554E9"/>
    <w:rsid w:val="00557B50"/>
    <w:rsid w:val="00557B63"/>
    <w:rsid w:val="00561118"/>
    <w:rsid w:val="00562A0C"/>
    <w:rsid w:val="0056462B"/>
    <w:rsid w:val="00566E4C"/>
    <w:rsid w:val="00574469"/>
    <w:rsid w:val="0057777B"/>
    <w:rsid w:val="00585A20"/>
    <w:rsid w:val="00592EF2"/>
    <w:rsid w:val="0059371F"/>
    <w:rsid w:val="00594520"/>
    <w:rsid w:val="005A2121"/>
    <w:rsid w:val="005A21A2"/>
    <w:rsid w:val="005B22C3"/>
    <w:rsid w:val="005B2C4C"/>
    <w:rsid w:val="005C0693"/>
    <w:rsid w:val="005D21E6"/>
    <w:rsid w:val="005D524D"/>
    <w:rsid w:val="005D60A6"/>
    <w:rsid w:val="005E238C"/>
    <w:rsid w:val="005E320E"/>
    <w:rsid w:val="005E6D33"/>
    <w:rsid w:val="005E6FFA"/>
    <w:rsid w:val="005F2D3E"/>
    <w:rsid w:val="005F6520"/>
    <w:rsid w:val="006054D4"/>
    <w:rsid w:val="00605F41"/>
    <w:rsid w:val="00613542"/>
    <w:rsid w:val="00621601"/>
    <w:rsid w:val="00623F03"/>
    <w:rsid w:val="00624CE9"/>
    <w:rsid w:val="00630969"/>
    <w:rsid w:val="00634D7D"/>
    <w:rsid w:val="00644E3C"/>
    <w:rsid w:val="006564DB"/>
    <w:rsid w:val="006636DC"/>
    <w:rsid w:val="006721BB"/>
    <w:rsid w:val="00677729"/>
    <w:rsid w:val="0068579F"/>
    <w:rsid w:val="006942CE"/>
    <w:rsid w:val="00695B32"/>
    <w:rsid w:val="006A099A"/>
    <w:rsid w:val="006A1C49"/>
    <w:rsid w:val="006B1C0C"/>
    <w:rsid w:val="006C4D70"/>
    <w:rsid w:val="006D111E"/>
    <w:rsid w:val="006D70E0"/>
    <w:rsid w:val="006E6C58"/>
    <w:rsid w:val="006F0D73"/>
    <w:rsid w:val="006F1853"/>
    <w:rsid w:val="006F6E90"/>
    <w:rsid w:val="00706FBB"/>
    <w:rsid w:val="00710A78"/>
    <w:rsid w:val="007203B0"/>
    <w:rsid w:val="00721F41"/>
    <w:rsid w:val="007305BA"/>
    <w:rsid w:val="007371F7"/>
    <w:rsid w:val="00746ED1"/>
    <w:rsid w:val="007503F1"/>
    <w:rsid w:val="00762421"/>
    <w:rsid w:val="00762CAE"/>
    <w:rsid w:val="0077207B"/>
    <w:rsid w:val="00772FF5"/>
    <w:rsid w:val="00780567"/>
    <w:rsid w:val="00782FF1"/>
    <w:rsid w:val="007902A6"/>
    <w:rsid w:val="00793B79"/>
    <w:rsid w:val="00795521"/>
    <w:rsid w:val="007D1887"/>
    <w:rsid w:val="007D2A55"/>
    <w:rsid w:val="007D4CA1"/>
    <w:rsid w:val="007E03B8"/>
    <w:rsid w:val="007E1319"/>
    <w:rsid w:val="007E4F0C"/>
    <w:rsid w:val="007F16F1"/>
    <w:rsid w:val="007F36A4"/>
    <w:rsid w:val="007F63E9"/>
    <w:rsid w:val="00802755"/>
    <w:rsid w:val="0080335E"/>
    <w:rsid w:val="00807C94"/>
    <w:rsid w:val="008129EC"/>
    <w:rsid w:val="008164E6"/>
    <w:rsid w:val="00823483"/>
    <w:rsid w:val="00830EF5"/>
    <w:rsid w:val="00831BD5"/>
    <w:rsid w:val="00833B9E"/>
    <w:rsid w:val="00834F30"/>
    <w:rsid w:val="008415E8"/>
    <w:rsid w:val="00845183"/>
    <w:rsid w:val="008541D2"/>
    <w:rsid w:val="00854DC7"/>
    <w:rsid w:val="00855DA7"/>
    <w:rsid w:val="00860752"/>
    <w:rsid w:val="008652BE"/>
    <w:rsid w:val="00867785"/>
    <w:rsid w:val="00873755"/>
    <w:rsid w:val="00885943"/>
    <w:rsid w:val="008907A4"/>
    <w:rsid w:val="0089360A"/>
    <w:rsid w:val="008971C5"/>
    <w:rsid w:val="008A1BC8"/>
    <w:rsid w:val="008A60E4"/>
    <w:rsid w:val="008B0C7C"/>
    <w:rsid w:val="008B7ADD"/>
    <w:rsid w:val="008C28A3"/>
    <w:rsid w:val="008D0AE0"/>
    <w:rsid w:val="008D1A1E"/>
    <w:rsid w:val="008D7348"/>
    <w:rsid w:val="008E27EE"/>
    <w:rsid w:val="008E2FCC"/>
    <w:rsid w:val="008F1CF0"/>
    <w:rsid w:val="008F4287"/>
    <w:rsid w:val="008F49BF"/>
    <w:rsid w:val="008F59C2"/>
    <w:rsid w:val="008F5B58"/>
    <w:rsid w:val="009020F0"/>
    <w:rsid w:val="00913C08"/>
    <w:rsid w:val="00914867"/>
    <w:rsid w:val="00914BED"/>
    <w:rsid w:val="009309A8"/>
    <w:rsid w:val="00941F4C"/>
    <w:rsid w:val="00942E36"/>
    <w:rsid w:val="0094488E"/>
    <w:rsid w:val="00954509"/>
    <w:rsid w:val="00962C2F"/>
    <w:rsid w:val="00971185"/>
    <w:rsid w:val="00977E4F"/>
    <w:rsid w:val="00992721"/>
    <w:rsid w:val="009A0634"/>
    <w:rsid w:val="009A10FC"/>
    <w:rsid w:val="009A3162"/>
    <w:rsid w:val="009A6F41"/>
    <w:rsid w:val="009B1C40"/>
    <w:rsid w:val="009C514E"/>
    <w:rsid w:val="009C5D3A"/>
    <w:rsid w:val="009C6169"/>
    <w:rsid w:val="009D6FD7"/>
    <w:rsid w:val="009F0B23"/>
    <w:rsid w:val="00A03068"/>
    <w:rsid w:val="00A06A99"/>
    <w:rsid w:val="00A10408"/>
    <w:rsid w:val="00A1315D"/>
    <w:rsid w:val="00A131F3"/>
    <w:rsid w:val="00A169AE"/>
    <w:rsid w:val="00A2280F"/>
    <w:rsid w:val="00A305AE"/>
    <w:rsid w:val="00A40A8A"/>
    <w:rsid w:val="00A42A8C"/>
    <w:rsid w:val="00A45BAB"/>
    <w:rsid w:val="00A461F6"/>
    <w:rsid w:val="00A47243"/>
    <w:rsid w:val="00A60356"/>
    <w:rsid w:val="00A611CE"/>
    <w:rsid w:val="00A6184E"/>
    <w:rsid w:val="00A63C5D"/>
    <w:rsid w:val="00A7019F"/>
    <w:rsid w:val="00A729E5"/>
    <w:rsid w:val="00A8157B"/>
    <w:rsid w:val="00A849AA"/>
    <w:rsid w:val="00A93687"/>
    <w:rsid w:val="00A936EF"/>
    <w:rsid w:val="00A942DB"/>
    <w:rsid w:val="00A94A9A"/>
    <w:rsid w:val="00A952A0"/>
    <w:rsid w:val="00A967CB"/>
    <w:rsid w:val="00A96A1D"/>
    <w:rsid w:val="00AA5DE9"/>
    <w:rsid w:val="00AB658B"/>
    <w:rsid w:val="00AC42FE"/>
    <w:rsid w:val="00AC5A76"/>
    <w:rsid w:val="00AD1C65"/>
    <w:rsid w:val="00AD6418"/>
    <w:rsid w:val="00AE03E8"/>
    <w:rsid w:val="00AE2C46"/>
    <w:rsid w:val="00AE3D83"/>
    <w:rsid w:val="00AF02C4"/>
    <w:rsid w:val="00B12FA3"/>
    <w:rsid w:val="00B138D6"/>
    <w:rsid w:val="00B172A3"/>
    <w:rsid w:val="00B24702"/>
    <w:rsid w:val="00B3038C"/>
    <w:rsid w:val="00B30AC7"/>
    <w:rsid w:val="00B3542C"/>
    <w:rsid w:val="00B36A15"/>
    <w:rsid w:val="00B37A4E"/>
    <w:rsid w:val="00B37CDB"/>
    <w:rsid w:val="00B43148"/>
    <w:rsid w:val="00B4512C"/>
    <w:rsid w:val="00B565BB"/>
    <w:rsid w:val="00B632BB"/>
    <w:rsid w:val="00B643FB"/>
    <w:rsid w:val="00B727FA"/>
    <w:rsid w:val="00B72908"/>
    <w:rsid w:val="00B72FB9"/>
    <w:rsid w:val="00B75B2D"/>
    <w:rsid w:val="00B83BE1"/>
    <w:rsid w:val="00B916CE"/>
    <w:rsid w:val="00B91793"/>
    <w:rsid w:val="00B929C6"/>
    <w:rsid w:val="00B93925"/>
    <w:rsid w:val="00BA082F"/>
    <w:rsid w:val="00BA27F3"/>
    <w:rsid w:val="00BB66AB"/>
    <w:rsid w:val="00BC0555"/>
    <w:rsid w:val="00BD006E"/>
    <w:rsid w:val="00BD38A7"/>
    <w:rsid w:val="00BE08F3"/>
    <w:rsid w:val="00BE2AFD"/>
    <w:rsid w:val="00BE49FD"/>
    <w:rsid w:val="00BE65E5"/>
    <w:rsid w:val="00BE7DFE"/>
    <w:rsid w:val="00BF10FE"/>
    <w:rsid w:val="00BF4CA5"/>
    <w:rsid w:val="00BF4D88"/>
    <w:rsid w:val="00BF538B"/>
    <w:rsid w:val="00BF62FB"/>
    <w:rsid w:val="00C03FC6"/>
    <w:rsid w:val="00C044AE"/>
    <w:rsid w:val="00C056C8"/>
    <w:rsid w:val="00C12D32"/>
    <w:rsid w:val="00C13B6E"/>
    <w:rsid w:val="00C146E3"/>
    <w:rsid w:val="00C24669"/>
    <w:rsid w:val="00C2683D"/>
    <w:rsid w:val="00C36131"/>
    <w:rsid w:val="00C36AC6"/>
    <w:rsid w:val="00C37309"/>
    <w:rsid w:val="00C44391"/>
    <w:rsid w:val="00C46C9B"/>
    <w:rsid w:val="00C50D22"/>
    <w:rsid w:val="00C53891"/>
    <w:rsid w:val="00C54F9A"/>
    <w:rsid w:val="00C62FFD"/>
    <w:rsid w:val="00C66902"/>
    <w:rsid w:val="00C7088A"/>
    <w:rsid w:val="00C74BBE"/>
    <w:rsid w:val="00C82C66"/>
    <w:rsid w:val="00C83753"/>
    <w:rsid w:val="00C85F1F"/>
    <w:rsid w:val="00C9241A"/>
    <w:rsid w:val="00C943C4"/>
    <w:rsid w:val="00C94D94"/>
    <w:rsid w:val="00C95977"/>
    <w:rsid w:val="00CA232E"/>
    <w:rsid w:val="00CA361A"/>
    <w:rsid w:val="00CB4517"/>
    <w:rsid w:val="00CB594B"/>
    <w:rsid w:val="00CC57BC"/>
    <w:rsid w:val="00CD2922"/>
    <w:rsid w:val="00CD4F47"/>
    <w:rsid w:val="00CE12C4"/>
    <w:rsid w:val="00CE4D3C"/>
    <w:rsid w:val="00CF43A3"/>
    <w:rsid w:val="00D00442"/>
    <w:rsid w:val="00D03E6A"/>
    <w:rsid w:val="00D1108D"/>
    <w:rsid w:val="00D137B1"/>
    <w:rsid w:val="00D229C5"/>
    <w:rsid w:val="00D23D33"/>
    <w:rsid w:val="00D25D57"/>
    <w:rsid w:val="00D32035"/>
    <w:rsid w:val="00D330F2"/>
    <w:rsid w:val="00D36F5E"/>
    <w:rsid w:val="00D511E7"/>
    <w:rsid w:val="00D51537"/>
    <w:rsid w:val="00D539E3"/>
    <w:rsid w:val="00D55A63"/>
    <w:rsid w:val="00D668BA"/>
    <w:rsid w:val="00D73934"/>
    <w:rsid w:val="00D74401"/>
    <w:rsid w:val="00D803D2"/>
    <w:rsid w:val="00D80991"/>
    <w:rsid w:val="00D848B3"/>
    <w:rsid w:val="00D85B28"/>
    <w:rsid w:val="00DA1B25"/>
    <w:rsid w:val="00DA1CA7"/>
    <w:rsid w:val="00DA2F85"/>
    <w:rsid w:val="00DA3BCD"/>
    <w:rsid w:val="00DB0282"/>
    <w:rsid w:val="00DB3F60"/>
    <w:rsid w:val="00DB48CD"/>
    <w:rsid w:val="00DB63AC"/>
    <w:rsid w:val="00DB6AA4"/>
    <w:rsid w:val="00DC22C0"/>
    <w:rsid w:val="00DC2E0C"/>
    <w:rsid w:val="00DC3992"/>
    <w:rsid w:val="00DD1000"/>
    <w:rsid w:val="00DD4B2C"/>
    <w:rsid w:val="00DD5CBC"/>
    <w:rsid w:val="00DE39EE"/>
    <w:rsid w:val="00DF09FB"/>
    <w:rsid w:val="00DF34C2"/>
    <w:rsid w:val="00DF7C70"/>
    <w:rsid w:val="00DF7F92"/>
    <w:rsid w:val="00E02633"/>
    <w:rsid w:val="00E047F2"/>
    <w:rsid w:val="00E15BBA"/>
    <w:rsid w:val="00E17F8E"/>
    <w:rsid w:val="00E20FA0"/>
    <w:rsid w:val="00E22648"/>
    <w:rsid w:val="00E23C61"/>
    <w:rsid w:val="00E24C1D"/>
    <w:rsid w:val="00E27E7C"/>
    <w:rsid w:val="00E32CB3"/>
    <w:rsid w:val="00E36303"/>
    <w:rsid w:val="00E3640B"/>
    <w:rsid w:val="00E40E11"/>
    <w:rsid w:val="00E41947"/>
    <w:rsid w:val="00E5320E"/>
    <w:rsid w:val="00E5733E"/>
    <w:rsid w:val="00E62A58"/>
    <w:rsid w:val="00E66AF7"/>
    <w:rsid w:val="00E846A6"/>
    <w:rsid w:val="00E8675E"/>
    <w:rsid w:val="00E951F6"/>
    <w:rsid w:val="00EB72D2"/>
    <w:rsid w:val="00EB7A2A"/>
    <w:rsid w:val="00EC1222"/>
    <w:rsid w:val="00EC1561"/>
    <w:rsid w:val="00EC533D"/>
    <w:rsid w:val="00EC560F"/>
    <w:rsid w:val="00ED0FBC"/>
    <w:rsid w:val="00ED1D63"/>
    <w:rsid w:val="00ED3785"/>
    <w:rsid w:val="00ED562D"/>
    <w:rsid w:val="00ED6976"/>
    <w:rsid w:val="00ED6ED0"/>
    <w:rsid w:val="00EE02EE"/>
    <w:rsid w:val="00EE114C"/>
    <w:rsid w:val="00EF5C09"/>
    <w:rsid w:val="00F15BDC"/>
    <w:rsid w:val="00F1618A"/>
    <w:rsid w:val="00F1721D"/>
    <w:rsid w:val="00F20255"/>
    <w:rsid w:val="00F223C1"/>
    <w:rsid w:val="00F22A16"/>
    <w:rsid w:val="00F231C9"/>
    <w:rsid w:val="00F33C7D"/>
    <w:rsid w:val="00F35FB0"/>
    <w:rsid w:val="00F3634E"/>
    <w:rsid w:val="00F40F67"/>
    <w:rsid w:val="00F450D0"/>
    <w:rsid w:val="00F4599B"/>
    <w:rsid w:val="00F46A06"/>
    <w:rsid w:val="00F51B0E"/>
    <w:rsid w:val="00F572A1"/>
    <w:rsid w:val="00F60D2A"/>
    <w:rsid w:val="00F64E2A"/>
    <w:rsid w:val="00F66987"/>
    <w:rsid w:val="00F76E95"/>
    <w:rsid w:val="00F8346A"/>
    <w:rsid w:val="00F92B20"/>
    <w:rsid w:val="00F97575"/>
    <w:rsid w:val="00F97B72"/>
    <w:rsid w:val="00FA1259"/>
    <w:rsid w:val="00FA25D0"/>
    <w:rsid w:val="00FA6C36"/>
    <w:rsid w:val="00FB1C61"/>
    <w:rsid w:val="00FB488B"/>
    <w:rsid w:val="00FC52B5"/>
    <w:rsid w:val="00FE22DF"/>
    <w:rsid w:val="00FF5839"/>
    <w:rsid w:val="01DA210A"/>
    <w:rsid w:val="01DEB022"/>
    <w:rsid w:val="01E1A2C5"/>
    <w:rsid w:val="030122DD"/>
    <w:rsid w:val="04D70CF3"/>
    <w:rsid w:val="055F4E04"/>
    <w:rsid w:val="05738D73"/>
    <w:rsid w:val="0583D595"/>
    <w:rsid w:val="058B7B3B"/>
    <w:rsid w:val="05DE0080"/>
    <w:rsid w:val="05FFF9C7"/>
    <w:rsid w:val="06975DA5"/>
    <w:rsid w:val="06B60BF9"/>
    <w:rsid w:val="07E143F2"/>
    <w:rsid w:val="0814ABE8"/>
    <w:rsid w:val="0858BBBC"/>
    <w:rsid w:val="08D5E084"/>
    <w:rsid w:val="08FB3AAE"/>
    <w:rsid w:val="094D7535"/>
    <w:rsid w:val="098C27CB"/>
    <w:rsid w:val="09C97787"/>
    <w:rsid w:val="0A2244AA"/>
    <w:rsid w:val="0A906A9C"/>
    <w:rsid w:val="0BFD153B"/>
    <w:rsid w:val="0C4239D2"/>
    <w:rsid w:val="0C993002"/>
    <w:rsid w:val="0CA8C27C"/>
    <w:rsid w:val="0CE27E0C"/>
    <w:rsid w:val="0DF3163D"/>
    <w:rsid w:val="0E1E5383"/>
    <w:rsid w:val="0E4F3FEE"/>
    <w:rsid w:val="0EC8EBD2"/>
    <w:rsid w:val="0F1E1392"/>
    <w:rsid w:val="0F2CB492"/>
    <w:rsid w:val="10D9B067"/>
    <w:rsid w:val="113C06D0"/>
    <w:rsid w:val="116CE340"/>
    <w:rsid w:val="1209BD36"/>
    <w:rsid w:val="1222C743"/>
    <w:rsid w:val="1332FE63"/>
    <w:rsid w:val="136FD38C"/>
    <w:rsid w:val="13C8E049"/>
    <w:rsid w:val="13DC3AD2"/>
    <w:rsid w:val="1455A131"/>
    <w:rsid w:val="14A0CB0E"/>
    <w:rsid w:val="14E017BB"/>
    <w:rsid w:val="14F7F8DB"/>
    <w:rsid w:val="151A27A6"/>
    <w:rsid w:val="1586FAB5"/>
    <w:rsid w:val="15AF4981"/>
    <w:rsid w:val="162EE7D6"/>
    <w:rsid w:val="1634ABA8"/>
    <w:rsid w:val="16749F5C"/>
    <w:rsid w:val="176CB95E"/>
    <w:rsid w:val="18455A5E"/>
    <w:rsid w:val="1C44FDDC"/>
    <w:rsid w:val="1D1D462C"/>
    <w:rsid w:val="1DE6BF87"/>
    <w:rsid w:val="1E6FDD13"/>
    <w:rsid w:val="1EABB0CF"/>
    <w:rsid w:val="1F406359"/>
    <w:rsid w:val="1F811E26"/>
    <w:rsid w:val="214350E2"/>
    <w:rsid w:val="21AE9F06"/>
    <w:rsid w:val="22FA8D58"/>
    <w:rsid w:val="2342E819"/>
    <w:rsid w:val="23967263"/>
    <w:rsid w:val="239E94D0"/>
    <w:rsid w:val="23AECB2D"/>
    <w:rsid w:val="23F5C096"/>
    <w:rsid w:val="24236ED6"/>
    <w:rsid w:val="245D45CC"/>
    <w:rsid w:val="245D6479"/>
    <w:rsid w:val="24B022E3"/>
    <w:rsid w:val="25297474"/>
    <w:rsid w:val="2571E83D"/>
    <w:rsid w:val="25B105B4"/>
    <w:rsid w:val="2668BB66"/>
    <w:rsid w:val="27608657"/>
    <w:rsid w:val="284AEC5F"/>
    <w:rsid w:val="288511F5"/>
    <w:rsid w:val="29BDAE01"/>
    <w:rsid w:val="2A1777B1"/>
    <w:rsid w:val="2A344B2B"/>
    <w:rsid w:val="2A9BB6E5"/>
    <w:rsid w:val="2AA346D5"/>
    <w:rsid w:val="2BC67F9E"/>
    <w:rsid w:val="2BC8E610"/>
    <w:rsid w:val="2E966B04"/>
    <w:rsid w:val="2F5756F6"/>
    <w:rsid w:val="30269082"/>
    <w:rsid w:val="304F5A73"/>
    <w:rsid w:val="30516C9C"/>
    <w:rsid w:val="309795B0"/>
    <w:rsid w:val="30A0AEF8"/>
    <w:rsid w:val="30CAC976"/>
    <w:rsid w:val="31375565"/>
    <w:rsid w:val="31D75318"/>
    <w:rsid w:val="329CBCB2"/>
    <w:rsid w:val="334CE291"/>
    <w:rsid w:val="33A54C2D"/>
    <w:rsid w:val="33BB3871"/>
    <w:rsid w:val="33BE49AB"/>
    <w:rsid w:val="349DF21F"/>
    <w:rsid w:val="35F9E276"/>
    <w:rsid w:val="363E9946"/>
    <w:rsid w:val="364A4504"/>
    <w:rsid w:val="36FB3B02"/>
    <w:rsid w:val="37C134FE"/>
    <w:rsid w:val="37EE27B9"/>
    <w:rsid w:val="3803E733"/>
    <w:rsid w:val="3805A305"/>
    <w:rsid w:val="384FED77"/>
    <w:rsid w:val="386504AE"/>
    <w:rsid w:val="3874D567"/>
    <w:rsid w:val="3913F753"/>
    <w:rsid w:val="3A81C0A1"/>
    <w:rsid w:val="3B5DB681"/>
    <w:rsid w:val="3B8FA0BE"/>
    <w:rsid w:val="3B9835B4"/>
    <w:rsid w:val="3BE2229F"/>
    <w:rsid w:val="3C5078A2"/>
    <w:rsid w:val="3CF715CD"/>
    <w:rsid w:val="3F9CC111"/>
    <w:rsid w:val="3FE594D6"/>
    <w:rsid w:val="4050EE05"/>
    <w:rsid w:val="40B2B31D"/>
    <w:rsid w:val="41339433"/>
    <w:rsid w:val="422F3429"/>
    <w:rsid w:val="42572992"/>
    <w:rsid w:val="4270C7B8"/>
    <w:rsid w:val="4298952C"/>
    <w:rsid w:val="42A5C3AF"/>
    <w:rsid w:val="43477C2D"/>
    <w:rsid w:val="434CD619"/>
    <w:rsid w:val="436EED6E"/>
    <w:rsid w:val="446257C6"/>
    <w:rsid w:val="46428495"/>
    <w:rsid w:val="46456095"/>
    <w:rsid w:val="46459CB8"/>
    <w:rsid w:val="48D116FE"/>
    <w:rsid w:val="48DA6556"/>
    <w:rsid w:val="49E5D7E9"/>
    <w:rsid w:val="4A86368A"/>
    <w:rsid w:val="4A9053A4"/>
    <w:rsid w:val="4B04F17F"/>
    <w:rsid w:val="4C3929C2"/>
    <w:rsid w:val="4C5A607B"/>
    <w:rsid w:val="4CDFF6EA"/>
    <w:rsid w:val="4D0BB97C"/>
    <w:rsid w:val="4DEE4239"/>
    <w:rsid w:val="4E707DDD"/>
    <w:rsid w:val="4F1467F5"/>
    <w:rsid w:val="4FB554EF"/>
    <w:rsid w:val="4FC4D2E1"/>
    <w:rsid w:val="50B48437"/>
    <w:rsid w:val="513D0617"/>
    <w:rsid w:val="52285CA2"/>
    <w:rsid w:val="525084FD"/>
    <w:rsid w:val="53794A3E"/>
    <w:rsid w:val="53C8F9F2"/>
    <w:rsid w:val="53CFDA3B"/>
    <w:rsid w:val="53F1DB3B"/>
    <w:rsid w:val="54AC423A"/>
    <w:rsid w:val="55106494"/>
    <w:rsid w:val="5528F28D"/>
    <w:rsid w:val="567E51E2"/>
    <w:rsid w:val="568B0755"/>
    <w:rsid w:val="570C9C49"/>
    <w:rsid w:val="57CBC943"/>
    <w:rsid w:val="58EAFDE2"/>
    <w:rsid w:val="591A1338"/>
    <w:rsid w:val="5A501123"/>
    <w:rsid w:val="5AF89573"/>
    <w:rsid w:val="5B46D3AF"/>
    <w:rsid w:val="5BE3050E"/>
    <w:rsid w:val="5C9536E7"/>
    <w:rsid w:val="5CE793DE"/>
    <w:rsid w:val="5D1C563A"/>
    <w:rsid w:val="5D25F424"/>
    <w:rsid w:val="5D29733E"/>
    <w:rsid w:val="5D4F7BF3"/>
    <w:rsid w:val="5DCFADE8"/>
    <w:rsid w:val="5E431164"/>
    <w:rsid w:val="5F22E4BE"/>
    <w:rsid w:val="5FF2B6CF"/>
    <w:rsid w:val="604772C0"/>
    <w:rsid w:val="610B8D66"/>
    <w:rsid w:val="6163FF02"/>
    <w:rsid w:val="61C4B11F"/>
    <w:rsid w:val="62534947"/>
    <w:rsid w:val="62E75DB5"/>
    <w:rsid w:val="649454C3"/>
    <w:rsid w:val="664AB6B8"/>
    <w:rsid w:val="66FA19A6"/>
    <w:rsid w:val="6706CAF1"/>
    <w:rsid w:val="67E1CCD0"/>
    <w:rsid w:val="68364E2A"/>
    <w:rsid w:val="689E04D9"/>
    <w:rsid w:val="68D98EC8"/>
    <w:rsid w:val="68FB22E6"/>
    <w:rsid w:val="69DBC3AB"/>
    <w:rsid w:val="6A189E32"/>
    <w:rsid w:val="6A88086A"/>
    <w:rsid w:val="6ADC1846"/>
    <w:rsid w:val="6B19CED0"/>
    <w:rsid w:val="6B2673BB"/>
    <w:rsid w:val="6B6B8800"/>
    <w:rsid w:val="6C5B550E"/>
    <w:rsid w:val="6CD8550B"/>
    <w:rsid w:val="6CE4D0D4"/>
    <w:rsid w:val="6D8A65D7"/>
    <w:rsid w:val="6DAD03E8"/>
    <w:rsid w:val="6EB05AA5"/>
    <w:rsid w:val="6F02A5FC"/>
    <w:rsid w:val="6FC344B2"/>
    <w:rsid w:val="700A8856"/>
    <w:rsid w:val="70383F11"/>
    <w:rsid w:val="708ECF84"/>
    <w:rsid w:val="717B570A"/>
    <w:rsid w:val="737126D2"/>
    <w:rsid w:val="74027367"/>
    <w:rsid w:val="7476165E"/>
    <w:rsid w:val="747E5392"/>
    <w:rsid w:val="75AD8EF2"/>
    <w:rsid w:val="775849FF"/>
    <w:rsid w:val="787BB944"/>
    <w:rsid w:val="798566BB"/>
    <w:rsid w:val="7A54FFE3"/>
    <w:rsid w:val="7AC7F98F"/>
    <w:rsid w:val="7B73BFAF"/>
    <w:rsid w:val="7C2155AA"/>
    <w:rsid w:val="7CA7A35A"/>
    <w:rsid w:val="7D570813"/>
    <w:rsid w:val="7ED3CD78"/>
    <w:rsid w:val="7F404C83"/>
    <w:rsid w:val="7F514F21"/>
    <w:rsid w:val="7FA3D3A4"/>
    <w:rsid w:val="7FDD14C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7537A"/>
  <w15:chartTrackingRefBased/>
  <w15:docId w15:val="{8D7E80A6-654B-144B-850C-9A5AC0FFE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A58"/>
    <w:pPr>
      <w:spacing w:before="120" w:after="240" w:line="259" w:lineRule="auto"/>
    </w:pPr>
    <w:rPr>
      <w:sz w:val="22"/>
      <w:szCs w:val="22"/>
    </w:rPr>
  </w:style>
  <w:style w:type="paragraph" w:styleId="Heading1">
    <w:name w:val="heading 1"/>
    <w:basedOn w:val="Normal"/>
    <w:next w:val="Normal"/>
    <w:link w:val="Heading1Char"/>
    <w:uiPriority w:val="9"/>
    <w:qFormat/>
    <w:rsid w:val="00762CAE"/>
    <w:pPr>
      <w:keepNext/>
      <w:keepLines/>
      <w:spacing w:before="360" w:after="80"/>
      <w:outlineLvl w:val="0"/>
    </w:pPr>
    <w:rPr>
      <w:rFonts w:asciiTheme="majorHAnsi" w:eastAsiaTheme="majorEastAsia" w:hAnsiTheme="majorHAnsi" w:cstheme="majorBidi"/>
      <w:b/>
      <w:color w:val="215E99" w:themeColor="text2" w:themeTint="BF"/>
      <w:sz w:val="24"/>
      <w:szCs w:val="40"/>
    </w:rPr>
  </w:style>
  <w:style w:type="paragraph" w:styleId="Heading2">
    <w:name w:val="heading 2"/>
    <w:basedOn w:val="Normal"/>
    <w:next w:val="Normal"/>
    <w:link w:val="Heading2Char"/>
    <w:uiPriority w:val="9"/>
    <w:unhideWhenUsed/>
    <w:qFormat/>
    <w:rsid w:val="00E62A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62A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62A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2A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2A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2A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2A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2A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CAE"/>
    <w:rPr>
      <w:rFonts w:asciiTheme="majorHAnsi" w:eastAsiaTheme="majorEastAsia" w:hAnsiTheme="majorHAnsi" w:cstheme="majorBidi"/>
      <w:b/>
      <w:color w:val="215E99" w:themeColor="text2" w:themeTint="BF"/>
      <w:szCs w:val="40"/>
    </w:rPr>
  </w:style>
  <w:style w:type="character" w:customStyle="1" w:styleId="Heading2Char">
    <w:name w:val="Heading 2 Char"/>
    <w:basedOn w:val="DefaultParagraphFont"/>
    <w:link w:val="Heading2"/>
    <w:uiPriority w:val="9"/>
    <w:rsid w:val="00E62A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2A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2A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2A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2A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2A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2A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2A58"/>
    <w:rPr>
      <w:rFonts w:eastAsiaTheme="majorEastAsia" w:cstheme="majorBidi"/>
      <w:color w:val="272727" w:themeColor="text1" w:themeTint="D8"/>
    </w:rPr>
  </w:style>
  <w:style w:type="paragraph" w:styleId="Title">
    <w:name w:val="Title"/>
    <w:basedOn w:val="Normal"/>
    <w:next w:val="Normal"/>
    <w:link w:val="TitleChar"/>
    <w:uiPriority w:val="10"/>
    <w:qFormat/>
    <w:rsid w:val="00E62A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2A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2A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2A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2A58"/>
    <w:pPr>
      <w:spacing w:before="160"/>
      <w:jc w:val="center"/>
    </w:pPr>
    <w:rPr>
      <w:i/>
      <w:iCs/>
      <w:color w:val="404040" w:themeColor="text1" w:themeTint="BF"/>
    </w:rPr>
  </w:style>
  <w:style w:type="character" w:customStyle="1" w:styleId="QuoteChar">
    <w:name w:val="Quote Char"/>
    <w:basedOn w:val="DefaultParagraphFont"/>
    <w:link w:val="Quote"/>
    <w:uiPriority w:val="29"/>
    <w:rsid w:val="00E62A58"/>
    <w:rPr>
      <w:i/>
      <w:iCs/>
      <w:color w:val="404040" w:themeColor="text1" w:themeTint="BF"/>
    </w:rPr>
  </w:style>
  <w:style w:type="paragraph" w:styleId="ListParagraph">
    <w:name w:val="List Paragraph"/>
    <w:basedOn w:val="Normal"/>
    <w:uiPriority w:val="34"/>
    <w:qFormat/>
    <w:rsid w:val="00E62A58"/>
    <w:pPr>
      <w:ind w:left="720"/>
      <w:contextualSpacing/>
    </w:pPr>
  </w:style>
  <w:style w:type="character" w:styleId="IntenseEmphasis">
    <w:name w:val="Intense Emphasis"/>
    <w:basedOn w:val="DefaultParagraphFont"/>
    <w:uiPriority w:val="21"/>
    <w:qFormat/>
    <w:rsid w:val="00E62A58"/>
    <w:rPr>
      <w:i/>
      <w:iCs/>
      <w:color w:val="0F4761" w:themeColor="accent1" w:themeShade="BF"/>
    </w:rPr>
  </w:style>
  <w:style w:type="paragraph" w:styleId="IntenseQuote">
    <w:name w:val="Intense Quote"/>
    <w:basedOn w:val="Normal"/>
    <w:next w:val="Normal"/>
    <w:link w:val="IntenseQuoteChar"/>
    <w:uiPriority w:val="30"/>
    <w:qFormat/>
    <w:rsid w:val="00E62A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2A58"/>
    <w:rPr>
      <w:i/>
      <w:iCs/>
      <w:color w:val="0F4761" w:themeColor="accent1" w:themeShade="BF"/>
    </w:rPr>
  </w:style>
  <w:style w:type="character" w:styleId="IntenseReference">
    <w:name w:val="Intense Reference"/>
    <w:basedOn w:val="DefaultParagraphFont"/>
    <w:uiPriority w:val="32"/>
    <w:qFormat/>
    <w:rsid w:val="00E62A58"/>
    <w:rPr>
      <w:b/>
      <w:bCs/>
      <w:smallCaps/>
      <w:color w:val="0F4761" w:themeColor="accent1" w:themeShade="BF"/>
      <w:spacing w:val="5"/>
    </w:rPr>
  </w:style>
  <w:style w:type="paragraph" w:styleId="FootnoteText">
    <w:name w:val="footnote text"/>
    <w:basedOn w:val="Normal"/>
    <w:link w:val="FootnoteTextChar"/>
    <w:uiPriority w:val="99"/>
    <w:unhideWhenUsed/>
    <w:rsid w:val="00E62A58"/>
    <w:pPr>
      <w:spacing w:after="0" w:line="240" w:lineRule="auto"/>
    </w:pPr>
    <w:rPr>
      <w:rFonts w:eastAsia="Roboto" w:cstheme="minorHAnsi"/>
      <w:color w:val="000000" w:themeColor="text1"/>
      <w:kern w:val="0"/>
      <w:sz w:val="20"/>
      <w:szCs w:val="20"/>
      <w14:ligatures w14:val="none"/>
    </w:rPr>
  </w:style>
  <w:style w:type="character" w:customStyle="1" w:styleId="FootnoteTextChar">
    <w:name w:val="Footnote Text Char"/>
    <w:basedOn w:val="DefaultParagraphFont"/>
    <w:link w:val="FootnoteText"/>
    <w:uiPriority w:val="99"/>
    <w:rsid w:val="00E62A58"/>
    <w:rPr>
      <w:rFonts w:eastAsia="Roboto" w:cstheme="minorHAnsi"/>
      <w:color w:val="000000" w:themeColor="text1"/>
      <w:kern w:val="0"/>
      <w:sz w:val="20"/>
      <w:szCs w:val="20"/>
      <w14:ligatures w14:val="none"/>
    </w:rPr>
  </w:style>
  <w:style w:type="character" w:styleId="FootnoteReference">
    <w:name w:val="footnote reference"/>
    <w:basedOn w:val="DefaultParagraphFont"/>
    <w:uiPriority w:val="99"/>
    <w:semiHidden/>
    <w:unhideWhenUsed/>
    <w:rsid w:val="00E62A58"/>
    <w:rPr>
      <w:vertAlign w:val="superscript"/>
    </w:rPr>
  </w:style>
  <w:style w:type="table" w:styleId="TableGrid">
    <w:name w:val="Table Grid"/>
    <w:basedOn w:val="TableNormal"/>
    <w:uiPriority w:val="39"/>
    <w:rsid w:val="00E62A58"/>
    <w:pPr>
      <w:spacing w:after="0" w:line="240" w:lineRule="auto"/>
    </w:pPr>
    <w:rPr>
      <w:sz w:val="22"/>
      <w:szCs w:val="22"/>
      <w:lang w:val="en-US"/>
    </w:rPr>
    <w:tblPr/>
  </w:style>
  <w:style w:type="paragraph" w:styleId="Revision">
    <w:name w:val="Revision"/>
    <w:hidden/>
    <w:uiPriority w:val="99"/>
    <w:semiHidden/>
    <w:rsid w:val="00D32035"/>
    <w:pPr>
      <w:spacing w:after="0" w:line="240" w:lineRule="auto"/>
    </w:pPr>
    <w:rPr>
      <w:sz w:val="22"/>
      <w:szCs w:val="22"/>
    </w:rPr>
  </w:style>
  <w:style w:type="character" w:customStyle="1" w:styleId="normaltextrun">
    <w:name w:val="normaltextrun"/>
    <w:basedOn w:val="DefaultParagraphFont"/>
    <w:rsid w:val="00D32035"/>
  </w:style>
  <w:style w:type="character" w:customStyle="1" w:styleId="eop">
    <w:name w:val="eop"/>
    <w:basedOn w:val="DefaultParagraphFont"/>
    <w:rsid w:val="00D32035"/>
  </w:style>
  <w:style w:type="character" w:styleId="CommentReference">
    <w:name w:val="annotation reference"/>
    <w:basedOn w:val="DefaultParagraphFont"/>
    <w:uiPriority w:val="99"/>
    <w:semiHidden/>
    <w:unhideWhenUsed/>
    <w:rsid w:val="00D32035"/>
    <w:rPr>
      <w:sz w:val="16"/>
      <w:szCs w:val="16"/>
    </w:rPr>
  </w:style>
  <w:style w:type="paragraph" w:styleId="CommentText">
    <w:name w:val="annotation text"/>
    <w:basedOn w:val="Normal"/>
    <w:link w:val="CommentTextChar"/>
    <w:uiPriority w:val="99"/>
    <w:unhideWhenUsed/>
    <w:rsid w:val="00D32035"/>
    <w:pPr>
      <w:spacing w:line="240" w:lineRule="auto"/>
    </w:pPr>
    <w:rPr>
      <w:sz w:val="20"/>
      <w:szCs w:val="20"/>
    </w:rPr>
  </w:style>
  <w:style w:type="character" w:customStyle="1" w:styleId="CommentTextChar">
    <w:name w:val="Comment Text Char"/>
    <w:basedOn w:val="DefaultParagraphFont"/>
    <w:link w:val="CommentText"/>
    <w:uiPriority w:val="99"/>
    <w:rsid w:val="00D32035"/>
    <w:rPr>
      <w:sz w:val="20"/>
      <w:szCs w:val="20"/>
    </w:rPr>
  </w:style>
  <w:style w:type="paragraph" w:styleId="CommentSubject">
    <w:name w:val="annotation subject"/>
    <w:basedOn w:val="CommentText"/>
    <w:next w:val="CommentText"/>
    <w:link w:val="CommentSubjectChar"/>
    <w:uiPriority w:val="99"/>
    <w:semiHidden/>
    <w:unhideWhenUsed/>
    <w:rsid w:val="00D32035"/>
    <w:rPr>
      <w:b/>
      <w:bCs/>
    </w:rPr>
  </w:style>
  <w:style w:type="character" w:customStyle="1" w:styleId="CommentSubjectChar">
    <w:name w:val="Comment Subject Char"/>
    <w:basedOn w:val="CommentTextChar"/>
    <w:link w:val="CommentSubject"/>
    <w:uiPriority w:val="99"/>
    <w:semiHidden/>
    <w:rsid w:val="00D32035"/>
    <w:rPr>
      <w:b/>
      <w:bCs/>
      <w:sz w:val="20"/>
      <w:szCs w:val="20"/>
    </w:rPr>
  </w:style>
  <w:style w:type="character" w:styleId="Hyperlink">
    <w:name w:val="Hyperlink"/>
    <w:basedOn w:val="DefaultParagraphFont"/>
    <w:uiPriority w:val="99"/>
    <w:unhideWhenUsed/>
    <w:rsid w:val="00D32035"/>
    <w:rPr>
      <w:color w:val="467886" w:themeColor="hyperlink"/>
      <w:u w:val="single"/>
    </w:rPr>
  </w:style>
  <w:style w:type="character" w:styleId="UnresolvedMention">
    <w:name w:val="Unresolved Mention"/>
    <w:basedOn w:val="DefaultParagraphFont"/>
    <w:uiPriority w:val="99"/>
    <w:semiHidden/>
    <w:unhideWhenUsed/>
    <w:rsid w:val="00D32035"/>
    <w:rPr>
      <w:color w:val="605E5C"/>
      <w:shd w:val="clear" w:color="auto" w:fill="E1DFDD"/>
    </w:rPr>
  </w:style>
  <w:style w:type="paragraph" w:styleId="Header">
    <w:name w:val="header"/>
    <w:basedOn w:val="Normal"/>
    <w:link w:val="HeaderChar"/>
    <w:uiPriority w:val="99"/>
    <w:unhideWhenUsed/>
    <w:rsid w:val="004F582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F582D"/>
    <w:rPr>
      <w:sz w:val="22"/>
      <w:szCs w:val="22"/>
    </w:rPr>
  </w:style>
  <w:style w:type="paragraph" w:styleId="Footer">
    <w:name w:val="footer"/>
    <w:basedOn w:val="Normal"/>
    <w:link w:val="FooterChar"/>
    <w:uiPriority w:val="99"/>
    <w:unhideWhenUsed/>
    <w:rsid w:val="004F582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F582D"/>
    <w:rPr>
      <w:sz w:val="22"/>
      <w:szCs w:val="22"/>
    </w:rPr>
  </w:style>
  <w:style w:type="paragraph" w:customStyle="1" w:styleId="paragraph">
    <w:name w:val="paragraph"/>
    <w:basedOn w:val="Normal"/>
    <w:rsid w:val="008A1BC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scxw197522084">
    <w:name w:val="scxw197522084"/>
    <w:basedOn w:val="DefaultParagraphFont"/>
    <w:rsid w:val="008A1BC8"/>
  </w:style>
  <w:style w:type="paragraph" w:customStyle="1" w:styleId="p1">
    <w:name w:val="p1"/>
    <w:basedOn w:val="Normal"/>
    <w:rsid w:val="003F3D0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1">
    <w:name w:val="s1"/>
    <w:basedOn w:val="DefaultParagraphFont"/>
    <w:rsid w:val="003F3D0A"/>
  </w:style>
  <w:style w:type="character" w:customStyle="1" w:styleId="s2">
    <w:name w:val="s2"/>
    <w:basedOn w:val="DefaultParagraphFont"/>
    <w:rsid w:val="003F3D0A"/>
  </w:style>
  <w:style w:type="character" w:customStyle="1" w:styleId="s3">
    <w:name w:val="s3"/>
    <w:basedOn w:val="DefaultParagraphFont"/>
    <w:rsid w:val="003F3D0A"/>
  </w:style>
  <w:style w:type="character" w:customStyle="1" w:styleId="s4">
    <w:name w:val="s4"/>
    <w:basedOn w:val="DefaultParagraphFont"/>
    <w:rsid w:val="003F3D0A"/>
  </w:style>
  <w:style w:type="paragraph" w:customStyle="1" w:styleId="p3">
    <w:name w:val="p3"/>
    <w:basedOn w:val="Normal"/>
    <w:rsid w:val="003F3D0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A96A1D"/>
    <w:rPr>
      <w:b/>
      <w:bCs/>
    </w:rPr>
  </w:style>
  <w:style w:type="character" w:styleId="Emphasis">
    <w:name w:val="Emphasis"/>
    <w:basedOn w:val="DefaultParagraphFont"/>
    <w:uiPriority w:val="20"/>
    <w:qFormat/>
    <w:rsid w:val="00A96A1D"/>
    <w:rPr>
      <w:i/>
      <w:iCs/>
    </w:rPr>
  </w:style>
  <w:style w:type="paragraph" w:customStyle="1" w:styleId="Default">
    <w:name w:val="Default"/>
    <w:basedOn w:val="Normal"/>
    <w:uiPriority w:val="1"/>
    <w:rsid w:val="35F9E276"/>
    <w:pPr>
      <w:spacing w:after="0"/>
    </w:pPr>
    <w:rPr>
      <w:rFonts w:eastAsiaTheme="minorEastAsia"/>
      <w:color w:val="000000" w:themeColor="text1"/>
      <w:sz w:val="24"/>
      <w:szCs w:val="24"/>
      <w:lang w:eastAsia="en-GB"/>
    </w:rPr>
  </w:style>
  <w:style w:type="character" w:styleId="Mention">
    <w:name w:val="Mention"/>
    <w:basedOn w:val="DefaultParagraphFont"/>
    <w:uiPriority w:val="99"/>
    <w:unhideWhenUsed/>
    <w:rsid w:val="002B2D6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08427">
      <w:bodyDiv w:val="1"/>
      <w:marLeft w:val="0"/>
      <w:marRight w:val="0"/>
      <w:marTop w:val="0"/>
      <w:marBottom w:val="0"/>
      <w:divBdr>
        <w:top w:val="none" w:sz="0" w:space="0" w:color="auto"/>
        <w:left w:val="none" w:sz="0" w:space="0" w:color="auto"/>
        <w:bottom w:val="none" w:sz="0" w:space="0" w:color="auto"/>
        <w:right w:val="none" w:sz="0" w:space="0" w:color="auto"/>
      </w:divBdr>
    </w:div>
    <w:div w:id="107169354">
      <w:bodyDiv w:val="1"/>
      <w:marLeft w:val="0"/>
      <w:marRight w:val="0"/>
      <w:marTop w:val="0"/>
      <w:marBottom w:val="0"/>
      <w:divBdr>
        <w:top w:val="none" w:sz="0" w:space="0" w:color="auto"/>
        <w:left w:val="none" w:sz="0" w:space="0" w:color="auto"/>
        <w:bottom w:val="none" w:sz="0" w:space="0" w:color="auto"/>
        <w:right w:val="none" w:sz="0" w:space="0" w:color="auto"/>
      </w:divBdr>
    </w:div>
    <w:div w:id="125243630">
      <w:bodyDiv w:val="1"/>
      <w:marLeft w:val="0"/>
      <w:marRight w:val="0"/>
      <w:marTop w:val="0"/>
      <w:marBottom w:val="0"/>
      <w:divBdr>
        <w:top w:val="none" w:sz="0" w:space="0" w:color="auto"/>
        <w:left w:val="none" w:sz="0" w:space="0" w:color="auto"/>
        <w:bottom w:val="none" w:sz="0" w:space="0" w:color="auto"/>
        <w:right w:val="none" w:sz="0" w:space="0" w:color="auto"/>
      </w:divBdr>
    </w:div>
    <w:div w:id="145123836">
      <w:bodyDiv w:val="1"/>
      <w:marLeft w:val="0"/>
      <w:marRight w:val="0"/>
      <w:marTop w:val="0"/>
      <w:marBottom w:val="0"/>
      <w:divBdr>
        <w:top w:val="none" w:sz="0" w:space="0" w:color="auto"/>
        <w:left w:val="none" w:sz="0" w:space="0" w:color="auto"/>
        <w:bottom w:val="none" w:sz="0" w:space="0" w:color="auto"/>
        <w:right w:val="none" w:sz="0" w:space="0" w:color="auto"/>
      </w:divBdr>
      <w:divsChild>
        <w:div w:id="1308825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446827">
      <w:bodyDiv w:val="1"/>
      <w:marLeft w:val="0"/>
      <w:marRight w:val="0"/>
      <w:marTop w:val="0"/>
      <w:marBottom w:val="0"/>
      <w:divBdr>
        <w:top w:val="none" w:sz="0" w:space="0" w:color="auto"/>
        <w:left w:val="none" w:sz="0" w:space="0" w:color="auto"/>
        <w:bottom w:val="none" w:sz="0" w:space="0" w:color="auto"/>
        <w:right w:val="none" w:sz="0" w:space="0" w:color="auto"/>
      </w:divBdr>
    </w:div>
    <w:div w:id="214784370">
      <w:bodyDiv w:val="1"/>
      <w:marLeft w:val="0"/>
      <w:marRight w:val="0"/>
      <w:marTop w:val="0"/>
      <w:marBottom w:val="0"/>
      <w:divBdr>
        <w:top w:val="none" w:sz="0" w:space="0" w:color="auto"/>
        <w:left w:val="none" w:sz="0" w:space="0" w:color="auto"/>
        <w:bottom w:val="none" w:sz="0" w:space="0" w:color="auto"/>
        <w:right w:val="none" w:sz="0" w:space="0" w:color="auto"/>
      </w:divBdr>
    </w:div>
    <w:div w:id="306014266">
      <w:bodyDiv w:val="1"/>
      <w:marLeft w:val="0"/>
      <w:marRight w:val="0"/>
      <w:marTop w:val="0"/>
      <w:marBottom w:val="0"/>
      <w:divBdr>
        <w:top w:val="none" w:sz="0" w:space="0" w:color="auto"/>
        <w:left w:val="none" w:sz="0" w:space="0" w:color="auto"/>
        <w:bottom w:val="none" w:sz="0" w:space="0" w:color="auto"/>
        <w:right w:val="none" w:sz="0" w:space="0" w:color="auto"/>
      </w:divBdr>
    </w:div>
    <w:div w:id="683898586">
      <w:bodyDiv w:val="1"/>
      <w:marLeft w:val="0"/>
      <w:marRight w:val="0"/>
      <w:marTop w:val="0"/>
      <w:marBottom w:val="0"/>
      <w:divBdr>
        <w:top w:val="none" w:sz="0" w:space="0" w:color="auto"/>
        <w:left w:val="none" w:sz="0" w:space="0" w:color="auto"/>
        <w:bottom w:val="none" w:sz="0" w:space="0" w:color="auto"/>
        <w:right w:val="none" w:sz="0" w:space="0" w:color="auto"/>
      </w:divBdr>
    </w:div>
    <w:div w:id="826482211">
      <w:bodyDiv w:val="1"/>
      <w:marLeft w:val="0"/>
      <w:marRight w:val="0"/>
      <w:marTop w:val="0"/>
      <w:marBottom w:val="0"/>
      <w:divBdr>
        <w:top w:val="none" w:sz="0" w:space="0" w:color="auto"/>
        <w:left w:val="none" w:sz="0" w:space="0" w:color="auto"/>
        <w:bottom w:val="none" w:sz="0" w:space="0" w:color="auto"/>
        <w:right w:val="none" w:sz="0" w:space="0" w:color="auto"/>
      </w:divBdr>
    </w:div>
    <w:div w:id="865676193">
      <w:bodyDiv w:val="1"/>
      <w:marLeft w:val="0"/>
      <w:marRight w:val="0"/>
      <w:marTop w:val="0"/>
      <w:marBottom w:val="0"/>
      <w:divBdr>
        <w:top w:val="none" w:sz="0" w:space="0" w:color="auto"/>
        <w:left w:val="none" w:sz="0" w:space="0" w:color="auto"/>
        <w:bottom w:val="none" w:sz="0" w:space="0" w:color="auto"/>
        <w:right w:val="none" w:sz="0" w:space="0" w:color="auto"/>
      </w:divBdr>
      <w:divsChild>
        <w:div w:id="12828818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625171">
      <w:bodyDiv w:val="1"/>
      <w:marLeft w:val="0"/>
      <w:marRight w:val="0"/>
      <w:marTop w:val="0"/>
      <w:marBottom w:val="0"/>
      <w:divBdr>
        <w:top w:val="none" w:sz="0" w:space="0" w:color="auto"/>
        <w:left w:val="none" w:sz="0" w:space="0" w:color="auto"/>
        <w:bottom w:val="none" w:sz="0" w:space="0" w:color="auto"/>
        <w:right w:val="none" w:sz="0" w:space="0" w:color="auto"/>
      </w:divBdr>
    </w:div>
    <w:div w:id="1095781671">
      <w:bodyDiv w:val="1"/>
      <w:marLeft w:val="0"/>
      <w:marRight w:val="0"/>
      <w:marTop w:val="0"/>
      <w:marBottom w:val="0"/>
      <w:divBdr>
        <w:top w:val="none" w:sz="0" w:space="0" w:color="auto"/>
        <w:left w:val="none" w:sz="0" w:space="0" w:color="auto"/>
        <w:bottom w:val="none" w:sz="0" w:space="0" w:color="auto"/>
        <w:right w:val="none" w:sz="0" w:space="0" w:color="auto"/>
      </w:divBdr>
    </w:div>
    <w:div w:id="1125198194">
      <w:bodyDiv w:val="1"/>
      <w:marLeft w:val="0"/>
      <w:marRight w:val="0"/>
      <w:marTop w:val="0"/>
      <w:marBottom w:val="0"/>
      <w:divBdr>
        <w:top w:val="none" w:sz="0" w:space="0" w:color="auto"/>
        <w:left w:val="none" w:sz="0" w:space="0" w:color="auto"/>
        <w:bottom w:val="none" w:sz="0" w:space="0" w:color="auto"/>
        <w:right w:val="none" w:sz="0" w:space="0" w:color="auto"/>
      </w:divBdr>
    </w:div>
    <w:div w:id="1166018144">
      <w:bodyDiv w:val="1"/>
      <w:marLeft w:val="0"/>
      <w:marRight w:val="0"/>
      <w:marTop w:val="0"/>
      <w:marBottom w:val="0"/>
      <w:divBdr>
        <w:top w:val="none" w:sz="0" w:space="0" w:color="auto"/>
        <w:left w:val="none" w:sz="0" w:space="0" w:color="auto"/>
        <w:bottom w:val="none" w:sz="0" w:space="0" w:color="auto"/>
        <w:right w:val="none" w:sz="0" w:space="0" w:color="auto"/>
      </w:divBdr>
      <w:divsChild>
        <w:div w:id="1224558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6348474">
      <w:bodyDiv w:val="1"/>
      <w:marLeft w:val="0"/>
      <w:marRight w:val="0"/>
      <w:marTop w:val="0"/>
      <w:marBottom w:val="0"/>
      <w:divBdr>
        <w:top w:val="none" w:sz="0" w:space="0" w:color="auto"/>
        <w:left w:val="none" w:sz="0" w:space="0" w:color="auto"/>
        <w:bottom w:val="none" w:sz="0" w:space="0" w:color="auto"/>
        <w:right w:val="none" w:sz="0" w:space="0" w:color="auto"/>
      </w:divBdr>
    </w:div>
    <w:div w:id="1440563822">
      <w:bodyDiv w:val="1"/>
      <w:marLeft w:val="0"/>
      <w:marRight w:val="0"/>
      <w:marTop w:val="0"/>
      <w:marBottom w:val="0"/>
      <w:divBdr>
        <w:top w:val="none" w:sz="0" w:space="0" w:color="auto"/>
        <w:left w:val="none" w:sz="0" w:space="0" w:color="auto"/>
        <w:bottom w:val="none" w:sz="0" w:space="0" w:color="auto"/>
        <w:right w:val="none" w:sz="0" w:space="0" w:color="auto"/>
      </w:divBdr>
    </w:div>
    <w:div w:id="1570652923">
      <w:bodyDiv w:val="1"/>
      <w:marLeft w:val="0"/>
      <w:marRight w:val="0"/>
      <w:marTop w:val="0"/>
      <w:marBottom w:val="0"/>
      <w:divBdr>
        <w:top w:val="none" w:sz="0" w:space="0" w:color="auto"/>
        <w:left w:val="none" w:sz="0" w:space="0" w:color="auto"/>
        <w:bottom w:val="none" w:sz="0" w:space="0" w:color="auto"/>
        <w:right w:val="none" w:sz="0" w:space="0" w:color="auto"/>
      </w:divBdr>
    </w:div>
    <w:div w:id="1571427511">
      <w:bodyDiv w:val="1"/>
      <w:marLeft w:val="0"/>
      <w:marRight w:val="0"/>
      <w:marTop w:val="0"/>
      <w:marBottom w:val="0"/>
      <w:divBdr>
        <w:top w:val="none" w:sz="0" w:space="0" w:color="auto"/>
        <w:left w:val="none" w:sz="0" w:space="0" w:color="auto"/>
        <w:bottom w:val="none" w:sz="0" w:space="0" w:color="auto"/>
        <w:right w:val="none" w:sz="0" w:space="0" w:color="auto"/>
      </w:divBdr>
      <w:divsChild>
        <w:div w:id="167064636">
          <w:marLeft w:val="0"/>
          <w:marRight w:val="0"/>
          <w:marTop w:val="0"/>
          <w:marBottom w:val="0"/>
          <w:divBdr>
            <w:top w:val="none" w:sz="0" w:space="0" w:color="auto"/>
            <w:left w:val="none" w:sz="0" w:space="0" w:color="auto"/>
            <w:bottom w:val="none" w:sz="0" w:space="0" w:color="auto"/>
            <w:right w:val="none" w:sz="0" w:space="0" w:color="auto"/>
          </w:divBdr>
          <w:divsChild>
            <w:div w:id="141701887">
              <w:marLeft w:val="0"/>
              <w:marRight w:val="0"/>
              <w:marTop w:val="0"/>
              <w:marBottom w:val="0"/>
              <w:divBdr>
                <w:top w:val="none" w:sz="0" w:space="0" w:color="auto"/>
                <w:left w:val="none" w:sz="0" w:space="0" w:color="auto"/>
                <w:bottom w:val="none" w:sz="0" w:space="0" w:color="auto"/>
                <w:right w:val="none" w:sz="0" w:space="0" w:color="auto"/>
              </w:divBdr>
            </w:div>
            <w:div w:id="999849199">
              <w:marLeft w:val="0"/>
              <w:marRight w:val="0"/>
              <w:marTop w:val="0"/>
              <w:marBottom w:val="0"/>
              <w:divBdr>
                <w:top w:val="none" w:sz="0" w:space="0" w:color="auto"/>
                <w:left w:val="none" w:sz="0" w:space="0" w:color="auto"/>
                <w:bottom w:val="none" w:sz="0" w:space="0" w:color="auto"/>
                <w:right w:val="none" w:sz="0" w:space="0" w:color="auto"/>
              </w:divBdr>
            </w:div>
          </w:divsChild>
        </w:div>
        <w:div w:id="174226619">
          <w:marLeft w:val="0"/>
          <w:marRight w:val="0"/>
          <w:marTop w:val="0"/>
          <w:marBottom w:val="0"/>
          <w:divBdr>
            <w:top w:val="none" w:sz="0" w:space="0" w:color="auto"/>
            <w:left w:val="none" w:sz="0" w:space="0" w:color="auto"/>
            <w:bottom w:val="none" w:sz="0" w:space="0" w:color="auto"/>
            <w:right w:val="none" w:sz="0" w:space="0" w:color="auto"/>
          </w:divBdr>
          <w:divsChild>
            <w:div w:id="1439258343">
              <w:marLeft w:val="0"/>
              <w:marRight w:val="0"/>
              <w:marTop w:val="0"/>
              <w:marBottom w:val="0"/>
              <w:divBdr>
                <w:top w:val="none" w:sz="0" w:space="0" w:color="auto"/>
                <w:left w:val="none" w:sz="0" w:space="0" w:color="auto"/>
                <w:bottom w:val="none" w:sz="0" w:space="0" w:color="auto"/>
                <w:right w:val="none" w:sz="0" w:space="0" w:color="auto"/>
              </w:divBdr>
            </w:div>
          </w:divsChild>
        </w:div>
        <w:div w:id="310409985">
          <w:marLeft w:val="0"/>
          <w:marRight w:val="0"/>
          <w:marTop w:val="0"/>
          <w:marBottom w:val="0"/>
          <w:divBdr>
            <w:top w:val="none" w:sz="0" w:space="0" w:color="auto"/>
            <w:left w:val="none" w:sz="0" w:space="0" w:color="auto"/>
            <w:bottom w:val="none" w:sz="0" w:space="0" w:color="auto"/>
            <w:right w:val="none" w:sz="0" w:space="0" w:color="auto"/>
          </w:divBdr>
          <w:divsChild>
            <w:div w:id="798302423">
              <w:marLeft w:val="0"/>
              <w:marRight w:val="0"/>
              <w:marTop w:val="0"/>
              <w:marBottom w:val="0"/>
              <w:divBdr>
                <w:top w:val="none" w:sz="0" w:space="0" w:color="auto"/>
                <w:left w:val="none" w:sz="0" w:space="0" w:color="auto"/>
                <w:bottom w:val="none" w:sz="0" w:space="0" w:color="auto"/>
                <w:right w:val="none" w:sz="0" w:space="0" w:color="auto"/>
              </w:divBdr>
            </w:div>
            <w:div w:id="1656256620">
              <w:marLeft w:val="0"/>
              <w:marRight w:val="0"/>
              <w:marTop w:val="0"/>
              <w:marBottom w:val="0"/>
              <w:divBdr>
                <w:top w:val="none" w:sz="0" w:space="0" w:color="auto"/>
                <w:left w:val="none" w:sz="0" w:space="0" w:color="auto"/>
                <w:bottom w:val="none" w:sz="0" w:space="0" w:color="auto"/>
                <w:right w:val="none" w:sz="0" w:space="0" w:color="auto"/>
              </w:divBdr>
            </w:div>
            <w:div w:id="1837376758">
              <w:marLeft w:val="0"/>
              <w:marRight w:val="0"/>
              <w:marTop w:val="0"/>
              <w:marBottom w:val="0"/>
              <w:divBdr>
                <w:top w:val="none" w:sz="0" w:space="0" w:color="auto"/>
                <w:left w:val="none" w:sz="0" w:space="0" w:color="auto"/>
                <w:bottom w:val="none" w:sz="0" w:space="0" w:color="auto"/>
                <w:right w:val="none" w:sz="0" w:space="0" w:color="auto"/>
              </w:divBdr>
            </w:div>
          </w:divsChild>
        </w:div>
        <w:div w:id="481432428">
          <w:marLeft w:val="0"/>
          <w:marRight w:val="0"/>
          <w:marTop w:val="0"/>
          <w:marBottom w:val="0"/>
          <w:divBdr>
            <w:top w:val="none" w:sz="0" w:space="0" w:color="auto"/>
            <w:left w:val="none" w:sz="0" w:space="0" w:color="auto"/>
            <w:bottom w:val="none" w:sz="0" w:space="0" w:color="auto"/>
            <w:right w:val="none" w:sz="0" w:space="0" w:color="auto"/>
          </w:divBdr>
          <w:divsChild>
            <w:div w:id="1601375010">
              <w:marLeft w:val="0"/>
              <w:marRight w:val="0"/>
              <w:marTop w:val="0"/>
              <w:marBottom w:val="0"/>
              <w:divBdr>
                <w:top w:val="none" w:sz="0" w:space="0" w:color="auto"/>
                <w:left w:val="none" w:sz="0" w:space="0" w:color="auto"/>
                <w:bottom w:val="none" w:sz="0" w:space="0" w:color="auto"/>
                <w:right w:val="none" w:sz="0" w:space="0" w:color="auto"/>
              </w:divBdr>
            </w:div>
          </w:divsChild>
        </w:div>
        <w:div w:id="531696562">
          <w:marLeft w:val="0"/>
          <w:marRight w:val="0"/>
          <w:marTop w:val="0"/>
          <w:marBottom w:val="0"/>
          <w:divBdr>
            <w:top w:val="none" w:sz="0" w:space="0" w:color="auto"/>
            <w:left w:val="none" w:sz="0" w:space="0" w:color="auto"/>
            <w:bottom w:val="none" w:sz="0" w:space="0" w:color="auto"/>
            <w:right w:val="none" w:sz="0" w:space="0" w:color="auto"/>
          </w:divBdr>
          <w:divsChild>
            <w:div w:id="1863084891">
              <w:marLeft w:val="0"/>
              <w:marRight w:val="0"/>
              <w:marTop w:val="0"/>
              <w:marBottom w:val="0"/>
              <w:divBdr>
                <w:top w:val="none" w:sz="0" w:space="0" w:color="auto"/>
                <w:left w:val="none" w:sz="0" w:space="0" w:color="auto"/>
                <w:bottom w:val="none" w:sz="0" w:space="0" w:color="auto"/>
                <w:right w:val="none" w:sz="0" w:space="0" w:color="auto"/>
              </w:divBdr>
            </w:div>
          </w:divsChild>
        </w:div>
        <w:div w:id="739064409">
          <w:marLeft w:val="0"/>
          <w:marRight w:val="0"/>
          <w:marTop w:val="0"/>
          <w:marBottom w:val="0"/>
          <w:divBdr>
            <w:top w:val="none" w:sz="0" w:space="0" w:color="auto"/>
            <w:left w:val="none" w:sz="0" w:space="0" w:color="auto"/>
            <w:bottom w:val="none" w:sz="0" w:space="0" w:color="auto"/>
            <w:right w:val="none" w:sz="0" w:space="0" w:color="auto"/>
          </w:divBdr>
          <w:divsChild>
            <w:div w:id="1463035040">
              <w:marLeft w:val="0"/>
              <w:marRight w:val="0"/>
              <w:marTop w:val="0"/>
              <w:marBottom w:val="0"/>
              <w:divBdr>
                <w:top w:val="none" w:sz="0" w:space="0" w:color="auto"/>
                <w:left w:val="none" w:sz="0" w:space="0" w:color="auto"/>
                <w:bottom w:val="none" w:sz="0" w:space="0" w:color="auto"/>
                <w:right w:val="none" w:sz="0" w:space="0" w:color="auto"/>
              </w:divBdr>
            </w:div>
          </w:divsChild>
        </w:div>
        <w:div w:id="834147437">
          <w:marLeft w:val="0"/>
          <w:marRight w:val="0"/>
          <w:marTop w:val="0"/>
          <w:marBottom w:val="0"/>
          <w:divBdr>
            <w:top w:val="none" w:sz="0" w:space="0" w:color="auto"/>
            <w:left w:val="none" w:sz="0" w:space="0" w:color="auto"/>
            <w:bottom w:val="none" w:sz="0" w:space="0" w:color="auto"/>
            <w:right w:val="none" w:sz="0" w:space="0" w:color="auto"/>
          </w:divBdr>
          <w:divsChild>
            <w:div w:id="1920480024">
              <w:marLeft w:val="0"/>
              <w:marRight w:val="0"/>
              <w:marTop w:val="0"/>
              <w:marBottom w:val="0"/>
              <w:divBdr>
                <w:top w:val="none" w:sz="0" w:space="0" w:color="auto"/>
                <w:left w:val="none" w:sz="0" w:space="0" w:color="auto"/>
                <w:bottom w:val="none" w:sz="0" w:space="0" w:color="auto"/>
                <w:right w:val="none" w:sz="0" w:space="0" w:color="auto"/>
              </w:divBdr>
            </w:div>
          </w:divsChild>
        </w:div>
        <w:div w:id="1379478160">
          <w:marLeft w:val="0"/>
          <w:marRight w:val="0"/>
          <w:marTop w:val="0"/>
          <w:marBottom w:val="0"/>
          <w:divBdr>
            <w:top w:val="none" w:sz="0" w:space="0" w:color="auto"/>
            <w:left w:val="none" w:sz="0" w:space="0" w:color="auto"/>
            <w:bottom w:val="none" w:sz="0" w:space="0" w:color="auto"/>
            <w:right w:val="none" w:sz="0" w:space="0" w:color="auto"/>
          </w:divBdr>
          <w:divsChild>
            <w:div w:id="622884748">
              <w:marLeft w:val="0"/>
              <w:marRight w:val="0"/>
              <w:marTop w:val="0"/>
              <w:marBottom w:val="0"/>
              <w:divBdr>
                <w:top w:val="none" w:sz="0" w:space="0" w:color="auto"/>
                <w:left w:val="none" w:sz="0" w:space="0" w:color="auto"/>
                <w:bottom w:val="none" w:sz="0" w:space="0" w:color="auto"/>
                <w:right w:val="none" w:sz="0" w:space="0" w:color="auto"/>
              </w:divBdr>
            </w:div>
          </w:divsChild>
        </w:div>
        <w:div w:id="1629243523">
          <w:marLeft w:val="0"/>
          <w:marRight w:val="0"/>
          <w:marTop w:val="0"/>
          <w:marBottom w:val="0"/>
          <w:divBdr>
            <w:top w:val="none" w:sz="0" w:space="0" w:color="auto"/>
            <w:left w:val="none" w:sz="0" w:space="0" w:color="auto"/>
            <w:bottom w:val="none" w:sz="0" w:space="0" w:color="auto"/>
            <w:right w:val="none" w:sz="0" w:space="0" w:color="auto"/>
          </w:divBdr>
          <w:divsChild>
            <w:div w:id="773601043">
              <w:marLeft w:val="0"/>
              <w:marRight w:val="0"/>
              <w:marTop w:val="0"/>
              <w:marBottom w:val="0"/>
              <w:divBdr>
                <w:top w:val="none" w:sz="0" w:space="0" w:color="auto"/>
                <w:left w:val="none" w:sz="0" w:space="0" w:color="auto"/>
                <w:bottom w:val="none" w:sz="0" w:space="0" w:color="auto"/>
                <w:right w:val="none" w:sz="0" w:space="0" w:color="auto"/>
              </w:divBdr>
            </w:div>
          </w:divsChild>
        </w:div>
        <w:div w:id="1781794782">
          <w:marLeft w:val="0"/>
          <w:marRight w:val="0"/>
          <w:marTop w:val="0"/>
          <w:marBottom w:val="0"/>
          <w:divBdr>
            <w:top w:val="none" w:sz="0" w:space="0" w:color="auto"/>
            <w:left w:val="none" w:sz="0" w:space="0" w:color="auto"/>
            <w:bottom w:val="none" w:sz="0" w:space="0" w:color="auto"/>
            <w:right w:val="none" w:sz="0" w:space="0" w:color="auto"/>
          </w:divBdr>
          <w:divsChild>
            <w:div w:id="197399624">
              <w:marLeft w:val="0"/>
              <w:marRight w:val="0"/>
              <w:marTop w:val="0"/>
              <w:marBottom w:val="0"/>
              <w:divBdr>
                <w:top w:val="none" w:sz="0" w:space="0" w:color="auto"/>
                <w:left w:val="none" w:sz="0" w:space="0" w:color="auto"/>
                <w:bottom w:val="none" w:sz="0" w:space="0" w:color="auto"/>
                <w:right w:val="none" w:sz="0" w:space="0" w:color="auto"/>
              </w:divBdr>
            </w:div>
            <w:div w:id="67712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89369">
      <w:bodyDiv w:val="1"/>
      <w:marLeft w:val="0"/>
      <w:marRight w:val="0"/>
      <w:marTop w:val="0"/>
      <w:marBottom w:val="0"/>
      <w:divBdr>
        <w:top w:val="none" w:sz="0" w:space="0" w:color="auto"/>
        <w:left w:val="none" w:sz="0" w:space="0" w:color="auto"/>
        <w:bottom w:val="none" w:sz="0" w:space="0" w:color="auto"/>
        <w:right w:val="none" w:sz="0" w:space="0" w:color="auto"/>
      </w:divBdr>
    </w:div>
    <w:div w:id="1673797257">
      <w:bodyDiv w:val="1"/>
      <w:marLeft w:val="0"/>
      <w:marRight w:val="0"/>
      <w:marTop w:val="0"/>
      <w:marBottom w:val="0"/>
      <w:divBdr>
        <w:top w:val="none" w:sz="0" w:space="0" w:color="auto"/>
        <w:left w:val="none" w:sz="0" w:space="0" w:color="auto"/>
        <w:bottom w:val="none" w:sz="0" w:space="0" w:color="auto"/>
        <w:right w:val="none" w:sz="0" w:space="0" w:color="auto"/>
      </w:divBdr>
    </w:div>
    <w:div w:id="1677997602">
      <w:bodyDiv w:val="1"/>
      <w:marLeft w:val="0"/>
      <w:marRight w:val="0"/>
      <w:marTop w:val="0"/>
      <w:marBottom w:val="0"/>
      <w:divBdr>
        <w:top w:val="none" w:sz="0" w:space="0" w:color="auto"/>
        <w:left w:val="none" w:sz="0" w:space="0" w:color="auto"/>
        <w:bottom w:val="none" w:sz="0" w:space="0" w:color="auto"/>
        <w:right w:val="none" w:sz="0" w:space="0" w:color="auto"/>
      </w:divBdr>
    </w:div>
    <w:div w:id="1884752003">
      <w:bodyDiv w:val="1"/>
      <w:marLeft w:val="0"/>
      <w:marRight w:val="0"/>
      <w:marTop w:val="0"/>
      <w:marBottom w:val="0"/>
      <w:divBdr>
        <w:top w:val="none" w:sz="0" w:space="0" w:color="auto"/>
        <w:left w:val="none" w:sz="0" w:space="0" w:color="auto"/>
        <w:bottom w:val="none" w:sz="0" w:space="0" w:color="auto"/>
        <w:right w:val="none" w:sz="0" w:space="0" w:color="auto"/>
      </w:divBdr>
    </w:div>
    <w:div w:id="1965889542">
      <w:bodyDiv w:val="1"/>
      <w:marLeft w:val="0"/>
      <w:marRight w:val="0"/>
      <w:marTop w:val="0"/>
      <w:marBottom w:val="0"/>
      <w:divBdr>
        <w:top w:val="none" w:sz="0" w:space="0" w:color="auto"/>
        <w:left w:val="none" w:sz="0" w:space="0" w:color="auto"/>
        <w:bottom w:val="none" w:sz="0" w:space="0" w:color="auto"/>
        <w:right w:val="none" w:sz="0" w:space="0" w:color="auto"/>
      </w:divBdr>
    </w:div>
    <w:div w:id="2146926023">
      <w:bodyDiv w:val="1"/>
      <w:marLeft w:val="0"/>
      <w:marRight w:val="0"/>
      <w:marTop w:val="0"/>
      <w:marBottom w:val="0"/>
      <w:divBdr>
        <w:top w:val="none" w:sz="0" w:space="0" w:color="auto"/>
        <w:left w:val="none" w:sz="0" w:space="0" w:color="auto"/>
        <w:bottom w:val="none" w:sz="0" w:space="0" w:color="auto"/>
        <w:right w:val="none" w:sz="0" w:space="0" w:color="auto"/>
      </w:divBdr>
      <w:divsChild>
        <w:div w:id="1958832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081dbcec-f8f8-470e-9cf1-ff758009fc79">
      <Terms xmlns="http://schemas.microsoft.com/office/infopath/2007/PartnerControls"/>
    </lcf76f155ced4ddcb4097134ff3c332f>
    <SharedWithUsers xmlns="b22eec61-2d44-43c5-b594-c27c970b8cd8">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9195B9495523448EAA8C2805A437E4" ma:contentTypeVersion="15" ma:contentTypeDescription="Create a new document." ma:contentTypeScope="" ma:versionID="bb8444a416ee5fe1e29b8c5f5af863bb">
  <xsd:schema xmlns:xsd="http://www.w3.org/2001/XMLSchema" xmlns:xs="http://www.w3.org/2001/XMLSchema" xmlns:p="http://schemas.microsoft.com/office/2006/metadata/properties" xmlns:ns2="b22eec61-2d44-43c5-b594-c27c970b8cd8" xmlns:ns3="081dbcec-f8f8-470e-9cf1-ff758009fc79" xmlns:ns4="985ec44e-1bab-4c0b-9df0-6ba128686fc9" targetNamespace="http://schemas.microsoft.com/office/2006/metadata/properties" ma:root="true" ma:fieldsID="d3a31ff294e197b7b01d2e7d43cc42af" ns2:_="" ns3:_="" ns4:_="">
    <xsd:import namespace="b22eec61-2d44-43c5-b594-c27c970b8cd8"/>
    <xsd:import namespace="081dbcec-f8f8-470e-9cf1-ff758009fc79"/>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2eec61-2d44-43c5-b594-c27c970b8c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1dbcec-f8f8-470e-9cf1-ff758009fc7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c44679b-3369-4aa4-9b0e-a35420982155}" ma:internalName="TaxCatchAll" ma:showField="CatchAllData" ma:web="b22eec61-2d44-43c5-b594-c27c970b8c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6EB9E-E124-4CA4-9BB5-3CFAA486580B}">
  <ds:schemaRefs>
    <ds:schemaRef ds:uri="http://schemas.microsoft.com/sharepoint/v3/contenttype/forms"/>
  </ds:schemaRefs>
</ds:datastoreItem>
</file>

<file path=customXml/itemProps2.xml><?xml version="1.0" encoding="utf-8"?>
<ds:datastoreItem xmlns:ds="http://schemas.openxmlformats.org/officeDocument/2006/customXml" ds:itemID="{E3A9D197-B86D-4B78-A457-6659D1AC5C56}">
  <ds:schemaRefs>
    <ds:schemaRef ds:uri="http://schemas.microsoft.com/office/2006/metadata/properties"/>
    <ds:schemaRef ds:uri="http://schemas.microsoft.com/office/infopath/2007/PartnerControls"/>
    <ds:schemaRef ds:uri="985ec44e-1bab-4c0b-9df0-6ba128686fc9"/>
    <ds:schemaRef ds:uri="081dbcec-f8f8-470e-9cf1-ff758009fc79"/>
    <ds:schemaRef ds:uri="b22eec61-2d44-43c5-b594-c27c970b8cd8"/>
  </ds:schemaRefs>
</ds:datastoreItem>
</file>

<file path=customXml/itemProps3.xml><?xml version="1.0" encoding="utf-8"?>
<ds:datastoreItem xmlns:ds="http://schemas.openxmlformats.org/officeDocument/2006/customXml" ds:itemID="{845CEB4F-994F-4889-AD78-96B5F42DF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2eec61-2d44-43c5-b594-c27c970b8cd8"/>
    <ds:schemaRef ds:uri="081dbcec-f8f8-470e-9cf1-ff758009fc79"/>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117EAF-0700-494F-8C68-D85DF27F1F31}">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5</Pages>
  <Words>1580</Words>
  <Characters>9011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10570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Secrieru</dc:creator>
  <cp:keywords/>
  <dc:description/>
  <cp:lastModifiedBy>Sharon Mcauslan</cp:lastModifiedBy>
  <cp:revision>7</cp:revision>
  <dcterms:created xsi:type="dcterms:W3CDTF">2025-11-13T22:12:00Z</dcterms:created>
  <dcterms:modified xsi:type="dcterms:W3CDTF">2025-11-13T22:25:00Z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0x010100549195B9495523448EAA8C2805A437E4</vt:lpwstr>
  </property>
  <property fmtid="{D5CDD505-2E9C-101B-9397-08002B2CF9AE}" pid="3" name="MediaServiceImageTags">
    <vt:lpwstr/>
  </property>
  <property fmtid="{D5CDD505-2E9C-101B-9397-08002B2CF9AE}" pid="4" name="Order">
    <vt:i4>156900</vt:i4>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TaxKeyword">
    <vt:lpwstr/>
  </property>
  <property fmtid="{D5CDD505-2E9C-101B-9397-08002B2CF9AE}" pid="12" name="Weight">
    <vt:lpwstr/>
  </property>
</Properties>
</file>