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6B351" w14:textId="77777777" w:rsidR="00762CAE" w:rsidRDefault="00762CAE" w:rsidP="67E1CCD0">
      <w:pPr>
        <w:rPr>
          <w:b/>
          <w:bCs/>
        </w:rPr>
      </w:pPr>
    </w:p>
    <w:tbl>
      <w:tblPr>
        <w:tblStyle w:val="TableGrid"/>
        <w:tblW w:w="0" w:type="auto"/>
        <w:tblLook w:val="04A0" w:firstRow="1" w:lastRow="0" w:firstColumn="1" w:lastColumn="0" w:noHBand="0" w:noVBand="1"/>
      </w:tblPr>
      <w:tblGrid>
        <w:gridCol w:w="846"/>
        <w:gridCol w:w="7371"/>
        <w:gridCol w:w="799"/>
      </w:tblGrid>
      <w:tr w:rsidR="00A7019F" w:rsidRPr="00AD674B" w14:paraId="3384C4BB" w14:textId="77777777" w:rsidTr="00EF5C09">
        <w:tc>
          <w:tcPr>
            <w:tcW w:w="846" w:type="dxa"/>
          </w:tcPr>
          <w:p w14:paraId="54D9ED7C"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p>
        </w:tc>
        <w:tc>
          <w:tcPr>
            <w:tcW w:w="7371" w:type="dxa"/>
          </w:tcPr>
          <w:p w14:paraId="47789DB1"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79465B80"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4989660A"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371C6467"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574483EE"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r>
              <w:rPr>
                <w:rFonts w:ascii="Aptos" w:eastAsia="Aptos" w:hAnsi="Aptos" w:cs="Arial"/>
                <w:b/>
                <w:noProof/>
                <w:color w:val="215E99" w:themeColor="text2" w:themeTint="BF"/>
                <w:sz w:val="28"/>
                <w:szCs w:val="28"/>
                <w:lang w:val="it-IT"/>
              </w:rPr>
              <w:drawing>
                <wp:inline distT="0" distB="0" distL="0" distR="0" wp14:anchorId="6198C589" wp14:editId="77F5923B">
                  <wp:extent cx="1188720" cy="664877"/>
                  <wp:effectExtent l="0" t="0" r="0" b="1905"/>
                  <wp:docPr id="319893295" name="Picture 1" descr="A black background with red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893295" name="Picture 1" descr="A black background with red and blu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7928" cy="670027"/>
                          </a:xfrm>
                          <a:prstGeom prst="rect">
                            <a:avLst/>
                          </a:prstGeom>
                          <a:noFill/>
                        </pic:spPr>
                      </pic:pic>
                    </a:graphicData>
                  </a:graphic>
                </wp:inline>
              </w:drawing>
            </w:r>
          </w:p>
          <w:p w14:paraId="7A862A5B"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p>
          <w:p w14:paraId="0813F0A7"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p>
        </w:tc>
        <w:tc>
          <w:tcPr>
            <w:tcW w:w="799" w:type="dxa"/>
          </w:tcPr>
          <w:p w14:paraId="0003F96F"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30B372D8" w14:textId="77777777" w:rsidTr="00EF5C09">
        <w:tc>
          <w:tcPr>
            <w:tcW w:w="846" w:type="dxa"/>
            <w:tcBorders>
              <w:right w:val="single" w:sz="24" w:space="0" w:color="336699"/>
            </w:tcBorders>
          </w:tcPr>
          <w:p w14:paraId="077C16A0"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50195152" w14:textId="51217E1B" w:rsidR="00A7019F" w:rsidRPr="00305E39" w:rsidRDefault="00A7019F">
            <w:pPr>
              <w:spacing w:before="0" w:after="0" w:line="240" w:lineRule="auto"/>
              <w:rPr>
                <w:rFonts w:eastAsia="Aptos" w:cs="Times New Roman"/>
                <w:b/>
                <w:color w:val="215E99" w:themeColor="text2" w:themeTint="BF"/>
                <w:sz w:val="56"/>
                <w:szCs w:val="56"/>
                <w:lang w:val="it-IT"/>
              </w:rPr>
            </w:pPr>
            <w:r w:rsidRPr="00305E39">
              <w:rPr>
                <w:rFonts w:eastAsia="Aptos" w:cs="Times New Roman"/>
                <w:b/>
                <w:color w:val="215E99" w:themeColor="text2" w:themeTint="BF"/>
                <w:sz w:val="44"/>
                <w:szCs w:val="44"/>
                <w:lang w:val="it-IT"/>
              </w:rPr>
              <w:t>Out</w:t>
            </w:r>
            <w:r w:rsidR="00BC0555">
              <w:rPr>
                <w:rFonts w:eastAsia="Aptos" w:cs="Times New Roman"/>
                <w:b/>
                <w:color w:val="215E99" w:themeColor="text2" w:themeTint="BF"/>
                <w:sz w:val="44"/>
                <w:szCs w:val="44"/>
                <w:lang w:val="it-IT"/>
              </w:rPr>
              <w:t>put</w:t>
            </w:r>
            <w:r w:rsidR="006636DC" w:rsidRPr="00305E39">
              <w:rPr>
                <w:rFonts w:eastAsia="Aptos" w:cs="Times New Roman"/>
                <w:b/>
                <w:color w:val="215E99" w:themeColor="text2" w:themeTint="BF"/>
                <w:sz w:val="44"/>
                <w:szCs w:val="44"/>
                <w:lang w:val="it-IT"/>
              </w:rPr>
              <w:t xml:space="preserve"> </w:t>
            </w:r>
            <w:r w:rsidR="00663EF8">
              <w:rPr>
                <w:rFonts w:eastAsia="Aptos" w:cs="Times New Roman"/>
                <w:b/>
                <w:color w:val="215E99" w:themeColor="text2" w:themeTint="BF"/>
                <w:sz w:val="44"/>
                <w:szCs w:val="44"/>
                <w:lang w:val="it-IT"/>
              </w:rPr>
              <w:t>3.2</w:t>
            </w:r>
            <w:r w:rsidRPr="00305E39">
              <w:rPr>
                <w:rFonts w:eastAsia="Aptos" w:cs="Times New Roman"/>
                <w:b/>
                <w:color w:val="215E99" w:themeColor="text2" w:themeTint="BF"/>
                <w:sz w:val="44"/>
                <w:szCs w:val="44"/>
                <w:lang w:val="it-IT"/>
              </w:rPr>
              <w:t xml:space="preserve">: </w:t>
            </w:r>
            <w:r w:rsidR="00663EF8" w:rsidRPr="00663EF8">
              <w:rPr>
                <w:rFonts w:eastAsia="Aptos" w:cs="Times New Roman"/>
                <w:b/>
                <w:color w:val="215E99" w:themeColor="text2" w:themeTint="BF"/>
                <w:sz w:val="44"/>
                <w:szCs w:val="44"/>
                <w:lang w:val="en-GB"/>
              </w:rPr>
              <w:t>Enhanced Transparency Framework (ETF) supported (forest and land use focused)</w:t>
            </w:r>
          </w:p>
        </w:tc>
        <w:tc>
          <w:tcPr>
            <w:tcW w:w="799" w:type="dxa"/>
          </w:tcPr>
          <w:p w14:paraId="765186F6"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7020DB48" w14:textId="77777777" w:rsidTr="00EF5C09">
        <w:tc>
          <w:tcPr>
            <w:tcW w:w="846" w:type="dxa"/>
            <w:tcBorders>
              <w:right w:val="single" w:sz="24" w:space="0" w:color="336699"/>
            </w:tcBorders>
          </w:tcPr>
          <w:p w14:paraId="6F499C76"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76044C75" w14:textId="77777777" w:rsidR="00A7019F" w:rsidRPr="00305E39" w:rsidRDefault="00A7019F">
            <w:pPr>
              <w:spacing w:before="0" w:after="0" w:line="240" w:lineRule="auto"/>
              <w:rPr>
                <w:rFonts w:eastAsia="Aptos" w:cs="Arial"/>
                <w:b/>
                <w:color w:val="215E99" w:themeColor="text2" w:themeTint="BF"/>
                <w:sz w:val="28"/>
                <w:szCs w:val="28"/>
                <w:lang w:val="it-IT"/>
              </w:rPr>
            </w:pPr>
          </w:p>
          <w:p w14:paraId="1A92FCD9" w14:textId="157A4884" w:rsidR="00220C87" w:rsidRDefault="00A7019F">
            <w:pPr>
              <w:spacing w:before="0" w:after="0" w:line="240" w:lineRule="auto"/>
              <w:rPr>
                <w:rFonts w:eastAsia="Aptos" w:cs="Arial"/>
                <w:b/>
                <w:color w:val="215E99" w:themeColor="text2" w:themeTint="BF"/>
                <w:sz w:val="28"/>
                <w:szCs w:val="28"/>
                <w:lang w:val="it-IT"/>
              </w:rPr>
            </w:pPr>
            <w:r w:rsidRPr="00305E39">
              <w:rPr>
                <w:rFonts w:eastAsia="Aptos" w:cs="Arial"/>
                <w:b/>
                <w:color w:val="215E99" w:themeColor="text2" w:themeTint="BF"/>
                <w:sz w:val="28"/>
                <w:szCs w:val="28"/>
                <w:lang w:val="it-IT"/>
              </w:rPr>
              <w:t xml:space="preserve">UN-REDD </w:t>
            </w:r>
            <w:r w:rsidR="00220C87">
              <w:rPr>
                <w:rFonts w:eastAsia="Aptos" w:cs="Arial"/>
                <w:b/>
                <w:color w:val="215E99" w:themeColor="text2" w:themeTint="BF"/>
                <w:sz w:val="28"/>
                <w:szCs w:val="28"/>
                <w:lang w:val="it-IT"/>
              </w:rPr>
              <w:t>Programme</w:t>
            </w:r>
            <w:r w:rsidRPr="00305E39">
              <w:rPr>
                <w:rFonts w:eastAsia="Aptos" w:cs="Arial"/>
                <w:b/>
                <w:color w:val="215E99" w:themeColor="text2" w:themeTint="BF"/>
                <w:sz w:val="28"/>
                <w:szCs w:val="28"/>
                <w:lang w:val="it-IT"/>
              </w:rPr>
              <w:t xml:space="preserve"> 2026–2030      </w:t>
            </w:r>
          </w:p>
          <w:p w14:paraId="1DF60C6F" w14:textId="57CF4258" w:rsidR="00A7019F" w:rsidRPr="00305E39" w:rsidRDefault="00C62FFD">
            <w:pPr>
              <w:spacing w:before="0" w:after="0" w:line="240" w:lineRule="auto"/>
              <w:rPr>
                <w:rFonts w:eastAsia="Aptos" w:cs="Arial"/>
                <w:b/>
                <w:color w:val="215E99" w:themeColor="text2" w:themeTint="BF"/>
                <w:sz w:val="28"/>
                <w:szCs w:val="28"/>
                <w:lang w:val="it-IT"/>
              </w:rPr>
            </w:pPr>
            <w:proofErr w:type="spellStart"/>
            <w:r>
              <w:rPr>
                <w:rFonts w:eastAsia="Aptos" w:cs="Arial"/>
                <w:b/>
                <w:color w:val="215E99" w:themeColor="text2" w:themeTint="BF"/>
                <w:sz w:val="28"/>
                <w:szCs w:val="28"/>
                <w:lang w:val="it-IT"/>
              </w:rPr>
              <w:t>Thematic</w:t>
            </w:r>
            <w:proofErr w:type="spellEnd"/>
            <w:r>
              <w:rPr>
                <w:rFonts w:eastAsia="Aptos" w:cs="Arial"/>
                <w:b/>
                <w:color w:val="215E99" w:themeColor="text2" w:themeTint="BF"/>
                <w:sz w:val="28"/>
                <w:szCs w:val="28"/>
                <w:lang w:val="it-IT"/>
              </w:rPr>
              <w:t xml:space="preserve"> Brief</w:t>
            </w:r>
          </w:p>
        </w:tc>
        <w:tc>
          <w:tcPr>
            <w:tcW w:w="799" w:type="dxa"/>
          </w:tcPr>
          <w:p w14:paraId="0347AF68"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254CBB38" w14:textId="77777777" w:rsidTr="00EF5C09">
        <w:tc>
          <w:tcPr>
            <w:tcW w:w="846" w:type="dxa"/>
            <w:tcBorders>
              <w:right w:val="single" w:sz="24" w:space="0" w:color="336699"/>
            </w:tcBorders>
          </w:tcPr>
          <w:p w14:paraId="37894355"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27E8ED1F" w14:textId="77777777" w:rsidR="00A7019F" w:rsidRPr="00305E39" w:rsidRDefault="00A7019F">
            <w:pPr>
              <w:spacing w:before="0" w:after="0" w:line="240" w:lineRule="auto"/>
              <w:rPr>
                <w:rFonts w:eastAsia="Aptos" w:cs="Arial"/>
                <w:b/>
                <w:color w:val="215E99" w:themeColor="text2" w:themeTint="BF"/>
                <w:sz w:val="28"/>
                <w:szCs w:val="28"/>
                <w:lang w:val="it-IT"/>
              </w:rPr>
            </w:pPr>
          </w:p>
        </w:tc>
        <w:tc>
          <w:tcPr>
            <w:tcW w:w="799" w:type="dxa"/>
          </w:tcPr>
          <w:p w14:paraId="2DDD7E8D"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7CEA0E1D" w14:textId="77777777" w:rsidTr="00EF5C09">
        <w:trPr>
          <w:trHeight w:val="68"/>
        </w:trPr>
        <w:tc>
          <w:tcPr>
            <w:tcW w:w="846" w:type="dxa"/>
            <w:tcBorders>
              <w:right w:val="single" w:sz="24" w:space="0" w:color="336699"/>
            </w:tcBorders>
          </w:tcPr>
          <w:p w14:paraId="0BB71E93"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0B1CAEF8" w14:textId="77777777" w:rsidR="00A7019F" w:rsidRPr="00305E39" w:rsidRDefault="00A7019F">
            <w:pPr>
              <w:spacing w:before="0" w:after="0" w:line="240" w:lineRule="auto"/>
              <w:rPr>
                <w:rFonts w:eastAsia="Aptos" w:cs="Arial"/>
                <w:b/>
                <w:color w:val="215E99" w:themeColor="text2" w:themeTint="BF"/>
                <w:lang w:val="it-IT"/>
              </w:rPr>
            </w:pPr>
            <w:proofErr w:type="spellStart"/>
            <w:r w:rsidRPr="00305E39">
              <w:rPr>
                <w:rFonts w:eastAsia="Aptos" w:cs="Arial"/>
                <w:b/>
                <w:color w:val="215E99" w:themeColor="text2" w:themeTint="BF"/>
                <w:lang w:val="it-IT"/>
              </w:rPr>
              <w:t>Prepared</w:t>
            </w:r>
            <w:proofErr w:type="spellEnd"/>
            <w:r w:rsidRPr="00305E39">
              <w:rPr>
                <w:rFonts w:eastAsia="Aptos" w:cs="Arial"/>
                <w:b/>
                <w:color w:val="215E99" w:themeColor="text2" w:themeTint="BF"/>
                <w:lang w:val="it-IT"/>
              </w:rPr>
              <w:t xml:space="preserve"> by UN-REDD Programme</w:t>
            </w:r>
          </w:p>
          <w:p w14:paraId="66711118" w14:textId="4B88480F" w:rsidR="00A7019F" w:rsidRPr="00305E39" w:rsidRDefault="00A7019F">
            <w:pPr>
              <w:spacing w:before="0" w:after="0" w:line="240" w:lineRule="auto"/>
              <w:rPr>
                <w:rFonts w:eastAsia="Aptos" w:cs="Arial"/>
                <w:b/>
                <w:color w:val="215E99" w:themeColor="text2" w:themeTint="BF"/>
                <w:sz w:val="28"/>
                <w:szCs w:val="28"/>
                <w:lang w:val="it-IT"/>
              </w:rPr>
            </w:pPr>
            <w:r w:rsidRPr="00305E39">
              <w:rPr>
                <w:rFonts w:eastAsia="Aptos" w:cs="Arial"/>
                <w:b/>
                <w:color w:val="215E99" w:themeColor="text2" w:themeTint="BF"/>
                <w:lang w:val="it-IT"/>
              </w:rPr>
              <w:t>2025</w:t>
            </w:r>
          </w:p>
        </w:tc>
        <w:tc>
          <w:tcPr>
            <w:tcW w:w="799" w:type="dxa"/>
          </w:tcPr>
          <w:p w14:paraId="1AA9BDFB"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7972DFB2" w14:textId="77777777" w:rsidTr="00EF5C09">
        <w:trPr>
          <w:trHeight w:val="3470"/>
        </w:trPr>
        <w:tc>
          <w:tcPr>
            <w:tcW w:w="846" w:type="dxa"/>
          </w:tcPr>
          <w:p w14:paraId="3A2C56C3"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bottom w:val="single" w:sz="4" w:space="0" w:color="auto"/>
            </w:tcBorders>
          </w:tcPr>
          <w:p w14:paraId="520943CA"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p w14:paraId="07ABF41C"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99" w:type="dxa"/>
          </w:tcPr>
          <w:p w14:paraId="6AC09722"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21B2C0BD" w14:textId="77777777" w:rsidTr="002B7A87">
        <w:trPr>
          <w:trHeight w:val="730"/>
        </w:trPr>
        <w:tc>
          <w:tcPr>
            <w:tcW w:w="846" w:type="dxa"/>
            <w:tcBorders>
              <w:right w:val="single" w:sz="4" w:space="0" w:color="auto"/>
            </w:tcBorders>
          </w:tcPr>
          <w:p w14:paraId="46FCA287" w14:textId="77777777" w:rsidR="00A7019F" w:rsidRPr="00AD674B" w:rsidRDefault="00A7019F">
            <w:pPr>
              <w:spacing w:before="0" w:after="0" w:line="240" w:lineRule="auto"/>
              <w:rPr>
                <w:rFonts w:ascii="Aptos" w:eastAsia="Aptos" w:hAnsi="Aptos" w:cs="Arial"/>
                <w:b/>
                <w:sz w:val="28"/>
                <w:szCs w:val="28"/>
                <w:lang w:val="it-IT"/>
              </w:rPr>
            </w:pPr>
          </w:p>
        </w:tc>
        <w:tc>
          <w:tcPr>
            <w:tcW w:w="7371" w:type="dxa"/>
            <w:tcBorders>
              <w:top w:val="single" w:sz="4" w:space="0" w:color="auto"/>
              <w:left w:val="single" w:sz="4" w:space="0" w:color="auto"/>
              <w:bottom w:val="single" w:sz="4" w:space="0" w:color="auto"/>
              <w:right w:val="single" w:sz="4" w:space="0" w:color="auto"/>
            </w:tcBorders>
          </w:tcPr>
          <w:p w14:paraId="64F4006A" w14:textId="7D1CCFF0" w:rsidR="00B24702" w:rsidRPr="00AD674B" w:rsidRDefault="00A7019F" w:rsidP="00574469">
            <w:pPr>
              <w:spacing w:after="120" w:line="240" w:lineRule="auto"/>
              <w:ind w:right="57"/>
              <w:jc w:val="both"/>
              <w:rPr>
                <w:rFonts w:ascii="Roboto" w:eastAsia="Aptos" w:hAnsi="Roboto" w:cs="Arial"/>
                <w:b/>
                <w:i/>
                <w:iCs/>
                <w:sz w:val="18"/>
                <w:szCs w:val="18"/>
                <w:lang w:val="it-IT"/>
              </w:rPr>
            </w:pPr>
            <w:r w:rsidRPr="00AD674B">
              <w:rPr>
                <w:rFonts w:ascii="Roboto" w:eastAsia="Aptos" w:hAnsi="Roboto" w:cs="Arial"/>
                <w:i/>
                <w:iCs/>
                <w:sz w:val="20"/>
                <w:szCs w:val="20"/>
              </w:rPr>
              <w:t>This brief has been prepared by the UN-REDD Programme team based on strategic insights and</w:t>
            </w:r>
            <w:r w:rsidR="00942E36">
              <w:rPr>
                <w:rFonts w:ascii="Roboto" w:eastAsia="Aptos" w:hAnsi="Roboto" w:cs="Arial"/>
                <w:i/>
                <w:iCs/>
                <w:sz w:val="20"/>
                <w:szCs w:val="20"/>
              </w:rPr>
              <w:t xml:space="preserve"> </w:t>
            </w:r>
            <w:r w:rsidRPr="00AD674B">
              <w:rPr>
                <w:rFonts w:ascii="Roboto" w:eastAsia="Aptos" w:hAnsi="Roboto" w:cs="Arial"/>
                <w:i/>
                <w:iCs/>
                <w:sz w:val="20"/>
                <w:szCs w:val="20"/>
              </w:rPr>
              <w:t>consultations</w:t>
            </w:r>
            <w:r w:rsidR="00942E36">
              <w:rPr>
                <w:rFonts w:ascii="Roboto" w:eastAsia="Aptos" w:hAnsi="Roboto" w:cs="Arial"/>
                <w:i/>
                <w:iCs/>
                <w:sz w:val="20"/>
                <w:szCs w:val="20"/>
              </w:rPr>
              <w:t xml:space="preserve"> </w:t>
            </w:r>
            <w:r w:rsidR="00350BC8">
              <w:rPr>
                <w:rFonts w:ascii="Roboto" w:eastAsia="Aptos" w:hAnsi="Roboto" w:cs="Arial"/>
                <w:i/>
                <w:iCs/>
                <w:sz w:val="20"/>
                <w:szCs w:val="20"/>
              </w:rPr>
              <w:t>related to</w:t>
            </w:r>
            <w:r w:rsidR="00942E36">
              <w:rPr>
                <w:rFonts w:ascii="Roboto" w:eastAsia="Aptos" w:hAnsi="Roboto" w:cs="Arial"/>
                <w:i/>
                <w:iCs/>
                <w:sz w:val="20"/>
                <w:szCs w:val="20"/>
              </w:rPr>
              <w:t xml:space="preserve"> the development of the 2026-2030 Strategy</w:t>
            </w:r>
            <w:r w:rsidRPr="00AD674B">
              <w:rPr>
                <w:rFonts w:ascii="Roboto" w:eastAsia="Aptos" w:hAnsi="Roboto" w:cs="Arial"/>
                <w:i/>
                <w:iCs/>
                <w:sz w:val="20"/>
                <w:szCs w:val="20"/>
              </w:rPr>
              <w:t>. It is intended to provide</w:t>
            </w:r>
            <w:r w:rsidR="00BD38A7">
              <w:rPr>
                <w:rFonts w:ascii="Roboto" w:eastAsia="Aptos" w:hAnsi="Roboto" w:cs="Arial"/>
                <w:i/>
                <w:iCs/>
                <w:sz w:val="20"/>
                <w:szCs w:val="20"/>
              </w:rPr>
              <w:t xml:space="preserve"> an</w:t>
            </w:r>
            <w:r w:rsidRPr="00AD674B">
              <w:rPr>
                <w:rFonts w:ascii="Roboto" w:eastAsia="Aptos" w:hAnsi="Roboto" w:cs="Arial"/>
                <w:i/>
                <w:iCs/>
                <w:sz w:val="20"/>
                <w:szCs w:val="20"/>
              </w:rPr>
              <w:t xml:space="preserve"> illustrative </w:t>
            </w:r>
            <w:r w:rsidR="00BD38A7">
              <w:rPr>
                <w:rFonts w:ascii="Roboto" w:eastAsia="Aptos" w:hAnsi="Roboto" w:cs="Arial"/>
                <w:i/>
                <w:iCs/>
                <w:sz w:val="20"/>
                <w:szCs w:val="20"/>
              </w:rPr>
              <w:t>summary</w:t>
            </w:r>
            <w:r w:rsidRPr="00AD674B">
              <w:rPr>
                <w:rFonts w:ascii="Roboto" w:eastAsia="Aptos" w:hAnsi="Roboto" w:cs="Arial"/>
                <w:i/>
                <w:iCs/>
                <w:sz w:val="20"/>
                <w:szCs w:val="20"/>
              </w:rPr>
              <w:t xml:space="preserve"> o</w:t>
            </w:r>
            <w:r w:rsidR="00BD38A7">
              <w:rPr>
                <w:rFonts w:ascii="Roboto" w:eastAsia="Aptos" w:hAnsi="Roboto" w:cs="Arial"/>
                <w:i/>
                <w:iCs/>
                <w:sz w:val="20"/>
                <w:szCs w:val="20"/>
              </w:rPr>
              <w:t>f</w:t>
            </w:r>
            <w:r w:rsidRPr="00AD674B">
              <w:rPr>
                <w:rFonts w:ascii="Roboto" w:eastAsia="Aptos" w:hAnsi="Roboto" w:cs="Arial"/>
                <w:i/>
                <w:iCs/>
                <w:sz w:val="20"/>
                <w:szCs w:val="20"/>
              </w:rPr>
              <w:t xml:space="preserve"> potential areas of UN-REDD support </w:t>
            </w:r>
            <w:r w:rsidR="00B4512C">
              <w:rPr>
                <w:rFonts w:ascii="Roboto" w:eastAsia="Aptos" w:hAnsi="Roboto" w:cs="Arial"/>
                <w:i/>
                <w:iCs/>
                <w:sz w:val="20"/>
                <w:szCs w:val="20"/>
              </w:rPr>
              <w:t>during</w:t>
            </w:r>
            <w:r w:rsidRPr="00AD674B">
              <w:rPr>
                <w:rFonts w:ascii="Roboto" w:eastAsia="Aptos" w:hAnsi="Roboto" w:cs="Arial"/>
                <w:i/>
                <w:iCs/>
                <w:sz w:val="20"/>
                <w:szCs w:val="20"/>
              </w:rPr>
              <w:t xml:space="preserve"> the 2026–2030 period</w:t>
            </w:r>
            <w:r w:rsidR="00094CB6">
              <w:rPr>
                <w:rFonts w:ascii="Roboto" w:eastAsia="Aptos" w:hAnsi="Roboto" w:cs="Arial"/>
                <w:i/>
                <w:iCs/>
                <w:sz w:val="20"/>
                <w:szCs w:val="20"/>
              </w:rPr>
              <w:t xml:space="preserve">. </w:t>
            </w:r>
            <w:r w:rsidR="00B4512C">
              <w:rPr>
                <w:rFonts w:ascii="Roboto" w:eastAsia="Aptos" w:hAnsi="Roboto" w:cs="Arial"/>
                <w:i/>
                <w:iCs/>
                <w:sz w:val="20"/>
                <w:szCs w:val="20"/>
              </w:rPr>
              <w:t xml:space="preserve">The information here </w:t>
            </w:r>
            <w:r w:rsidR="003723EA">
              <w:rPr>
                <w:rFonts w:ascii="Roboto" w:eastAsia="Aptos" w:hAnsi="Roboto" w:cs="Arial"/>
                <w:i/>
                <w:iCs/>
                <w:sz w:val="20"/>
                <w:szCs w:val="20"/>
              </w:rPr>
              <w:t xml:space="preserve">is indicative </w:t>
            </w:r>
            <w:r w:rsidR="00CB594B">
              <w:rPr>
                <w:rFonts w:ascii="Roboto" w:eastAsia="Aptos" w:hAnsi="Roboto" w:cs="Arial"/>
                <w:i/>
                <w:iCs/>
                <w:sz w:val="20"/>
                <w:szCs w:val="20"/>
              </w:rPr>
              <w:t>and</w:t>
            </w:r>
            <w:r w:rsidR="00E40E11">
              <w:rPr>
                <w:rFonts w:ascii="Roboto" w:eastAsia="Aptos" w:hAnsi="Roboto" w:cs="Arial"/>
                <w:i/>
                <w:iCs/>
                <w:sz w:val="20"/>
                <w:szCs w:val="20"/>
              </w:rPr>
              <w:t xml:space="preserve"> does not </w:t>
            </w:r>
            <w:r w:rsidR="002A0910">
              <w:rPr>
                <w:rFonts w:ascii="Roboto" w:eastAsia="Aptos" w:hAnsi="Roboto" w:cs="Arial"/>
                <w:i/>
                <w:iCs/>
                <w:sz w:val="20"/>
                <w:szCs w:val="20"/>
              </w:rPr>
              <w:t xml:space="preserve">represent a commitment of </w:t>
            </w:r>
            <w:r w:rsidR="00B727FA">
              <w:rPr>
                <w:rFonts w:ascii="Roboto" w:eastAsia="Aptos" w:hAnsi="Roboto" w:cs="Arial"/>
                <w:i/>
                <w:iCs/>
                <w:sz w:val="20"/>
                <w:szCs w:val="20"/>
              </w:rPr>
              <w:t>the</w:t>
            </w:r>
            <w:r w:rsidR="002A0910">
              <w:rPr>
                <w:rFonts w:ascii="Roboto" w:eastAsia="Aptos" w:hAnsi="Roboto" w:cs="Arial"/>
                <w:i/>
                <w:iCs/>
                <w:sz w:val="20"/>
                <w:szCs w:val="20"/>
              </w:rPr>
              <w:t xml:space="preserve"> 2026-2030 work</w:t>
            </w:r>
            <w:r w:rsidR="00205E27">
              <w:rPr>
                <w:rFonts w:ascii="Roboto" w:eastAsia="Aptos" w:hAnsi="Roboto" w:cs="Arial"/>
                <w:i/>
                <w:iCs/>
                <w:sz w:val="20"/>
                <w:szCs w:val="20"/>
              </w:rPr>
              <w:t xml:space="preserve"> </w:t>
            </w:r>
            <w:r w:rsidR="002A0910">
              <w:rPr>
                <w:rFonts w:ascii="Roboto" w:eastAsia="Aptos" w:hAnsi="Roboto" w:cs="Arial"/>
                <w:i/>
                <w:iCs/>
                <w:sz w:val="20"/>
                <w:szCs w:val="20"/>
              </w:rPr>
              <w:t xml:space="preserve">plan, which will be developed through the </w:t>
            </w:r>
            <w:r w:rsidR="00EE02EE">
              <w:rPr>
                <w:rFonts w:ascii="Roboto" w:eastAsia="Aptos" w:hAnsi="Roboto" w:cs="Arial"/>
                <w:i/>
                <w:iCs/>
                <w:sz w:val="20"/>
                <w:szCs w:val="20"/>
              </w:rPr>
              <w:t xml:space="preserve">regular programming process. </w:t>
            </w:r>
          </w:p>
        </w:tc>
        <w:tc>
          <w:tcPr>
            <w:tcW w:w="799" w:type="dxa"/>
            <w:tcBorders>
              <w:left w:val="single" w:sz="4" w:space="0" w:color="auto"/>
            </w:tcBorders>
          </w:tcPr>
          <w:p w14:paraId="7FC0C782" w14:textId="77777777" w:rsidR="00A7019F" w:rsidRPr="00AD674B" w:rsidRDefault="00A7019F">
            <w:pPr>
              <w:spacing w:before="0" w:after="0" w:line="240" w:lineRule="auto"/>
              <w:rPr>
                <w:rFonts w:ascii="Roboto" w:eastAsia="Aptos" w:hAnsi="Roboto" w:cs="Arial"/>
                <w:b/>
                <w:sz w:val="18"/>
                <w:szCs w:val="18"/>
                <w:lang w:val="it-IT"/>
              </w:rPr>
            </w:pPr>
          </w:p>
        </w:tc>
      </w:tr>
    </w:tbl>
    <w:p w14:paraId="643C49E0" w14:textId="77777777" w:rsidR="00A7019F" w:rsidRPr="00A7019F" w:rsidRDefault="00A7019F" w:rsidP="00A7019F">
      <w:pPr>
        <w:sectPr w:rsidR="00A7019F" w:rsidRPr="00A7019F" w:rsidSect="00242FA0">
          <w:pgSz w:w="11906" w:h="16838"/>
          <w:pgMar w:top="1440" w:right="1080" w:bottom="1440" w:left="1080" w:header="708" w:footer="708" w:gutter="0"/>
          <w:cols w:space="708"/>
          <w:docGrid w:linePitch="360"/>
        </w:sectPr>
      </w:pPr>
    </w:p>
    <w:p w14:paraId="38AEF2AF" w14:textId="5CCD618A" w:rsidR="00164CC9" w:rsidRPr="00EB72D2" w:rsidRDefault="008F5CEE" w:rsidP="008F5CEE">
      <w:pPr>
        <w:pStyle w:val="Heading1"/>
        <w:jc w:val="center"/>
      </w:pPr>
      <w:r w:rsidRPr="00585A44">
        <w:lastRenderedPageBreak/>
        <w:t>Output 3.2: Enhanced Transparency Framework (ETF) supported (forest and land use focused)</w:t>
      </w:r>
    </w:p>
    <w:p w14:paraId="6974DCAC" w14:textId="255C3374" w:rsidR="00EB72D2" w:rsidRDefault="009C6498" w:rsidP="00DA2F85">
      <w:pPr>
        <w:pBdr>
          <w:top w:val="single" w:sz="4" w:space="1" w:color="auto"/>
          <w:left w:val="single" w:sz="4" w:space="4" w:color="auto"/>
          <w:bottom w:val="single" w:sz="4" w:space="1" w:color="auto"/>
          <w:right w:val="single" w:sz="4" w:space="0" w:color="auto"/>
        </w:pBdr>
        <w:spacing w:after="120"/>
        <w:rPr>
          <w:rFonts w:eastAsiaTheme="minorEastAsia"/>
          <w:i/>
        </w:rPr>
      </w:pPr>
      <w:r w:rsidRPr="009B2370">
        <w:rPr>
          <w:rFonts w:eastAsiaTheme="minorEastAsia"/>
          <w:b/>
          <w:bCs/>
          <w:i/>
        </w:rPr>
        <w:t>This is one of three outputs forming Outcome 3: Enhancing Climate Ambition:</w:t>
      </w:r>
      <w:r>
        <w:rPr>
          <w:rFonts w:eastAsiaTheme="minorEastAsia"/>
          <w:i/>
        </w:rPr>
        <w:t xml:space="preserve"> </w:t>
      </w:r>
      <w:r w:rsidR="00F15131" w:rsidRPr="001F0A55">
        <w:rPr>
          <w:rFonts w:eastAsiaTheme="minorEastAsia"/>
          <w:i/>
        </w:rPr>
        <w:t>Within the framework of the UN Climate Promise, supporting countries to enhance the climate ambition of their forest and land sector, in line with the global 1.5</w:t>
      </w:r>
      <w:r w:rsidR="00F15131" w:rsidRPr="001F0A55">
        <w:rPr>
          <w:rFonts w:eastAsiaTheme="minorEastAsia" w:cs="Arial (Body CS)"/>
          <w:i/>
          <w:vertAlign w:val="superscript"/>
        </w:rPr>
        <w:t>o</w:t>
      </w:r>
      <w:r w:rsidR="00F15131" w:rsidRPr="001F0A55">
        <w:rPr>
          <w:rFonts w:eastAsiaTheme="minorEastAsia"/>
          <w:i/>
        </w:rPr>
        <w:t xml:space="preserve">C target. This comprises support along the NDC cycle, including coordination, stakeholder engagement, </w:t>
      </w:r>
      <w:r w:rsidR="00F15131">
        <w:rPr>
          <w:rFonts w:eastAsiaTheme="minorEastAsia"/>
          <w:i/>
        </w:rPr>
        <w:t>quality assurance</w:t>
      </w:r>
      <w:r w:rsidR="00F15131" w:rsidRPr="001F0A55">
        <w:rPr>
          <w:rFonts w:eastAsiaTheme="minorEastAsia"/>
          <w:i/>
        </w:rPr>
        <w:t>, enhancement, financing and implementation (thus contributing to Outcome 1), as well as</w:t>
      </w:r>
      <w:r w:rsidR="00F15131">
        <w:rPr>
          <w:rFonts w:eastAsiaTheme="minorEastAsia"/>
          <w:i/>
        </w:rPr>
        <w:t xml:space="preserve"> reporting on NDC progress through</w:t>
      </w:r>
      <w:r w:rsidR="00F15131" w:rsidRPr="001F0A55">
        <w:rPr>
          <w:rFonts w:eastAsiaTheme="minorEastAsia"/>
          <w:i/>
        </w:rPr>
        <w:t xml:space="preserve"> the associated Enhanced Transparency Framework. The NDC support will integrate acceleration, ambition, and inclusivity.</w:t>
      </w:r>
    </w:p>
    <w:p w14:paraId="46DBF2C6" w14:textId="77777777" w:rsidR="009B32FD" w:rsidRDefault="009B32FD" w:rsidP="009B32FD">
      <w:pPr>
        <w:pStyle w:val="Heading1"/>
      </w:pPr>
      <w:r w:rsidRPr="001F0A55">
        <w:t>The challenge</w:t>
      </w:r>
      <w:r>
        <w:t xml:space="preserve"> </w:t>
      </w:r>
    </w:p>
    <w:p w14:paraId="7EFD6DBE" w14:textId="77777777" w:rsidR="009B32FD" w:rsidRPr="001F0A55" w:rsidRDefault="009B32FD" w:rsidP="009B32FD">
      <w:r w:rsidRPr="001F0A55">
        <w:t xml:space="preserve">The important role of the forest and land use sector in meeting national climate goals is broadly recognized, with approximately 85% of NDCs including the land-use, land-use change, and forestry (LULUCF) sector. </w:t>
      </w:r>
    </w:p>
    <w:p w14:paraId="5B680DBB" w14:textId="77777777" w:rsidR="009B32FD" w:rsidRDefault="009B32FD" w:rsidP="009B32FD">
      <w:r w:rsidRPr="00585A44">
        <w:t xml:space="preserve">The Enhanced Transparency Framework (ETF) of the Paris Agreement provides a framework to track and report on greenhouse gas inventory data and NDC implementation progress, through the Biennial Transparency Reports (BTRs), with the first submissions due by 31 December 2024. </w:t>
      </w:r>
    </w:p>
    <w:p w14:paraId="41E39494" w14:textId="77777777" w:rsidR="009B32FD" w:rsidRDefault="009B32FD" w:rsidP="009B32FD">
      <w:r>
        <w:t>UN-REDD partners have been supporting countries on preparation of BTR submissions, as well as through initiatives focused on data transparency, as a direct contribution to ETF implementation. The goal is to leverage the capabilities and expertise within the UN-REDD programme – maximizing efficiencies of the UN system - to support countries in a way that reduces transaction costs associated with this more frequent, regular UNFCCC reporting.</w:t>
      </w:r>
    </w:p>
    <w:p w14:paraId="52C7BCD8" w14:textId="77777777" w:rsidR="009B32FD" w:rsidRDefault="009B32FD" w:rsidP="009B32FD">
      <w:pPr>
        <w:pStyle w:val="Heading1"/>
      </w:pPr>
      <w:bookmarkStart w:id="0" w:name="_Hlk185407506"/>
      <w:r w:rsidRPr="776DB12C">
        <w:t>The value proposition</w:t>
      </w:r>
    </w:p>
    <w:p w14:paraId="53A48475" w14:textId="77777777" w:rsidR="009B32FD" w:rsidRDefault="009B32FD" w:rsidP="009B32FD">
      <w:r w:rsidRPr="00163F61">
        <w:t>FAO, UNDP and UNEP all play varying key leading roles in the context of transparency-related support, including CBIT-GSP and the associated support to the regional transparency networks, CBIT AFOLU, and CBIT-Forests.</w:t>
      </w:r>
    </w:p>
    <w:p w14:paraId="697A5C1C" w14:textId="77777777" w:rsidR="009B32FD" w:rsidRPr="00163F61" w:rsidRDefault="009B32FD" w:rsidP="009B32FD">
      <w:r w:rsidRPr="00C027DB">
        <w:t xml:space="preserve">As </w:t>
      </w:r>
      <w:r>
        <w:t xml:space="preserve">of 31 </w:t>
      </w:r>
      <w:r w:rsidRPr="00C027DB">
        <w:t xml:space="preserve">March 2025, </w:t>
      </w:r>
      <w:r>
        <w:t>100</w:t>
      </w:r>
      <w:r w:rsidRPr="00C027DB">
        <w:t xml:space="preserve"> Parties had submitted BTR1s. Developing countries submitted 6</w:t>
      </w:r>
      <w:r>
        <w:t>6</w:t>
      </w:r>
      <w:r w:rsidRPr="00C027DB">
        <w:t xml:space="preserve"> BTRs, including 15 from SIDS and LDCs. There were 19 BTR1 submissions so far, from Africa; Asia and the Pacific with 2</w:t>
      </w:r>
      <w:r>
        <w:t>1</w:t>
      </w:r>
      <w:r w:rsidRPr="00C027DB">
        <w:t>, and LAC with 19</w:t>
      </w:r>
      <w:r>
        <w:t>. Many of these submissions were supported by UN-REDD partners.</w:t>
      </w:r>
    </w:p>
    <w:bookmarkEnd w:id="0"/>
    <w:p w14:paraId="162C95AF" w14:textId="77777777" w:rsidR="009B32FD" w:rsidRDefault="009B32FD" w:rsidP="009B32FD">
      <w:pPr>
        <w:rPr>
          <w:bCs/>
          <w:lang w:val="en-US"/>
        </w:rPr>
      </w:pPr>
      <w:r w:rsidRPr="00585A44">
        <w:rPr>
          <w:bCs/>
          <w:lang w:val="en-US"/>
        </w:rPr>
        <w:t>In terms of Enhanced Transparency Framework (ETF</w:t>
      </w:r>
      <w:r w:rsidRPr="00585A44" w:rsidDel="00360FEE">
        <w:rPr>
          <w:bCs/>
          <w:lang w:val="en-US"/>
        </w:rPr>
        <w:t>)</w:t>
      </w:r>
      <w:r w:rsidRPr="00585A44">
        <w:rPr>
          <w:bCs/>
          <w:lang w:val="en-US"/>
        </w:rPr>
        <w:t xml:space="preserve">, </w:t>
      </w:r>
      <w:r>
        <w:rPr>
          <w:bCs/>
          <w:lang w:val="en-US"/>
        </w:rPr>
        <w:t xml:space="preserve">there are </w:t>
      </w:r>
      <w:proofErr w:type="gramStart"/>
      <w:r>
        <w:rPr>
          <w:bCs/>
          <w:lang w:val="en-US"/>
        </w:rPr>
        <w:t>a number of</w:t>
      </w:r>
      <w:proofErr w:type="gramEnd"/>
      <w:r>
        <w:rPr>
          <w:bCs/>
          <w:lang w:val="en-US"/>
        </w:rPr>
        <w:t xml:space="preserve"> existing </w:t>
      </w:r>
      <w:r w:rsidRPr="00585A44">
        <w:rPr>
          <w:bCs/>
          <w:lang w:val="en-US"/>
        </w:rPr>
        <w:t xml:space="preserve">partners </w:t>
      </w:r>
      <w:r>
        <w:rPr>
          <w:bCs/>
          <w:lang w:val="en-US"/>
        </w:rPr>
        <w:t>and partnerships, including those which UN-REDD partner agencies are already actively engaged in. The partners and initiatives include</w:t>
      </w:r>
      <w:proofErr w:type="gramStart"/>
      <w:r>
        <w:rPr>
          <w:bCs/>
          <w:lang w:val="en-US"/>
        </w:rPr>
        <w:t>, in particular,</w:t>
      </w:r>
      <w:r w:rsidRPr="00585A44">
        <w:rPr>
          <w:bCs/>
          <w:lang w:val="en-US"/>
        </w:rPr>
        <w:t xml:space="preserve"> PATPA</w:t>
      </w:r>
      <w:proofErr w:type="gramEnd"/>
      <w:r w:rsidRPr="00585A44">
        <w:rPr>
          <w:bCs/>
          <w:lang w:val="en-US"/>
        </w:rPr>
        <w:t xml:space="preserve">, IGES, </w:t>
      </w:r>
      <w:r>
        <w:rPr>
          <w:bCs/>
          <w:lang w:val="en-US"/>
        </w:rPr>
        <w:t xml:space="preserve">ICAT, </w:t>
      </w:r>
      <w:r w:rsidRPr="00585A44">
        <w:rPr>
          <w:bCs/>
          <w:lang w:val="en-US"/>
        </w:rPr>
        <w:t xml:space="preserve">GHGMI and UNFCCC. </w:t>
      </w:r>
    </w:p>
    <w:p w14:paraId="4777298C" w14:textId="77777777" w:rsidR="009B32FD" w:rsidRPr="00585A44" w:rsidRDefault="009B32FD" w:rsidP="009B32FD">
      <w:pPr>
        <w:rPr>
          <w:lang w:val="en-US"/>
        </w:rPr>
      </w:pPr>
      <w:r w:rsidRPr="239C8F0D">
        <w:rPr>
          <w:lang w:val="en-US"/>
        </w:rPr>
        <w:t xml:space="preserve">In the 2026-2030 timeframe, UN-REDD is well-placed to contribute to these various streams of existing support, when it comes to the forests and land-use. </w:t>
      </w:r>
    </w:p>
    <w:p w14:paraId="4181CAEF" w14:textId="77777777" w:rsidR="009B32FD" w:rsidRPr="001F0A55" w:rsidRDefault="009B32FD" w:rsidP="009B32FD"/>
    <w:p w14:paraId="2B52FBF5" w14:textId="77777777" w:rsidR="009B32FD" w:rsidRDefault="009B32FD" w:rsidP="009B32FD">
      <w:pPr>
        <w:pStyle w:val="Heading1"/>
      </w:pPr>
      <w:r>
        <w:lastRenderedPageBreak/>
        <w:t>Scenarios</w:t>
      </w:r>
    </w:p>
    <w:p w14:paraId="2998A445" w14:textId="77777777" w:rsidR="009B32FD" w:rsidRDefault="009B32FD" w:rsidP="009B32FD">
      <w:r w:rsidRPr="541A09E3">
        <w:t xml:space="preserve">UN-REDD will – in coordination </w:t>
      </w:r>
      <w:r>
        <w:t xml:space="preserve">with </w:t>
      </w:r>
      <w:r w:rsidRPr="541A09E3">
        <w:t xml:space="preserve">and complementing the other existing ETF/BTR support programmes and initiatives across the three partner agencies, including FAO's </w:t>
      </w:r>
      <w:r w:rsidRPr="001D4D8D">
        <w:t>“Building global capacity to increase transparency in the forest sector (CBIT-Forest)</w:t>
      </w:r>
      <w:r>
        <w:t xml:space="preserve"> </w:t>
      </w:r>
      <w:proofErr w:type="gramStart"/>
      <w:r w:rsidRPr="541A09E3">
        <w:t xml:space="preserve">– </w:t>
      </w:r>
      <w:r>
        <w:t xml:space="preserve"> </w:t>
      </w:r>
      <w:r w:rsidRPr="541A09E3">
        <w:t>support</w:t>
      </w:r>
      <w:proofErr w:type="gramEnd"/>
      <w:r w:rsidRPr="541A09E3">
        <w:t xml:space="preserve"> developing countries to </w:t>
      </w:r>
      <w:r w:rsidRPr="00AF0482">
        <w:t>measure and report on progress against their NDC and submit the BTR</w:t>
      </w:r>
      <w:r>
        <w:t>s</w:t>
      </w:r>
      <w:r w:rsidRPr="00AF0482">
        <w:t xml:space="preserve"> </w:t>
      </w:r>
      <w:r w:rsidRPr="541A09E3">
        <w:t xml:space="preserve">(Building on Output 1.1), in line with the Enhanced Transparency Framework (ETF) under the Paris Agreement. Countries will be supported to meet the ETF Modalities, Procedures and Guidelines (MPGs) and enhance their systems and reports over time, with a focus on forests and land use. The policy analysis work in Output 3.3 will also provide further inputs in support of this output.  </w:t>
      </w:r>
    </w:p>
    <w:p w14:paraId="5FE2C2BB" w14:textId="77777777" w:rsidR="009B32FD" w:rsidRDefault="009B32FD" w:rsidP="009B32FD">
      <w:pPr>
        <w:rPr>
          <w:rFonts w:ascii="Aptos" w:eastAsia="Aptos" w:hAnsi="Aptos" w:cs="Aptos"/>
        </w:rPr>
        <w:sectPr w:rsidR="009B32FD" w:rsidSect="009B32FD">
          <w:headerReference w:type="default" r:id="rId12"/>
          <w:footerReference w:type="default" r:id="rId13"/>
          <w:pgSz w:w="11906" w:h="16838" w:code="9"/>
          <w:pgMar w:top="1440" w:right="1440" w:bottom="1440" w:left="1440" w:header="708" w:footer="708" w:gutter="0"/>
          <w:pgNumType w:start="1"/>
          <w:cols w:space="708"/>
          <w:docGrid w:linePitch="360"/>
        </w:sectPr>
      </w:pPr>
    </w:p>
    <w:tbl>
      <w:tblPr>
        <w:tblStyle w:val="TableGrid"/>
        <w:tblW w:w="5000" w:type="pct"/>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6A0" w:firstRow="1" w:lastRow="0" w:firstColumn="1" w:lastColumn="0" w:noHBand="1" w:noVBand="1"/>
      </w:tblPr>
      <w:tblGrid>
        <w:gridCol w:w="4013"/>
        <w:gridCol w:w="5717"/>
      </w:tblGrid>
      <w:tr w:rsidR="009B32FD" w14:paraId="2B033E41" w14:textId="77777777" w:rsidTr="00222414">
        <w:trPr>
          <w:trHeight w:val="567"/>
        </w:trPr>
        <w:tc>
          <w:tcPr>
            <w:tcW w:w="2062" w:type="pct"/>
            <w:tcBorders>
              <w:top w:val="single" w:sz="6" w:space="0" w:color="auto"/>
              <w:left w:val="single" w:sz="6" w:space="0" w:color="auto"/>
            </w:tcBorders>
            <w:shd w:val="clear" w:color="auto" w:fill="215E99" w:themeFill="text2" w:themeFillTint="BF"/>
            <w:tcMar>
              <w:left w:w="105" w:type="dxa"/>
              <w:right w:w="105" w:type="dxa"/>
            </w:tcMar>
            <w:vAlign w:val="center"/>
          </w:tcPr>
          <w:p w14:paraId="19556DB5" w14:textId="77777777" w:rsidR="009B32FD" w:rsidRPr="00941A5F" w:rsidRDefault="009B32FD" w:rsidP="00222414">
            <w:pPr>
              <w:spacing w:before="0" w:after="0"/>
              <w:jc w:val="center"/>
              <w:rPr>
                <w:rFonts w:ascii="Aptos" w:eastAsia="Aptos" w:hAnsi="Aptos" w:cs="Aptos"/>
                <w:b/>
                <w:bCs/>
                <w:color w:val="FFFFFF" w:themeColor="background1"/>
                <w:lang w:val="en-GB"/>
              </w:rPr>
            </w:pPr>
            <w:r w:rsidRPr="00941A5F">
              <w:rPr>
                <w:rFonts w:ascii="Aptos" w:eastAsia="Aptos" w:hAnsi="Aptos" w:cs="Aptos"/>
                <w:b/>
                <w:bCs/>
                <w:color w:val="FFFFFF" w:themeColor="background1"/>
                <w:lang w:val="en-GB"/>
              </w:rPr>
              <w:lastRenderedPageBreak/>
              <w:t>Deliverables</w:t>
            </w:r>
          </w:p>
        </w:tc>
        <w:tc>
          <w:tcPr>
            <w:tcW w:w="2938" w:type="pct"/>
            <w:tcBorders>
              <w:top w:val="single" w:sz="6" w:space="0" w:color="auto"/>
            </w:tcBorders>
            <w:shd w:val="clear" w:color="auto" w:fill="215E99" w:themeFill="text2" w:themeFillTint="BF"/>
            <w:tcMar>
              <w:left w:w="105" w:type="dxa"/>
              <w:right w:w="105" w:type="dxa"/>
            </w:tcMar>
            <w:vAlign w:val="center"/>
          </w:tcPr>
          <w:p w14:paraId="7D5E7033" w14:textId="77777777" w:rsidR="009B32FD" w:rsidRPr="00941A5F" w:rsidRDefault="009B32FD" w:rsidP="00222414">
            <w:pPr>
              <w:spacing w:before="0" w:after="0"/>
              <w:jc w:val="center"/>
              <w:rPr>
                <w:rFonts w:ascii="Aptos" w:eastAsia="Aptos" w:hAnsi="Aptos" w:cs="Aptos"/>
                <w:b/>
                <w:bCs/>
                <w:color w:val="FFFFFF" w:themeColor="background1"/>
                <w:lang w:val="en-GB"/>
              </w:rPr>
            </w:pPr>
            <w:r w:rsidRPr="00941A5F">
              <w:rPr>
                <w:rFonts w:ascii="Aptos" w:eastAsia="Aptos" w:hAnsi="Aptos" w:cs="Aptos"/>
                <w:b/>
                <w:bCs/>
                <w:color w:val="FFFFFF" w:themeColor="background1"/>
                <w:lang w:val="en-GB"/>
              </w:rPr>
              <w:t>Types of Activities</w:t>
            </w:r>
          </w:p>
        </w:tc>
      </w:tr>
      <w:tr w:rsidR="009B32FD" w14:paraId="50D3A5DF" w14:textId="77777777" w:rsidTr="00222414">
        <w:trPr>
          <w:trHeight w:val="1554"/>
        </w:trPr>
        <w:tc>
          <w:tcPr>
            <w:tcW w:w="2062" w:type="pct"/>
            <w:tcBorders>
              <w:left w:val="single" w:sz="6" w:space="0" w:color="auto"/>
            </w:tcBorders>
            <w:tcMar>
              <w:left w:w="105" w:type="dxa"/>
              <w:right w:w="105" w:type="dxa"/>
            </w:tcMar>
          </w:tcPr>
          <w:p w14:paraId="3678027B" w14:textId="77777777" w:rsidR="009B32FD" w:rsidRPr="00472469" w:rsidRDefault="009B32FD" w:rsidP="009B32FD">
            <w:pPr>
              <w:pStyle w:val="ListParagraph"/>
              <w:numPr>
                <w:ilvl w:val="0"/>
                <w:numId w:val="35"/>
              </w:numPr>
              <w:spacing w:after="120"/>
              <w:rPr>
                <w:rFonts w:ascii="Aptos" w:eastAsia="Aptos" w:hAnsi="Aptos" w:cs="Aptos"/>
              </w:rPr>
            </w:pPr>
            <w:r w:rsidRPr="00472469">
              <w:rPr>
                <w:rFonts w:ascii="Aptos" w:eastAsia="Aptos" w:hAnsi="Aptos" w:cs="Aptos"/>
              </w:rPr>
              <w:t>Strengthening capacity to fulfil ETF requirements to accurately measure and report on progress against their NDC targets and goals</w:t>
            </w:r>
          </w:p>
        </w:tc>
        <w:tc>
          <w:tcPr>
            <w:tcW w:w="2938" w:type="pct"/>
            <w:tcMar>
              <w:left w:w="105" w:type="dxa"/>
              <w:right w:w="105" w:type="dxa"/>
            </w:tcMar>
          </w:tcPr>
          <w:p w14:paraId="3503EB5F" w14:textId="77777777" w:rsidR="009B32FD" w:rsidRDefault="009B32FD" w:rsidP="009B32FD">
            <w:pPr>
              <w:pStyle w:val="ListParagraph"/>
              <w:numPr>
                <w:ilvl w:val="0"/>
                <w:numId w:val="30"/>
              </w:numPr>
              <w:spacing w:after="120"/>
              <w:rPr>
                <w:rFonts w:ascii="Aptos" w:eastAsia="Aptos" w:hAnsi="Aptos" w:cs="Aptos"/>
              </w:rPr>
            </w:pPr>
            <w:r>
              <w:rPr>
                <w:rFonts w:ascii="Aptos" w:eastAsia="Aptos" w:hAnsi="Aptos" w:cs="Aptos"/>
              </w:rPr>
              <w:t>Support ETF readiness assessments</w:t>
            </w:r>
          </w:p>
          <w:p w14:paraId="7269684F" w14:textId="77777777" w:rsidR="009B32FD" w:rsidRPr="00C536B8" w:rsidRDefault="009B32FD" w:rsidP="009B32FD">
            <w:pPr>
              <w:pStyle w:val="ListParagraph"/>
              <w:numPr>
                <w:ilvl w:val="0"/>
                <w:numId w:val="30"/>
              </w:numPr>
              <w:spacing w:after="120"/>
              <w:rPr>
                <w:rFonts w:ascii="Aptos" w:eastAsia="Aptos" w:hAnsi="Aptos" w:cs="Aptos"/>
              </w:rPr>
            </w:pPr>
            <w:r w:rsidRPr="239C8F0D">
              <w:rPr>
                <w:rFonts w:ascii="Aptos" w:eastAsia="Aptos" w:hAnsi="Aptos" w:cs="Aptos"/>
              </w:rPr>
              <w:t>Strengthen institutional arrangements, data-sharing agreements, data collection to support more comprehensive ETF and BTR submissions responding to NDCs</w:t>
            </w:r>
          </w:p>
        </w:tc>
      </w:tr>
      <w:tr w:rsidR="009B32FD" w14:paraId="22D6379B" w14:textId="77777777" w:rsidTr="00222414">
        <w:trPr>
          <w:trHeight w:val="300"/>
        </w:trPr>
        <w:tc>
          <w:tcPr>
            <w:tcW w:w="2062" w:type="pct"/>
            <w:tcBorders>
              <w:left w:val="single" w:sz="6" w:space="0" w:color="auto"/>
            </w:tcBorders>
            <w:tcMar>
              <w:left w:w="105" w:type="dxa"/>
              <w:right w:w="105" w:type="dxa"/>
            </w:tcMar>
          </w:tcPr>
          <w:p w14:paraId="628F2990" w14:textId="77777777" w:rsidR="009B32FD" w:rsidRPr="00C536B8" w:rsidRDefault="009B32FD" w:rsidP="009B32FD">
            <w:pPr>
              <w:pStyle w:val="ListParagraph"/>
              <w:numPr>
                <w:ilvl w:val="0"/>
                <w:numId w:val="35"/>
              </w:numPr>
              <w:spacing w:after="120"/>
              <w:rPr>
                <w:rFonts w:ascii="Aptos" w:eastAsia="Aptos" w:hAnsi="Aptos" w:cs="Aptos"/>
              </w:rPr>
            </w:pPr>
            <w:r w:rsidRPr="239C8F0D">
              <w:rPr>
                <w:rFonts w:ascii="Aptos" w:eastAsia="Aptos" w:hAnsi="Aptos" w:cs="Aptos"/>
              </w:rPr>
              <w:t>Strengthening systems for tracking NDC progress for the forests and land</w:t>
            </w:r>
            <w:r>
              <w:rPr>
                <w:rFonts w:ascii="Aptos" w:eastAsia="Aptos" w:hAnsi="Aptos" w:cs="Aptos"/>
              </w:rPr>
              <w:t>-</w:t>
            </w:r>
            <w:r w:rsidRPr="239C8F0D">
              <w:rPr>
                <w:rFonts w:ascii="Aptos" w:eastAsia="Aptos" w:hAnsi="Aptos" w:cs="Aptos"/>
              </w:rPr>
              <w:t>use</w:t>
            </w:r>
          </w:p>
        </w:tc>
        <w:tc>
          <w:tcPr>
            <w:tcW w:w="2938" w:type="pct"/>
            <w:tcMar>
              <w:left w:w="105" w:type="dxa"/>
              <w:right w:w="105" w:type="dxa"/>
            </w:tcMar>
          </w:tcPr>
          <w:p w14:paraId="293A5314" w14:textId="77777777" w:rsidR="009B32FD" w:rsidRDefault="009B32FD" w:rsidP="009B32FD">
            <w:pPr>
              <w:pStyle w:val="ListParagraph"/>
              <w:numPr>
                <w:ilvl w:val="0"/>
                <w:numId w:val="31"/>
              </w:numPr>
              <w:spacing w:after="120"/>
              <w:rPr>
                <w:rFonts w:ascii="Aptos" w:eastAsia="Aptos" w:hAnsi="Aptos" w:cs="Aptos"/>
              </w:rPr>
            </w:pPr>
            <w:r>
              <w:rPr>
                <w:rFonts w:ascii="Aptos" w:eastAsia="Aptos" w:hAnsi="Aptos" w:cs="Aptos"/>
              </w:rPr>
              <w:t xml:space="preserve">Support to develop and refine indicators for tracking NDC progress in the forest sector </w:t>
            </w:r>
          </w:p>
          <w:p w14:paraId="3D91F0F8" w14:textId="77777777" w:rsidR="009B32FD" w:rsidRPr="00F24C2B" w:rsidRDefault="009B32FD" w:rsidP="009B32FD">
            <w:pPr>
              <w:pStyle w:val="ListParagraph"/>
              <w:numPr>
                <w:ilvl w:val="0"/>
                <w:numId w:val="31"/>
              </w:numPr>
              <w:spacing w:after="120"/>
              <w:rPr>
                <w:rFonts w:ascii="Aptos" w:eastAsia="Aptos" w:hAnsi="Aptos" w:cs="Aptos"/>
              </w:rPr>
            </w:pPr>
            <w:r w:rsidRPr="239C8F0D">
              <w:rPr>
                <w:rFonts w:ascii="Aptos" w:eastAsia="Aptos" w:hAnsi="Aptos" w:cs="Aptos"/>
              </w:rPr>
              <w:t>Support to adapt and enhance ETF</w:t>
            </w:r>
          </w:p>
        </w:tc>
      </w:tr>
      <w:tr w:rsidR="009B32FD" w14:paraId="42D25BAF" w14:textId="77777777" w:rsidTr="00222414">
        <w:trPr>
          <w:trHeight w:val="300"/>
        </w:trPr>
        <w:tc>
          <w:tcPr>
            <w:tcW w:w="2062" w:type="pct"/>
            <w:tcBorders>
              <w:left w:val="single" w:sz="6" w:space="0" w:color="auto"/>
            </w:tcBorders>
            <w:tcMar>
              <w:left w:w="105" w:type="dxa"/>
              <w:right w:w="105" w:type="dxa"/>
            </w:tcMar>
          </w:tcPr>
          <w:p w14:paraId="0F20032A" w14:textId="77777777" w:rsidR="009B32FD" w:rsidRPr="00472469" w:rsidRDefault="009B32FD" w:rsidP="009B32FD">
            <w:pPr>
              <w:pStyle w:val="ListParagraph"/>
              <w:numPr>
                <w:ilvl w:val="0"/>
                <w:numId w:val="35"/>
              </w:numPr>
              <w:spacing w:after="120"/>
              <w:rPr>
                <w:rFonts w:ascii="Aptos" w:eastAsia="Aptos" w:hAnsi="Aptos" w:cs="Aptos"/>
              </w:rPr>
            </w:pPr>
            <w:r w:rsidRPr="00472469">
              <w:rPr>
                <w:rFonts w:ascii="Aptos" w:eastAsia="Aptos" w:hAnsi="Aptos" w:cs="Aptos"/>
              </w:rPr>
              <w:t>Supporting biennial submission of BTR reports, ensuring compliance with the Enhanced Transparency Framework (ETF) of the Paris Agreement.</w:t>
            </w:r>
          </w:p>
        </w:tc>
        <w:tc>
          <w:tcPr>
            <w:tcW w:w="2938" w:type="pct"/>
            <w:tcMar>
              <w:left w:w="105" w:type="dxa"/>
              <w:right w:w="105" w:type="dxa"/>
            </w:tcMar>
          </w:tcPr>
          <w:p w14:paraId="5A260B2B" w14:textId="77777777" w:rsidR="009B32FD" w:rsidRDefault="009B32FD" w:rsidP="009B32FD">
            <w:pPr>
              <w:pStyle w:val="ListParagraph"/>
              <w:numPr>
                <w:ilvl w:val="0"/>
                <w:numId w:val="32"/>
              </w:numPr>
              <w:spacing w:after="120"/>
              <w:rPr>
                <w:rFonts w:ascii="Aptos" w:eastAsia="Aptos" w:hAnsi="Aptos" w:cs="Aptos"/>
                <w:lang w:val="en-GB"/>
              </w:rPr>
            </w:pPr>
            <w:r>
              <w:rPr>
                <w:rFonts w:ascii="Aptos" w:eastAsia="Aptos" w:hAnsi="Aptos" w:cs="Aptos"/>
                <w:lang w:val="en-GB"/>
              </w:rPr>
              <w:t>Support to in</w:t>
            </w:r>
            <w:r w:rsidRPr="00723901">
              <w:rPr>
                <w:rFonts w:ascii="Aptos" w:eastAsia="Aptos" w:hAnsi="Aptos" w:cs="Aptos"/>
                <w:lang w:val="en-GB"/>
              </w:rPr>
              <w:t>corporate and address key capacity-building needs and constraints communicated by the TER in BTR projects</w:t>
            </w:r>
          </w:p>
          <w:p w14:paraId="00875135" w14:textId="77777777" w:rsidR="009B32FD" w:rsidRDefault="009B32FD" w:rsidP="009B32FD">
            <w:pPr>
              <w:pStyle w:val="ListParagraph"/>
              <w:numPr>
                <w:ilvl w:val="0"/>
                <w:numId w:val="32"/>
              </w:numPr>
              <w:spacing w:after="120"/>
              <w:rPr>
                <w:rFonts w:ascii="Aptos" w:eastAsia="Aptos" w:hAnsi="Aptos" w:cs="Aptos"/>
                <w:lang w:val="en-GB"/>
              </w:rPr>
            </w:pPr>
            <w:r>
              <w:rPr>
                <w:rFonts w:ascii="Aptos" w:eastAsia="Aptos" w:hAnsi="Aptos" w:cs="Aptos"/>
                <w:lang w:val="en-GB"/>
              </w:rPr>
              <w:t>Support the embedding of outputs of</w:t>
            </w:r>
            <w:r w:rsidRPr="00D067C9">
              <w:rPr>
                <w:rFonts w:ascii="Aptos" w:eastAsia="Aptos" w:hAnsi="Aptos" w:cs="Aptos"/>
                <w:lang w:val="en-GB"/>
              </w:rPr>
              <w:t xml:space="preserve"> policy feedback systems into BTR report</w:t>
            </w:r>
            <w:r>
              <w:rPr>
                <w:rFonts w:ascii="Aptos" w:eastAsia="Aptos" w:hAnsi="Aptos" w:cs="Aptos"/>
                <w:lang w:val="en-GB"/>
              </w:rPr>
              <w:t>s (Output 3.3.)</w:t>
            </w:r>
          </w:p>
          <w:p w14:paraId="624316E6" w14:textId="77777777" w:rsidR="009B32FD" w:rsidRPr="00C536B8" w:rsidRDefault="009B32FD" w:rsidP="009B32FD">
            <w:pPr>
              <w:pStyle w:val="ListParagraph"/>
              <w:numPr>
                <w:ilvl w:val="0"/>
                <w:numId w:val="32"/>
              </w:numPr>
              <w:spacing w:after="120"/>
              <w:rPr>
                <w:rFonts w:ascii="Aptos" w:eastAsia="Aptos" w:hAnsi="Aptos" w:cs="Aptos"/>
                <w:lang w:val="en-GB"/>
              </w:rPr>
            </w:pPr>
            <w:r>
              <w:rPr>
                <w:rFonts w:ascii="Aptos" w:eastAsia="Aptos" w:hAnsi="Aptos" w:cs="Aptos"/>
                <w:lang w:val="en-GB"/>
              </w:rPr>
              <w:t>Support to Article 6.2 reporting as part of the BTR (where relevant for forest-focused cooperative approaches/ITMOs</w:t>
            </w:r>
          </w:p>
        </w:tc>
      </w:tr>
      <w:tr w:rsidR="009B32FD" w14:paraId="1FAA157E" w14:textId="77777777" w:rsidTr="00222414">
        <w:trPr>
          <w:trHeight w:val="1070"/>
        </w:trPr>
        <w:tc>
          <w:tcPr>
            <w:tcW w:w="2062" w:type="pct"/>
            <w:tcBorders>
              <w:left w:val="single" w:sz="6" w:space="0" w:color="auto"/>
            </w:tcBorders>
            <w:tcMar>
              <w:left w:w="105" w:type="dxa"/>
              <w:right w:w="105" w:type="dxa"/>
            </w:tcMar>
          </w:tcPr>
          <w:p w14:paraId="1B141D9F" w14:textId="77777777" w:rsidR="009B32FD" w:rsidRPr="00C536B8" w:rsidRDefault="009B32FD" w:rsidP="009B32FD">
            <w:pPr>
              <w:pStyle w:val="ListParagraph"/>
              <w:numPr>
                <w:ilvl w:val="0"/>
                <w:numId w:val="35"/>
              </w:numPr>
              <w:spacing w:after="120"/>
              <w:rPr>
                <w:rFonts w:ascii="Aptos" w:eastAsia="Aptos" w:hAnsi="Aptos" w:cs="Aptos"/>
              </w:rPr>
            </w:pPr>
            <w:r>
              <w:rPr>
                <w:rFonts w:ascii="Aptos" w:eastAsia="Aptos" w:hAnsi="Aptos" w:cs="Aptos"/>
              </w:rPr>
              <w:t xml:space="preserve">Support to the BTR review process </w:t>
            </w:r>
          </w:p>
        </w:tc>
        <w:tc>
          <w:tcPr>
            <w:tcW w:w="2938" w:type="pct"/>
            <w:tcMar>
              <w:left w:w="105" w:type="dxa"/>
              <w:right w:w="105" w:type="dxa"/>
            </w:tcMar>
          </w:tcPr>
          <w:p w14:paraId="6DC11674" w14:textId="77777777" w:rsidR="009B32FD" w:rsidRDefault="009B32FD" w:rsidP="009B32FD">
            <w:pPr>
              <w:pStyle w:val="ListParagraph"/>
              <w:numPr>
                <w:ilvl w:val="0"/>
                <w:numId w:val="33"/>
              </w:numPr>
              <w:spacing w:after="120"/>
              <w:rPr>
                <w:rFonts w:ascii="Aptos" w:eastAsia="Aptos" w:hAnsi="Aptos" w:cs="Aptos"/>
              </w:rPr>
            </w:pPr>
            <w:r>
              <w:rPr>
                <w:rFonts w:ascii="Aptos" w:eastAsia="Aptos" w:hAnsi="Aptos" w:cs="Aptos"/>
              </w:rPr>
              <w:t>Country support provided to:</w:t>
            </w:r>
          </w:p>
          <w:p w14:paraId="23875B1A" w14:textId="77777777" w:rsidR="009B32FD" w:rsidRDefault="009B32FD" w:rsidP="009B32FD">
            <w:pPr>
              <w:pStyle w:val="ListParagraph"/>
              <w:numPr>
                <w:ilvl w:val="0"/>
                <w:numId w:val="33"/>
              </w:numPr>
              <w:spacing w:after="120"/>
              <w:rPr>
                <w:rFonts w:ascii="Aptos" w:eastAsia="Aptos" w:hAnsi="Aptos" w:cs="Aptos"/>
              </w:rPr>
            </w:pPr>
            <w:r>
              <w:rPr>
                <w:rFonts w:ascii="Aptos" w:eastAsia="Aptos" w:hAnsi="Aptos" w:cs="Aptos"/>
              </w:rPr>
              <w:t>respond to comments and recommendations raised by TER teams</w:t>
            </w:r>
          </w:p>
          <w:p w14:paraId="1ABEAAC5" w14:textId="77777777" w:rsidR="009B32FD" w:rsidRPr="00472469" w:rsidRDefault="009B32FD" w:rsidP="009B32FD">
            <w:pPr>
              <w:pStyle w:val="ListParagraph"/>
              <w:numPr>
                <w:ilvl w:val="0"/>
                <w:numId w:val="33"/>
              </w:numPr>
              <w:spacing w:after="120"/>
              <w:rPr>
                <w:rFonts w:ascii="Aptos" w:eastAsia="Aptos" w:hAnsi="Aptos" w:cs="Aptos"/>
              </w:rPr>
            </w:pPr>
            <w:r>
              <w:rPr>
                <w:rFonts w:ascii="Aptos" w:eastAsia="Aptos" w:hAnsi="Aptos" w:cs="Aptos"/>
              </w:rPr>
              <w:t>incorporate recommendations from the TER to revise/enhance the BTR submission</w:t>
            </w:r>
          </w:p>
        </w:tc>
      </w:tr>
      <w:tr w:rsidR="009B32FD" w14:paraId="3AEB5264" w14:textId="77777777" w:rsidTr="00222414">
        <w:trPr>
          <w:trHeight w:val="300"/>
        </w:trPr>
        <w:tc>
          <w:tcPr>
            <w:tcW w:w="2062" w:type="pct"/>
            <w:tcBorders>
              <w:left w:val="single" w:sz="6" w:space="0" w:color="auto"/>
            </w:tcBorders>
            <w:tcMar>
              <w:left w:w="105" w:type="dxa"/>
              <w:right w:w="105" w:type="dxa"/>
            </w:tcMar>
          </w:tcPr>
          <w:p w14:paraId="5B075904" w14:textId="77777777" w:rsidR="009B32FD" w:rsidRDefault="009B32FD" w:rsidP="009B32FD">
            <w:pPr>
              <w:pStyle w:val="ListParagraph"/>
              <w:numPr>
                <w:ilvl w:val="0"/>
                <w:numId w:val="35"/>
              </w:numPr>
              <w:spacing w:after="120"/>
              <w:rPr>
                <w:rFonts w:ascii="Aptos" w:eastAsia="Aptos" w:hAnsi="Aptos" w:cs="Aptos"/>
              </w:rPr>
            </w:pPr>
            <w:r>
              <w:rPr>
                <w:rFonts w:ascii="Aptos" w:eastAsia="Aptos" w:hAnsi="Aptos" w:cs="Aptos"/>
              </w:rPr>
              <w:t xml:space="preserve">Facilitating Knowledge exchanges </w:t>
            </w:r>
          </w:p>
        </w:tc>
        <w:tc>
          <w:tcPr>
            <w:tcW w:w="2938" w:type="pct"/>
            <w:tcMar>
              <w:left w:w="105" w:type="dxa"/>
              <w:right w:w="105" w:type="dxa"/>
            </w:tcMar>
          </w:tcPr>
          <w:p w14:paraId="43EECAEA" w14:textId="77777777" w:rsidR="009B32FD" w:rsidRDefault="009B32FD" w:rsidP="009B32FD">
            <w:pPr>
              <w:pStyle w:val="ListParagraph"/>
              <w:numPr>
                <w:ilvl w:val="0"/>
                <w:numId w:val="34"/>
              </w:numPr>
              <w:spacing w:after="120"/>
              <w:rPr>
                <w:rFonts w:ascii="Aptos" w:eastAsia="Aptos" w:hAnsi="Aptos" w:cs="Aptos"/>
              </w:rPr>
            </w:pPr>
            <w:r>
              <w:rPr>
                <w:rFonts w:ascii="Aptos" w:eastAsia="Aptos" w:hAnsi="Aptos" w:cs="Aptos"/>
              </w:rPr>
              <w:t>Virtual and in-person trainings provided on different aspects of applying ETF requirements, with a focus on LULUCF</w:t>
            </w:r>
          </w:p>
        </w:tc>
      </w:tr>
    </w:tbl>
    <w:p w14:paraId="70C4A8EE" w14:textId="77777777" w:rsidR="009B32FD" w:rsidRDefault="009B32FD" w:rsidP="009B32FD">
      <w:pPr>
        <w:spacing w:after="120"/>
        <w:rPr>
          <w:lang w:val="en-CA"/>
        </w:rPr>
      </w:pPr>
    </w:p>
    <w:p w14:paraId="4391B429" w14:textId="77777777" w:rsidR="009B32FD" w:rsidRDefault="009B32FD" w:rsidP="009B32FD">
      <w:pPr>
        <w:spacing w:after="120"/>
      </w:pPr>
    </w:p>
    <w:p w14:paraId="0BD7B972" w14:textId="77777777" w:rsidR="009B32FD" w:rsidRDefault="009B32FD" w:rsidP="00762CAE">
      <w:pPr>
        <w:pStyle w:val="Heading1"/>
      </w:pPr>
    </w:p>
    <w:sectPr w:rsidR="009B32FD" w:rsidSect="00A86551">
      <w:headerReference w:type="default" r:id="rId14"/>
      <w:foot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86F0E" w14:textId="77777777" w:rsidR="00FA60D8" w:rsidRDefault="00FA60D8" w:rsidP="00E62A58">
      <w:pPr>
        <w:spacing w:before="0" w:after="0" w:line="240" w:lineRule="auto"/>
      </w:pPr>
      <w:r>
        <w:separator/>
      </w:r>
    </w:p>
  </w:endnote>
  <w:endnote w:type="continuationSeparator" w:id="0">
    <w:p w14:paraId="50080135" w14:textId="77777777" w:rsidR="00FA60D8" w:rsidRDefault="00FA60D8" w:rsidP="00E62A58">
      <w:pPr>
        <w:spacing w:before="0" w:after="0" w:line="240" w:lineRule="auto"/>
      </w:pPr>
      <w:r>
        <w:continuationSeparator/>
      </w:r>
    </w:p>
  </w:endnote>
  <w:endnote w:type="continuationNotice" w:id="1">
    <w:p w14:paraId="07E539F4" w14:textId="77777777" w:rsidR="00FA60D8" w:rsidRDefault="00FA60D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Arial (Body C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9489588"/>
      <w:docPartObj>
        <w:docPartGallery w:val="Page Numbers (Bottom of Page)"/>
        <w:docPartUnique/>
      </w:docPartObj>
    </w:sdtPr>
    <w:sdtEndPr>
      <w:rPr>
        <w:noProof/>
      </w:rPr>
    </w:sdtEndPr>
    <w:sdtContent>
      <w:p w14:paraId="65F536DD" w14:textId="77777777" w:rsidR="009B32FD" w:rsidRDefault="009B32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46B513" w14:textId="77777777" w:rsidR="009B32FD" w:rsidRDefault="009B32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2014488"/>
      <w:docPartObj>
        <w:docPartGallery w:val="Page Numbers (Bottom of Page)"/>
        <w:docPartUnique/>
      </w:docPartObj>
    </w:sdtPr>
    <w:sdtEndPr>
      <w:rPr>
        <w:noProof/>
      </w:rPr>
    </w:sdtEndPr>
    <w:sdtContent>
      <w:p w14:paraId="23553FD1" w14:textId="77777777" w:rsidR="00BA27F3" w:rsidRDefault="00BA27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7E0002" w14:textId="77777777" w:rsidR="00BA27F3" w:rsidRDefault="00BA2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44E08B" w14:textId="77777777" w:rsidR="00FA60D8" w:rsidRDefault="00FA60D8" w:rsidP="00E62A58">
      <w:pPr>
        <w:spacing w:before="0" w:after="0" w:line="240" w:lineRule="auto"/>
      </w:pPr>
      <w:r>
        <w:separator/>
      </w:r>
    </w:p>
  </w:footnote>
  <w:footnote w:type="continuationSeparator" w:id="0">
    <w:p w14:paraId="57763AC3" w14:textId="77777777" w:rsidR="00FA60D8" w:rsidRDefault="00FA60D8" w:rsidP="00E62A58">
      <w:pPr>
        <w:spacing w:before="0" w:after="0" w:line="240" w:lineRule="auto"/>
      </w:pPr>
      <w:r>
        <w:continuationSeparator/>
      </w:r>
    </w:p>
  </w:footnote>
  <w:footnote w:type="continuationNotice" w:id="1">
    <w:p w14:paraId="76F9C841" w14:textId="77777777" w:rsidR="00FA60D8" w:rsidRDefault="00FA60D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972EB" w14:textId="77777777" w:rsidR="009B32FD" w:rsidRPr="00B30867" w:rsidRDefault="009B32FD" w:rsidP="00B30867">
    <w:pPr>
      <w:pStyle w:val="Header"/>
      <w:jc w:val="right"/>
      <w:rPr>
        <w:rFonts w:ascii="Times New Roman" w:hAnsi="Times New Roman" w:cs="Times New Roman"/>
        <w:i/>
        <w:iCs/>
      </w:rPr>
    </w:pPr>
    <w:r w:rsidRPr="004071CB">
      <w:rPr>
        <w:rFonts w:ascii="Times New Roman" w:hAnsi="Times New Roman" w:cs="Times New Roman"/>
        <w:i/>
        <w:iCs/>
      </w:rPr>
      <w:t>Internal draft – not for citation, distribution, or reproduction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F8A83" w14:textId="690E8190" w:rsidR="00BA27F3" w:rsidRPr="00EA2B9A" w:rsidRDefault="00BA27F3">
    <w:pPr>
      <w:pStyle w:val="Header"/>
      <w:jc w:val="right"/>
      <w:rPr>
        <w:rFonts w:ascii="Times New Roman" w:hAnsi="Times New Roman" w:cs="Times New Roman"/>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518E9"/>
    <w:multiLevelType w:val="hybridMultilevel"/>
    <w:tmpl w:val="E35A781A"/>
    <w:lvl w:ilvl="0" w:tplc="2000000F">
      <w:start w:val="1"/>
      <w:numFmt w:val="decimal"/>
      <w:lvlText w:val="%1."/>
      <w:lvlJc w:val="left"/>
      <w:pPr>
        <w:ind w:left="360" w:hanging="360"/>
      </w:pPr>
    </w:lvl>
    <w:lvl w:ilvl="1" w:tplc="E402B674">
      <w:start w:val="1"/>
      <w:numFmt w:val="bullet"/>
      <w:lvlText w:val="-"/>
      <w:lvlJc w:val="left"/>
      <w:pPr>
        <w:ind w:left="1080" w:hanging="360"/>
      </w:pPr>
      <w:rPr>
        <w:rFonts w:ascii="Aptos" w:eastAsiaTheme="minorHAnsi" w:hAnsi="Aptos" w:cstheme="minorBid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A6779D"/>
    <w:multiLevelType w:val="hybridMultilevel"/>
    <w:tmpl w:val="CA244926"/>
    <w:lvl w:ilvl="0" w:tplc="9A9AB564">
      <w:start w:val="1"/>
      <w:numFmt w:val="decimal"/>
      <w:lvlText w:val="%1."/>
      <w:lvlJc w:val="left"/>
      <w:pPr>
        <w:ind w:left="360" w:hanging="360"/>
      </w:pPr>
      <w:rPr>
        <w:rFonts w:hint="default"/>
      </w:rPr>
    </w:lvl>
    <w:lvl w:ilvl="1" w:tplc="834EE940">
      <w:start w:val="1"/>
      <w:numFmt w:val="lowerLetter"/>
      <w:lvlText w:val="%2."/>
      <w:lvlJc w:val="left"/>
      <w:pPr>
        <w:ind w:left="852" w:hanging="132"/>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A20582"/>
    <w:multiLevelType w:val="hybridMultilevel"/>
    <w:tmpl w:val="BD784F04"/>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71F5EEA"/>
    <w:multiLevelType w:val="hybridMultilevel"/>
    <w:tmpl w:val="BD784F04"/>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A13206A"/>
    <w:multiLevelType w:val="hybridMultilevel"/>
    <w:tmpl w:val="70A6F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05B2A"/>
    <w:multiLevelType w:val="hybridMultilevel"/>
    <w:tmpl w:val="8332B4A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2DF16CB"/>
    <w:multiLevelType w:val="hybridMultilevel"/>
    <w:tmpl w:val="6354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743C9"/>
    <w:multiLevelType w:val="hybridMultilevel"/>
    <w:tmpl w:val="82FA22F4"/>
    <w:lvl w:ilvl="0" w:tplc="2000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70A10A1"/>
    <w:multiLevelType w:val="hybridMultilevel"/>
    <w:tmpl w:val="198694B6"/>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7982C8A"/>
    <w:multiLevelType w:val="hybridMultilevel"/>
    <w:tmpl w:val="B8869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0461F7"/>
    <w:multiLevelType w:val="hybridMultilevel"/>
    <w:tmpl w:val="06B25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772F2E"/>
    <w:multiLevelType w:val="hybridMultilevel"/>
    <w:tmpl w:val="9270454A"/>
    <w:lvl w:ilvl="0" w:tplc="20000019">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2" w15:restartNumberingAfterBreak="0">
    <w:nsid w:val="370918DE"/>
    <w:multiLevelType w:val="hybridMultilevel"/>
    <w:tmpl w:val="A12A2FEA"/>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DC57D2C"/>
    <w:multiLevelType w:val="hybridMultilevel"/>
    <w:tmpl w:val="DB2E3338"/>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07A3756"/>
    <w:multiLevelType w:val="hybridMultilevel"/>
    <w:tmpl w:val="323A6706"/>
    <w:lvl w:ilvl="0" w:tplc="2000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1E07BD2"/>
    <w:multiLevelType w:val="hybridMultilevel"/>
    <w:tmpl w:val="A25C4512"/>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355475A"/>
    <w:multiLevelType w:val="hybridMultilevel"/>
    <w:tmpl w:val="BD784F04"/>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5AB01CD"/>
    <w:multiLevelType w:val="hybridMultilevel"/>
    <w:tmpl w:val="BD784F04"/>
    <w:lvl w:ilvl="0" w:tplc="2000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736183A"/>
    <w:multiLevelType w:val="hybridMultilevel"/>
    <w:tmpl w:val="D29AE80C"/>
    <w:lvl w:ilvl="0" w:tplc="FFFFFFFF">
      <w:start w:val="1"/>
      <w:numFmt w:val="decimal"/>
      <w:lvlText w:val="%1."/>
      <w:lvlJc w:val="left"/>
      <w:pPr>
        <w:ind w:left="360" w:hanging="360"/>
      </w:pPr>
      <w:rPr>
        <w:rFonts w:hint="default"/>
        <w:b/>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BF12B9C"/>
    <w:multiLevelType w:val="hybridMultilevel"/>
    <w:tmpl w:val="6FDCEC32"/>
    <w:lvl w:ilvl="0" w:tplc="2000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CF10B3F"/>
    <w:multiLevelType w:val="hybridMultilevel"/>
    <w:tmpl w:val="36F81CB0"/>
    <w:lvl w:ilvl="0" w:tplc="A24CC1F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E8924D8"/>
    <w:multiLevelType w:val="hybridMultilevel"/>
    <w:tmpl w:val="3F7A8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6B7EA2"/>
    <w:multiLevelType w:val="hybridMultilevel"/>
    <w:tmpl w:val="B0F2BC04"/>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BCB4979"/>
    <w:multiLevelType w:val="hybridMultilevel"/>
    <w:tmpl w:val="775EB38E"/>
    <w:lvl w:ilvl="0" w:tplc="135ABFA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D5267C8"/>
    <w:multiLevelType w:val="hybridMultilevel"/>
    <w:tmpl w:val="7674AF78"/>
    <w:lvl w:ilvl="0" w:tplc="3CE692F0">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DE31AB0"/>
    <w:multiLevelType w:val="hybridMultilevel"/>
    <w:tmpl w:val="20A4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1323A4"/>
    <w:multiLevelType w:val="hybridMultilevel"/>
    <w:tmpl w:val="E3DAD5F4"/>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54A1DBF"/>
    <w:multiLevelType w:val="hybridMultilevel"/>
    <w:tmpl w:val="8332B4A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5D7313E"/>
    <w:multiLevelType w:val="hybridMultilevel"/>
    <w:tmpl w:val="8332B4AA"/>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7C12EC3"/>
    <w:multiLevelType w:val="hybridMultilevel"/>
    <w:tmpl w:val="F7C87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97D3E9D"/>
    <w:multiLevelType w:val="hybridMultilevel"/>
    <w:tmpl w:val="3FDE9AA2"/>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BEF7A4A"/>
    <w:multiLevelType w:val="hybridMultilevel"/>
    <w:tmpl w:val="7EB8C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9957D1"/>
    <w:multiLevelType w:val="hybridMultilevel"/>
    <w:tmpl w:val="8332B4A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6FB570D"/>
    <w:multiLevelType w:val="hybridMultilevel"/>
    <w:tmpl w:val="94760C26"/>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B165AE7"/>
    <w:multiLevelType w:val="hybridMultilevel"/>
    <w:tmpl w:val="34284A5C"/>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02104770">
    <w:abstractNumId w:val="31"/>
  </w:num>
  <w:num w:numId="2" w16cid:durableId="628583751">
    <w:abstractNumId w:val="6"/>
  </w:num>
  <w:num w:numId="3" w16cid:durableId="1973559108">
    <w:abstractNumId w:val="9"/>
  </w:num>
  <w:num w:numId="4" w16cid:durableId="890120941">
    <w:abstractNumId w:val="0"/>
  </w:num>
  <w:num w:numId="5" w16cid:durableId="1179856396">
    <w:abstractNumId w:val="14"/>
  </w:num>
  <w:num w:numId="6" w16cid:durableId="754857283">
    <w:abstractNumId w:val="7"/>
  </w:num>
  <w:num w:numId="7" w16cid:durableId="338428606">
    <w:abstractNumId w:val="26"/>
  </w:num>
  <w:num w:numId="8" w16cid:durableId="999966452">
    <w:abstractNumId w:val="11"/>
  </w:num>
  <w:num w:numId="9" w16cid:durableId="1784884577">
    <w:abstractNumId w:val="10"/>
  </w:num>
  <w:num w:numId="10" w16cid:durableId="804546971">
    <w:abstractNumId w:val="24"/>
  </w:num>
  <w:num w:numId="11" w16cid:durableId="604847844">
    <w:abstractNumId w:val="18"/>
  </w:num>
  <w:num w:numId="12" w16cid:durableId="1461415782">
    <w:abstractNumId w:val="17"/>
  </w:num>
  <w:num w:numId="13" w16cid:durableId="1205562053">
    <w:abstractNumId w:val="1"/>
  </w:num>
  <w:num w:numId="14" w16cid:durableId="1897159792">
    <w:abstractNumId w:val="2"/>
  </w:num>
  <w:num w:numId="15" w16cid:durableId="2129856163">
    <w:abstractNumId w:val="16"/>
  </w:num>
  <w:num w:numId="16" w16cid:durableId="1974754305">
    <w:abstractNumId w:val="3"/>
  </w:num>
  <w:num w:numId="17" w16cid:durableId="1934392897">
    <w:abstractNumId w:val="19"/>
  </w:num>
  <w:num w:numId="18" w16cid:durableId="844638022">
    <w:abstractNumId w:val="22"/>
  </w:num>
  <w:num w:numId="19" w16cid:durableId="1623341512">
    <w:abstractNumId w:val="34"/>
  </w:num>
  <w:num w:numId="20" w16cid:durableId="1937516796">
    <w:abstractNumId w:val="33"/>
  </w:num>
  <w:num w:numId="21" w16cid:durableId="1916742550">
    <w:abstractNumId w:val="25"/>
  </w:num>
  <w:num w:numId="22" w16cid:durableId="1133988518">
    <w:abstractNumId w:val="4"/>
  </w:num>
  <w:num w:numId="23" w16cid:durableId="5862863">
    <w:abstractNumId w:val="21"/>
  </w:num>
  <w:num w:numId="24" w16cid:durableId="940406743">
    <w:abstractNumId w:val="12"/>
  </w:num>
  <w:num w:numId="25" w16cid:durableId="81924292">
    <w:abstractNumId w:val="15"/>
  </w:num>
  <w:num w:numId="26" w16cid:durableId="1488938434">
    <w:abstractNumId w:val="30"/>
  </w:num>
  <w:num w:numId="27" w16cid:durableId="1314136328">
    <w:abstractNumId w:val="13"/>
  </w:num>
  <w:num w:numId="28" w16cid:durableId="80109082">
    <w:abstractNumId w:val="20"/>
  </w:num>
  <w:num w:numId="29" w16cid:durableId="1668485430">
    <w:abstractNumId w:val="29"/>
  </w:num>
  <w:num w:numId="30" w16cid:durableId="911351461">
    <w:abstractNumId w:val="28"/>
  </w:num>
  <w:num w:numId="31" w16cid:durableId="876234226">
    <w:abstractNumId w:val="5"/>
  </w:num>
  <w:num w:numId="32" w16cid:durableId="1817987373">
    <w:abstractNumId w:val="27"/>
  </w:num>
  <w:num w:numId="33" w16cid:durableId="923299246">
    <w:abstractNumId w:val="32"/>
  </w:num>
  <w:num w:numId="34" w16cid:durableId="744106650">
    <w:abstractNumId w:val="8"/>
  </w:num>
  <w:num w:numId="35" w16cid:durableId="2062553765">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58"/>
    <w:rsid w:val="0000005A"/>
    <w:rsid w:val="00000A1C"/>
    <w:rsid w:val="0000736C"/>
    <w:rsid w:val="00011BAF"/>
    <w:rsid w:val="00012E26"/>
    <w:rsid w:val="00021DBF"/>
    <w:rsid w:val="000279F3"/>
    <w:rsid w:val="00035C09"/>
    <w:rsid w:val="00044345"/>
    <w:rsid w:val="0005027A"/>
    <w:rsid w:val="00054D01"/>
    <w:rsid w:val="000558DB"/>
    <w:rsid w:val="00067865"/>
    <w:rsid w:val="00080D30"/>
    <w:rsid w:val="0008232A"/>
    <w:rsid w:val="000828F7"/>
    <w:rsid w:val="0008383B"/>
    <w:rsid w:val="00094CB6"/>
    <w:rsid w:val="000A0F1E"/>
    <w:rsid w:val="000B5AEA"/>
    <w:rsid w:val="000D381B"/>
    <w:rsid w:val="000D65C3"/>
    <w:rsid w:val="000D6A76"/>
    <w:rsid w:val="000F2964"/>
    <w:rsid w:val="001026C5"/>
    <w:rsid w:val="00102A08"/>
    <w:rsid w:val="00120811"/>
    <w:rsid w:val="0013017C"/>
    <w:rsid w:val="00130B71"/>
    <w:rsid w:val="00135AA4"/>
    <w:rsid w:val="00135B68"/>
    <w:rsid w:val="00137013"/>
    <w:rsid w:val="0014041D"/>
    <w:rsid w:val="00144613"/>
    <w:rsid w:val="00145A3D"/>
    <w:rsid w:val="00145C7A"/>
    <w:rsid w:val="00151110"/>
    <w:rsid w:val="00152FEB"/>
    <w:rsid w:val="001534D8"/>
    <w:rsid w:val="001602F5"/>
    <w:rsid w:val="00164CC9"/>
    <w:rsid w:val="001651FF"/>
    <w:rsid w:val="0016535B"/>
    <w:rsid w:val="00166F96"/>
    <w:rsid w:val="00176710"/>
    <w:rsid w:val="00177E8D"/>
    <w:rsid w:val="0018016E"/>
    <w:rsid w:val="001846E9"/>
    <w:rsid w:val="00190097"/>
    <w:rsid w:val="00192B48"/>
    <w:rsid w:val="001A08EE"/>
    <w:rsid w:val="001A37BF"/>
    <w:rsid w:val="001A3991"/>
    <w:rsid w:val="001A642D"/>
    <w:rsid w:val="001A696C"/>
    <w:rsid w:val="001B12F4"/>
    <w:rsid w:val="001B1F36"/>
    <w:rsid w:val="001B7E31"/>
    <w:rsid w:val="001C0E52"/>
    <w:rsid w:val="001C13AD"/>
    <w:rsid w:val="001C4C68"/>
    <w:rsid w:val="001C5A85"/>
    <w:rsid w:val="001C7AD0"/>
    <w:rsid w:val="001E08D9"/>
    <w:rsid w:val="001E3067"/>
    <w:rsid w:val="001E5070"/>
    <w:rsid w:val="001E54EB"/>
    <w:rsid w:val="001F7EF7"/>
    <w:rsid w:val="002026E8"/>
    <w:rsid w:val="00202BDE"/>
    <w:rsid w:val="002052A1"/>
    <w:rsid w:val="00205E27"/>
    <w:rsid w:val="00211CB9"/>
    <w:rsid w:val="0021398A"/>
    <w:rsid w:val="00220C87"/>
    <w:rsid w:val="00221A67"/>
    <w:rsid w:val="0022535F"/>
    <w:rsid w:val="00230967"/>
    <w:rsid w:val="002324A1"/>
    <w:rsid w:val="002342CA"/>
    <w:rsid w:val="00242FA0"/>
    <w:rsid w:val="00244F7E"/>
    <w:rsid w:val="0024648D"/>
    <w:rsid w:val="002509A3"/>
    <w:rsid w:val="00252951"/>
    <w:rsid w:val="00267587"/>
    <w:rsid w:val="00273FB5"/>
    <w:rsid w:val="002765E1"/>
    <w:rsid w:val="002768BF"/>
    <w:rsid w:val="00277B6F"/>
    <w:rsid w:val="00281167"/>
    <w:rsid w:val="00286E8A"/>
    <w:rsid w:val="00293D58"/>
    <w:rsid w:val="002961D3"/>
    <w:rsid w:val="00296267"/>
    <w:rsid w:val="002A05F0"/>
    <w:rsid w:val="002A0910"/>
    <w:rsid w:val="002A0D4D"/>
    <w:rsid w:val="002A650E"/>
    <w:rsid w:val="002B2D67"/>
    <w:rsid w:val="002B5CF9"/>
    <w:rsid w:val="002B7A87"/>
    <w:rsid w:val="002B7E72"/>
    <w:rsid w:val="002C0FB2"/>
    <w:rsid w:val="002C77A9"/>
    <w:rsid w:val="002D2EAA"/>
    <w:rsid w:val="002D4F79"/>
    <w:rsid w:val="002E0E57"/>
    <w:rsid w:val="002F10DA"/>
    <w:rsid w:val="002F7B47"/>
    <w:rsid w:val="003013F1"/>
    <w:rsid w:val="00305E39"/>
    <w:rsid w:val="003072B7"/>
    <w:rsid w:val="003142A6"/>
    <w:rsid w:val="00316D3D"/>
    <w:rsid w:val="003173B0"/>
    <w:rsid w:val="00324A83"/>
    <w:rsid w:val="00326546"/>
    <w:rsid w:val="00333E6E"/>
    <w:rsid w:val="00335078"/>
    <w:rsid w:val="00340EC1"/>
    <w:rsid w:val="003429AE"/>
    <w:rsid w:val="00344734"/>
    <w:rsid w:val="00346308"/>
    <w:rsid w:val="00346DD2"/>
    <w:rsid w:val="00350BC8"/>
    <w:rsid w:val="00353DDE"/>
    <w:rsid w:val="00366438"/>
    <w:rsid w:val="003670F1"/>
    <w:rsid w:val="00371511"/>
    <w:rsid w:val="003723EA"/>
    <w:rsid w:val="00374332"/>
    <w:rsid w:val="003753EA"/>
    <w:rsid w:val="0037718E"/>
    <w:rsid w:val="003814CD"/>
    <w:rsid w:val="003839B4"/>
    <w:rsid w:val="0038793E"/>
    <w:rsid w:val="003A3ECD"/>
    <w:rsid w:val="003A3F34"/>
    <w:rsid w:val="003B157E"/>
    <w:rsid w:val="003C35B1"/>
    <w:rsid w:val="003D44E3"/>
    <w:rsid w:val="003E2569"/>
    <w:rsid w:val="003E5473"/>
    <w:rsid w:val="003E5F2C"/>
    <w:rsid w:val="003E6932"/>
    <w:rsid w:val="003F3D0A"/>
    <w:rsid w:val="003F442D"/>
    <w:rsid w:val="003F445A"/>
    <w:rsid w:val="00406FA3"/>
    <w:rsid w:val="00411BCD"/>
    <w:rsid w:val="0041430F"/>
    <w:rsid w:val="00417B09"/>
    <w:rsid w:val="00423A50"/>
    <w:rsid w:val="00425638"/>
    <w:rsid w:val="00430378"/>
    <w:rsid w:val="00432EF1"/>
    <w:rsid w:val="00442301"/>
    <w:rsid w:val="00447806"/>
    <w:rsid w:val="004618DD"/>
    <w:rsid w:val="0046752D"/>
    <w:rsid w:val="00472A17"/>
    <w:rsid w:val="004741DB"/>
    <w:rsid w:val="004A303E"/>
    <w:rsid w:val="004A5898"/>
    <w:rsid w:val="004B6330"/>
    <w:rsid w:val="004B6E2F"/>
    <w:rsid w:val="004B7092"/>
    <w:rsid w:val="004C1B8A"/>
    <w:rsid w:val="004D0A96"/>
    <w:rsid w:val="004D559A"/>
    <w:rsid w:val="004E6884"/>
    <w:rsid w:val="004E713F"/>
    <w:rsid w:val="004E76AA"/>
    <w:rsid w:val="004F582D"/>
    <w:rsid w:val="00503748"/>
    <w:rsid w:val="00503E7C"/>
    <w:rsid w:val="0050484D"/>
    <w:rsid w:val="00512840"/>
    <w:rsid w:val="0051465A"/>
    <w:rsid w:val="00531CFF"/>
    <w:rsid w:val="0054005B"/>
    <w:rsid w:val="0055155E"/>
    <w:rsid w:val="005554E9"/>
    <w:rsid w:val="00557B50"/>
    <w:rsid w:val="00557B63"/>
    <w:rsid w:val="00561118"/>
    <w:rsid w:val="00562A0C"/>
    <w:rsid w:val="0056462B"/>
    <w:rsid w:val="00566E4C"/>
    <w:rsid w:val="00574469"/>
    <w:rsid w:val="0057777B"/>
    <w:rsid w:val="00585A20"/>
    <w:rsid w:val="00592EF2"/>
    <w:rsid w:val="0059371F"/>
    <w:rsid w:val="00594520"/>
    <w:rsid w:val="005A2121"/>
    <w:rsid w:val="005A21A2"/>
    <w:rsid w:val="005B22C3"/>
    <w:rsid w:val="005B2C4C"/>
    <w:rsid w:val="005C0693"/>
    <w:rsid w:val="005D21E6"/>
    <w:rsid w:val="005D524D"/>
    <w:rsid w:val="005D60A6"/>
    <w:rsid w:val="005E320E"/>
    <w:rsid w:val="005E6D33"/>
    <w:rsid w:val="005E6FFA"/>
    <w:rsid w:val="005F2D3E"/>
    <w:rsid w:val="005F6520"/>
    <w:rsid w:val="006054D4"/>
    <w:rsid w:val="00605F41"/>
    <w:rsid w:val="00613542"/>
    <w:rsid w:val="00621601"/>
    <w:rsid w:val="00623F03"/>
    <w:rsid w:val="00624CE9"/>
    <w:rsid w:val="00630969"/>
    <w:rsid w:val="00634D7D"/>
    <w:rsid w:val="00644E3C"/>
    <w:rsid w:val="006564DB"/>
    <w:rsid w:val="006636DC"/>
    <w:rsid w:val="00663EF8"/>
    <w:rsid w:val="006721BB"/>
    <w:rsid w:val="00677729"/>
    <w:rsid w:val="0068579F"/>
    <w:rsid w:val="006942CE"/>
    <w:rsid w:val="00695B32"/>
    <w:rsid w:val="006A099A"/>
    <w:rsid w:val="006A1C49"/>
    <w:rsid w:val="006B1C0C"/>
    <w:rsid w:val="006C4D70"/>
    <w:rsid w:val="006D111E"/>
    <w:rsid w:val="006D70E0"/>
    <w:rsid w:val="006E6C58"/>
    <w:rsid w:val="006F0D73"/>
    <w:rsid w:val="006F1853"/>
    <w:rsid w:val="006F6E90"/>
    <w:rsid w:val="00706FBB"/>
    <w:rsid w:val="00710A78"/>
    <w:rsid w:val="007203B0"/>
    <w:rsid w:val="00721F41"/>
    <w:rsid w:val="007305BA"/>
    <w:rsid w:val="00746ED1"/>
    <w:rsid w:val="007503F1"/>
    <w:rsid w:val="00762421"/>
    <w:rsid w:val="00762CAE"/>
    <w:rsid w:val="0077207B"/>
    <w:rsid w:val="00772FF5"/>
    <w:rsid w:val="00780567"/>
    <w:rsid w:val="00781ADC"/>
    <w:rsid w:val="00782FF1"/>
    <w:rsid w:val="007902A6"/>
    <w:rsid w:val="00793B79"/>
    <w:rsid w:val="00795521"/>
    <w:rsid w:val="007D1887"/>
    <w:rsid w:val="007D2A55"/>
    <w:rsid w:val="007D4CA1"/>
    <w:rsid w:val="007E03B8"/>
    <w:rsid w:val="007E1319"/>
    <w:rsid w:val="007E4F0C"/>
    <w:rsid w:val="007F16F1"/>
    <w:rsid w:val="007F36A4"/>
    <w:rsid w:val="007F63E9"/>
    <w:rsid w:val="00802755"/>
    <w:rsid w:val="0080335E"/>
    <w:rsid w:val="00807C94"/>
    <w:rsid w:val="008129EC"/>
    <w:rsid w:val="008164E6"/>
    <w:rsid w:val="00823483"/>
    <w:rsid w:val="00830EF5"/>
    <w:rsid w:val="00831BD5"/>
    <w:rsid w:val="00833B9E"/>
    <w:rsid w:val="00834F30"/>
    <w:rsid w:val="008415E8"/>
    <w:rsid w:val="00845183"/>
    <w:rsid w:val="008541D2"/>
    <w:rsid w:val="00854DC7"/>
    <w:rsid w:val="00855DA7"/>
    <w:rsid w:val="00860752"/>
    <w:rsid w:val="008652BE"/>
    <w:rsid w:val="00867785"/>
    <w:rsid w:val="00873755"/>
    <w:rsid w:val="00885943"/>
    <w:rsid w:val="008907A4"/>
    <w:rsid w:val="0089360A"/>
    <w:rsid w:val="008971C5"/>
    <w:rsid w:val="008A1BC8"/>
    <w:rsid w:val="008A60E4"/>
    <w:rsid w:val="008B0C7C"/>
    <w:rsid w:val="008B7ADD"/>
    <w:rsid w:val="008C28A3"/>
    <w:rsid w:val="008D0AE0"/>
    <w:rsid w:val="008D1A1E"/>
    <w:rsid w:val="008D7348"/>
    <w:rsid w:val="008E27EE"/>
    <w:rsid w:val="008E2FCC"/>
    <w:rsid w:val="008F1CF0"/>
    <w:rsid w:val="008F4287"/>
    <w:rsid w:val="008F49BF"/>
    <w:rsid w:val="008F59C2"/>
    <w:rsid w:val="008F5B58"/>
    <w:rsid w:val="008F5CEE"/>
    <w:rsid w:val="009020F0"/>
    <w:rsid w:val="00913C08"/>
    <w:rsid w:val="00914867"/>
    <w:rsid w:val="00914BED"/>
    <w:rsid w:val="009309A8"/>
    <w:rsid w:val="00941F4C"/>
    <w:rsid w:val="00942E36"/>
    <w:rsid w:val="0094488E"/>
    <w:rsid w:val="00954509"/>
    <w:rsid w:val="00962C2F"/>
    <w:rsid w:val="00971185"/>
    <w:rsid w:val="00977E4F"/>
    <w:rsid w:val="00992721"/>
    <w:rsid w:val="009A0634"/>
    <w:rsid w:val="009A10FC"/>
    <w:rsid w:val="009A3162"/>
    <w:rsid w:val="009A6F41"/>
    <w:rsid w:val="009B1C40"/>
    <w:rsid w:val="009B32FD"/>
    <w:rsid w:val="009C514E"/>
    <w:rsid w:val="009C5D3A"/>
    <w:rsid w:val="009C6169"/>
    <w:rsid w:val="009C6498"/>
    <w:rsid w:val="009D6FD7"/>
    <w:rsid w:val="009F0B23"/>
    <w:rsid w:val="00A03068"/>
    <w:rsid w:val="00A06A99"/>
    <w:rsid w:val="00A10408"/>
    <w:rsid w:val="00A1315D"/>
    <w:rsid w:val="00A131F3"/>
    <w:rsid w:val="00A169AE"/>
    <w:rsid w:val="00A2280F"/>
    <w:rsid w:val="00A305AE"/>
    <w:rsid w:val="00A40A8A"/>
    <w:rsid w:val="00A42A8C"/>
    <w:rsid w:val="00A45BAB"/>
    <w:rsid w:val="00A461F6"/>
    <w:rsid w:val="00A47243"/>
    <w:rsid w:val="00A60356"/>
    <w:rsid w:val="00A611CE"/>
    <w:rsid w:val="00A6184E"/>
    <w:rsid w:val="00A63C5D"/>
    <w:rsid w:val="00A652A4"/>
    <w:rsid w:val="00A7019F"/>
    <w:rsid w:val="00A729E5"/>
    <w:rsid w:val="00A8157B"/>
    <w:rsid w:val="00A849AA"/>
    <w:rsid w:val="00A86551"/>
    <w:rsid w:val="00A93687"/>
    <w:rsid w:val="00A936EF"/>
    <w:rsid w:val="00A942DB"/>
    <w:rsid w:val="00A94A9A"/>
    <w:rsid w:val="00A952A0"/>
    <w:rsid w:val="00A967CB"/>
    <w:rsid w:val="00A96A1D"/>
    <w:rsid w:val="00AA5DE9"/>
    <w:rsid w:val="00AB658B"/>
    <w:rsid w:val="00AC42FE"/>
    <w:rsid w:val="00AC5A76"/>
    <w:rsid w:val="00AD1C65"/>
    <w:rsid w:val="00AD6418"/>
    <w:rsid w:val="00AE03E8"/>
    <w:rsid w:val="00AE2C46"/>
    <w:rsid w:val="00AE3D83"/>
    <w:rsid w:val="00AF02C4"/>
    <w:rsid w:val="00B12FA3"/>
    <w:rsid w:val="00B138D6"/>
    <w:rsid w:val="00B172A3"/>
    <w:rsid w:val="00B24702"/>
    <w:rsid w:val="00B3038C"/>
    <w:rsid w:val="00B30AC7"/>
    <w:rsid w:val="00B3542C"/>
    <w:rsid w:val="00B36A15"/>
    <w:rsid w:val="00B37A4E"/>
    <w:rsid w:val="00B37CDB"/>
    <w:rsid w:val="00B43148"/>
    <w:rsid w:val="00B4512C"/>
    <w:rsid w:val="00B565BB"/>
    <w:rsid w:val="00B632BB"/>
    <w:rsid w:val="00B643FB"/>
    <w:rsid w:val="00B727FA"/>
    <w:rsid w:val="00B72908"/>
    <w:rsid w:val="00B72FB9"/>
    <w:rsid w:val="00B75B2D"/>
    <w:rsid w:val="00B83BE1"/>
    <w:rsid w:val="00B916CE"/>
    <w:rsid w:val="00B91793"/>
    <w:rsid w:val="00B929C6"/>
    <w:rsid w:val="00B93925"/>
    <w:rsid w:val="00BA082F"/>
    <w:rsid w:val="00BA27F3"/>
    <w:rsid w:val="00BB66AB"/>
    <w:rsid w:val="00BC0555"/>
    <w:rsid w:val="00BD006E"/>
    <w:rsid w:val="00BD38A7"/>
    <w:rsid w:val="00BE08F3"/>
    <w:rsid w:val="00BE2AFD"/>
    <w:rsid w:val="00BE49FD"/>
    <w:rsid w:val="00BE65E5"/>
    <w:rsid w:val="00BE7DFE"/>
    <w:rsid w:val="00BF10FE"/>
    <w:rsid w:val="00BF4CA5"/>
    <w:rsid w:val="00BF4D88"/>
    <w:rsid w:val="00BF538B"/>
    <w:rsid w:val="00BF62FB"/>
    <w:rsid w:val="00C03FC6"/>
    <w:rsid w:val="00C044AE"/>
    <w:rsid w:val="00C056C8"/>
    <w:rsid w:val="00C12D32"/>
    <w:rsid w:val="00C13B6E"/>
    <w:rsid w:val="00C146E3"/>
    <w:rsid w:val="00C24669"/>
    <w:rsid w:val="00C2683D"/>
    <w:rsid w:val="00C36131"/>
    <w:rsid w:val="00C36AC6"/>
    <w:rsid w:val="00C37309"/>
    <w:rsid w:val="00C44391"/>
    <w:rsid w:val="00C46C9B"/>
    <w:rsid w:val="00C50D22"/>
    <w:rsid w:val="00C53891"/>
    <w:rsid w:val="00C54F9A"/>
    <w:rsid w:val="00C62FFD"/>
    <w:rsid w:val="00C66902"/>
    <w:rsid w:val="00C7088A"/>
    <w:rsid w:val="00C74BBE"/>
    <w:rsid w:val="00C82C66"/>
    <w:rsid w:val="00C83753"/>
    <w:rsid w:val="00C85F1F"/>
    <w:rsid w:val="00C9241A"/>
    <w:rsid w:val="00C943C4"/>
    <w:rsid w:val="00C94D94"/>
    <w:rsid w:val="00C95977"/>
    <w:rsid w:val="00CA232E"/>
    <w:rsid w:val="00CA361A"/>
    <w:rsid w:val="00CB4517"/>
    <w:rsid w:val="00CB594B"/>
    <w:rsid w:val="00CC57BC"/>
    <w:rsid w:val="00CD2922"/>
    <w:rsid w:val="00CD4F47"/>
    <w:rsid w:val="00CE12C4"/>
    <w:rsid w:val="00CE4D3C"/>
    <w:rsid w:val="00CF43A3"/>
    <w:rsid w:val="00D00442"/>
    <w:rsid w:val="00D03E6A"/>
    <w:rsid w:val="00D1108D"/>
    <w:rsid w:val="00D137B1"/>
    <w:rsid w:val="00D229C5"/>
    <w:rsid w:val="00D23D33"/>
    <w:rsid w:val="00D25D57"/>
    <w:rsid w:val="00D32035"/>
    <w:rsid w:val="00D330F2"/>
    <w:rsid w:val="00D36F5E"/>
    <w:rsid w:val="00D511E7"/>
    <w:rsid w:val="00D51537"/>
    <w:rsid w:val="00D539E3"/>
    <w:rsid w:val="00D55A63"/>
    <w:rsid w:val="00D73934"/>
    <w:rsid w:val="00D74401"/>
    <w:rsid w:val="00D803D2"/>
    <w:rsid w:val="00D80991"/>
    <w:rsid w:val="00D848B3"/>
    <w:rsid w:val="00D85B28"/>
    <w:rsid w:val="00DA1B25"/>
    <w:rsid w:val="00DA1CA7"/>
    <w:rsid w:val="00DA2F85"/>
    <w:rsid w:val="00DA3BCD"/>
    <w:rsid w:val="00DB0282"/>
    <w:rsid w:val="00DB3F60"/>
    <w:rsid w:val="00DB48CD"/>
    <w:rsid w:val="00DB63AC"/>
    <w:rsid w:val="00DB6AA4"/>
    <w:rsid w:val="00DC22C0"/>
    <w:rsid w:val="00DC2E0C"/>
    <w:rsid w:val="00DC3992"/>
    <w:rsid w:val="00DD1000"/>
    <w:rsid w:val="00DD4B2C"/>
    <w:rsid w:val="00DD5CBC"/>
    <w:rsid w:val="00DE39EE"/>
    <w:rsid w:val="00DF09FB"/>
    <w:rsid w:val="00DF34C2"/>
    <w:rsid w:val="00DF7C70"/>
    <w:rsid w:val="00DF7F92"/>
    <w:rsid w:val="00E047F2"/>
    <w:rsid w:val="00E15BBA"/>
    <w:rsid w:val="00E17F8E"/>
    <w:rsid w:val="00E20FA0"/>
    <w:rsid w:val="00E22648"/>
    <w:rsid w:val="00E23C61"/>
    <w:rsid w:val="00E24C1D"/>
    <w:rsid w:val="00E27E7C"/>
    <w:rsid w:val="00E32CB3"/>
    <w:rsid w:val="00E36303"/>
    <w:rsid w:val="00E3640B"/>
    <w:rsid w:val="00E40E11"/>
    <w:rsid w:val="00E41947"/>
    <w:rsid w:val="00E5320E"/>
    <w:rsid w:val="00E5733E"/>
    <w:rsid w:val="00E62A58"/>
    <w:rsid w:val="00E66AF7"/>
    <w:rsid w:val="00E846A6"/>
    <w:rsid w:val="00E8675E"/>
    <w:rsid w:val="00E951F6"/>
    <w:rsid w:val="00EB72D2"/>
    <w:rsid w:val="00EB7A2A"/>
    <w:rsid w:val="00EC1222"/>
    <w:rsid w:val="00EC1561"/>
    <w:rsid w:val="00EC533D"/>
    <w:rsid w:val="00EC560F"/>
    <w:rsid w:val="00ED0FBC"/>
    <w:rsid w:val="00ED1D63"/>
    <w:rsid w:val="00ED3785"/>
    <w:rsid w:val="00ED562D"/>
    <w:rsid w:val="00ED6976"/>
    <w:rsid w:val="00ED6ED0"/>
    <w:rsid w:val="00EE02EE"/>
    <w:rsid w:val="00EE114C"/>
    <w:rsid w:val="00EF5C09"/>
    <w:rsid w:val="00F15131"/>
    <w:rsid w:val="00F15BDC"/>
    <w:rsid w:val="00F1618A"/>
    <w:rsid w:val="00F1721D"/>
    <w:rsid w:val="00F20255"/>
    <w:rsid w:val="00F223C1"/>
    <w:rsid w:val="00F22A16"/>
    <w:rsid w:val="00F231C9"/>
    <w:rsid w:val="00F33C7D"/>
    <w:rsid w:val="00F35FB0"/>
    <w:rsid w:val="00F3634E"/>
    <w:rsid w:val="00F40F67"/>
    <w:rsid w:val="00F450D0"/>
    <w:rsid w:val="00F4599B"/>
    <w:rsid w:val="00F46A06"/>
    <w:rsid w:val="00F51B0E"/>
    <w:rsid w:val="00F572A1"/>
    <w:rsid w:val="00F60D2A"/>
    <w:rsid w:val="00F64E2A"/>
    <w:rsid w:val="00F66987"/>
    <w:rsid w:val="00F76E95"/>
    <w:rsid w:val="00F8346A"/>
    <w:rsid w:val="00F92B20"/>
    <w:rsid w:val="00F97575"/>
    <w:rsid w:val="00F97B72"/>
    <w:rsid w:val="00FA1259"/>
    <w:rsid w:val="00FA25D0"/>
    <w:rsid w:val="00FA60D8"/>
    <w:rsid w:val="00FA6C36"/>
    <w:rsid w:val="00FB1C61"/>
    <w:rsid w:val="00FB488B"/>
    <w:rsid w:val="00FC52B5"/>
    <w:rsid w:val="00FD34DD"/>
    <w:rsid w:val="00FE22DF"/>
    <w:rsid w:val="00FE3E57"/>
    <w:rsid w:val="00FF5839"/>
    <w:rsid w:val="01DA210A"/>
    <w:rsid w:val="01DEB022"/>
    <w:rsid w:val="01E1A2C5"/>
    <w:rsid w:val="030122DD"/>
    <w:rsid w:val="04D70CF3"/>
    <w:rsid w:val="055F4E04"/>
    <w:rsid w:val="05738D73"/>
    <w:rsid w:val="0583D595"/>
    <w:rsid w:val="058B7B3B"/>
    <w:rsid w:val="05DE0080"/>
    <w:rsid w:val="05FFF9C7"/>
    <w:rsid w:val="06975DA5"/>
    <w:rsid w:val="06B60BF9"/>
    <w:rsid w:val="07E143F2"/>
    <w:rsid w:val="0814ABE8"/>
    <w:rsid w:val="0858BBBC"/>
    <w:rsid w:val="08D5E084"/>
    <w:rsid w:val="08FB3AAE"/>
    <w:rsid w:val="094D7535"/>
    <w:rsid w:val="098C27CB"/>
    <w:rsid w:val="09C97787"/>
    <w:rsid w:val="0A2244AA"/>
    <w:rsid w:val="0A906A9C"/>
    <w:rsid w:val="0BFD153B"/>
    <w:rsid w:val="0C4239D2"/>
    <w:rsid w:val="0C993002"/>
    <w:rsid w:val="0CA8C27C"/>
    <w:rsid w:val="0CE27E0C"/>
    <w:rsid w:val="0DF3163D"/>
    <w:rsid w:val="0E1E5383"/>
    <w:rsid w:val="0E4F3FEE"/>
    <w:rsid w:val="0EC8EBD2"/>
    <w:rsid w:val="0F1E1392"/>
    <w:rsid w:val="0F2CB492"/>
    <w:rsid w:val="10D9B067"/>
    <w:rsid w:val="113C06D0"/>
    <w:rsid w:val="116CE340"/>
    <w:rsid w:val="1209BD36"/>
    <w:rsid w:val="1222C743"/>
    <w:rsid w:val="1332FE63"/>
    <w:rsid w:val="136FD38C"/>
    <w:rsid w:val="13C8E049"/>
    <w:rsid w:val="13DC3AD2"/>
    <w:rsid w:val="1455A131"/>
    <w:rsid w:val="14A0CB0E"/>
    <w:rsid w:val="14E017BB"/>
    <w:rsid w:val="14F7F8DB"/>
    <w:rsid w:val="151A27A6"/>
    <w:rsid w:val="1586FAB5"/>
    <w:rsid w:val="15AF4981"/>
    <w:rsid w:val="162EE7D6"/>
    <w:rsid w:val="1634ABA8"/>
    <w:rsid w:val="16749F5C"/>
    <w:rsid w:val="176CB95E"/>
    <w:rsid w:val="18455A5E"/>
    <w:rsid w:val="1C44FDDC"/>
    <w:rsid w:val="1D1D462C"/>
    <w:rsid w:val="1DE6BF87"/>
    <w:rsid w:val="1E6FDD13"/>
    <w:rsid w:val="1EABB0CF"/>
    <w:rsid w:val="1F406359"/>
    <w:rsid w:val="1F811E26"/>
    <w:rsid w:val="214350E2"/>
    <w:rsid w:val="21AE9F06"/>
    <w:rsid w:val="22FA8D58"/>
    <w:rsid w:val="2342E819"/>
    <w:rsid w:val="23967263"/>
    <w:rsid w:val="239E94D0"/>
    <w:rsid w:val="23AECB2D"/>
    <w:rsid w:val="23F5C096"/>
    <w:rsid w:val="24236ED6"/>
    <w:rsid w:val="245D45CC"/>
    <w:rsid w:val="245D6479"/>
    <w:rsid w:val="24B022E3"/>
    <w:rsid w:val="25297474"/>
    <w:rsid w:val="2571E83D"/>
    <w:rsid w:val="25B105B4"/>
    <w:rsid w:val="2668BB66"/>
    <w:rsid w:val="27608657"/>
    <w:rsid w:val="284AEC5F"/>
    <w:rsid w:val="288511F5"/>
    <w:rsid w:val="29BDAE01"/>
    <w:rsid w:val="2A1777B1"/>
    <w:rsid w:val="2A344B2B"/>
    <w:rsid w:val="2A9BB6E5"/>
    <w:rsid w:val="2AA346D5"/>
    <w:rsid w:val="2BC67F9E"/>
    <w:rsid w:val="2BC8E610"/>
    <w:rsid w:val="2E966B04"/>
    <w:rsid w:val="2F5756F6"/>
    <w:rsid w:val="30269082"/>
    <w:rsid w:val="304F5A73"/>
    <w:rsid w:val="30516C9C"/>
    <w:rsid w:val="309795B0"/>
    <w:rsid w:val="30A0AEF8"/>
    <w:rsid w:val="30CAC976"/>
    <w:rsid w:val="31375565"/>
    <w:rsid w:val="31D75318"/>
    <w:rsid w:val="329CBCB2"/>
    <w:rsid w:val="334CE291"/>
    <w:rsid w:val="33A54C2D"/>
    <w:rsid w:val="33BB3871"/>
    <w:rsid w:val="33BE49AB"/>
    <w:rsid w:val="349DF21F"/>
    <w:rsid w:val="35F9E276"/>
    <w:rsid w:val="363E9946"/>
    <w:rsid w:val="364A4504"/>
    <w:rsid w:val="36FB3B02"/>
    <w:rsid w:val="37C134FE"/>
    <w:rsid w:val="37EE27B9"/>
    <w:rsid w:val="3803E733"/>
    <w:rsid w:val="3805A305"/>
    <w:rsid w:val="384FED77"/>
    <w:rsid w:val="386504AE"/>
    <w:rsid w:val="3874D567"/>
    <w:rsid w:val="3913F753"/>
    <w:rsid w:val="3A81C0A1"/>
    <w:rsid w:val="3B5DB681"/>
    <w:rsid w:val="3B8FA0BE"/>
    <w:rsid w:val="3B9835B4"/>
    <w:rsid w:val="3BE2229F"/>
    <w:rsid w:val="3C5078A2"/>
    <w:rsid w:val="3CF715CD"/>
    <w:rsid w:val="3F9CC111"/>
    <w:rsid w:val="3FE594D6"/>
    <w:rsid w:val="4050EE05"/>
    <w:rsid w:val="40B2B31D"/>
    <w:rsid w:val="41339433"/>
    <w:rsid w:val="422F3429"/>
    <w:rsid w:val="42572992"/>
    <w:rsid w:val="4270C7B8"/>
    <w:rsid w:val="4298952C"/>
    <w:rsid w:val="42A5C3AF"/>
    <w:rsid w:val="43477C2D"/>
    <w:rsid w:val="434CD619"/>
    <w:rsid w:val="436EED6E"/>
    <w:rsid w:val="446257C6"/>
    <w:rsid w:val="46428495"/>
    <w:rsid w:val="46456095"/>
    <w:rsid w:val="46459CB8"/>
    <w:rsid w:val="48D116FE"/>
    <w:rsid w:val="48DA6556"/>
    <w:rsid w:val="49E5D7E9"/>
    <w:rsid w:val="4A86368A"/>
    <w:rsid w:val="4A9053A4"/>
    <w:rsid w:val="4B04F17F"/>
    <w:rsid w:val="4C3929C2"/>
    <w:rsid w:val="4C5A607B"/>
    <w:rsid w:val="4CDFF6EA"/>
    <w:rsid w:val="4D0BB97C"/>
    <w:rsid w:val="4DEE4239"/>
    <w:rsid w:val="4E707DDD"/>
    <w:rsid w:val="4F1467F5"/>
    <w:rsid w:val="4FB554EF"/>
    <w:rsid w:val="4FC4D2E1"/>
    <w:rsid w:val="50B48437"/>
    <w:rsid w:val="513D0617"/>
    <w:rsid w:val="52285CA2"/>
    <w:rsid w:val="525084FD"/>
    <w:rsid w:val="53794A3E"/>
    <w:rsid w:val="53C8F9F2"/>
    <w:rsid w:val="53CFDA3B"/>
    <w:rsid w:val="53F1DB3B"/>
    <w:rsid w:val="54AC423A"/>
    <w:rsid w:val="55106494"/>
    <w:rsid w:val="5528F28D"/>
    <w:rsid w:val="567E51E2"/>
    <w:rsid w:val="568B0755"/>
    <w:rsid w:val="570C9C49"/>
    <w:rsid w:val="57CBC943"/>
    <w:rsid w:val="58EAFDE2"/>
    <w:rsid w:val="591A1338"/>
    <w:rsid w:val="5A501123"/>
    <w:rsid w:val="5AF89573"/>
    <w:rsid w:val="5B46D3AF"/>
    <w:rsid w:val="5BE3050E"/>
    <w:rsid w:val="5C9536E7"/>
    <w:rsid w:val="5CE793DE"/>
    <w:rsid w:val="5D1C563A"/>
    <w:rsid w:val="5D25F424"/>
    <w:rsid w:val="5D29733E"/>
    <w:rsid w:val="5D4F7BF3"/>
    <w:rsid w:val="5DCFADE8"/>
    <w:rsid w:val="5E431164"/>
    <w:rsid w:val="5F22E4BE"/>
    <w:rsid w:val="5FF2B6CF"/>
    <w:rsid w:val="604772C0"/>
    <w:rsid w:val="610B8D66"/>
    <w:rsid w:val="6163FF02"/>
    <w:rsid w:val="61C4B11F"/>
    <w:rsid w:val="62534947"/>
    <w:rsid w:val="62E75DB5"/>
    <w:rsid w:val="649454C3"/>
    <w:rsid w:val="664AB6B8"/>
    <w:rsid w:val="66FA19A6"/>
    <w:rsid w:val="6706CAF1"/>
    <w:rsid w:val="67E1CCD0"/>
    <w:rsid w:val="68364E2A"/>
    <w:rsid w:val="689E04D9"/>
    <w:rsid w:val="68D98EC8"/>
    <w:rsid w:val="68FB22E6"/>
    <w:rsid w:val="69DBC3AB"/>
    <w:rsid w:val="6A189E32"/>
    <w:rsid w:val="6A88086A"/>
    <w:rsid w:val="6ADC1846"/>
    <w:rsid w:val="6B19CED0"/>
    <w:rsid w:val="6B2673BB"/>
    <w:rsid w:val="6B6B8800"/>
    <w:rsid w:val="6C5B550E"/>
    <w:rsid w:val="6CD8550B"/>
    <w:rsid w:val="6CE4D0D4"/>
    <w:rsid w:val="6D8A65D7"/>
    <w:rsid w:val="6DAD03E8"/>
    <w:rsid w:val="6EB05AA5"/>
    <w:rsid w:val="6F02A5FC"/>
    <w:rsid w:val="6FC344B2"/>
    <w:rsid w:val="700A8856"/>
    <w:rsid w:val="70383F11"/>
    <w:rsid w:val="708ECF84"/>
    <w:rsid w:val="717B570A"/>
    <w:rsid w:val="737126D2"/>
    <w:rsid w:val="74027367"/>
    <w:rsid w:val="7476165E"/>
    <w:rsid w:val="747E5392"/>
    <w:rsid w:val="75AD8EF2"/>
    <w:rsid w:val="775849FF"/>
    <w:rsid w:val="787BB944"/>
    <w:rsid w:val="798566BB"/>
    <w:rsid w:val="7A54FFE3"/>
    <w:rsid w:val="7AC7F98F"/>
    <w:rsid w:val="7B73BFAF"/>
    <w:rsid w:val="7C2155AA"/>
    <w:rsid w:val="7CA7A35A"/>
    <w:rsid w:val="7D570813"/>
    <w:rsid w:val="7ED3CD78"/>
    <w:rsid w:val="7F404C83"/>
    <w:rsid w:val="7F514F21"/>
    <w:rsid w:val="7FA3D3A4"/>
    <w:rsid w:val="7FDD14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7537A"/>
  <w15:chartTrackingRefBased/>
  <w15:docId w15:val="{8D7E80A6-654B-144B-850C-9A5AC0FF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A58"/>
    <w:pPr>
      <w:spacing w:before="120" w:after="240" w:line="259" w:lineRule="auto"/>
    </w:pPr>
    <w:rPr>
      <w:sz w:val="22"/>
      <w:szCs w:val="22"/>
    </w:rPr>
  </w:style>
  <w:style w:type="paragraph" w:styleId="Heading1">
    <w:name w:val="heading 1"/>
    <w:basedOn w:val="Normal"/>
    <w:next w:val="Normal"/>
    <w:link w:val="Heading1Char"/>
    <w:uiPriority w:val="9"/>
    <w:qFormat/>
    <w:rsid w:val="00762CAE"/>
    <w:pPr>
      <w:keepNext/>
      <w:keepLines/>
      <w:spacing w:before="360" w:after="80"/>
      <w:outlineLvl w:val="0"/>
    </w:pPr>
    <w:rPr>
      <w:rFonts w:asciiTheme="majorHAnsi" w:eastAsiaTheme="majorEastAsia" w:hAnsiTheme="majorHAnsi" w:cstheme="majorBidi"/>
      <w:b/>
      <w:color w:val="215E99" w:themeColor="text2" w:themeTint="BF"/>
      <w:sz w:val="24"/>
      <w:szCs w:val="40"/>
    </w:rPr>
  </w:style>
  <w:style w:type="paragraph" w:styleId="Heading2">
    <w:name w:val="heading 2"/>
    <w:basedOn w:val="Normal"/>
    <w:next w:val="Normal"/>
    <w:link w:val="Heading2Char"/>
    <w:uiPriority w:val="9"/>
    <w:unhideWhenUsed/>
    <w:qFormat/>
    <w:rsid w:val="00E62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2A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62A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2A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A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A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A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A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CAE"/>
    <w:rPr>
      <w:rFonts w:asciiTheme="majorHAnsi" w:eastAsiaTheme="majorEastAsia" w:hAnsiTheme="majorHAnsi" w:cstheme="majorBidi"/>
      <w:b/>
      <w:color w:val="215E99" w:themeColor="text2" w:themeTint="BF"/>
      <w:szCs w:val="40"/>
    </w:rPr>
  </w:style>
  <w:style w:type="character" w:customStyle="1" w:styleId="Heading2Char">
    <w:name w:val="Heading 2 Char"/>
    <w:basedOn w:val="DefaultParagraphFont"/>
    <w:link w:val="Heading2"/>
    <w:uiPriority w:val="9"/>
    <w:rsid w:val="00E62A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A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A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A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A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A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A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A58"/>
    <w:rPr>
      <w:rFonts w:eastAsiaTheme="majorEastAsia" w:cstheme="majorBidi"/>
      <w:color w:val="272727" w:themeColor="text1" w:themeTint="D8"/>
    </w:rPr>
  </w:style>
  <w:style w:type="paragraph" w:styleId="Title">
    <w:name w:val="Title"/>
    <w:basedOn w:val="Normal"/>
    <w:next w:val="Normal"/>
    <w:link w:val="TitleChar"/>
    <w:uiPriority w:val="10"/>
    <w:qFormat/>
    <w:rsid w:val="00E62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A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A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A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A58"/>
    <w:pPr>
      <w:spacing w:before="160"/>
      <w:jc w:val="center"/>
    </w:pPr>
    <w:rPr>
      <w:i/>
      <w:iCs/>
      <w:color w:val="404040" w:themeColor="text1" w:themeTint="BF"/>
    </w:rPr>
  </w:style>
  <w:style w:type="character" w:customStyle="1" w:styleId="QuoteChar">
    <w:name w:val="Quote Char"/>
    <w:basedOn w:val="DefaultParagraphFont"/>
    <w:link w:val="Quote"/>
    <w:uiPriority w:val="29"/>
    <w:rsid w:val="00E62A58"/>
    <w:rPr>
      <w:i/>
      <w:iCs/>
      <w:color w:val="404040" w:themeColor="text1" w:themeTint="BF"/>
    </w:rPr>
  </w:style>
  <w:style w:type="paragraph" w:styleId="ListParagraph">
    <w:name w:val="List Paragraph"/>
    <w:basedOn w:val="Normal"/>
    <w:uiPriority w:val="34"/>
    <w:qFormat/>
    <w:rsid w:val="00E62A58"/>
    <w:pPr>
      <w:ind w:left="720"/>
      <w:contextualSpacing/>
    </w:pPr>
  </w:style>
  <w:style w:type="character" w:styleId="IntenseEmphasis">
    <w:name w:val="Intense Emphasis"/>
    <w:basedOn w:val="DefaultParagraphFont"/>
    <w:uiPriority w:val="21"/>
    <w:qFormat/>
    <w:rsid w:val="00E62A58"/>
    <w:rPr>
      <w:i/>
      <w:iCs/>
      <w:color w:val="0F4761" w:themeColor="accent1" w:themeShade="BF"/>
    </w:rPr>
  </w:style>
  <w:style w:type="paragraph" w:styleId="IntenseQuote">
    <w:name w:val="Intense Quote"/>
    <w:basedOn w:val="Normal"/>
    <w:next w:val="Normal"/>
    <w:link w:val="IntenseQuoteChar"/>
    <w:uiPriority w:val="30"/>
    <w:qFormat/>
    <w:rsid w:val="00E62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A58"/>
    <w:rPr>
      <w:i/>
      <w:iCs/>
      <w:color w:val="0F4761" w:themeColor="accent1" w:themeShade="BF"/>
    </w:rPr>
  </w:style>
  <w:style w:type="character" w:styleId="IntenseReference">
    <w:name w:val="Intense Reference"/>
    <w:basedOn w:val="DefaultParagraphFont"/>
    <w:uiPriority w:val="32"/>
    <w:qFormat/>
    <w:rsid w:val="00E62A58"/>
    <w:rPr>
      <w:b/>
      <w:bCs/>
      <w:smallCaps/>
      <w:color w:val="0F4761" w:themeColor="accent1" w:themeShade="BF"/>
      <w:spacing w:val="5"/>
    </w:rPr>
  </w:style>
  <w:style w:type="paragraph" w:styleId="FootnoteText">
    <w:name w:val="footnote text"/>
    <w:basedOn w:val="Normal"/>
    <w:link w:val="FootnoteTextChar"/>
    <w:uiPriority w:val="99"/>
    <w:unhideWhenUsed/>
    <w:rsid w:val="00E62A58"/>
    <w:pPr>
      <w:spacing w:after="0" w:line="240" w:lineRule="auto"/>
    </w:pPr>
    <w:rPr>
      <w:rFonts w:eastAsia="Roboto" w:cstheme="minorHAnsi"/>
      <w:color w:val="000000" w:themeColor="text1"/>
      <w:kern w:val="0"/>
      <w:sz w:val="20"/>
      <w:szCs w:val="20"/>
      <w14:ligatures w14:val="none"/>
    </w:rPr>
  </w:style>
  <w:style w:type="character" w:customStyle="1" w:styleId="FootnoteTextChar">
    <w:name w:val="Footnote Text Char"/>
    <w:basedOn w:val="DefaultParagraphFont"/>
    <w:link w:val="FootnoteText"/>
    <w:uiPriority w:val="99"/>
    <w:rsid w:val="00E62A58"/>
    <w:rPr>
      <w:rFonts w:eastAsia="Roboto" w:cstheme="minorHAnsi"/>
      <w:color w:val="000000" w:themeColor="text1"/>
      <w:kern w:val="0"/>
      <w:sz w:val="20"/>
      <w:szCs w:val="20"/>
      <w14:ligatures w14:val="none"/>
    </w:rPr>
  </w:style>
  <w:style w:type="character" w:styleId="FootnoteReference">
    <w:name w:val="footnote reference"/>
    <w:basedOn w:val="DefaultParagraphFont"/>
    <w:uiPriority w:val="99"/>
    <w:semiHidden/>
    <w:unhideWhenUsed/>
    <w:rsid w:val="00E62A58"/>
    <w:rPr>
      <w:vertAlign w:val="superscript"/>
    </w:rPr>
  </w:style>
  <w:style w:type="table" w:styleId="TableGrid">
    <w:name w:val="Table Grid"/>
    <w:basedOn w:val="TableNormal"/>
    <w:uiPriority w:val="39"/>
    <w:rsid w:val="00E62A58"/>
    <w:pPr>
      <w:spacing w:after="0" w:line="240" w:lineRule="auto"/>
    </w:pPr>
    <w:rPr>
      <w:sz w:val="22"/>
      <w:szCs w:val="22"/>
      <w:lang w:val="en-US"/>
    </w:rPr>
    <w:tblPr/>
  </w:style>
  <w:style w:type="paragraph" w:styleId="Revision">
    <w:name w:val="Revision"/>
    <w:hidden/>
    <w:uiPriority w:val="99"/>
    <w:semiHidden/>
    <w:rsid w:val="00D32035"/>
    <w:pPr>
      <w:spacing w:after="0" w:line="240" w:lineRule="auto"/>
    </w:pPr>
    <w:rPr>
      <w:sz w:val="22"/>
      <w:szCs w:val="22"/>
    </w:rPr>
  </w:style>
  <w:style w:type="character" w:customStyle="1" w:styleId="normaltextrun">
    <w:name w:val="normaltextrun"/>
    <w:basedOn w:val="DefaultParagraphFont"/>
    <w:rsid w:val="00D32035"/>
  </w:style>
  <w:style w:type="character" w:customStyle="1" w:styleId="eop">
    <w:name w:val="eop"/>
    <w:basedOn w:val="DefaultParagraphFont"/>
    <w:rsid w:val="00D32035"/>
  </w:style>
  <w:style w:type="character" w:styleId="CommentReference">
    <w:name w:val="annotation reference"/>
    <w:basedOn w:val="DefaultParagraphFont"/>
    <w:uiPriority w:val="99"/>
    <w:semiHidden/>
    <w:unhideWhenUsed/>
    <w:rsid w:val="00D32035"/>
    <w:rPr>
      <w:sz w:val="16"/>
      <w:szCs w:val="16"/>
    </w:rPr>
  </w:style>
  <w:style w:type="paragraph" w:styleId="CommentText">
    <w:name w:val="annotation text"/>
    <w:basedOn w:val="Normal"/>
    <w:link w:val="CommentTextChar"/>
    <w:uiPriority w:val="99"/>
    <w:unhideWhenUsed/>
    <w:rsid w:val="00D32035"/>
    <w:pPr>
      <w:spacing w:line="240" w:lineRule="auto"/>
    </w:pPr>
    <w:rPr>
      <w:sz w:val="20"/>
      <w:szCs w:val="20"/>
    </w:rPr>
  </w:style>
  <w:style w:type="character" w:customStyle="1" w:styleId="CommentTextChar">
    <w:name w:val="Comment Text Char"/>
    <w:basedOn w:val="DefaultParagraphFont"/>
    <w:link w:val="CommentText"/>
    <w:uiPriority w:val="99"/>
    <w:rsid w:val="00D32035"/>
    <w:rPr>
      <w:sz w:val="20"/>
      <w:szCs w:val="20"/>
    </w:rPr>
  </w:style>
  <w:style w:type="paragraph" w:styleId="CommentSubject">
    <w:name w:val="annotation subject"/>
    <w:basedOn w:val="CommentText"/>
    <w:next w:val="CommentText"/>
    <w:link w:val="CommentSubjectChar"/>
    <w:uiPriority w:val="99"/>
    <w:semiHidden/>
    <w:unhideWhenUsed/>
    <w:rsid w:val="00D32035"/>
    <w:rPr>
      <w:b/>
      <w:bCs/>
    </w:rPr>
  </w:style>
  <w:style w:type="character" w:customStyle="1" w:styleId="CommentSubjectChar">
    <w:name w:val="Comment Subject Char"/>
    <w:basedOn w:val="CommentTextChar"/>
    <w:link w:val="CommentSubject"/>
    <w:uiPriority w:val="99"/>
    <w:semiHidden/>
    <w:rsid w:val="00D32035"/>
    <w:rPr>
      <w:b/>
      <w:bCs/>
      <w:sz w:val="20"/>
      <w:szCs w:val="20"/>
    </w:rPr>
  </w:style>
  <w:style w:type="character" w:styleId="Hyperlink">
    <w:name w:val="Hyperlink"/>
    <w:basedOn w:val="DefaultParagraphFont"/>
    <w:uiPriority w:val="99"/>
    <w:unhideWhenUsed/>
    <w:rsid w:val="00D32035"/>
    <w:rPr>
      <w:color w:val="467886" w:themeColor="hyperlink"/>
      <w:u w:val="single"/>
    </w:rPr>
  </w:style>
  <w:style w:type="character" w:styleId="UnresolvedMention">
    <w:name w:val="Unresolved Mention"/>
    <w:basedOn w:val="DefaultParagraphFont"/>
    <w:uiPriority w:val="99"/>
    <w:semiHidden/>
    <w:unhideWhenUsed/>
    <w:rsid w:val="00D32035"/>
    <w:rPr>
      <w:color w:val="605E5C"/>
      <w:shd w:val="clear" w:color="auto" w:fill="E1DFDD"/>
    </w:rPr>
  </w:style>
  <w:style w:type="paragraph" w:styleId="Header">
    <w:name w:val="header"/>
    <w:basedOn w:val="Normal"/>
    <w:link w:val="HeaderChar"/>
    <w:uiPriority w:val="99"/>
    <w:unhideWhenUsed/>
    <w:rsid w:val="004F582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F582D"/>
    <w:rPr>
      <w:sz w:val="22"/>
      <w:szCs w:val="22"/>
    </w:rPr>
  </w:style>
  <w:style w:type="paragraph" w:styleId="Footer">
    <w:name w:val="footer"/>
    <w:basedOn w:val="Normal"/>
    <w:link w:val="FooterChar"/>
    <w:uiPriority w:val="99"/>
    <w:unhideWhenUsed/>
    <w:rsid w:val="004F582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F582D"/>
    <w:rPr>
      <w:sz w:val="22"/>
      <w:szCs w:val="22"/>
    </w:rPr>
  </w:style>
  <w:style w:type="paragraph" w:customStyle="1" w:styleId="paragraph">
    <w:name w:val="paragraph"/>
    <w:basedOn w:val="Normal"/>
    <w:rsid w:val="008A1BC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cxw197522084">
    <w:name w:val="scxw197522084"/>
    <w:basedOn w:val="DefaultParagraphFont"/>
    <w:rsid w:val="008A1BC8"/>
  </w:style>
  <w:style w:type="paragraph" w:customStyle="1" w:styleId="p1">
    <w:name w:val="p1"/>
    <w:basedOn w:val="Normal"/>
    <w:rsid w:val="003F3D0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1">
    <w:name w:val="s1"/>
    <w:basedOn w:val="DefaultParagraphFont"/>
    <w:rsid w:val="003F3D0A"/>
  </w:style>
  <w:style w:type="character" w:customStyle="1" w:styleId="s2">
    <w:name w:val="s2"/>
    <w:basedOn w:val="DefaultParagraphFont"/>
    <w:rsid w:val="003F3D0A"/>
  </w:style>
  <w:style w:type="character" w:customStyle="1" w:styleId="s3">
    <w:name w:val="s3"/>
    <w:basedOn w:val="DefaultParagraphFont"/>
    <w:rsid w:val="003F3D0A"/>
  </w:style>
  <w:style w:type="character" w:customStyle="1" w:styleId="s4">
    <w:name w:val="s4"/>
    <w:basedOn w:val="DefaultParagraphFont"/>
    <w:rsid w:val="003F3D0A"/>
  </w:style>
  <w:style w:type="paragraph" w:customStyle="1" w:styleId="p3">
    <w:name w:val="p3"/>
    <w:basedOn w:val="Normal"/>
    <w:rsid w:val="003F3D0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96A1D"/>
    <w:rPr>
      <w:b/>
      <w:bCs/>
    </w:rPr>
  </w:style>
  <w:style w:type="character" w:styleId="Emphasis">
    <w:name w:val="Emphasis"/>
    <w:basedOn w:val="DefaultParagraphFont"/>
    <w:uiPriority w:val="20"/>
    <w:qFormat/>
    <w:rsid w:val="00A96A1D"/>
    <w:rPr>
      <w:i/>
      <w:iCs/>
    </w:rPr>
  </w:style>
  <w:style w:type="paragraph" w:customStyle="1" w:styleId="Default">
    <w:name w:val="Default"/>
    <w:basedOn w:val="Normal"/>
    <w:uiPriority w:val="1"/>
    <w:rsid w:val="35F9E276"/>
    <w:pPr>
      <w:spacing w:after="0"/>
    </w:pPr>
    <w:rPr>
      <w:rFonts w:eastAsiaTheme="minorEastAsia"/>
      <w:color w:val="000000" w:themeColor="text1"/>
      <w:sz w:val="24"/>
      <w:szCs w:val="24"/>
      <w:lang w:eastAsia="en-GB"/>
    </w:rPr>
  </w:style>
  <w:style w:type="character" w:styleId="Mention">
    <w:name w:val="Mention"/>
    <w:basedOn w:val="DefaultParagraphFont"/>
    <w:uiPriority w:val="99"/>
    <w:unhideWhenUsed/>
    <w:rsid w:val="002B2D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8427">
      <w:bodyDiv w:val="1"/>
      <w:marLeft w:val="0"/>
      <w:marRight w:val="0"/>
      <w:marTop w:val="0"/>
      <w:marBottom w:val="0"/>
      <w:divBdr>
        <w:top w:val="none" w:sz="0" w:space="0" w:color="auto"/>
        <w:left w:val="none" w:sz="0" w:space="0" w:color="auto"/>
        <w:bottom w:val="none" w:sz="0" w:space="0" w:color="auto"/>
        <w:right w:val="none" w:sz="0" w:space="0" w:color="auto"/>
      </w:divBdr>
    </w:div>
    <w:div w:id="107169354">
      <w:bodyDiv w:val="1"/>
      <w:marLeft w:val="0"/>
      <w:marRight w:val="0"/>
      <w:marTop w:val="0"/>
      <w:marBottom w:val="0"/>
      <w:divBdr>
        <w:top w:val="none" w:sz="0" w:space="0" w:color="auto"/>
        <w:left w:val="none" w:sz="0" w:space="0" w:color="auto"/>
        <w:bottom w:val="none" w:sz="0" w:space="0" w:color="auto"/>
        <w:right w:val="none" w:sz="0" w:space="0" w:color="auto"/>
      </w:divBdr>
    </w:div>
    <w:div w:id="125243630">
      <w:bodyDiv w:val="1"/>
      <w:marLeft w:val="0"/>
      <w:marRight w:val="0"/>
      <w:marTop w:val="0"/>
      <w:marBottom w:val="0"/>
      <w:divBdr>
        <w:top w:val="none" w:sz="0" w:space="0" w:color="auto"/>
        <w:left w:val="none" w:sz="0" w:space="0" w:color="auto"/>
        <w:bottom w:val="none" w:sz="0" w:space="0" w:color="auto"/>
        <w:right w:val="none" w:sz="0" w:space="0" w:color="auto"/>
      </w:divBdr>
    </w:div>
    <w:div w:id="145123836">
      <w:bodyDiv w:val="1"/>
      <w:marLeft w:val="0"/>
      <w:marRight w:val="0"/>
      <w:marTop w:val="0"/>
      <w:marBottom w:val="0"/>
      <w:divBdr>
        <w:top w:val="none" w:sz="0" w:space="0" w:color="auto"/>
        <w:left w:val="none" w:sz="0" w:space="0" w:color="auto"/>
        <w:bottom w:val="none" w:sz="0" w:space="0" w:color="auto"/>
        <w:right w:val="none" w:sz="0" w:space="0" w:color="auto"/>
      </w:divBdr>
      <w:divsChild>
        <w:div w:id="1308825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446827">
      <w:bodyDiv w:val="1"/>
      <w:marLeft w:val="0"/>
      <w:marRight w:val="0"/>
      <w:marTop w:val="0"/>
      <w:marBottom w:val="0"/>
      <w:divBdr>
        <w:top w:val="none" w:sz="0" w:space="0" w:color="auto"/>
        <w:left w:val="none" w:sz="0" w:space="0" w:color="auto"/>
        <w:bottom w:val="none" w:sz="0" w:space="0" w:color="auto"/>
        <w:right w:val="none" w:sz="0" w:space="0" w:color="auto"/>
      </w:divBdr>
    </w:div>
    <w:div w:id="214784370">
      <w:bodyDiv w:val="1"/>
      <w:marLeft w:val="0"/>
      <w:marRight w:val="0"/>
      <w:marTop w:val="0"/>
      <w:marBottom w:val="0"/>
      <w:divBdr>
        <w:top w:val="none" w:sz="0" w:space="0" w:color="auto"/>
        <w:left w:val="none" w:sz="0" w:space="0" w:color="auto"/>
        <w:bottom w:val="none" w:sz="0" w:space="0" w:color="auto"/>
        <w:right w:val="none" w:sz="0" w:space="0" w:color="auto"/>
      </w:divBdr>
    </w:div>
    <w:div w:id="306014266">
      <w:bodyDiv w:val="1"/>
      <w:marLeft w:val="0"/>
      <w:marRight w:val="0"/>
      <w:marTop w:val="0"/>
      <w:marBottom w:val="0"/>
      <w:divBdr>
        <w:top w:val="none" w:sz="0" w:space="0" w:color="auto"/>
        <w:left w:val="none" w:sz="0" w:space="0" w:color="auto"/>
        <w:bottom w:val="none" w:sz="0" w:space="0" w:color="auto"/>
        <w:right w:val="none" w:sz="0" w:space="0" w:color="auto"/>
      </w:divBdr>
    </w:div>
    <w:div w:id="683898586">
      <w:bodyDiv w:val="1"/>
      <w:marLeft w:val="0"/>
      <w:marRight w:val="0"/>
      <w:marTop w:val="0"/>
      <w:marBottom w:val="0"/>
      <w:divBdr>
        <w:top w:val="none" w:sz="0" w:space="0" w:color="auto"/>
        <w:left w:val="none" w:sz="0" w:space="0" w:color="auto"/>
        <w:bottom w:val="none" w:sz="0" w:space="0" w:color="auto"/>
        <w:right w:val="none" w:sz="0" w:space="0" w:color="auto"/>
      </w:divBdr>
    </w:div>
    <w:div w:id="826482211">
      <w:bodyDiv w:val="1"/>
      <w:marLeft w:val="0"/>
      <w:marRight w:val="0"/>
      <w:marTop w:val="0"/>
      <w:marBottom w:val="0"/>
      <w:divBdr>
        <w:top w:val="none" w:sz="0" w:space="0" w:color="auto"/>
        <w:left w:val="none" w:sz="0" w:space="0" w:color="auto"/>
        <w:bottom w:val="none" w:sz="0" w:space="0" w:color="auto"/>
        <w:right w:val="none" w:sz="0" w:space="0" w:color="auto"/>
      </w:divBdr>
    </w:div>
    <w:div w:id="865676193">
      <w:bodyDiv w:val="1"/>
      <w:marLeft w:val="0"/>
      <w:marRight w:val="0"/>
      <w:marTop w:val="0"/>
      <w:marBottom w:val="0"/>
      <w:divBdr>
        <w:top w:val="none" w:sz="0" w:space="0" w:color="auto"/>
        <w:left w:val="none" w:sz="0" w:space="0" w:color="auto"/>
        <w:bottom w:val="none" w:sz="0" w:space="0" w:color="auto"/>
        <w:right w:val="none" w:sz="0" w:space="0" w:color="auto"/>
      </w:divBdr>
      <w:divsChild>
        <w:div w:id="1282881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625171">
      <w:bodyDiv w:val="1"/>
      <w:marLeft w:val="0"/>
      <w:marRight w:val="0"/>
      <w:marTop w:val="0"/>
      <w:marBottom w:val="0"/>
      <w:divBdr>
        <w:top w:val="none" w:sz="0" w:space="0" w:color="auto"/>
        <w:left w:val="none" w:sz="0" w:space="0" w:color="auto"/>
        <w:bottom w:val="none" w:sz="0" w:space="0" w:color="auto"/>
        <w:right w:val="none" w:sz="0" w:space="0" w:color="auto"/>
      </w:divBdr>
    </w:div>
    <w:div w:id="1095781671">
      <w:bodyDiv w:val="1"/>
      <w:marLeft w:val="0"/>
      <w:marRight w:val="0"/>
      <w:marTop w:val="0"/>
      <w:marBottom w:val="0"/>
      <w:divBdr>
        <w:top w:val="none" w:sz="0" w:space="0" w:color="auto"/>
        <w:left w:val="none" w:sz="0" w:space="0" w:color="auto"/>
        <w:bottom w:val="none" w:sz="0" w:space="0" w:color="auto"/>
        <w:right w:val="none" w:sz="0" w:space="0" w:color="auto"/>
      </w:divBdr>
    </w:div>
    <w:div w:id="1125198194">
      <w:bodyDiv w:val="1"/>
      <w:marLeft w:val="0"/>
      <w:marRight w:val="0"/>
      <w:marTop w:val="0"/>
      <w:marBottom w:val="0"/>
      <w:divBdr>
        <w:top w:val="none" w:sz="0" w:space="0" w:color="auto"/>
        <w:left w:val="none" w:sz="0" w:space="0" w:color="auto"/>
        <w:bottom w:val="none" w:sz="0" w:space="0" w:color="auto"/>
        <w:right w:val="none" w:sz="0" w:space="0" w:color="auto"/>
      </w:divBdr>
    </w:div>
    <w:div w:id="1166018144">
      <w:bodyDiv w:val="1"/>
      <w:marLeft w:val="0"/>
      <w:marRight w:val="0"/>
      <w:marTop w:val="0"/>
      <w:marBottom w:val="0"/>
      <w:divBdr>
        <w:top w:val="none" w:sz="0" w:space="0" w:color="auto"/>
        <w:left w:val="none" w:sz="0" w:space="0" w:color="auto"/>
        <w:bottom w:val="none" w:sz="0" w:space="0" w:color="auto"/>
        <w:right w:val="none" w:sz="0" w:space="0" w:color="auto"/>
      </w:divBdr>
      <w:divsChild>
        <w:div w:id="1224558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6348474">
      <w:bodyDiv w:val="1"/>
      <w:marLeft w:val="0"/>
      <w:marRight w:val="0"/>
      <w:marTop w:val="0"/>
      <w:marBottom w:val="0"/>
      <w:divBdr>
        <w:top w:val="none" w:sz="0" w:space="0" w:color="auto"/>
        <w:left w:val="none" w:sz="0" w:space="0" w:color="auto"/>
        <w:bottom w:val="none" w:sz="0" w:space="0" w:color="auto"/>
        <w:right w:val="none" w:sz="0" w:space="0" w:color="auto"/>
      </w:divBdr>
    </w:div>
    <w:div w:id="1440563822">
      <w:bodyDiv w:val="1"/>
      <w:marLeft w:val="0"/>
      <w:marRight w:val="0"/>
      <w:marTop w:val="0"/>
      <w:marBottom w:val="0"/>
      <w:divBdr>
        <w:top w:val="none" w:sz="0" w:space="0" w:color="auto"/>
        <w:left w:val="none" w:sz="0" w:space="0" w:color="auto"/>
        <w:bottom w:val="none" w:sz="0" w:space="0" w:color="auto"/>
        <w:right w:val="none" w:sz="0" w:space="0" w:color="auto"/>
      </w:divBdr>
    </w:div>
    <w:div w:id="1570652923">
      <w:bodyDiv w:val="1"/>
      <w:marLeft w:val="0"/>
      <w:marRight w:val="0"/>
      <w:marTop w:val="0"/>
      <w:marBottom w:val="0"/>
      <w:divBdr>
        <w:top w:val="none" w:sz="0" w:space="0" w:color="auto"/>
        <w:left w:val="none" w:sz="0" w:space="0" w:color="auto"/>
        <w:bottom w:val="none" w:sz="0" w:space="0" w:color="auto"/>
        <w:right w:val="none" w:sz="0" w:space="0" w:color="auto"/>
      </w:divBdr>
    </w:div>
    <w:div w:id="1571427511">
      <w:bodyDiv w:val="1"/>
      <w:marLeft w:val="0"/>
      <w:marRight w:val="0"/>
      <w:marTop w:val="0"/>
      <w:marBottom w:val="0"/>
      <w:divBdr>
        <w:top w:val="none" w:sz="0" w:space="0" w:color="auto"/>
        <w:left w:val="none" w:sz="0" w:space="0" w:color="auto"/>
        <w:bottom w:val="none" w:sz="0" w:space="0" w:color="auto"/>
        <w:right w:val="none" w:sz="0" w:space="0" w:color="auto"/>
      </w:divBdr>
      <w:divsChild>
        <w:div w:id="167064636">
          <w:marLeft w:val="0"/>
          <w:marRight w:val="0"/>
          <w:marTop w:val="0"/>
          <w:marBottom w:val="0"/>
          <w:divBdr>
            <w:top w:val="none" w:sz="0" w:space="0" w:color="auto"/>
            <w:left w:val="none" w:sz="0" w:space="0" w:color="auto"/>
            <w:bottom w:val="none" w:sz="0" w:space="0" w:color="auto"/>
            <w:right w:val="none" w:sz="0" w:space="0" w:color="auto"/>
          </w:divBdr>
          <w:divsChild>
            <w:div w:id="141701887">
              <w:marLeft w:val="0"/>
              <w:marRight w:val="0"/>
              <w:marTop w:val="0"/>
              <w:marBottom w:val="0"/>
              <w:divBdr>
                <w:top w:val="none" w:sz="0" w:space="0" w:color="auto"/>
                <w:left w:val="none" w:sz="0" w:space="0" w:color="auto"/>
                <w:bottom w:val="none" w:sz="0" w:space="0" w:color="auto"/>
                <w:right w:val="none" w:sz="0" w:space="0" w:color="auto"/>
              </w:divBdr>
            </w:div>
            <w:div w:id="999849199">
              <w:marLeft w:val="0"/>
              <w:marRight w:val="0"/>
              <w:marTop w:val="0"/>
              <w:marBottom w:val="0"/>
              <w:divBdr>
                <w:top w:val="none" w:sz="0" w:space="0" w:color="auto"/>
                <w:left w:val="none" w:sz="0" w:space="0" w:color="auto"/>
                <w:bottom w:val="none" w:sz="0" w:space="0" w:color="auto"/>
                <w:right w:val="none" w:sz="0" w:space="0" w:color="auto"/>
              </w:divBdr>
            </w:div>
          </w:divsChild>
        </w:div>
        <w:div w:id="174226619">
          <w:marLeft w:val="0"/>
          <w:marRight w:val="0"/>
          <w:marTop w:val="0"/>
          <w:marBottom w:val="0"/>
          <w:divBdr>
            <w:top w:val="none" w:sz="0" w:space="0" w:color="auto"/>
            <w:left w:val="none" w:sz="0" w:space="0" w:color="auto"/>
            <w:bottom w:val="none" w:sz="0" w:space="0" w:color="auto"/>
            <w:right w:val="none" w:sz="0" w:space="0" w:color="auto"/>
          </w:divBdr>
          <w:divsChild>
            <w:div w:id="1439258343">
              <w:marLeft w:val="0"/>
              <w:marRight w:val="0"/>
              <w:marTop w:val="0"/>
              <w:marBottom w:val="0"/>
              <w:divBdr>
                <w:top w:val="none" w:sz="0" w:space="0" w:color="auto"/>
                <w:left w:val="none" w:sz="0" w:space="0" w:color="auto"/>
                <w:bottom w:val="none" w:sz="0" w:space="0" w:color="auto"/>
                <w:right w:val="none" w:sz="0" w:space="0" w:color="auto"/>
              </w:divBdr>
            </w:div>
          </w:divsChild>
        </w:div>
        <w:div w:id="310409985">
          <w:marLeft w:val="0"/>
          <w:marRight w:val="0"/>
          <w:marTop w:val="0"/>
          <w:marBottom w:val="0"/>
          <w:divBdr>
            <w:top w:val="none" w:sz="0" w:space="0" w:color="auto"/>
            <w:left w:val="none" w:sz="0" w:space="0" w:color="auto"/>
            <w:bottom w:val="none" w:sz="0" w:space="0" w:color="auto"/>
            <w:right w:val="none" w:sz="0" w:space="0" w:color="auto"/>
          </w:divBdr>
          <w:divsChild>
            <w:div w:id="798302423">
              <w:marLeft w:val="0"/>
              <w:marRight w:val="0"/>
              <w:marTop w:val="0"/>
              <w:marBottom w:val="0"/>
              <w:divBdr>
                <w:top w:val="none" w:sz="0" w:space="0" w:color="auto"/>
                <w:left w:val="none" w:sz="0" w:space="0" w:color="auto"/>
                <w:bottom w:val="none" w:sz="0" w:space="0" w:color="auto"/>
                <w:right w:val="none" w:sz="0" w:space="0" w:color="auto"/>
              </w:divBdr>
            </w:div>
            <w:div w:id="1656256620">
              <w:marLeft w:val="0"/>
              <w:marRight w:val="0"/>
              <w:marTop w:val="0"/>
              <w:marBottom w:val="0"/>
              <w:divBdr>
                <w:top w:val="none" w:sz="0" w:space="0" w:color="auto"/>
                <w:left w:val="none" w:sz="0" w:space="0" w:color="auto"/>
                <w:bottom w:val="none" w:sz="0" w:space="0" w:color="auto"/>
                <w:right w:val="none" w:sz="0" w:space="0" w:color="auto"/>
              </w:divBdr>
            </w:div>
            <w:div w:id="1837376758">
              <w:marLeft w:val="0"/>
              <w:marRight w:val="0"/>
              <w:marTop w:val="0"/>
              <w:marBottom w:val="0"/>
              <w:divBdr>
                <w:top w:val="none" w:sz="0" w:space="0" w:color="auto"/>
                <w:left w:val="none" w:sz="0" w:space="0" w:color="auto"/>
                <w:bottom w:val="none" w:sz="0" w:space="0" w:color="auto"/>
                <w:right w:val="none" w:sz="0" w:space="0" w:color="auto"/>
              </w:divBdr>
            </w:div>
          </w:divsChild>
        </w:div>
        <w:div w:id="481432428">
          <w:marLeft w:val="0"/>
          <w:marRight w:val="0"/>
          <w:marTop w:val="0"/>
          <w:marBottom w:val="0"/>
          <w:divBdr>
            <w:top w:val="none" w:sz="0" w:space="0" w:color="auto"/>
            <w:left w:val="none" w:sz="0" w:space="0" w:color="auto"/>
            <w:bottom w:val="none" w:sz="0" w:space="0" w:color="auto"/>
            <w:right w:val="none" w:sz="0" w:space="0" w:color="auto"/>
          </w:divBdr>
          <w:divsChild>
            <w:div w:id="1601375010">
              <w:marLeft w:val="0"/>
              <w:marRight w:val="0"/>
              <w:marTop w:val="0"/>
              <w:marBottom w:val="0"/>
              <w:divBdr>
                <w:top w:val="none" w:sz="0" w:space="0" w:color="auto"/>
                <w:left w:val="none" w:sz="0" w:space="0" w:color="auto"/>
                <w:bottom w:val="none" w:sz="0" w:space="0" w:color="auto"/>
                <w:right w:val="none" w:sz="0" w:space="0" w:color="auto"/>
              </w:divBdr>
            </w:div>
          </w:divsChild>
        </w:div>
        <w:div w:id="531696562">
          <w:marLeft w:val="0"/>
          <w:marRight w:val="0"/>
          <w:marTop w:val="0"/>
          <w:marBottom w:val="0"/>
          <w:divBdr>
            <w:top w:val="none" w:sz="0" w:space="0" w:color="auto"/>
            <w:left w:val="none" w:sz="0" w:space="0" w:color="auto"/>
            <w:bottom w:val="none" w:sz="0" w:space="0" w:color="auto"/>
            <w:right w:val="none" w:sz="0" w:space="0" w:color="auto"/>
          </w:divBdr>
          <w:divsChild>
            <w:div w:id="1863084891">
              <w:marLeft w:val="0"/>
              <w:marRight w:val="0"/>
              <w:marTop w:val="0"/>
              <w:marBottom w:val="0"/>
              <w:divBdr>
                <w:top w:val="none" w:sz="0" w:space="0" w:color="auto"/>
                <w:left w:val="none" w:sz="0" w:space="0" w:color="auto"/>
                <w:bottom w:val="none" w:sz="0" w:space="0" w:color="auto"/>
                <w:right w:val="none" w:sz="0" w:space="0" w:color="auto"/>
              </w:divBdr>
            </w:div>
          </w:divsChild>
        </w:div>
        <w:div w:id="739064409">
          <w:marLeft w:val="0"/>
          <w:marRight w:val="0"/>
          <w:marTop w:val="0"/>
          <w:marBottom w:val="0"/>
          <w:divBdr>
            <w:top w:val="none" w:sz="0" w:space="0" w:color="auto"/>
            <w:left w:val="none" w:sz="0" w:space="0" w:color="auto"/>
            <w:bottom w:val="none" w:sz="0" w:space="0" w:color="auto"/>
            <w:right w:val="none" w:sz="0" w:space="0" w:color="auto"/>
          </w:divBdr>
          <w:divsChild>
            <w:div w:id="1463035040">
              <w:marLeft w:val="0"/>
              <w:marRight w:val="0"/>
              <w:marTop w:val="0"/>
              <w:marBottom w:val="0"/>
              <w:divBdr>
                <w:top w:val="none" w:sz="0" w:space="0" w:color="auto"/>
                <w:left w:val="none" w:sz="0" w:space="0" w:color="auto"/>
                <w:bottom w:val="none" w:sz="0" w:space="0" w:color="auto"/>
                <w:right w:val="none" w:sz="0" w:space="0" w:color="auto"/>
              </w:divBdr>
            </w:div>
          </w:divsChild>
        </w:div>
        <w:div w:id="834147437">
          <w:marLeft w:val="0"/>
          <w:marRight w:val="0"/>
          <w:marTop w:val="0"/>
          <w:marBottom w:val="0"/>
          <w:divBdr>
            <w:top w:val="none" w:sz="0" w:space="0" w:color="auto"/>
            <w:left w:val="none" w:sz="0" w:space="0" w:color="auto"/>
            <w:bottom w:val="none" w:sz="0" w:space="0" w:color="auto"/>
            <w:right w:val="none" w:sz="0" w:space="0" w:color="auto"/>
          </w:divBdr>
          <w:divsChild>
            <w:div w:id="1920480024">
              <w:marLeft w:val="0"/>
              <w:marRight w:val="0"/>
              <w:marTop w:val="0"/>
              <w:marBottom w:val="0"/>
              <w:divBdr>
                <w:top w:val="none" w:sz="0" w:space="0" w:color="auto"/>
                <w:left w:val="none" w:sz="0" w:space="0" w:color="auto"/>
                <w:bottom w:val="none" w:sz="0" w:space="0" w:color="auto"/>
                <w:right w:val="none" w:sz="0" w:space="0" w:color="auto"/>
              </w:divBdr>
            </w:div>
          </w:divsChild>
        </w:div>
        <w:div w:id="1379478160">
          <w:marLeft w:val="0"/>
          <w:marRight w:val="0"/>
          <w:marTop w:val="0"/>
          <w:marBottom w:val="0"/>
          <w:divBdr>
            <w:top w:val="none" w:sz="0" w:space="0" w:color="auto"/>
            <w:left w:val="none" w:sz="0" w:space="0" w:color="auto"/>
            <w:bottom w:val="none" w:sz="0" w:space="0" w:color="auto"/>
            <w:right w:val="none" w:sz="0" w:space="0" w:color="auto"/>
          </w:divBdr>
          <w:divsChild>
            <w:div w:id="622884748">
              <w:marLeft w:val="0"/>
              <w:marRight w:val="0"/>
              <w:marTop w:val="0"/>
              <w:marBottom w:val="0"/>
              <w:divBdr>
                <w:top w:val="none" w:sz="0" w:space="0" w:color="auto"/>
                <w:left w:val="none" w:sz="0" w:space="0" w:color="auto"/>
                <w:bottom w:val="none" w:sz="0" w:space="0" w:color="auto"/>
                <w:right w:val="none" w:sz="0" w:space="0" w:color="auto"/>
              </w:divBdr>
            </w:div>
          </w:divsChild>
        </w:div>
        <w:div w:id="1629243523">
          <w:marLeft w:val="0"/>
          <w:marRight w:val="0"/>
          <w:marTop w:val="0"/>
          <w:marBottom w:val="0"/>
          <w:divBdr>
            <w:top w:val="none" w:sz="0" w:space="0" w:color="auto"/>
            <w:left w:val="none" w:sz="0" w:space="0" w:color="auto"/>
            <w:bottom w:val="none" w:sz="0" w:space="0" w:color="auto"/>
            <w:right w:val="none" w:sz="0" w:space="0" w:color="auto"/>
          </w:divBdr>
          <w:divsChild>
            <w:div w:id="773601043">
              <w:marLeft w:val="0"/>
              <w:marRight w:val="0"/>
              <w:marTop w:val="0"/>
              <w:marBottom w:val="0"/>
              <w:divBdr>
                <w:top w:val="none" w:sz="0" w:space="0" w:color="auto"/>
                <w:left w:val="none" w:sz="0" w:space="0" w:color="auto"/>
                <w:bottom w:val="none" w:sz="0" w:space="0" w:color="auto"/>
                <w:right w:val="none" w:sz="0" w:space="0" w:color="auto"/>
              </w:divBdr>
            </w:div>
          </w:divsChild>
        </w:div>
        <w:div w:id="1781794782">
          <w:marLeft w:val="0"/>
          <w:marRight w:val="0"/>
          <w:marTop w:val="0"/>
          <w:marBottom w:val="0"/>
          <w:divBdr>
            <w:top w:val="none" w:sz="0" w:space="0" w:color="auto"/>
            <w:left w:val="none" w:sz="0" w:space="0" w:color="auto"/>
            <w:bottom w:val="none" w:sz="0" w:space="0" w:color="auto"/>
            <w:right w:val="none" w:sz="0" w:space="0" w:color="auto"/>
          </w:divBdr>
          <w:divsChild>
            <w:div w:id="197399624">
              <w:marLeft w:val="0"/>
              <w:marRight w:val="0"/>
              <w:marTop w:val="0"/>
              <w:marBottom w:val="0"/>
              <w:divBdr>
                <w:top w:val="none" w:sz="0" w:space="0" w:color="auto"/>
                <w:left w:val="none" w:sz="0" w:space="0" w:color="auto"/>
                <w:bottom w:val="none" w:sz="0" w:space="0" w:color="auto"/>
                <w:right w:val="none" w:sz="0" w:space="0" w:color="auto"/>
              </w:divBdr>
            </w:div>
            <w:div w:id="67712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9369">
      <w:bodyDiv w:val="1"/>
      <w:marLeft w:val="0"/>
      <w:marRight w:val="0"/>
      <w:marTop w:val="0"/>
      <w:marBottom w:val="0"/>
      <w:divBdr>
        <w:top w:val="none" w:sz="0" w:space="0" w:color="auto"/>
        <w:left w:val="none" w:sz="0" w:space="0" w:color="auto"/>
        <w:bottom w:val="none" w:sz="0" w:space="0" w:color="auto"/>
        <w:right w:val="none" w:sz="0" w:space="0" w:color="auto"/>
      </w:divBdr>
    </w:div>
    <w:div w:id="1673797257">
      <w:bodyDiv w:val="1"/>
      <w:marLeft w:val="0"/>
      <w:marRight w:val="0"/>
      <w:marTop w:val="0"/>
      <w:marBottom w:val="0"/>
      <w:divBdr>
        <w:top w:val="none" w:sz="0" w:space="0" w:color="auto"/>
        <w:left w:val="none" w:sz="0" w:space="0" w:color="auto"/>
        <w:bottom w:val="none" w:sz="0" w:space="0" w:color="auto"/>
        <w:right w:val="none" w:sz="0" w:space="0" w:color="auto"/>
      </w:divBdr>
    </w:div>
    <w:div w:id="1677997602">
      <w:bodyDiv w:val="1"/>
      <w:marLeft w:val="0"/>
      <w:marRight w:val="0"/>
      <w:marTop w:val="0"/>
      <w:marBottom w:val="0"/>
      <w:divBdr>
        <w:top w:val="none" w:sz="0" w:space="0" w:color="auto"/>
        <w:left w:val="none" w:sz="0" w:space="0" w:color="auto"/>
        <w:bottom w:val="none" w:sz="0" w:space="0" w:color="auto"/>
        <w:right w:val="none" w:sz="0" w:space="0" w:color="auto"/>
      </w:divBdr>
    </w:div>
    <w:div w:id="1884752003">
      <w:bodyDiv w:val="1"/>
      <w:marLeft w:val="0"/>
      <w:marRight w:val="0"/>
      <w:marTop w:val="0"/>
      <w:marBottom w:val="0"/>
      <w:divBdr>
        <w:top w:val="none" w:sz="0" w:space="0" w:color="auto"/>
        <w:left w:val="none" w:sz="0" w:space="0" w:color="auto"/>
        <w:bottom w:val="none" w:sz="0" w:space="0" w:color="auto"/>
        <w:right w:val="none" w:sz="0" w:space="0" w:color="auto"/>
      </w:divBdr>
    </w:div>
    <w:div w:id="1965889542">
      <w:bodyDiv w:val="1"/>
      <w:marLeft w:val="0"/>
      <w:marRight w:val="0"/>
      <w:marTop w:val="0"/>
      <w:marBottom w:val="0"/>
      <w:divBdr>
        <w:top w:val="none" w:sz="0" w:space="0" w:color="auto"/>
        <w:left w:val="none" w:sz="0" w:space="0" w:color="auto"/>
        <w:bottom w:val="none" w:sz="0" w:space="0" w:color="auto"/>
        <w:right w:val="none" w:sz="0" w:space="0" w:color="auto"/>
      </w:divBdr>
    </w:div>
    <w:div w:id="2146926023">
      <w:bodyDiv w:val="1"/>
      <w:marLeft w:val="0"/>
      <w:marRight w:val="0"/>
      <w:marTop w:val="0"/>
      <w:marBottom w:val="0"/>
      <w:divBdr>
        <w:top w:val="none" w:sz="0" w:space="0" w:color="auto"/>
        <w:left w:val="none" w:sz="0" w:space="0" w:color="auto"/>
        <w:bottom w:val="none" w:sz="0" w:space="0" w:color="auto"/>
        <w:right w:val="none" w:sz="0" w:space="0" w:color="auto"/>
      </w:divBdr>
      <w:divsChild>
        <w:div w:id="1958832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081dbcec-f8f8-470e-9cf1-ff758009fc79">
      <Terms xmlns="http://schemas.microsoft.com/office/infopath/2007/PartnerControls"/>
    </lcf76f155ced4ddcb4097134ff3c332f>
    <SharedWithUsers xmlns="b22eec61-2d44-43c5-b594-c27c970b8cd8">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9195B9495523448EAA8C2805A437E4" ma:contentTypeVersion="15" ma:contentTypeDescription="Create a new document." ma:contentTypeScope="" ma:versionID="bb8444a416ee5fe1e29b8c5f5af863bb">
  <xsd:schema xmlns:xsd="http://www.w3.org/2001/XMLSchema" xmlns:xs="http://www.w3.org/2001/XMLSchema" xmlns:p="http://schemas.microsoft.com/office/2006/metadata/properties" xmlns:ns2="b22eec61-2d44-43c5-b594-c27c970b8cd8" xmlns:ns3="081dbcec-f8f8-470e-9cf1-ff758009fc79" xmlns:ns4="985ec44e-1bab-4c0b-9df0-6ba128686fc9" targetNamespace="http://schemas.microsoft.com/office/2006/metadata/properties" ma:root="true" ma:fieldsID="d3a31ff294e197b7b01d2e7d43cc42af" ns2:_="" ns3:_="" ns4:_="">
    <xsd:import namespace="b22eec61-2d44-43c5-b594-c27c970b8cd8"/>
    <xsd:import namespace="081dbcec-f8f8-470e-9cf1-ff758009fc79"/>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eec61-2d44-43c5-b594-c27c970b8c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1dbcec-f8f8-470e-9cf1-ff758009fc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c44679b-3369-4aa4-9b0e-a35420982155}" ma:internalName="TaxCatchAll" ma:showField="CatchAllData" ma:web="b22eec61-2d44-43c5-b594-c27c970b8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A9D197-B86D-4B78-A457-6659D1AC5C56}">
  <ds:schemaRefs>
    <ds:schemaRef ds:uri="http://schemas.microsoft.com/office/2006/metadata/properties"/>
    <ds:schemaRef ds:uri="http://schemas.microsoft.com/office/infopath/2007/PartnerControls"/>
    <ds:schemaRef ds:uri="985ec44e-1bab-4c0b-9df0-6ba128686fc9"/>
    <ds:schemaRef ds:uri="081dbcec-f8f8-470e-9cf1-ff758009fc79"/>
    <ds:schemaRef ds:uri="b22eec61-2d44-43c5-b594-c27c970b8cd8"/>
  </ds:schemaRefs>
</ds:datastoreItem>
</file>

<file path=customXml/itemProps2.xml><?xml version="1.0" encoding="utf-8"?>
<ds:datastoreItem xmlns:ds="http://schemas.openxmlformats.org/officeDocument/2006/customXml" ds:itemID="{845CEB4F-994F-4889-AD78-96B5F42DF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eec61-2d44-43c5-b594-c27c970b8cd8"/>
    <ds:schemaRef ds:uri="081dbcec-f8f8-470e-9cf1-ff758009fc7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117EAF-0700-494F-8C68-D85DF27F1F31}">
  <ds:schemaRefs>
    <ds:schemaRef ds:uri="http://schemas.openxmlformats.org/officeDocument/2006/bibliography"/>
  </ds:schemaRefs>
</ds:datastoreItem>
</file>

<file path=customXml/itemProps4.xml><?xml version="1.0" encoding="utf-8"?>
<ds:datastoreItem xmlns:ds="http://schemas.openxmlformats.org/officeDocument/2006/customXml" ds:itemID="{0EA6EB9E-E124-4CA4-9BB5-3CFAA486580B}">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Secrieru</dc:creator>
  <cp:keywords/>
  <dc:description/>
  <cp:lastModifiedBy>Sharon Mcauslan</cp:lastModifiedBy>
  <cp:revision>9</cp:revision>
  <dcterms:created xsi:type="dcterms:W3CDTF">2025-11-13T21:50:00Z</dcterms:created>
  <dcterms:modified xsi:type="dcterms:W3CDTF">2025-11-13T22:10:00Z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0x010100549195B9495523448EAA8C2805A437E4</vt:lpwstr>
  </property>
  <property fmtid="{D5CDD505-2E9C-101B-9397-08002B2CF9AE}" pid="3" name="MediaServiceImageTags">
    <vt:lpwstr/>
  </property>
  <property fmtid="{D5CDD505-2E9C-101B-9397-08002B2CF9AE}" pid="4" name="Order">
    <vt:i4>156900</vt:i4>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TaxKeyword">
    <vt:lpwstr/>
  </property>
  <property fmtid="{D5CDD505-2E9C-101B-9397-08002B2CF9AE}" pid="12" name="Weight">
    <vt:lpwstr/>
  </property>
</Properties>
</file>