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2AA7D7A" w14:textId="2E34BE3D" w:rsidR="006213CC" w:rsidRPr="006213CC" w:rsidRDefault="006213CC" w:rsidP="006213CC">
            <w:pPr>
              <w:spacing w:before="0" w:after="0" w:line="240" w:lineRule="auto"/>
              <w:rPr>
                <w:rFonts w:eastAsia="Aptos" w:cs="Times New Roman"/>
                <w:b/>
                <w:color w:val="215E99" w:themeColor="text2" w:themeTint="BF"/>
                <w:sz w:val="44"/>
                <w:szCs w:val="44"/>
                <w:lang w:val="it-IT"/>
              </w:rPr>
            </w:pPr>
            <w:r w:rsidRPr="006213CC">
              <w:rPr>
                <w:rFonts w:eastAsia="Aptos" w:cs="Times New Roman"/>
                <w:b/>
                <w:color w:val="215E99" w:themeColor="text2" w:themeTint="BF"/>
                <w:sz w:val="44"/>
                <w:szCs w:val="44"/>
                <w:lang w:val="it-IT"/>
              </w:rPr>
              <w:t>Cross</w:t>
            </w:r>
            <w:r>
              <w:rPr>
                <w:rFonts w:eastAsia="Aptos" w:cs="Times New Roman"/>
                <w:b/>
                <w:color w:val="215E99" w:themeColor="text2" w:themeTint="BF"/>
                <w:sz w:val="44"/>
                <w:szCs w:val="44"/>
                <w:lang w:val="it-IT"/>
              </w:rPr>
              <w:t>-C</w:t>
            </w:r>
            <w:r w:rsidRPr="006213CC">
              <w:rPr>
                <w:rFonts w:eastAsia="Aptos" w:cs="Times New Roman"/>
                <w:b/>
                <w:color w:val="215E99" w:themeColor="text2" w:themeTint="BF"/>
                <w:sz w:val="44"/>
                <w:szCs w:val="44"/>
                <w:lang w:val="it-IT"/>
              </w:rPr>
              <w:t xml:space="preserve">utting </w:t>
            </w:r>
            <w:proofErr w:type="spellStart"/>
            <w:r>
              <w:rPr>
                <w:rFonts w:eastAsia="Aptos" w:cs="Times New Roman"/>
                <w:b/>
                <w:color w:val="215E99" w:themeColor="text2" w:themeTint="BF"/>
                <w:sz w:val="44"/>
                <w:szCs w:val="44"/>
                <w:lang w:val="it-IT"/>
              </w:rPr>
              <w:t>Element</w:t>
            </w:r>
            <w:proofErr w:type="spellEnd"/>
            <w:r>
              <w:rPr>
                <w:rFonts w:eastAsia="Aptos" w:cs="Times New Roman"/>
                <w:b/>
                <w:color w:val="215E99" w:themeColor="text2" w:themeTint="BF"/>
                <w:sz w:val="44"/>
                <w:szCs w:val="44"/>
                <w:lang w:val="it-IT"/>
              </w:rPr>
              <w:t xml:space="preserve"> B</w:t>
            </w:r>
            <w:r w:rsidRPr="006213CC">
              <w:rPr>
                <w:rFonts w:eastAsia="Aptos" w:cs="Times New Roman"/>
                <w:b/>
                <w:color w:val="215E99" w:themeColor="text2" w:themeTint="BF"/>
                <w:sz w:val="44"/>
                <w:szCs w:val="44"/>
                <w:lang w:val="it-IT"/>
              </w:rPr>
              <w:t>:</w:t>
            </w:r>
          </w:p>
          <w:p w14:paraId="50195152" w14:textId="719C9B31" w:rsidR="00A7019F" w:rsidRPr="00305E39" w:rsidRDefault="006213CC" w:rsidP="006213CC">
            <w:pPr>
              <w:spacing w:before="0" w:after="0" w:line="240" w:lineRule="auto"/>
              <w:rPr>
                <w:rFonts w:eastAsia="Aptos" w:cs="Times New Roman"/>
                <w:b/>
                <w:color w:val="215E99" w:themeColor="text2" w:themeTint="BF"/>
                <w:sz w:val="56"/>
                <w:szCs w:val="56"/>
                <w:lang w:val="it-IT"/>
              </w:rPr>
            </w:pPr>
            <w:r w:rsidRPr="006213CC">
              <w:rPr>
                <w:rFonts w:eastAsia="Aptos" w:cs="Times New Roman"/>
                <w:b/>
                <w:color w:val="215E99" w:themeColor="text2" w:themeTint="BF"/>
                <w:sz w:val="44"/>
                <w:szCs w:val="44"/>
                <w:lang w:val="it-IT"/>
              </w:rPr>
              <w:t>Knowledge Generation and Management</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508C0A7D" w14:textId="20B331D8" w:rsidR="00344224" w:rsidRPr="007D5A4F" w:rsidRDefault="00344224" w:rsidP="00344224">
      <w:pPr>
        <w:pStyle w:val="Heading1"/>
        <w:jc w:val="center"/>
      </w:pPr>
      <w:r w:rsidRPr="007D5A4F">
        <w:lastRenderedPageBreak/>
        <w:t>Cross</w:t>
      </w:r>
      <w:r>
        <w:t>-C</w:t>
      </w:r>
      <w:r w:rsidRPr="007D5A4F">
        <w:t>utting</w:t>
      </w:r>
      <w:r>
        <w:t xml:space="preserve"> Element B</w:t>
      </w:r>
      <w:r>
        <w:t xml:space="preserve">: </w:t>
      </w:r>
      <w:r w:rsidRPr="005C711F">
        <w:t>Knowledge Generation and Management</w:t>
      </w:r>
    </w:p>
    <w:p w14:paraId="277B4137" w14:textId="77777777" w:rsidR="00344224" w:rsidRPr="007D5A4F" w:rsidRDefault="00344224" w:rsidP="00344224">
      <w:pPr>
        <w:pStyle w:val="Heading1"/>
        <w:rPr>
          <w:bCs/>
        </w:rPr>
      </w:pPr>
      <w:r>
        <w:t xml:space="preserve">The </w:t>
      </w:r>
      <w:r w:rsidRPr="007D5A4F">
        <w:t>Challenge</w:t>
      </w:r>
    </w:p>
    <w:p w14:paraId="10B23196" w14:textId="773AEDEB" w:rsidR="00344224" w:rsidRPr="00344224" w:rsidRDefault="00344224" w:rsidP="00344224">
      <w:pPr>
        <w:rPr>
          <w:rFonts w:cs="Calibri"/>
        </w:rPr>
      </w:pPr>
      <w:r w:rsidRPr="00344224">
        <w:rPr>
          <w:rFonts w:cs="Calibri"/>
        </w:rPr>
        <w:t>Knowledge is the bedrock of effective and sustainable REDD+ implementation. As countries grapple with the increasing complexity of forest-based mitigation, including results-based finance, private sector engagement, and links to biodiversity and development goals, the need for accurate, timely, and actionable knowledge is more critical than ever. High-quality knowledge is not only a technical asset but a strategic enabler. It builds individual and institutional capacities, fosters innovation, and lays the groundwork for policy change and collective action.</w:t>
      </w:r>
    </w:p>
    <w:p w14:paraId="68B70E06" w14:textId="28722185" w:rsidR="00344224" w:rsidRPr="00344224" w:rsidRDefault="00344224" w:rsidP="00344224">
      <w:pPr>
        <w:rPr>
          <w:rFonts w:cs="Calibri"/>
        </w:rPr>
      </w:pPr>
      <w:r w:rsidRPr="00344224">
        <w:rPr>
          <w:rFonts w:cs="Calibri"/>
        </w:rPr>
        <w:t>Global research and assessments continue to point to persistent knowledge and capacity gaps across REDD+ countries. These gaps are particularly acute in areas such as carbon finance, nesting, benefit-sharing, and MRV systems. Many countries report limited understanding of evolving requirements under mechanisms like Article 6, as well as difficulties in translating technical guidance into actionable national strategies. These knowledge deficits can become bottlenecks, preventing countries from fully accessing REDD+ finance or delivering verifiable results.</w:t>
      </w:r>
    </w:p>
    <w:p w14:paraId="49C7420A" w14:textId="25EB78AC" w:rsidR="00344224" w:rsidRPr="00344224" w:rsidRDefault="00344224" w:rsidP="00344224">
      <w:pPr>
        <w:rPr>
          <w:rFonts w:cs="Calibri"/>
        </w:rPr>
      </w:pPr>
      <w:r w:rsidRPr="00344224">
        <w:rPr>
          <w:rFonts w:cs="Calibri"/>
        </w:rPr>
        <w:t xml:space="preserve">At the same time, REDD+ is not only a technical agenda. It is a political, institutional, and normative one. Knowledge, when well-designed and delivered, can go beyond capacity building to shape motivations, strengthen social norms, and create enabling environments for change. </w:t>
      </w:r>
    </w:p>
    <w:p w14:paraId="7C3D4C6D" w14:textId="77777777" w:rsidR="00344224" w:rsidRPr="00344224" w:rsidRDefault="00344224" w:rsidP="00344224">
      <w:pPr>
        <w:rPr>
          <w:rFonts w:cs="Calibri"/>
        </w:rPr>
      </w:pPr>
      <w:r w:rsidRPr="00344224">
        <w:rPr>
          <w:rFonts w:cs="Calibri"/>
        </w:rPr>
        <w:t>This is why UN-REDD grounds its knowledge strategy in tested</w:t>
      </w:r>
      <w:r w:rsidRPr="00344224">
        <w:rPr>
          <w:rFonts w:eastAsiaTheme="majorEastAsia" w:cs="Calibri"/>
        </w:rPr>
        <w:t> Theories of Change </w:t>
      </w:r>
      <w:r w:rsidRPr="00344224">
        <w:rPr>
          <w:rFonts w:cs="Calibri"/>
        </w:rPr>
        <w:t xml:space="preserve">and </w:t>
      </w:r>
      <w:proofErr w:type="spellStart"/>
      <w:r w:rsidRPr="00344224">
        <w:rPr>
          <w:rFonts w:cs="Calibri"/>
        </w:rPr>
        <w:t>behavioral</w:t>
      </w:r>
      <w:proofErr w:type="spellEnd"/>
      <w:r w:rsidRPr="00344224">
        <w:rPr>
          <w:rFonts w:cs="Calibri"/>
        </w:rPr>
        <w:t xml:space="preserve"> science. As outlined in the </w:t>
      </w:r>
      <w:hyperlink r:id="rId12" w:history="1">
        <w:r w:rsidRPr="00344224">
          <w:rPr>
            <w:rStyle w:val="Hyperlink"/>
            <w:rFonts w:cs="Calibri"/>
          </w:rPr>
          <w:t>UN Secretary-General’s 2.0 "Quintet of Change</w:t>
        </w:r>
      </w:hyperlink>
      <w:r w:rsidRPr="00344224">
        <w:rPr>
          <w:rFonts w:cs="Calibri"/>
        </w:rPr>
        <w:t xml:space="preserve">," the UN system must leverage </w:t>
      </w:r>
      <w:proofErr w:type="spellStart"/>
      <w:r w:rsidRPr="00344224">
        <w:rPr>
          <w:rFonts w:cs="Calibri"/>
        </w:rPr>
        <w:t>behavioral</w:t>
      </w:r>
      <w:proofErr w:type="spellEnd"/>
      <w:r w:rsidRPr="00344224">
        <w:rPr>
          <w:rFonts w:cs="Calibri"/>
        </w:rPr>
        <w:t xml:space="preserve"> science to complement data and technical knowledge. UN-REDD is responding to this call by integrating empirical data and social science into its learning and advisory services—ensuring knowledge addresses not just the ability to act, but the motivation and opportunity to do so.</w:t>
      </w:r>
    </w:p>
    <w:p w14:paraId="56A9E6C9" w14:textId="77777777" w:rsidR="00344224" w:rsidRPr="007D5A4F" w:rsidRDefault="00344224" w:rsidP="00344224">
      <w:pPr>
        <w:pStyle w:val="Heading1"/>
        <w:rPr>
          <w:bCs/>
        </w:rPr>
      </w:pPr>
      <w:r>
        <w:t>The value proposition</w:t>
      </w:r>
    </w:p>
    <w:p w14:paraId="6F4BF1E7" w14:textId="43279E88" w:rsidR="00344224" w:rsidRPr="005C711F" w:rsidRDefault="00344224" w:rsidP="00344224">
      <w:r w:rsidRPr="00690B1B">
        <w:t>Over the past 15 years, UN-REDD has established itself as a global leader in REDD+ knowledge generation and management. As the first mover in this space, it introduced the original REDD+ Academy, developed foundational training curricula, and produced widely used guidance on safeguards, MRV, gender, and finance. Through technical assistance and global public goods, UN-REDD has helped countries interpret complex requirements, apply international standards, and build the institutional muscle needed to deliver REDD+.</w:t>
      </w:r>
    </w:p>
    <w:p w14:paraId="4B2086E5" w14:textId="1431FF52" w:rsidR="00344224" w:rsidRDefault="00344224" w:rsidP="00344224">
      <w:r w:rsidRPr="005C711F">
        <w:t>But UN-REDD’s unique value lies not only in what it produces, but how it works. It acts as a trusted broker—curating, translating, and disseminating knowledge through a highly participatory and contextualized approach. Its learning labs, regional exchanges, and communities of practice enable countries to engage in two-way learning, turning knowledge into collaboration and co-creation. Unlike one-size-fits-all platforms, UN-REDD's model is relational, iterative, and rooted in national realities.</w:t>
      </w:r>
    </w:p>
    <w:p w14:paraId="73BF4873" w14:textId="3CF8B226" w:rsidR="00344224" w:rsidRDefault="00344224" w:rsidP="00344224">
      <w:r w:rsidRPr="005C711F">
        <w:t xml:space="preserve">As we look forward, the REDD+ knowledge landscape is evolving rapidly. New players are emerging, and innovation is accelerating. Yet, no other actor combines the technical credibility, </w:t>
      </w:r>
      <w:r w:rsidRPr="005C711F">
        <w:lastRenderedPageBreak/>
        <w:t>convening power, and trust of the UN-REDD Programme. As REDD+ transitions from readiness to results and from pilots to systemic integration, the knowledge needs are shifting too. Countries need deeper analysis, more inclusive learning spaces, and more agile tools to navigate complexity.</w:t>
      </w:r>
    </w:p>
    <w:p w14:paraId="3F7EB197" w14:textId="52465ABE" w:rsidR="00344224" w:rsidRDefault="00344224" w:rsidP="00344224">
      <w:r w:rsidRPr="005C711F">
        <w:t xml:space="preserve">UN-REDD is rising to this challenge by expanding its knowledge partnerships with Indigenous groups, local practitioners, research institutions, and the private sector. It is deepening </w:t>
      </w:r>
      <w:r>
        <w:t xml:space="preserve">its efforts </w:t>
      </w:r>
      <w:r w:rsidRPr="005C711F">
        <w:t xml:space="preserve">to better understand </w:t>
      </w:r>
      <w:r>
        <w:t xml:space="preserve">the factors that </w:t>
      </w:r>
      <w:r w:rsidRPr="005C711F">
        <w:t>drive or hinder action. And it is positioning its knowledge services to be more forward-looking, inclusive, and action oriented.</w:t>
      </w:r>
    </w:p>
    <w:p w14:paraId="7A6FB688" w14:textId="77777777" w:rsidR="00344224" w:rsidRPr="00E613B5" w:rsidRDefault="00344224" w:rsidP="00344224">
      <w:pPr>
        <w:rPr>
          <w:b/>
          <w:bCs/>
        </w:rPr>
        <w:sectPr w:rsidR="00344224" w:rsidRPr="00E613B5" w:rsidSect="00344224">
          <w:headerReference w:type="default" r:id="rId13"/>
          <w:footerReference w:type="default" r:id="rId14"/>
          <w:pgSz w:w="11906" w:h="16838" w:code="9"/>
          <w:pgMar w:top="1440" w:right="1440" w:bottom="1440" w:left="1440" w:header="708" w:footer="708" w:gutter="0"/>
          <w:pgNumType w:start="1"/>
          <w:cols w:space="708"/>
          <w:docGrid w:linePitch="360"/>
        </w:sectPr>
      </w:pPr>
      <w:r w:rsidRPr="00E613B5">
        <w:rPr>
          <w:b/>
          <w:bCs/>
        </w:rPr>
        <w:t>And finally, in today’s world when donors and partners are increasingly demanding evidence of results, it is essential to move beyond outputs and measure the true impact of knowledge interventions.</w:t>
      </w:r>
      <w:r>
        <w:rPr>
          <w:b/>
          <w:bCs/>
        </w:rPr>
        <w:t xml:space="preserve"> </w:t>
      </w:r>
      <w:r w:rsidRPr="00E613B5">
        <w:t xml:space="preserve">UN-REDD’s new knowledge generation and management offer is designed to ensure that knowledge generation and dissemination is not a one-way process, but a catalyst for real-world change. </w:t>
      </w:r>
      <w:r w:rsidRPr="005C711F">
        <w:t>With sustained donor support, UN-REDD will continue to play its catalytic role in equipping countries with the tools, confidence, and connections to deliver forest-based climate action that is equitable, effective, and enduring.</w:t>
      </w:r>
    </w:p>
    <w:p w14:paraId="2ABA86F4" w14:textId="77777777" w:rsidR="00344224" w:rsidRPr="00690B1B" w:rsidRDefault="00344224" w:rsidP="00344224">
      <w:pPr>
        <w:pStyle w:val="Heading1"/>
        <w:rPr>
          <w:bCs/>
        </w:rPr>
      </w:pPr>
      <w:r w:rsidRPr="00690B1B">
        <w:lastRenderedPageBreak/>
        <w:t>Scenarios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870"/>
      </w:tblGrid>
      <w:tr w:rsidR="00344224" w14:paraId="0E94B76A" w14:textId="77777777" w:rsidTr="00344224">
        <w:trPr>
          <w:trHeight w:val="567"/>
          <w:tblHeader/>
        </w:trPr>
        <w:tc>
          <w:tcPr>
            <w:tcW w:w="1472" w:type="pct"/>
            <w:shd w:val="clear" w:color="auto" w:fill="215E99" w:themeFill="text2" w:themeFillTint="BF"/>
            <w:vAlign w:val="center"/>
          </w:tcPr>
          <w:p w14:paraId="50D808BE" w14:textId="77777777" w:rsidR="00344224" w:rsidRPr="007D5A4F" w:rsidRDefault="00344224" w:rsidP="00222414">
            <w:pPr>
              <w:jc w:val="center"/>
              <w:rPr>
                <w:rFonts w:ascii="Roboto" w:hAnsi="Roboto" w:cs="Calibri"/>
                <w:b/>
                <w:bCs/>
                <w:color w:val="FFFFFF" w:themeColor="background1"/>
              </w:rPr>
            </w:pPr>
            <w:r w:rsidRPr="007D5A4F">
              <w:rPr>
                <w:rFonts w:ascii="Roboto" w:hAnsi="Roboto" w:cs="Calibri"/>
                <w:b/>
                <w:bCs/>
                <w:color w:val="FFFFFF" w:themeColor="background1"/>
              </w:rPr>
              <w:t>Deliverables</w:t>
            </w:r>
          </w:p>
        </w:tc>
        <w:tc>
          <w:tcPr>
            <w:tcW w:w="3528" w:type="pct"/>
            <w:shd w:val="clear" w:color="auto" w:fill="215E99" w:themeFill="text2" w:themeFillTint="BF"/>
            <w:vAlign w:val="center"/>
          </w:tcPr>
          <w:p w14:paraId="0AD45384" w14:textId="77777777" w:rsidR="00344224" w:rsidRPr="007D5A4F" w:rsidRDefault="00344224" w:rsidP="00222414">
            <w:pPr>
              <w:jc w:val="center"/>
              <w:rPr>
                <w:rFonts w:ascii="Roboto" w:hAnsi="Roboto" w:cs="Calibri"/>
                <w:b/>
                <w:bCs/>
                <w:color w:val="FFFFFF" w:themeColor="background1"/>
              </w:rPr>
            </w:pPr>
            <w:r w:rsidRPr="007D5A4F">
              <w:rPr>
                <w:rFonts w:ascii="Roboto" w:hAnsi="Roboto" w:cs="Calibri"/>
                <w:b/>
                <w:bCs/>
                <w:color w:val="FFFFFF" w:themeColor="background1"/>
              </w:rPr>
              <w:t>Types of activities</w:t>
            </w:r>
          </w:p>
        </w:tc>
      </w:tr>
      <w:tr w:rsidR="00344224" w14:paraId="77259467" w14:textId="77777777" w:rsidTr="00344224">
        <w:tc>
          <w:tcPr>
            <w:tcW w:w="1472" w:type="pct"/>
          </w:tcPr>
          <w:p w14:paraId="7A4D036B" w14:textId="77777777" w:rsidR="00344224" w:rsidRPr="006F1440" w:rsidRDefault="00344224" w:rsidP="00344224">
            <w:pPr>
              <w:pStyle w:val="ListParagraph"/>
              <w:numPr>
                <w:ilvl w:val="0"/>
                <w:numId w:val="30"/>
              </w:numPr>
              <w:spacing w:before="0" w:after="0" w:line="240" w:lineRule="auto"/>
            </w:pPr>
            <w:r w:rsidRPr="006F1440">
              <w:rPr>
                <w:rFonts w:ascii="Roboto" w:eastAsiaTheme="majorEastAsia" w:hAnsi="Roboto" w:cs="Calibri"/>
              </w:rPr>
              <w:t>Learning platform for forests and climate</w:t>
            </w:r>
          </w:p>
        </w:tc>
        <w:tc>
          <w:tcPr>
            <w:tcW w:w="3528" w:type="pct"/>
          </w:tcPr>
          <w:p w14:paraId="77891CA0" w14:textId="77777777" w:rsidR="00344224" w:rsidRDefault="00344224" w:rsidP="00344224">
            <w:pPr>
              <w:pStyle w:val="ListParagraph"/>
              <w:numPr>
                <w:ilvl w:val="0"/>
                <w:numId w:val="31"/>
              </w:numPr>
              <w:spacing w:before="0" w:after="0" w:line="240" w:lineRule="auto"/>
            </w:pPr>
            <w:r w:rsidRPr="006F1440">
              <w:rPr>
                <w:rFonts w:eastAsiaTheme="majorEastAsia"/>
                <w:b/>
                <w:bCs/>
              </w:rPr>
              <w:t xml:space="preserve">Management of a global </w:t>
            </w:r>
            <w:r w:rsidRPr="006F1440">
              <w:rPr>
                <w:b/>
                <w:bCs/>
              </w:rPr>
              <w:t>learning platform</w:t>
            </w:r>
            <w:r>
              <w:t>: Maintaining a learning platform, through wider dissemination of</w:t>
            </w:r>
            <w:r w:rsidRPr="005C711F">
              <w:t xml:space="preserve"> new content on carbon finance, safeguards, </w:t>
            </w:r>
            <w:r>
              <w:t xml:space="preserve">benefit sharing, </w:t>
            </w:r>
            <w:r w:rsidRPr="005C711F">
              <w:t>nesting, private sector engagement</w:t>
            </w:r>
            <w:r>
              <w:t>, and other key topics.</w:t>
            </w:r>
            <w:r w:rsidRPr="005C711F">
              <w:t xml:space="preserve"> </w:t>
            </w:r>
            <w:r>
              <w:t xml:space="preserve">This includes translating technical content </w:t>
            </w:r>
            <w:r w:rsidRPr="005C711F">
              <w:t>in multiple formats</w:t>
            </w:r>
            <w:r>
              <w:t xml:space="preserve"> and microlearning tools. </w:t>
            </w:r>
          </w:p>
          <w:p w14:paraId="621C1099" w14:textId="77777777" w:rsidR="00344224" w:rsidRPr="005C711F" w:rsidRDefault="00344224" w:rsidP="00344224">
            <w:pPr>
              <w:pStyle w:val="ListParagraph"/>
              <w:numPr>
                <w:ilvl w:val="0"/>
                <w:numId w:val="31"/>
              </w:numPr>
              <w:spacing w:before="0" w:after="0" w:line="240" w:lineRule="auto"/>
            </w:pPr>
            <w:r w:rsidRPr="006F1440">
              <w:rPr>
                <w:rFonts w:eastAsiaTheme="majorEastAsia"/>
                <w:b/>
                <w:bCs/>
              </w:rPr>
              <w:t>Translation of knowledge through developing audience-</w:t>
            </w:r>
            <w:r w:rsidRPr="006F1440">
              <w:rPr>
                <w:b/>
                <w:bCs/>
              </w:rPr>
              <w:t>s</w:t>
            </w:r>
            <w:r w:rsidRPr="006F1440">
              <w:rPr>
                <w:rFonts w:eastAsiaTheme="majorEastAsia"/>
                <w:b/>
                <w:bCs/>
              </w:rPr>
              <w:t xml:space="preserve">pecific </w:t>
            </w:r>
            <w:r w:rsidRPr="006F1440">
              <w:rPr>
                <w:b/>
                <w:bCs/>
              </w:rPr>
              <w:t>l</w:t>
            </w:r>
            <w:r w:rsidRPr="006F1440">
              <w:rPr>
                <w:rFonts w:eastAsiaTheme="majorEastAsia"/>
                <w:b/>
                <w:bCs/>
              </w:rPr>
              <w:t xml:space="preserve">earning </w:t>
            </w:r>
            <w:r w:rsidRPr="006F1440">
              <w:rPr>
                <w:b/>
                <w:bCs/>
              </w:rPr>
              <w:t>t</w:t>
            </w:r>
            <w:r w:rsidRPr="006F1440">
              <w:rPr>
                <w:rFonts w:eastAsiaTheme="majorEastAsia"/>
                <w:b/>
                <w:bCs/>
              </w:rPr>
              <w:t>racks</w:t>
            </w:r>
            <w:r w:rsidRPr="006F1440">
              <w:rPr>
                <w:b/>
                <w:bCs/>
              </w:rPr>
              <w:t xml:space="preserve">: </w:t>
            </w:r>
            <w:r>
              <w:t xml:space="preserve">Tailored learning tracks designed for specific audiences, such as: a) </w:t>
            </w:r>
            <w:r w:rsidRPr="006F1440">
              <w:rPr>
                <w:rFonts w:eastAsiaTheme="majorEastAsia"/>
                <w:i/>
                <w:iCs/>
              </w:rPr>
              <w:t>Indigenous Peoples</w:t>
            </w:r>
            <w:r w:rsidRPr="006F1440">
              <w:rPr>
                <w:i/>
                <w:iCs/>
              </w:rPr>
              <w:t xml:space="preserve"> Track</w:t>
            </w:r>
            <w:r w:rsidRPr="005C711F">
              <w:t>: Co-created with Indigenous leaders, focused on tenure, FPIC, and traditional knowledge</w:t>
            </w:r>
            <w:r>
              <w:t xml:space="preserve">; b) </w:t>
            </w:r>
            <w:r w:rsidRPr="006F1440">
              <w:rPr>
                <w:rFonts w:eastAsiaTheme="majorEastAsia"/>
              </w:rPr>
              <w:t> </w:t>
            </w:r>
            <w:r w:rsidRPr="006F1440">
              <w:rPr>
                <w:rFonts w:eastAsiaTheme="majorEastAsia"/>
                <w:i/>
                <w:iCs/>
              </w:rPr>
              <w:t>Practitioner Track</w:t>
            </w:r>
            <w:r w:rsidRPr="005C711F">
              <w:t>: Targeting technical teams with modules on MRV, benefit-sharing, and governance</w:t>
            </w:r>
            <w:r>
              <w:t xml:space="preserve">; c) </w:t>
            </w:r>
            <w:r w:rsidRPr="006F1440">
              <w:rPr>
                <w:i/>
                <w:iCs/>
              </w:rPr>
              <w:t>Private Sector</w:t>
            </w:r>
            <w:r w:rsidRPr="006F1440">
              <w:rPr>
                <w:rFonts w:eastAsiaTheme="majorEastAsia"/>
                <w:i/>
                <w:iCs/>
              </w:rPr>
              <w:t xml:space="preserve"> Track</w:t>
            </w:r>
            <w:r w:rsidRPr="005C711F">
              <w:t xml:space="preserve">: Focused on ESG investors, supply chain actors, and carbon market </w:t>
            </w:r>
            <w:r>
              <w:t xml:space="preserve">actors; d) </w:t>
            </w:r>
            <w:r w:rsidRPr="006F1440">
              <w:rPr>
                <w:i/>
                <w:iCs/>
              </w:rPr>
              <w:t>Religious leader</w:t>
            </w:r>
            <w:r>
              <w:t xml:space="preserve">s: Co-created with religious leaders with influence on forest communities.  </w:t>
            </w:r>
          </w:p>
          <w:p w14:paraId="69B59BC4" w14:textId="77777777" w:rsidR="00344224" w:rsidRDefault="00344224" w:rsidP="00344224">
            <w:pPr>
              <w:pStyle w:val="ListParagraph"/>
              <w:numPr>
                <w:ilvl w:val="0"/>
                <w:numId w:val="31"/>
              </w:numPr>
              <w:spacing w:before="0" w:after="0" w:line="240" w:lineRule="auto"/>
            </w:pPr>
            <w:r w:rsidRPr="006F1440">
              <w:rPr>
                <w:rFonts w:eastAsiaTheme="majorEastAsia"/>
                <w:b/>
                <w:bCs/>
              </w:rPr>
              <w:t>Inter-country/region/ theme-theme Communities of Practice (CoPs)</w:t>
            </w:r>
            <w:r>
              <w:t xml:space="preserve">: </w:t>
            </w:r>
            <w:r w:rsidRPr="005C711F">
              <w:t>Peer-to-peer exchange spaces hosted regionally</w:t>
            </w:r>
            <w:r>
              <w:t xml:space="preserve"> between 2 or more countries</w:t>
            </w:r>
            <w:r w:rsidRPr="005C711F">
              <w:t xml:space="preserve"> or thematically</w:t>
            </w:r>
            <w:r>
              <w:t xml:space="preserve"> between 2 or more topics</w:t>
            </w:r>
            <w:r w:rsidRPr="005C711F">
              <w:t>. Supported by knowledge coaches and interactive digital tools.</w:t>
            </w:r>
          </w:p>
        </w:tc>
      </w:tr>
      <w:tr w:rsidR="00344224" w14:paraId="41750D38" w14:textId="77777777" w:rsidTr="00344224">
        <w:tc>
          <w:tcPr>
            <w:tcW w:w="1472" w:type="pct"/>
          </w:tcPr>
          <w:p w14:paraId="77BB2A53" w14:textId="77777777" w:rsidR="00344224" w:rsidRDefault="00344224" w:rsidP="00344224">
            <w:pPr>
              <w:pStyle w:val="ListParagraph"/>
              <w:numPr>
                <w:ilvl w:val="0"/>
                <w:numId w:val="30"/>
              </w:numPr>
              <w:spacing w:before="0" w:after="0" w:line="240" w:lineRule="auto"/>
            </w:pPr>
            <w:r w:rsidRPr="006F1440">
              <w:t>Policy-relevant knowledge and strategic foresight</w:t>
            </w:r>
          </w:p>
        </w:tc>
        <w:tc>
          <w:tcPr>
            <w:tcW w:w="3528" w:type="pct"/>
          </w:tcPr>
          <w:p w14:paraId="6253BC8B" w14:textId="77777777" w:rsidR="00344224" w:rsidRDefault="00344224" w:rsidP="00344224">
            <w:pPr>
              <w:pStyle w:val="ListParagraph"/>
              <w:numPr>
                <w:ilvl w:val="0"/>
                <w:numId w:val="32"/>
              </w:numPr>
              <w:spacing w:before="0" w:after="0" w:line="240" w:lineRule="auto"/>
            </w:pPr>
            <w:r w:rsidRPr="006F1440">
              <w:rPr>
                <w:rFonts w:eastAsiaTheme="majorEastAsia"/>
                <w:b/>
                <w:bCs/>
              </w:rPr>
              <w:t xml:space="preserve">State of REDD+ </w:t>
            </w:r>
            <w:r w:rsidRPr="006F1440">
              <w:rPr>
                <w:b/>
                <w:bCs/>
              </w:rPr>
              <w:t>r</w:t>
            </w:r>
            <w:r w:rsidRPr="006F1440">
              <w:rPr>
                <w:rFonts w:eastAsiaTheme="majorEastAsia"/>
                <w:b/>
                <w:bCs/>
              </w:rPr>
              <w:t>eport and associated products</w:t>
            </w:r>
            <w:r>
              <w:br/>
            </w:r>
            <w:r w:rsidRPr="71752E84">
              <w:t xml:space="preserve">A global flagship report every </w:t>
            </w:r>
            <w:proofErr w:type="gramStart"/>
            <w:r>
              <w:t xml:space="preserve">two or </w:t>
            </w:r>
            <w:r w:rsidRPr="71752E84">
              <w:t>three years</w:t>
            </w:r>
            <w:proofErr w:type="gramEnd"/>
            <w:r w:rsidRPr="71752E84">
              <w:t xml:space="preserve"> assessing trends, performance, and innovations in REDD+.</w:t>
            </w:r>
            <w:r>
              <w:t xml:space="preserve"> This includes r</w:t>
            </w:r>
            <w:r w:rsidRPr="005C711F">
              <w:t xml:space="preserve">apid, responsive </w:t>
            </w:r>
            <w:r>
              <w:t>recommendations</w:t>
            </w:r>
            <w:r w:rsidRPr="005C711F">
              <w:t xml:space="preserve"> emerging</w:t>
            </w:r>
            <w:r>
              <w:t xml:space="preserve"> cross-cutting</w:t>
            </w:r>
            <w:r w:rsidRPr="005C711F">
              <w:t xml:space="preserve"> issues</w:t>
            </w:r>
            <w:r>
              <w:t xml:space="preserve">. </w:t>
            </w:r>
          </w:p>
        </w:tc>
      </w:tr>
      <w:tr w:rsidR="00344224" w14:paraId="1D0A4261" w14:textId="77777777" w:rsidTr="00344224">
        <w:tc>
          <w:tcPr>
            <w:tcW w:w="1472" w:type="pct"/>
          </w:tcPr>
          <w:p w14:paraId="4288E653" w14:textId="77777777" w:rsidR="00344224" w:rsidRPr="006F1440" w:rsidRDefault="00344224" w:rsidP="00344224">
            <w:pPr>
              <w:pStyle w:val="ListParagraph"/>
              <w:numPr>
                <w:ilvl w:val="0"/>
                <w:numId w:val="30"/>
              </w:numPr>
              <w:spacing w:before="0" w:after="0" w:line="240" w:lineRule="auto"/>
            </w:pPr>
            <w:r w:rsidRPr="006F1440">
              <w:rPr>
                <w:rFonts w:eastAsiaTheme="majorEastAsia"/>
              </w:rPr>
              <w:t>Knowledge-based evaluation of results and</w:t>
            </w:r>
            <w:r w:rsidRPr="006F1440">
              <w:t xml:space="preserve"> i</w:t>
            </w:r>
            <w:r w:rsidRPr="006F1440">
              <w:rPr>
                <w:rFonts w:eastAsiaTheme="majorEastAsia"/>
              </w:rPr>
              <w:t>mpact</w:t>
            </w:r>
          </w:p>
        </w:tc>
        <w:tc>
          <w:tcPr>
            <w:tcW w:w="3528" w:type="pct"/>
          </w:tcPr>
          <w:p w14:paraId="18F8D4D9" w14:textId="77777777" w:rsidR="00344224" w:rsidRPr="006F1440" w:rsidRDefault="00344224" w:rsidP="00344224">
            <w:pPr>
              <w:pStyle w:val="ListParagraph"/>
              <w:numPr>
                <w:ilvl w:val="0"/>
                <w:numId w:val="33"/>
              </w:numPr>
              <w:spacing w:before="0" w:after="0" w:line="240" w:lineRule="auto"/>
            </w:pPr>
            <w:r w:rsidRPr="006F1440">
              <w:rPr>
                <w:b/>
                <w:bCs/>
              </w:rPr>
              <w:t>Behaviorally informed knowledge uptake measurement</w:t>
            </w:r>
            <w:r w:rsidRPr="006F1440">
              <w:br/>
              <w:t>Drawing from the UN’s leadership on behavioral science, this subcomponent uses frameworks like COM-B (Capabilities, Opportunities, Motivation – Behavior) to understand how knowledge interventions shift the broader enabling environment, not just technical know-how. It will include using baseline and endline assessments designed to capture changes in stakeholder understanding, confidence, and readiness to act. These surveys help identify gaps and opportunities in both technical knowledge and behavioral drivers</w:t>
            </w:r>
            <w:r w:rsidRPr="006F1440">
              <w:br/>
            </w:r>
            <w:r w:rsidRPr="006F1440">
              <w:rPr>
                <w:b/>
                <w:bCs/>
              </w:rPr>
              <w:t>Deep dive strategic level empirical evaluation –</w:t>
            </w:r>
            <w:r w:rsidRPr="006F1440">
              <w:t xml:space="preserve"> Global and regional lessons and insights on impacts of REDD+ focused on country experiences - what did REDD+ bring to countries? </w:t>
            </w:r>
          </w:p>
        </w:tc>
      </w:tr>
    </w:tbl>
    <w:p w14:paraId="2DA149E6" w14:textId="77777777" w:rsidR="00344224" w:rsidRDefault="00344224" w:rsidP="00344224">
      <w:pPr>
        <w:rPr>
          <w:rFonts w:ascii="Roboto" w:hAnsi="Roboto" w:cs="Calibri"/>
          <w:b/>
          <w:bCs/>
        </w:rPr>
      </w:pPr>
    </w:p>
    <w:p w14:paraId="13E7550B" w14:textId="77777777" w:rsidR="00344224" w:rsidRDefault="00344224" w:rsidP="00762CAE">
      <w:pPr>
        <w:pStyle w:val="Heading1"/>
      </w:pPr>
    </w:p>
    <w:sectPr w:rsidR="00344224" w:rsidSect="00344224">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A96CF" w14:textId="77777777" w:rsidR="00DB3B03" w:rsidRDefault="00DB3B03" w:rsidP="00E62A58">
      <w:pPr>
        <w:spacing w:before="0" w:after="0" w:line="240" w:lineRule="auto"/>
      </w:pPr>
      <w:r>
        <w:separator/>
      </w:r>
    </w:p>
  </w:endnote>
  <w:endnote w:type="continuationSeparator" w:id="0">
    <w:p w14:paraId="51DFB8D3" w14:textId="77777777" w:rsidR="00DB3B03" w:rsidRDefault="00DB3B03" w:rsidP="00E62A58">
      <w:pPr>
        <w:spacing w:before="0" w:after="0" w:line="240" w:lineRule="auto"/>
      </w:pPr>
      <w:r>
        <w:continuationSeparator/>
      </w:r>
    </w:p>
  </w:endnote>
  <w:endnote w:type="continuationNotice" w:id="1">
    <w:p w14:paraId="518AECF1" w14:textId="77777777" w:rsidR="00DB3B03" w:rsidRDefault="00DB3B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232684"/>
      <w:docPartObj>
        <w:docPartGallery w:val="Page Numbers (Bottom of Page)"/>
        <w:docPartUnique/>
      </w:docPartObj>
    </w:sdtPr>
    <w:sdtEndPr>
      <w:rPr>
        <w:noProof/>
      </w:rPr>
    </w:sdtEndPr>
    <w:sdtContent>
      <w:p w14:paraId="26377916" w14:textId="77777777" w:rsidR="00344224" w:rsidRDefault="00344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CF990" w14:textId="77777777" w:rsidR="00344224" w:rsidRDefault="00344224" w:rsidP="00851D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B206F" w14:textId="77777777" w:rsidR="00DB3B03" w:rsidRDefault="00DB3B03" w:rsidP="00E62A58">
      <w:pPr>
        <w:spacing w:before="0" w:after="0" w:line="240" w:lineRule="auto"/>
      </w:pPr>
      <w:r>
        <w:separator/>
      </w:r>
    </w:p>
  </w:footnote>
  <w:footnote w:type="continuationSeparator" w:id="0">
    <w:p w14:paraId="18CED4C6" w14:textId="77777777" w:rsidR="00DB3B03" w:rsidRDefault="00DB3B03" w:rsidP="00E62A58">
      <w:pPr>
        <w:spacing w:before="0" w:after="0" w:line="240" w:lineRule="auto"/>
      </w:pPr>
      <w:r>
        <w:continuationSeparator/>
      </w:r>
    </w:p>
  </w:footnote>
  <w:footnote w:type="continuationNotice" w:id="1">
    <w:p w14:paraId="1ED9438E" w14:textId="77777777" w:rsidR="00DB3B03" w:rsidRDefault="00DB3B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CBB0C" w14:textId="2A1F1DF0" w:rsidR="00344224" w:rsidRPr="00192F6D" w:rsidRDefault="00344224" w:rsidP="00192F6D">
    <w:pPr>
      <w:pStyle w:val="Header"/>
      <w:jc w:val="right"/>
      <w:rPr>
        <w:i/>
        <w:iCs/>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0F74BA"/>
    <w:multiLevelType w:val="hybridMultilevel"/>
    <w:tmpl w:val="ADB0E19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31F4717"/>
    <w:multiLevelType w:val="hybridMultilevel"/>
    <w:tmpl w:val="FB5A6AE8"/>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8CE5CF5"/>
    <w:multiLevelType w:val="hybridMultilevel"/>
    <w:tmpl w:val="C15A257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B562C"/>
    <w:multiLevelType w:val="hybridMultilevel"/>
    <w:tmpl w:val="BF220A1C"/>
    <w:lvl w:ilvl="0" w:tplc="53403794">
      <w:start w:val="1"/>
      <w:numFmt w:val="decimal"/>
      <w:lvlText w:val="%1."/>
      <w:lvlJc w:val="left"/>
      <w:pPr>
        <w:ind w:left="360" w:hanging="360"/>
      </w:pPr>
      <w:rPr>
        <w:rFonts w:ascii="Roboto" w:eastAsiaTheme="majorEastAsia" w:hAnsi="Roboto"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29"/>
  </w:num>
  <w:num w:numId="2" w16cid:durableId="628583751">
    <w:abstractNumId w:val="6"/>
  </w:num>
  <w:num w:numId="3" w16cid:durableId="1973559108">
    <w:abstractNumId w:val="8"/>
  </w:num>
  <w:num w:numId="4" w16cid:durableId="890120941">
    <w:abstractNumId w:val="0"/>
  </w:num>
  <w:num w:numId="5" w16cid:durableId="1179856396">
    <w:abstractNumId w:val="13"/>
  </w:num>
  <w:num w:numId="6" w16cid:durableId="754857283">
    <w:abstractNumId w:val="7"/>
  </w:num>
  <w:num w:numId="7" w16cid:durableId="338428606">
    <w:abstractNumId w:val="26"/>
  </w:num>
  <w:num w:numId="8" w16cid:durableId="999966452">
    <w:abstractNumId w:val="10"/>
  </w:num>
  <w:num w:numId="9" w16cid:durableId="1784884577">
    <w:abstractNumId w:val="9"/>
  </w:num>
  <w:num w:numId="10" w16cid:durableId="804546971">
    <w:abstractNumId w:val="24"/>
  </w:num>
  <w:num w:numId="11" w16cid:durableId="604847844">
    <w:abstractNumId w:val="18"/>
  </w:num>
  <w:num w:numId="12" w16cid:durableId="1461415782">
    <w:abstractNumId w:val="17"/>
  </w:num>
  <w:num w:numId="13" w16cid:durableId="1205562053">
    <w:abstractNumId w:val="1"/>
  </w:num>
  <w:num w:numId="14" w16cid:durableId="1897159792">
    <w:abstractNumId w:val="2"/>
  </w:num>
  <w:num w:numId="15" w16cid:durableId="2129856163">
    <w:abstractNumId w:val="16"/>
  </w:num>
  <w:num w:numId="16" w16cid:durableId="1974754305">
    <w:abstractNumId w:val="4"/>
  </w:num>
  <w:num w:numId="17" w16cid:durableId="1934392897">
    <w:abstractNumId w:val="20"/>
  </w:num>
  <w:num w:numId="18" w16cid:durableId="844638022">
    <w:abstractNumId w:val="23"/>
  </w:num>
  <w:num w:numId="19" w16cid:durableId="1623341512">
    <w:abstractNumId w:val="32"/>
  </w:num>
  <w:num w:numId="20" w16cid:durableId="1937516796">
    <w:abstractNumId w:val="31"/>
  </w:num>
  <w:num w:numId="21" w16cid:durableId="1916742550">
    <w:abstractNumId w:val="25"/>
  </w:num>
  <w:num w:numId="22" w16cid:durableId="1133988518">
    <w:abstractNumId w:val="5"/>
  </w:num>
  <w:num w:numId="23" w16cid:durableId="5862863">
    <w:abstractNumId w:val="22"/>
  </w:num>
  <w:num w:numId="24" w16cid:durableId="940406743">
    <w:abstractNumId w:val="11"/>
  </w:num>
  <w:num w:numId="25" w16cid:durableId="81924292">
    <w:abstractNumId w:val="14"/>
  </w:num>
  <w:num w:numId="26" w16cid:durableId="1488938434">
    <w:abstractNumId w:val="28"/>
  </w:num>
  <w:num w:numId="27" w16cid:durableId="1314136328">
    <w:abstractNumId w:val="12"/>
  </w:num>
  <w:num w:numId="28" w16cid:durableId="80109082">
    <w:abstractNumId w:val="21"/>
  </w:num>
  <w:num w:numId="29" w16cid:durableId="1668485430">
    <w:abstractNumId w:val="27"/>
  </w:num>
  <w:num w:numId="30" w16cid:durableId="1623921608">
    <w:abstractNumId w:val="30"/>
  </w:num>
  <w:num w:numId="31" w16cid:durableId="1604341319">
    <w:abstractNumId w:val="15"/>
  </w:num>
  <w:num w:numId="32" w16cid:durableId="953898609">
    <w:abstractNumId w:val="3"/>
  </w:num>
  <w:num w:numId="33" w16cid:durableId="181654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06712"/>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224"/>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3CC"/>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B03"/>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two-zero/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2.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3.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4.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4</cp:revision>
  <dcterms:created xsi:type="dcterms:W3CDTF">2025-11-14T03:20:00Z</dcterms:created>
  <dcterms:modified xsi:type="dcterms:W3CDTF">2025-11-14T03:23:00Z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