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371"/>
        <w:gridCol w:w="799"/>
      </w:tblGrid>
      <w:tr w:rsidR="00DC1750" w:rsidRPr="00AD674B" w14:paraId="73C85FC4" w14:textId="77777777" w:rsidTr="008E40B0">
        <w:tc>
          <w:tcPr>
            <w:tcW w:w="846" w:type="dxa"/>
          </w:tcPr>
          <w:p w14:paraId="24CAC372" w14:textId="77777777" w:rsidR="00DC1750" w:rsidRPr="008A45B6" w:rsidRDefault="00DC1750" w:rsidP="008E40B0">
            <w:pPr>
              <w:spacing w:before="0" w:after="0" w:line="240" w:lineRule="auto"/>
              <w:rPr>
                <w:rFonts w:ascii="Aptos" w:eastAsia="Aptos" w:hAnsi="Aptos" w:cs="Arial"/>
                <w:b/>
                <w:color w:val="215E99" w:themeColor="text2" w:themeTint="BF"/>
                <w:sz w:val="28"/>
                <w:szCs w:val="28"/>
                <w:lang w:val="it-IT"/>
              </w:rPr>
            </w:pPr>
          </w:p>
        </w:tc>
        <w:tc>
          <w:tcPr>
            <w:tcW w:w="7371" w:type="dxa"/>
          </w:tcPr>
          <w:p w14:paraId="11B8A0CB" w14:textId="77777777" w:rsidR="00DC1750" w:rsidRDefault="00DC1750" w:rsidP="008E40B0">
            <w:pPr>
              <w:spacing w:before="0" w:after="0" w:line="240" w:lineRule="auto"/>
              <w:rPr>
                <w:rFonts w:ascii="Aptos" w:eastAsia="Aptos" w:hAnsi="Aptos" w:cs="Arial"/>
                <w:b/>
                <w:color w:val="215E99" w:themeColor="text2" w:themeTint="BF"/>
                <w:sz w:val="28"/>
                <w:szCs w:val="28"/>
                <w:lang w:val="it-IT"/>
              </w:rPr>
            </w:pPr>
          </w:p>
          <w:p w14:paraId="783E6193" w14:textId="77777777" w:rsidR="00DC1750" w:rsidRDefault="00DC1750" w:rsidP="008E40B0">
            <w:pPr>
              <w:spacing w:before="0" w:after="0" w:line="240" w:lineRule="auto"/>
              <w:rPr>
                <w:rFonts w:ascii="Aptos" w:eastAsia="Aptos" w:hAnsi="Aptos" w:cs="Arial"/>
                <w:b/>
                <w:color w:val="215E99" w:themeColor="text2" w:themeTint="BF"/>
                <w:sz w:val="28"/>
                <w:szCs w:val="28"/>
                <w:lang w:val="it-IT"/>
              </w:rPr>
            </w:pPr>
          </w:p>
          <w:p w14:paraId="0C323D91" w14:textId="77777777" w:rsidR="00DC1750" w:rsidRDefault="00DC1750" w:rsidP="008E40B0">
            <w:pPr>
              <w:spacing w:before="0" w:after="0" w:line="240" w:lineRule="auto"/>
              <w:rPr>
                <w:rFonts w:ascii="Aptos" w:eastAsia="Aptos" w:hAnsi="Aptos" w:cs="Arial"/>
                <w:b/>
                <w:color w:val="215E99" w:themeColor="text2" w:themeTint="BF"/>
                <w:sz w:val="28"/>
                <w:szCs w:val="28"/>
                <w:lang w:val="it-IT"/>
              </w:rPr>
            </w:pPr>
          </w:p>
          <w:p w14:paraId="7E708C35" w14:textId="77777777" w:rsidR="00DC1750" w:rsidRDefault="00DC1750" w:rsidP="008E40B0">
            <w:pPr>
              <w:spacing w:before="0" w:after="0" w:line="240" w:lineRule="auto"/>
              <w:rPr>
                <w:rFonts w:ascii="Aptos" w:eastAsia="Aptos" w:hAnsi="Aptos" w:cs="Arial"/>
                <w:b/>
                <w:color w:val="215E99" w:themeColor="text2" w:themeTint="BF"/>
                <w:sz w:val="28"/>
                <w:szCs w:val="28"/>
                <w:lang w:val="it-IT"/>
              </w:rPr>
            </w:pPr>
          </w:p>
          <w:p w14:paraId="3EBFD7B9" w14:textId="77777777" w:rsidR="00DC1750" w:rsidRPr="008A45B6" w:rsidRDefault="00DC1750" w:rsidP="008E40B0">
            <w:pPr>
              <w:spacing w:before="0" w:after="0" w:line="240" w:lineRule="auto"/>
              <w:rPr>
                <w:rFonts w:ascii="Aptos" w:eastAsia="Aptos" w:hAnsi="Aptos" w:cs="Arial"/>
                <w:b/>
                <w:color w:val="215E99" w:themeColor="text2" w:themeTint="BF"/>
                <w:sz w:val="28"/>
                <w:szCs w:val="28"/>
                <w:lang w:val="it-IT"/>
              </w:rPr>
            </w:pPr>
            <w:r>
              <w:rPr>
                <w:rFonts w:ascii="Aptos" w:eastAsia="Aptos" w:hAnsi="Aptos" w:cs="Arial"/>
                <w:b/>
                <w:noProof/>
                <w:color w:val="215E99" w:themeColor="text2" w:themeTint="BF"/>
                <w:sz w:val="28"/>
                <w:szCs w:val="28"/>
                <w:lang w:val="it-IT"/>
              </w:rPr>
              <w:drawing>
                <wp:inline distT="0" distB="0" distL="0" distR="0" wp14:anchorId="6D5AAEAD" wp14:editId="66B19D94">
                  <wp:extent cx="1188720" cy="664877"/>
                  <wp:effectExtent l="0" t="0" r="0" b="1905"/>
                  <wp:docPr id="319893295" name="Picture 1" descr="A black background with red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93295" name="Picture 1" descr="A black background with red and blue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7928" cy="670027"/>
                          </a:xfrm>
                          <a:prstGeom prst="rect">
                            <a:avLst/>
                          </a:prstGeom>
                          <a:noFill/>
                        </pic:spPr>
                      </pic:pic>
                    </a:graphicData>
                  </a:graphic>
                </wp:inline>
              </w:drawing>
            </w:r>
          </w:p>
          <w:p w14:paraId="60C3A175" w14:textId="77777777" w:rsidR="00DC1750" w:rsidRPr="008A45B6" w:rsidRDefault="00DC1750" w:rsidP="008E40B0">
            <w:pPr>
              <w:spacing w:before="0" w:after="0" w:line="240" w:lineRule="auto"/>
              <w:rPr>
                <w:rFonts w:ascii="Aptos" w:eastAsia="Aptos" w:hAnsi="Aptos" w:cs="Arial"/>
                <w:b/>
                <w:color w:val="215E99" w:themeColor="text2" w:themeTint="BF"/>
                <w:sz w:val="28"/>
                <w:szCs w:val="28"/>
                <w:lang w:val="it-IT"/>
              </w:rPr>
            </w:pPr>
          </w:p>
          <w:p w14:paraId="4C15E9C2" w14:textId="77777777" w:rsidR="00DC1750" w:rsidRPr="008A45B6" w:rsidRDefault="00DC1750" w:rsidP="008E40B0">
            <w:pPr>
              <w:spacing w:before="0" w:after="0" w:line="240" w:lineRule="auto"/>
              <w:rPr>
                <w:rFonts w:ascii="Aptos" w:eastAsia="Aptos" w:hAnsi="Aptos" w:cs="Arial"/>
                <w:b/>
                <w:color w:val="215E99" w:themeColor="text2" w:themeTint="BF"/>
                <w:sz w:val="28"/>
                <w:szCs w:val="28"/>
                <w:lang w:val="it-IT"/>
              </w:rPr>
            </w:pPr>
          </w:p>
        </w:tc>
        <w:tc>
          <w:tcPr>
            <w:tcW w:w="799" w:type="dxa"/>
          </w:tcPr>
          <w:p w14:paraId="7FB592A9" w14:textId="77777777" w:rsidR="00DC1750" w:rsidRPr="00AD674B" w:rsidRDefault="00DC1750" w:rsidP="008E40B0">
            <w:pPr>
              <w:spacing w:before="0" w:after="0" w:line="240" w:lineRule="auto"/>
              <w:rPr>
                <w:rFonts w:ascii="Aptos" w:eastAsia="Aptos" w:hAnsi="Aptos" w:cs="Arial"/>
                <w:b/>
                <w:sz w:val="28"/>
                <w:szCs w:val="28"/>
                <w:lang w:val="it-IT"/>
              </w:rPr>
            </w:pPr>
          </w:p>
        </w:tc>
      </w:tr>
      <w:tr w:rsidR="00DC1750" w:rsidRPr="00AD674B" w14:paraId="607C9BE1" w14:textId="77777777" w:rsidTr="008E40B0">
        <w:tc>
          <w:tcPr>
            <w:tcW w:w="846" w:type="dxa"/>
            <w:tcBorders>
              <w:right w:val="single" w:sz="24" w:space="0" w:color="336699"/>
            </w:tcBorders>
          </w:tcPr>
          <w:p w14:paraId="690EE480" w14:textId="77777777" w:rsidR="00DC1750" w:rsidRPr="00F84651" w:rsidRDefault="00DC1750"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52F98D57" w14:textId="5FDC6558" w:rsidR="00DC1750" w:rsidRPr="00F84651" w:rsidRDefault="00DC1750" w:rsidP="008E40B0">
            <w:pPr>
              <w:spacing w:before="0" w:after="0" w:line="240" w:lineRule="auto"/>
              <w:rPr>
                <w:rFonts w:ascii="Times New Roman" w:eastAsia="Aptos" w:hAnsi="Times New Roman" w:cs="Times New Roman"/>
                <w:b/>
                <w:color w:val="215E99" w:themeColor="text2" w:themeTint="BF"/>
                <w:sz w:val="56"/>
                <w:szCs w:val="56"/>
                <w:lang w:val="it-IT"/>
              </w:rPr>
            </w:pPr>
            <w:r w:rsidRPr="00DC1750">
              <w:rPr>
                <w:rFonts w:ascii="Times New Roman" w:eastAsia="Aptos" w:hAnsi="Times New Roman" w:cs="Times New Roman"/>
                <w:b/>
                <w:color w:val="215E99" w:themeColor="text2" w:themeTint="BF"/>
                <w:sz w:val="44"/>
                <w:szCs w:val="44"/>
                <w:lang w:val="it-IT"/>
              </w:rPr>
              <w:t>Output 3.1: Ambitious, inclusive NDCs mitigation targets in the forest and land-use sector aligned to the global 1.5oC target</w:t>
            </w:r>
          </w:p>
        </w:tc>
        <w:tc>
          <w:tcPr>
            <w:tcW w:w="799" w:type="dxa"/>
          </w:tcPr>
          <w:p w14:paraId="4AB01759" w14:textId="77777777" w:rsidR="00DC1750" w:rsidRPr="00AD674B" w:rsidRDefault="00DC1750" w:rsidP="008E40B0">
            <w:pPr>
              <w:spacing w:before="0" w:after="0" w:line="240" w:lineRule="auto"/>
              <w:rPr>
                <w:rFonts w:ascii="Aptos" w:eastAsia="Aptos" w:hAnsi="Aptos" w:cs="Arial"/>
                <w:b/>
                <w:sz w:val="28"/>
                <w:szCs w:val="28"/>
                <w:lang w:val="it-IT"/>
              </w:rPr>
            </w:pPr>
          </w:p>
        </w:tc>
      </w:tr>
      <w:tr w:rsidR="00DC1750" w:rsidRPr="00AD674B" w14:paraId="7BD964DF" w14:textId="77777777" w:rsidTr="008E40B0">
        <w:tc>
          <w:tcPr>
            <w:tcW w:w="846" w:type="dxa"/>
            <w:tcBorders>
              <w:right w:val="single" w:sz="24" w:space="0" w:color="336699"/>
            </w:tcBorders>
          </w:tcPr>
          <w:p w14:paraId="2774EBD2" w14:textId="77777777" w:rsidR="00DC1750" w:rsidRPr="00F84651" w:rsidRDefault="00DC1750"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4B878C0A" w14:textId="77777777" w:rsidR="00DC1750" w:rsidRPr="00F84651" w:rsidRDefault="00DC1750" w:rsidP="008E40B0">
            <w:pPr>
              <w:spacing w:before="0" w:after="0" w:line="240" w:lineRule="auto"/>
              <w:rPr>
                <w:rFonts w:ascii="Aptos" w:eastAsia="Aptos" w:hAnsi="Aptos" w:cs="Arial"/>
                <w:b/>
                <w:color w:val="215E99" w:themeColor="text2" w:themeTint="BF"/>
                <w:sz w:val="28"/>
                <w:szCs w:val="28"/>
                <w:lang w:val="it-IT"/>
              </w:rPr>
            </w:pPr>
          </w:p>
          <w:p w14:paraId="2A1430AE" w14:textId="77777777" w:rsidR="00DC1750" w:rsidRPr="00F84651" w:rsidRDefault="00DC1750" w:rsidP="008E40B0">
            <w:pPr>
              <w:spacing w:before="0" w:after="0" w:line="240" w:lineRule="auto"/>
              <w:rPr>
                <w:rFonts w:ascii="Aptos" w:eastAsia="Aptos" w:hAnsi="Aptos" w:cs="Arial"/>
                <w:b/>
                <w:color w:val="215E99" w:themeColor="text2" w:themeTint="BF"/>
                <w:sz w:val="28"/>
                <w:szCs w:val="28"/>
                <w:lang w:val="it-IT"/>
              </w:rPr>
            </w:pPr>
            <w:r w:rsidRPr="00F84651">
              <w:rPr>
                <w:rFonts w:ascii="Aptos" w:eastAsia="Aptos" w:hAnsi="Aptos" w:cs="Arial"/>
                <w:b/>
                <w:color w:val="215E99" w:themeColor="text2" w:themeTint="BF"/>
                <w:sz w:val="28"/>
                <w:szCs w:val="28"/>
                <w:lang w:val="it-IT"/>
              </w:rPr>
              <w:t>UN-REDD Multiyear Programming Document 2026–2030       Illustrative Support Overview</w:t>
            </w:r>
          </w:p>
        </w:tc>
        <w:tc>
          <w:tcPr>
            <w:tcW w:w="799" w:type="dxa"/>
          </w:tcPr>
          <w:p w14:paraId="639C3CE7" w14:textId="77777777" w:rsidR="00DC1750" w:rsidRPr="00AD674B" w:rsidRDefault="00DC1750" w:rsidP="008E40B0">
            <w:pPr>
              <w:spacing w:before="0" w:after="0" w:line="240" w:lineRule="auto"/>
              <w:rPr>
                <w:rFonts w:ascii="Aptos" w:eastAsia="Aptos" w:hAnsi="Aptos" w:cs="Arial"/>
                <w:b/>
                <w:sz w:val="28"/>
                <w:szCs w:val="28"/>
                <w:lang w:val="it-IT"/>
              </w:rPr>
            </w:pPr>
          </w:p>
        </w:tc>
      </w:tr>
      <w:tr w:rsidR="00DC1750" w:rsidRPr="00AD674B" w14:paraId="21EB872E" w14:textId="77777777" w:rsidTr="008E40B0">
        <w:tc>
          <w:tcPr>
            <w:tcW w:w="846" w:type="dxa"/>
            <w:tcBorders>
              <w:right w:val="single" w:sz="24" w:space="0" w:color="336699"/>
            </w:tcBorders>
          </w:tcPr>
          <w:p w14:paraId="5DFFC1FC" w14:textId="77777777" w:rsidR="00DC1750" w:rsidRPr="00F84651" w:rsidRDefault="00DC1750"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37C1CDDE" w14:textId="77777777" w:rsidR="00DC1750" w:rsidRPr="00F84651" w:rsidRDefault="00DC1750" w:rsidP="008E40B0">
            <w:pPr>
              <w:spacing w:before="0" w:after="0" w:line="240" w:lineRule="auto"/>
              <w:rPr>
                <w:rFonts w:ascii="Aptos" w:eastAsia="Aptos" w:hAnsi="Aptos" w:cs="Arial"/>
                <w:b/>
                <w:color w:val="215E99" w:themeColor="text2" w:themeTint="BF"/>
                <w:sz w:val="28"/>
                <w:szCs w:val="28"/>
                <w:lang w:val="it-IT"/>
              </w:rPr>
            </w:pPr>
          </w:p>
        </w:tc>
        <w:tc>
          <w:tcPr>
            <w:tcW w:w="799" w:type="dxa"/>
          </w:tcPr>
          <w:p w14:paraId="21039804" w14:textId="77777777" w:rsidR="00DC1750" w:rsidRPr="00AD674B" w:rsidRDefault="00DC1750" w:rsidP="008E40B0">
            <w:pPr>
              <w:spacing w:before="0" w:after="0" w:line="240" w:lineRule="auto"/>
              <w:rPr>
                <w:rFonts w:ascii="Aptos" w:eastAsia="Aptos" w:hAnsi="Aptos" w:cs="Arial"/>
                <w:b/>
                <w:sz w:val="28"/>
                <w:szCs w:val="28"/>
                <w:lang w:val="it-IT"/>
              </w:rPr>
            </w:pPr>
          </w:p>
        </w:tc>
      </w:tr>
      <w:tr w:rsidR="00DC1750" w:rsidRPr="00AD674B" w14:paraId="7DC4A488" w14:textId="77777777" w:rsidTr="008E40B0">
        <w:trPr>
          <w:trHeight w:val="68"/>
        </w:trPr>
        <w:tc>
          <w:tcPr>
            <w:tcW w:w="846" w:type="dxa"/>
            <w:tcBorders>
              <w:right w:val="single" w:sz="24" w:space="0" w:color="336699"/>
            </w:tcBorders>
          </w:tcPr>
          <w:p w14:paraId="63ADAC40" w14:textId="77777777" w:rsidR="00DC1750" w:rsidRPr="00F84651" w:rsidRDefault="00DC1750"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18B60A77" w14:textId="77777777" w:rsidR="00DC1750" w:rsidRPr="00F84651" w:rsidRDefault="00DC1750" w:rsidP="008E40B0">
            <w:pPr>
              <w:spacing w:before="0" w:after="0" w:line="240" w:lineRule="auto"/>
              <w:rPr>
                <w:rFonts w:ascii="Aptos" w:eastAsia="Aptos" w:hAnsi="Aptos" w:cs="Arial"/>
                <w:b/>
                <w:color w:val="215E99" w:themeColor="text2" w:themeTint="BF"/>
                <w:lang w:val="it-IT"/>
              </w:rPr>
            </w:pPr>
            <w:r w:rsidRPr="00F84651">
              <w:rPr>
                <w:rFonts w:ascii="Aptos" w:eastAsia="Aptos" w:hAnsi="Aptos" w:cs="Arial"/>
                <w:b/>
                <w:color w:val="215E99" w:themeColor="text2" w:themeTint="BF"/>
                <w:lang w:val="it-IT"/>
              </w:rPr>
              <w:t>Prepared by UN-REDD Programme</w:t>
            </w:r>
          </w:p>
          <w:p w14:paraId="1ABC2A56" w14:textId="77777777" w:rsidR="00DC1750" w:rsidRPr="00F84651" w:rsidRDefault="00DC1750" w:rsidP="008E40B0">
            <w:pPr>
              <w:spacing w:before="0" w:after="0" w:line="240" w:lineRule="auto"/>
              <w:rPr>
                <w:rFonts w:ascii="Aptos" w:eastAsia="Aptos" w:hAnsi="Aptos" w:cs="Arial"/>
                <w:b/>
                <w:color w:val="215E99" w:themeColor="text2" w:themeTint="BF"/>
                <w:sz w:val="28"/>
                <w:szCs w:val="28"/>
                <w:lang w:val="it-IT"/>
              </w:rPr>
            </w:pPr>
            <w:r w:rsidRPr="00F84651">
              <w:rPr>
                <w:rFonts w:ascii="Aptos" w:eastAsia="Aptos" w:hAnsi="Aptos" w:cs="Arial"/>
                <w:b/>
                <w:color w:val="215E99" w:themeColor="text2" w:themeTint="BF"/>
                <w:lang w:val="it-IT"/>
              </w:rPr>
              <w:t>June 2025</w:t>
            </w:r>
          </w:p>
        </w:tc>
        <w:tc>
          <w:tcPr>
            <w:tcW w:w="799" w:type="dxa"/>
          </w:tcPr>
          <w:p w14:paraId="3FB0D413" w14:textId="77777777" w:rsidR="00DC1750" w:rsidRPr="00AD674B" w:rsidRDefault="00DC1750" w:rsidP="008E40B0">
            <w:pPr>
              <w:spacing w:before="0" w:after="0" w:line="240" w:lineRule="auto"/>
              <w:rPr>
                <w:rFonts w:ascii="Aptos" w:eastAsia="Aptos" w:hAnsi="Aptos" w:cs="Arial"/>
                <w:b/>
                <w:sz w:val="28"/>
                <w:szCs w:val="28"/>
                <w:lang w:val="it-IT"/>
              </w:rPr>
            </w:pPr>
          </w:p>
        </w:tc>
      </w:tr>
      <w:tr w:rsidR="00DC1750" w:rsidRPr="00AD674B" w14:paraId="4720C0DE" w14:textId="77777777" w:rsidTr="008E40B0">
        <w:trPr>
          <w:trHeight w:val="3470"/>
        </w:trPr>
        <w:tc>
          <w:tcPr>
            <w:tcW w:w="846" w:type="dxa"/>
          </w:tcPr>
          <w:p w14:paraId="7BE8E81E" w14:textId="77777777" w:rsidR="00DC1750" w:rsidRPr="00F84651" w:rsidRDefault="00DC1750"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bottom w:val="single" w:sz="4" w:space="0" w:color="auto"/>
            </w:tcBorders>
          </w:tcPr>
          <w:p w14:paraId="311DCAB3" w14:textId="77777777" w:rsidR="00DC1750" w:rsidRPr="00F84651" w:rsidRDefault="00DC1750" w:rsidP="008E40B0">
            <w:pPr>
              <w:spacing w:before="0" w:after="0" w:line="240" w:lineRule="auto"/>
              <w:rPr>
                <w:rFonts w:ascii="Aptos" w:eastAsia="Aptos" w:hAnsi="Aptos" w:cs="Arial"/>
                <w:b/>
                <w:color w:val="215E99" w:themeColor="text2" w:themeTint="BF"/>
                <w:sz w:val="28"/>
                <w:szCs w:val="28"/>
                <w:lang w:val="it-IT"/>
              </w:rPr>
            </w:pPr>
          </w:p>
          <w:p w14:paraId="5EF5FBFC" w14:textId="77777777" w:rsidR="00DC1750" w:rsidRPr="00F84651" w:rsidRDefault="00DC1750" w:rsidP="008E40B0">
            <w:pPr>
              <w:spacing w:before="0" w:after="0" w:line="240" w:lineRule="auto"/>
              <w:rPr>
                <w:rFonts w:ascii="Aptos" w:eastAsia="Aptos" w:hAnsi="Aptos" w:cs="Arial"/>
                <w:b/>
                <w:color w:val="215E99" w:themeColor="text2" w:themeTint="BF"/>
                <w:sz w:val="28"/>
                <w:szCs w:val="28"/>
                <w:lang w:val="it-IT"/>
              </w:rPr>
            </w:pPr>
          </w:p>
          <w:p w14:paraId="1DD0CCEA" w14:textId="77777777" w:rsidR="00DC1750" w:rsidRPr="00F84651" w:rsidRDefault="00DC1750" w:rsidP="008E40B0">
            <w:pPr>
              <w:spacing w:before="0" w:after="0" w:line="240" w:lineRule="auto"/>
              <w:rPr>
                <w:rFonts w:ascii="Aptos" w:eastAsia="Aptos" w:hAnsi="Aptos" w:cs="Arial"/>
                <w:b/>
                <w:color w:val="215E99" w:themeColor="text2" w:themeTint="BF"/>
                <w:sz w:val="28"/>
                <w:szCs w:val="28"/>
                <w:lang w:val="it-IT"/>
              </w:rPr>
            </w:pPr>
          </w:p>
          <w:p w14:paraId="6E51E2BB" w14:textId="77777777" w:rsidR="00DC1750" w:rsidRPr="00F84651" w:rsidRDefault="00DC1750" w:rsidP="008E40B0">
            <w:pPr>
              <w:spacing w:before="0" w:after="0" w:line="240" w:lineRule="auto"/>
              <w:rPr>
                <w:rFonts w:ascii="Aptos" w:eastAsia="Aptos" w:hAnsi="Aptos" w:cs="Arial"/>
                <w:b/>
                <w:color w:val="215E99" w:themeColor="text2" w:themeTint="BF"/>
                <w:sz w:val="28"/>
                <w:szCs w:val="28"/>
                <w:lang w:val="it-IT"/>
              </w:rPr>
            </w:pPr>
          </w:p>
          <w:p w14:paraId="2C47AEFF" w14:textId="77777777" w:rsidR="00DC1750" w:rsidRPr="00F84651" w:rsidRDefault="00DC1750" w:rsidP="008E40B0">
            <w:pPr>
              <w:spacing w:before="0" w:after="0" w:line="240" w:lineRule="auto"/>
              <w:rPr>
                <w:rFonts w:ascii="Aptos" w:eastAsia="Aptos" w:hAnsi="Aptos" w:cs="Arial"/>
                <w:b/>
                <w:color w:val="215E99" w:themeColor="text2" w:themeTint="BF"/>
                <w:sz w:val="28"/>
                <w:szCs w:val="28"/>
                <w:lang w:val="it-IT"/>
              </w:rPr>
            </w:pPr>
          </w:p>
          <w:p w14:paraId="551138FD" w14:textId="77777777" w:rsidR="00DC1750" w:rsidRDefault="00DC1750" w:rsidP="008E40B0">
            <w:pPr>
              <w:spacing w:before="0" w:after="0" w:line="240" w:lineRule="auto"/>
              <w:rPr>
                <w:rFonts w:ascii="Aptos" w:eastAsia="Aptos" w:hAnsi="Aptos" w:cs="Arial"/>
                <w:b/>
                <w:color w:val="215E99" w:themeColor="text2" w:themeTint="BF"/>
                <w:sz w:val="28"/>
                <w:szCs w:val="28"/>
                <w:lang w:val="it-IT"/>
              </w:rPr>
            </w:pPr>
          </w:p>
          <w:p w14:paraId="5E00A1D4" w14:textId="77777777" w:rsidR="00DC1750" w:rsidRDefault="00DC1750" w:rsidP="008E40B0">
            <w:pPr>
              <w:spacing w:before="0" w:after="0" w:line="240" w:lineRule="auto"/>
              <w:rPr>
                <w:rFonts w:ascii="Aptos" w:eastAsia="Aptos" w:hAnsi="Aptos" w:cs="Arial"/>
                <w:b/>
                <w:color w:val="215E99" w:themeColor="text2" w:themeTint="BF"/>
                <w:sz w:val="28"/>
                <w:szCs w:val="28"/>
                <w:lang w:val="it-IT"/>
              </w:rPr>
            </w:pPr>
          </w:p>
          <w:p w14:paraId="577EA2AE" w14:textId="77777777" w:rsidR="00DC1750" w:rsidRDefault="00DC1750" w:rsidP="008E40B0">
            <w:pPr>
              <w:spacing w:before="0" w:after="0" w:line="240" w:lineRule="auto"/>
              <w:rPr>
                <w:rFonts w:ascii="Aptos" w:eastAsia="Aptos" w:hAnsi="Aptos" w:cs="Arial"/>
                <w:b/>
                <w:color w:val="215E99" w:themeColor="text2" w:themeTint="BF"/>
                <w:sz w:val="28"/>
                <w:szCs w:val="28"/>
                <w:lang w:val="it-IT"/>
              </w:rPr>
            </w:pPr>
          </w:p>
          <w:p w14:paraId="107BED18" w14:textId="77777777" w:rsidR="00DC1750" w:rsidRDefault="00DC1750" w:rsidP="008E40B0">
            <w:pPr>
              <w:spacing w:before="0" w:after="0" w:line="240" w:lineRule="auto"/>
              <w:rPr>
                <w:rFonts w:ascii="Aptos" w:eastAsia="Aptos" w:hAnsi="Aptos" w:cs="Arial"/>
                <w:b/>
                <w:color w:val="215E99" w:themeColor="text2" w:themeTint="BF"/>
                <w:sz w:val="28"/>
                <w:szCs w:val="28"/>
                <w:lang w:val="it-IT"/>
              </w:rPr>
            </w:pPr>
          </w:p>
          <w:p w14:paraId="696C3BED" w14:textId="77777777" w:rsidR="00DC1750" w:rsidRDefault="00DC1750" w:rsidP="008E40B0">
            <w:pPr>
              <w:spacing w:before="0" w:after="0" w:line="240" w:lineRule="auto"/>
              <w:rPr>
                <w:rFonts w:ascii="Aptos" w:eastAsia="Aptos" w:hAnsi="Aptos" w:cs="Arial"/>
                <w:b/>
                <w:color w:val="215E99" w:themeColor="text2" w:themeTint="BF"/>
                <w:sz w:val="28"/>
                <w:szCs w:val="28"/>
                <w:lang w:val="it-IT"/>
              </w:rPr>
            </w:pPr>
          </w:p>
          <w:p w14:paraId="71B9A8FA" w14:textId="77777777" w:rsidR="00DC1750" w:rsidRPr="00F84651" w:rsidRDefault="00DC1750" w:rsidP="008E40B0">
            <w:pPr>
              <w:spacing w:before="0" w:after="0" w:line="240" w:lineRule="auto"/>
              <w:rPr>
                <w:rFonts w:ascii="Aptos" w:eastAsia="Aptos" w:hAnsi="Aptos" w:cs="Arial"/>
                <w:b/>
                <w:color w:val="215E99" w:themeColor="text2" w:themeTint="BF"/>
                <w:sz w:val="28"/>
                <w:szCs w:val="28"/>
                <w:lang w:val="it-IT"/>
              </w:rPr>
            </w:pPr>
          </w:p>
          <w:p w14:paraId="4EF08058" w14:textId="77777777" w:rsidR="00DC1750" w:rsidRPr="00F84651" w:rsidRDefault="00DC1750" w:rsidP="008E40B0">
            <w:pPr>
              <w:spacing w:before="0" w:after="0" w:line="240" w:lineRule="auto"/>
              <w:rPr>
                <w:rFonts w:ascii="Aptos" w:eastAsia="Aptos" w:hAnsi="Aptos" w:cs="Arial"/>
                <w:b/>
                <w:color w:val="215E99" w:themeColor="text2" w:themeTint="BF"/>
                <w:sz w:val="28"/>
                <w:szCs w:val="28"/>
                <w:lang w:val="it-IT"/>
              </w:rPr>
            </w:pPr>
          </w:p>
          <w:p w14:paraId="7B78877B" w14:textId="77777777" w:rsidR="00DC1750" w:rsidRPr="00F84651" w:rsidRDefault="00DC1750" w:rsidP="008E40B0">
            <w:pPr>
              <w:spacing w:before="0" w:after="0" w:line="240" w:lineRule="auto"/>
              <w:rPr>
                <w:rFonts w:ascii="Aptos" w:eastAsia="Aptos" w:hAnsi="Aptos" w:cs="Arial"/>
                <w:b/>
                <w:color w:val="215E99" w:themeColor="text2" w:themeTint="BF"/>
                <w:sz w:val="28"/>
                <w:szCs w:val="28"/>
                <w:lang w:val="it-IT"/>
              </w:rPr>
            </w:pPr>
          </w:p>
        </w:tc>
        <w:tc>
          <w:tcPr>
            <w:tcW w:w="799" w:type="dxa"/>
          </w:tcPr>
          <w:p w14:paraId="59F27FE1" w14:textId="77777777" w:rsidR="00DC1750" w:rsidRPr="00AD674B" w:rsidRDefault="00DC1750" w:rsidP="008E40B0">
            <w:pPr>
              <w:spacing w:before="0" w:after="0" w:line="240" w:lineRule="auto"/>
              <w:rPr>
                <w:rFonts w:ascii="Aptos" w:eastAsia="Aptos" w:hAnsi="Aptos" w:cs="Arial"/>
                <w:b/>
                <w:sz w:val="28"/>
                <w:szCs w:val="28"/>
                <w:lang w:val="it-IT"/>
              </w:rPr>
            </w:pPr>
          </w:p>
        </w:tc>
      </w:tr>
      <w:tr w:rsidR="00DC1750" w:rsidRPr="00AD674B" w14:paraId="5639400A" w14:textId="77777777" w:rsidTr="008E40B0">
        <w:trPr>
          <w:trHeight w:val="368"/>
        </w:trPr>
        <w:tc>
          <w:tcPr>
            <w:tcW w:w="846" w:type="dxa"/>
            <w:tcBorders>
              <w:right w:val="single" w:sz="4" w:space="0" w:color="auto"/>
            </w:tcBorders>
          </w:tcPr>
          <w:p w14:paraId="4E93CE3A" w14:textId="77777777" w:rsidR="00DC1750" w:rsidRPr="00AD674B" w:rsidRDefault="00DC1750" w:rsidP="008E40B0">
            <w:pPr>
              <w:spacing w:before="0" w:after="0" w:line="240" w:lineRule="auto"/>
              <w:rPr>
                <w:rFonts w:ascii="Aptos" w:eastAsia="Aptos" w:hAnsi="Aptos" w:cs="Arial"/>
                <w:b/>
                <w:sz w:val="28"/>
                <w:szCs w:val="28"/>
                <w:lang w:val="it-IT"/>
              </w:rPr>
            </w:pPr>
          </w:p>
        </w:tc>
        <w:tc>
          <w:tcPr>
            <w:tcW w:w="7371" w:type="dxa"/>
            <w:tcBorders>
              <w:top w:val="single" w:sz="4" w:space="0" w:color="auto"/>
              <w:left w:val="single" w:sz="4" w:space="0" w:color="auto"/>
              <w:bottom w:val="single" w:sz="4" w:space="0" w:color="auto"/>
              <w:right w:val="single" w:sz="4" w:space="0" w:color="auto"/>
            </w:tcBorders>
          </w:tcPr>
          <w:p w14:paraId="175B6F26" w14:textId="77777777" w:rsidR="00DC1750" w:rsidRPr="00AD674B" w:rsidRDefault="00DC1750" w:rsidP="008E40B0">
            <w:pPr>
              <w:spacing w:after="120" w:line="240" w:lineRule="auto"/>
              <w:ind w:left="57" w:right="57"/>
              <w:jc w:val="both"/>
              <w:rPr>
                <w:rFonts w:ascii="Roboto" w:eastAsia="Aptos" w:hAnsi="Roboto" w:cs="Arial"/>
                <w:b/>
                <w:i/>
                <w:iCs/>
                <w:sz w:val="18"/>
                <w:szCs w:val="18"/>
                <w:lang w:val="it-IT"/>
              </w:rPr>
            </w:pPr>
            <w:r w:rsidRPr="00AD674B">
              <w:rPr>
                <w:rFonts w:ascii="Roboto" w:eastAsia="Aptos" w:hAnsi="Roboto" w:cs="Arial"/>
                <w:i/>
                <w:iCs/>
                <w:sz w:val="20"/>
                <w:szCs w:val="20"/>
              </w:rPr>
              <w:t xml:space="preserve">This brief has been prepared by the UN-REDD </w:t>
            </w:r>
            <w:proofErr w:type="spellStart"/>
            <w:r w:rsidRPr="00AD674B">
              <w:rPr>
                <w:rFonts w:ascii="Roboto" w:eastAsia="Aptos" w:hAnsi="Roboto" w:cs="Arial"/>
                <w:i/>
                <w:iCs/>
                <w:sz w:val="20"/>
                <w:szCs w:val="20"/>
              </w:rPr>
              <w:t>Programme</w:t>
            </w:r>
            <w:proofErr w:type="spellEnd"/>
            <w:r w:rsidRPr="00AD674B">
              <w:rPr>
                <w:rFonts w:ascii="Roboto" w:eastAsia="Aptos" w:hAnsi="Roboto" w:cs="Arial"/>
                <w:i/>
                <w:iCs/>
                <w:sz w:val="20"/>
                <w:szCs w:val="20"/>
              </w:rPr>
              <w:t xml:space="preserve"> team based on preliminary analysis, internal assessments, and strategic insights from prior engagements and consultations. It is intended to provide illustrative information on potential areas of UN-REDD support for the 2026–2030 period. The content, including indicative budgets and activities, is for donor engagement purposes only and has not yet been discussed or consulted with the respective country authorities. As such, it does not represent an official position or commitment from the country concerned or from the UN-REDD </w:t>
            </w:r>
            <w:proofErr w:type="spellStart"/>
            <w:r w:rsidRPr="00AD674B">
              <w:rPr>
                <w:rFonts w:ascii="Roboto" w:eastAsia="Aptos" w:hAnsi="Roboto" w:cs="Arial"/>
                <w:i/>
                <w:iCs/>
                <w:sz w:val="20"/>
                <w:szCs w:val="20"/>
              </w:rPr>
              <w:t>Programme</w:t>
            </w:r>
            <w:proofErr w:type="spellEnd"/>
            <w:r w:rsidRPr="00AD674B">
              <w:rPr>
                <w:rFonts w:ascii="Roboto" w:eastAsia="Aptos" w:hAnsi="Roboto" w:cs="Arial"/>
                <w:i/>
                <w:iCs/>
                <w:sz w:val="20"/>
                <w:szCs w:val="20"/>
              </w:rPr>
              <w:t>.</w:t>
            </w:r>
          </w:p>
        </w:tc>
        <w:tc>
          <w:tcPr>
            <w:tcW w:w="799" w:type="dxa"/>
            <w:tcBorders>
              <w:left w:val="single" w:sz="4" w:space="0" w:color="auto"/>
            </w:tcBorders>
          </w:tcPr>
          <w:p w14:paraId="29C3C3BF" w14:textId="77777777" w:rsidR="00DC1750" w:rsidRPr="00AD674B" w:rsidRDefault="00DC1750" w:rsidP="008E40B0">
            <w:pPr>
              <w:spacing w:before="0" w:after="0" w:line="240" w:lineRule="auto"/>
              <w:rPr>
                <w:rFonts w:ascii="Roboto" w:eastAsia="Aptos" w:hAnsi="Roboto" w:cs="Arial"/>
                <w:b/>
                <w:sz w:val="18"/>
                <w:szCs w:val="18"/>
                <w:lang w:val="it-IT"/>
              </w:rPr>
            </w:pPr>
          </w:p>
        </w:tc>
      </w:tr>
    </w:tbl>
    <w:p w14:paraId="76C8D6CC" w14:textId="77777777" w:rsidR="00D65715" w:rsidRPr="00D65715" w:rsidRDefault="00D65715" w:rsidP="00D65715">
      <w:pPr>
        <w:sectPr w:rsidR="00D65715" w:rsidRPr="00D65715">
          <w:pgSz w:w="11906" w:h="16838"/>
          <w:pgMar w:top="1440" w:right="1440" w:bottom="1440" w:left="1440" w:header="708" w:footer="708" w:gutter="0"/>
          <w:cols w:space="708"/>
          <w:docGrid w:linePitch="360"/>
        </w:sectPr>
      </w:pPr>
    </w:p>
    <w:p w14:paraId="7EEA9D46" w14:textId="21E1790F" w:rsidR="00A305AE" w:rsidRPr="001F0A55" w:rsidRDefault="00A32821" w:rsidP="0054289A">
      <w:pPr>
        <w:pStyle w:val="Heading1"/>
        <w:jc w:val="center"/>
      </w:pPr>
      <w:r w:rsidRPr="00A32821">
        <w:lastRenderedPageBreak/>
        <w:t>Output 3.1: Ambitious, inclusive NDCs mitigation targets in the forest and land-use sector aligned to the global 1.5oC target</w:t>
      </w:r>
    </w:p>
    <w:tbl>
      <w:tblPr>
        <w:tblStyle w:val="TableGrid"/>
        <w:tblW w:w="0" w:type="auto"/>
        <w:tblLook w:val="04A0" w:firstRow="1" w:lastRow="0" w:firstColumn="1" w:lastColumn="0" w:noHBand="0" w:noVBand="1"/>
      </w:tblPr>
      <w:tblGrid>
        <w:gridCol w:w="9016"/>
      </w:tblGrid>
      <w:tr w:rsidR="00E62A58" w:rsidRPr="001F0A55" w14:paraId="6DB3DD6F" w14:textId="77777777" w:rsidTr="004A303E">
        <w:tc>
          <w:tcPr>
            <w:tcW w:w="9016" w:type="dxa"/>
            <w:tcMar>
              <w:top w:w="142" w:type="dxa"/>
              <w:left w:w="142" w:type="dxa"/>
              <w:bottom w:w="142" w:type="dxa"/>
              <w:right w:w="142" w:type="dxa"/>
            </w:tcMar>
            <w:vAlign w:val="center"/>
          </w:tcPr>
          <w:p w14:paraId="01351D5B" w14:textId="5ED24BA1" w:rsidR="00E62A58" w:rsidRPr="001F0A55" w:rsidRDefault="00BC192A">
            <w:pPr>
              <w:spacing w:after="120"/>
              <w:rPr>
                <w:rFonts w:eastAsiaTheme="minorEastAsia"/>
                <w:i/>
                <w:lang w:val="en-GB"/>
              </w:rPr>
            </w:pPr>
            <w:bookmarkStart w:id="0" w:name="_Hlk173163585"/>
            <w:r w:rsidRPr="009B2370">
              <w:rPr>
                <w:rFonts w:eastAsiaTheme="minorEastAsia"/>
                <w:b/>
                <w:bCs/>
                <w:i/>
              </w:rPr>
              <w:t xml:space="preserve">This is one of three outputs forming Outcome 3: </w:t>
            </w:r>
            <w:r w:rsidR="00582A70" w:rsidRPr="009B2370">
              <w:rPr>
                <w:rFonts w:eastAsiaTheme="minorEastAsia"/>
                <w:b/>
                <w:bCs/>
                <w:i/>
              </w:rPr>
              <w:t>Enhancing Climate Ambition:</w:t>
            </w:r>
            <w:r w:rsidR="00582A70">
              <w:rPr>
                <w:rFonts w:eastAsiaTheme="minorEastAsia"/>
                <w:i/>
                <w:lang w:val="en-GB"/>
              </w:rPr>
              <w:t xml:space="preserve"> </w:t>
            </w:r>
            <w:r w:rsidR="00A32821" w:rsidRPr="001F0A55">
              <w:rPr>
                <w:rFonts w:eastAsiaTheme="minorEastAsia"/>
                <w:i/>
                <w:lang w:val="en-GB"/>
              </w:rPr>
              <w:t>Within the framework of the UN Climate Promise, supporting countries to enhance the climate ambition of their forest and land sector, in line with the global 1.5</w:t>
            </w:r>
            <w:r w:rsidR="00A32821" w:rsidRPr="001F0A55">
              <w:rPr>
                <w:rFonts w:eastAsiaTheme="minorEastAsia" w:cs="Arial (Body CS)"/>
                <w:i/>
                <w:vertAlign w:val="superscript"/>
                <w:lang w:val="en-GB"/>
              </w:rPr>
              <w:t>o</w:t>
            </w:r>
            <w:r w:rsidR="00A32821" w:rsidRPr="001F0A55">
              <w:rPr>
                <w:rFonts w:eastAsiaTheme="minorEastAsia"/>
                <w:i/>
                <w:lang w:val="en-GB"/>
              </w:rPr>
              <w:t>C target. This comprises support along the NDC cycle, including coordination, stakeholder engagement, review, enhancement, financing and implementation (thus contributing to Outcome 1), as well as the associated Enhanced Transparency Framework. The NDC support will integrate acceleration, ambition, and inclusivity.</w:t>
            </w:r>
          </w:p>
        </w:tc>
      </w:tr>
    </w:tbl>
    <w:bookmarkEnd w:id="0"/>
    <w:p w14:paraId="2842E011" w14:textId="41B35E1C" w:rsidR="00E62A58" w:rsidRPr="001F0A55" w:rsidRDefault="00E62A58" w:rsidP="0054289A">
      <w:pPr>
        <w:pStyle w:val="Heading1"/>
      </w:pPr>
      <w:r w:rsidRPr="0F275158">
        <w:t>The challenge</w:t>
      </w:r>
      <w:r w:rsidR="003E5473" w:rsidRPr="0F275158">
        <w:t xml:space="preserve"> </w:t>
      </w:r>
    </w:p>
    <w:p w14:paraId="53C9266D" w14:textId="77A3F32F" w:rsidR="38224B83" w:rsidRDefault="00796718" w:rsidP="0054289A">
      <w:pPr>
        <w:rPr>
          <w:rFonts w:ascii="Aptos" w:eastAsia="Aptos" w:hAnsi="Aptos" w:cs="Aptos"/>
        </w:rPr>
      </w:pPr>
      <w:r w:rsidRPr="4DBC5449">
        <w:t>T</w:t>
      </w:r>
      <w:r w:rsidR="74013E15" w:rsidRPr="4DBC5449">
        <w:t xml:space="preserve">he </w:t>
      </w:r>
      <w:r w:rsidRPr="4DBC5449">
        <w:t>Agriculture, Forests and other Land Uses (</w:t>
      </w:r>
      <w:r w:rsidR="74013E15" w:rsidRPr="4DBC5449">
        <w:t>AFOLU</w:t>
      </w:r>
      <w:r w:rsidRPr="4DBC5449">
        <w:t>)</w:t>
      </w:r>
      <w:r w:rsidR="74013E15" w:rsidRPr="4DBC5449">
        <w:t xml:space="preserve"> </w:t>
      </w:r>
      <w:r w:rsidR="55908663" w:rsidRPr="4DBC5449">
        <w:t xml:space="preserve">sector </w:t>
      </w:r>
      <w:r w:rsidR="38224B83" w:rsidRPr="4DBC5449">
        <w:t>account</w:t>
      </w:r>
      <w:r w:rsidR="00B80094" w:rsidRPr="4DBC5449">
        <w:t>s</w:t>
      </w:r>
      <w:r w:rsidR="00CF296B" w:rsidRPr="4DBC5449">
        <w:t xml:space="preserve"> </w:t>
      </w:r>
      <w:r w:rsidR="38224B83" w:rsidRPr="4DBC5449">
        <w:t xml:space="preserve">for 13-21% of global </w:t>
      </w:r>
      <w:r w:rsidR="4377828B" w:rsidRPr="4DBC5449">
        <w:t>anthropogenic</w:t>
      </w:r>
      <w:r w:rsidR="37E852C8" w:rsidRPr="4DBC5449">
        <w:t xml:space="preserve"> emissions</w:t>
      </w:r>
      <w:r w:rsidR="1B8449C6" w:rsidRPr="4DBC5449">
        <w:t xml:space="preserve"> from 2010 to 2019</w:t>
      </w:r>
      <w:r w:rsidRPr="4DBC5449">
        <w:t xml:space="preserve"> (IPCC, 2022)</w:t>
      </w:r>
      <w:r w:rsidR="37E852C8" w:rsidRPr="4DBC5449">
        <w:t xml:space="preserve">. </w:t>
      </w:r>
      <w:r w:rsidR="18E3F01F" w:rsidRPr="4DBC5449">
        <w:t xml:space="preserve">With improved </w:t>
      </w:r>
      <w:r w:rsidR="37E852C8" w:rsidRPr="4DBC5449">
        <w:t>conservation, restoration, and management of forests and other ecosystems</w:t>
      </w:r>
      <w:r w:rsidR="7CC72FAF" w:rsidRPr="4DBC5449">
        <w:t xml:space="preserve">, </w:t>
      </w:r>
      <w:r w:rsidR="20FFC481" w:rsidRPr="4DBC5449">
        <w:t>this sector</w:t>
      </w:r>
      <w:r w:rsidR="37E852C8" w:rsidRPr="4DBC5449">
        <w:t xml:space="preserve"> can</w:t>
      </w:r>
      <w:r w:rsidR="606A8E7E" w:rsidRPr="4DBC5449">
        <w:t xml:space="preserve"> be</w:t>
      </w:r>
      <w:r w:rsidR="37E852C8" w:rsidRPr="4DBC5449">
        <w:t xml:space="preserve"> transfor</w:t>
      </w:r>
      <w:r w:rsidR="30244A67" w:rsidRPr="4DBC5449">
        <w:t>med</w:t>
      </w:r>
      <w:r w:rsidR="37E852C8" w:rsidRPr="4DBC5449">
        <w:t xml:space="preserve"> from a net source of</w:t>
      </w:r>
      <w:r w:rsidR="37E852C8" w:rsidRPr="4DBC5449">
        <w:rPr>
          <w:rFonts w:ascii="Aptos" w:eastAsia="Aptos" w:hAnsi="Aptos" w:cs="Aptos"/>
        </w:rPr>
        <w:t xml:space="preserve"> emissions to a net carbon sink</w:t>
      </w:r>
      <w:r w:rsidR="0E6B07CD" w:rsidRPr="4DBC5449">
        <w:rPr>
          <w:rFonts w:ascii="Aptos" w:eastAsia="Aptos" w:hAnsi="Aptos" w:cs="Aptos"/>
        </w:rPr>
        <w:t>.</w:t>
      </w:r>
      <w:r w:rsidR="00C15A23">
        <w:t xml:space="preserve"> </w:t>
      </w:r>
      <w:r w:rsidR="00647926">
        <w:t>For reduced deforestation alone, t</w:t>
      </w:r>
      <w:r w:rsidR="00C15A23" w:rsidRPr="4DBC5449">
        <w:rPr>
          <w:rFonts w:ascii="Aptos" w:eastAsia="Aptos" w:hAnsi="Aptos" w:cs="Aptos"/>
        </w:rPr>
        <w:t>he magnitude of the mitigation potential</w:t>
      </w:r>
      <w:r w:rsidR="00647926" w:rsidRPr="4DBC5449">
        <w:rPr>
          <w:rFonts w:ascii="Aptos" w:eastAsia="Aptos" w:hAnsi="Aptos" w:cs="Aptos"/>
        </w:rPr>
        <w:t xml:space="preserve"> is </w:t>
      </w:r>
      <w:r w:rsidR="00C15A23" w:rsidRPr="4DBC5449">
        <w:rPr>
          <w:rFonts w:ascii="Aptos" w:eastAsia="Aptos" w:hAnsi="Aptos" w:cs="Aptos"/>
        </w:rPr>
        <w:t>about one-third of total global emissions</w:t>
      </w:r>
      <w:r w:rsidR="00647926" w:rsidRPr="4DBC5449">
        <w:rPr>
          <w:rFonts w:ascii="Aptos" w:eastAsia="Aptos" w:hAnsi="Aptos" w:cs="Aptos"/>
        </w:rPr>
        <w:t>.</w:t>
      </w:r>
    </w:p>
    <w:p w14:paraId="4548BDDE" w14:textId="3133D43E" w:rsidR="00DE2995" w:rsidRDefault="00F94105" w:rsidP="0054289A">
      <w:r>
        <w:t>Th</w:t>
      </w:r>
      <w:r w:rsidR="00265F40">
        <w:t>e</w:t>
      </w:r>
      <w:r w:rsidR="00647926">
        <w:t xml:space="preserve"> critical</w:t>
      </w:r>
      <w:r>
        <w:t xml:space="preserve"> role of forest</w:t>
      </w:r>
      <w:r w:rsidR="0040628D">
        <w:t>s</w:t>
      </w:r>
      <w:r>
        <w:t xml:space="preserve"> and land use in meeting climate goals is broadly recognized</w:t>
      </w:r>
      <w:r w:rsidR="00D23578">
        <w:t xml:space="preserve">. </w:t>
      </w:r>
      <w:r>
        <w:t xml:space="preserve"> </w:t>
      </w:r>
      <w:r w:rsidR="00E57AF7">
        <w:t>Approximately</w:t>
      </w:r>
      <w:r>
        <w:t xml:space="preserve"> 85% of </w:t>
      </w:r>
      <w:r w:rsidR="00220A36">
        <w:t xml:space="preserve">the </w:t>
      </w:r>
      <w:r>
        <w:t>NDCs</w:t>
      </w:r>
      <w:r w:rsidR="00220A36">
        <w:t xml:space="preserve"> f</w:t>
      </w:r>
      <w:r w:rsidR="00394CCD">
        <w:t>rom</w:t>
      </w:r>
      <w:r w:rsidR="00220A36">
        <w:t xml:space="preserve"> the 2020 cycle</w:t>
      </w:r>
      <w:r>
        <w:t xml:space="preserve"> includ</w:t>
      </w:r>
      <w:r w:rsidR="00042923">
        <w:t>e</w:t>
      </w:r>
      <w:r>
        <w:t xml:space="preserve"> the land-use, land-use change, and forestry (LULUCF) sector. </w:t>
      </w:r>
      <w:r w:rsidR="00DE2995">
        <w:t xml:space="preserve">Addressing emissions from forests and land-use change and enhancing removals in forests </w:t>
      </w:r>
      <w:r w:rsidR="00CA72EE">
        <w:t xml:space="preserve">is also </w:t>
      </w:r>
      <w:r w:rsidR="00DE2995">
        <w:t>covered in 81% of</w:t>
      </w:r>
      <w:r w:rsidR="00CA72EE">
        <w:t xml:space="preserve"> Long-term low emission development strategies (</w:t>
      </w:r>
      <w:r w:rsidR="00DE2995">
        <w:t>LT-LEDS</w:t>
      </w:r>
      <w:r w:rsidR="00CA72EE">
        <w:t>)</w:t>
      </w:r>
      <w:r w:rsidR="00DE2995">
        <w:t>, including activities such as increasing the sustainable management of forests, addressing deforestation or restoring degraded forests</w:t>
      </w:r>
      <w:r w:rsidR="009C5519" w:rsidRPr="009C5519">
        <w:t>.</w:t>
      </w:r>
      <w:r w:rsidR="00DE2995">
        <w:t xml:space="preserve">31% of LT-LEDS </w:t>
      </w:r>
      <w:r w:rsidR="006E62D6">
        <w:t xml:space="preserve">have also specifically </w:t>
      </w:r>
      <w:r w:rsidR="00DE2995">
        <w:t xml:space="preserve">underlined the long-term role of implementing REDD+ activities. </w:t>
      </w:r>
    </w:p>
    <w:p w14:paraId="594BA8AE" w14:textId="463FC09E" w:rsidR="00F94105" w:rsidRDefault="00300794" w:rsidP="0054289A">
      <w:r>
        <w:t xml:space="preserve">At the global level, </w:t>
      </w:r>
      <w:r w:rsidR="00D21CEB">
        <w:t xml:space="preserve">beyond the crucial recognition in Article 5 of the Paris Agreement, </w:t>
      </w:r>
      <w:r>
        <w:t>t</w:t>
      </w:r>
      <w:r w:rsidRPr="00300794">
        <w:t xml:space="preserve">he Global Stocktake (GST) decision </w:t>
      </w:r>
      <w:r w:rsidR="00D21CEB">
        <w:t xml:space="preserve">more recently </w:t>
      </w:r>
      <w:r w:rsidRPr="00300794">
        <w:t>emphasizes the need to conserve, protect and restore nature and ecosystems to meet the Paris Agreement temperature goal</w:t>
      </w:r>
      <w:r w:rsidR="00D21CEB">
        <w:t>.</w:t>
      </w:r>
      <w:r w:rsidRPr="00300794">
        <w:t xml:space="preserve"> </w:t>
      </w:r>
      <w:r w:rsidR="00D21CEB">
        <w:t>This important decision also,</w:t>
      </w:r>
      <w:r w:rsidRPr="00300794">
        <w:t xml:space="preserve"> notably, includes reference to enhanced efforts towards halting and reversing deforestation and forest degradation by 2030, and other terrestrial and marine ecosystems acting as sinks and reservoirs of greenhouse gases and by conserving biodiversity, as well as ensuring social and environmental safeguards and alignment with the Kunming-Montreal Global Biodiversity Framework. </w:t>
      </w:r>
      <w:r w:rsidR="003674E0">
        <w:t xml:space="preserve">While such </w:t>
      </w:r>
      <w:r w:rsidR="00F94105">
        <w:t xml:space="preserve">ambitious </w:t>
      </w:r>
      <w:r w:rsidR="003674E0">
        <w:t xml:space="preserve">global and national </w:t>
      </w:r>
      <w:r w:rsidR="00F94105">
        <w:t>goals a</w:t>
      </w:r>
      <w:r w:rsidR="003674E0">
        <w:t xml:space="preserve">re </w:t>
      </w:r>
      <w:r w:rsidR="00C40134">
        <w:t>demonstrating political</w:t>
      </w:r>
      <w:r w:rsidR="00F94105">
        <w:t xml:space="preserve"> commitment both at the country and global levels, </w:t>
      </w:r>
      <w:r w:rsidR="001E3B35">
        <w:t xml:space="preserve">there </w:t>
      </w:r>
      <w:r w:rsidR="0010727A">
        <w:t xml:space="preserve">is </w:t>
      </w:r>
      <w:r w:rsidR="00575C57">
        <w:t xml:space="preserve">still </w:t>
      </w:r>
      <w:r w:rsidR="0010727A">
        <w:t>a</w:t>
      </w:r>
      <w:r w:rsidR="00575C57">
        <w:t>n essential</w:t>
      </w:r>
      <w:r w:rsidR="0010727A">
        <w:t xml:space="preserve"> need to scale up ambition and implementation. </w:t>
      </w:r>
      <w:r w:rsidR="00C87238">
        <w:t>D</w:t>
      </w:r>
      <w:r w:rsidR="00F94105">
        <w:t>eforestation and forest degradation remain alarmingly high and are increasing rapidly in some countries, leaving many commitments towards the 2030 forest goals off track.   </w:t>
      </w:r>
      <w:r w:rsidR="00C644BC">
        <w:t xml:space="preserve">Looking at the 2020 NDCs specifically, </w:t>
      </w:r>
      <w:r w:rsidR="00BB6264">
        <w:t xml:space="preserve">these do not </w:t>
      </w:r>
      <w:r w:rsidR="003D6883">
        <w:t xml:space="preserve">yet </w:t>
      </w:r>
      <w:r w:rsidR="005D3D74" w:rsidRPr="005D3D74">
        <w:t>align with the global ambition to halt and reverse deforestation by 2030 and only eight of the top 20 countries with</w:t>
      </w:r>
      <w:r w:rsidR="003D6883">
        <w:t xml:space="preserve"> the</w:t>
      </w:r>
      <w:r w:rsidR="005D3D74" w:rsidRPr="005D3D74">
        <w:t xml:space="preserve"> highest rate</w:t>
      </w:r>
      <w:r w:rsidR="003D6883">
        <w:t>s</w:t>
      </w:r>
      <w:r w:rsidR="005D3D74" w:rsidRPr="005D3D74">
        <w:t xml:space="preserve"> of deforestation have quantified targets on forests in their NDCs. (UNEP, 2024).</w:t>
      </w:r>
    </w:p>
    <w:p w14:paraId="3FA9C028" w14:textId="6C7CC644" w:rsidR="00F22D60" w:rsidRDefault="00F22D60" w:rsidP="0054289A">
      <w:r w:rsidRPr="00F22D60">
        <w:t>The UAE Consensus</w:t>
      </w:r>
      <w:r>
        <w:t xml:space="preserve">, or global stocktake decision, also </w:t>
      </w:r>
      <w:r w:rsidRPr="00F22D60">
        <w:t xml:space="preserve">highlighted the urgent need to address ambition, implementation and finance gaps in the context of preparing long-term strategies, </w:t>
      </w:r>
      <w:r w:rsidR="00AC0DAE">
        <w:t xml:space="preserve">or LTS, </w:t>
      </w:r>
      <w:r w:rsidRPr="00F22D60">
        <w:t xml:space="preserve">pressing countries to update existing long-term strategies frequently. It also underscored the importance of syncing NDCs with long-term strategies to ensure that near-term actions are </w:t>
      </w:r>
      <w:r w:rsidRPr="00F22D60">
        <w:lastRenderedPageBreak/>
        <w:t xml:space="preserve">sufficient to achieve ambitious emissions reductions by </w:t>
      </w:r>
      <w:proofErr w:type="spellStart"/>
      <w:r w:rsidRPr="00F22D60">
        <w:t>midcentury</w:t>
      </w:r>
      <w:proofErr w:type="spellEnd"/>
      <w:r w:rsidRPr="00F22D60">
        <w:t>. Both strategies should be aligned and demonstrate a clear and equitable pathway toward net-zero emissions.</w:t>
      </w:r>
      <w:r w:rsidR="001E1CB6">
        <w:t xml:space="preserve"> Thus far, 76 Parties have submitted LTS to the UNFCCC.</w:t>
      </w:r>
    </w:p>
    <w:p w14:paraId="46930708" w14:textId="48718566" w:rsidR="00F94105" w:rsidRPr="001F0A55" w:rsidRDefault="00F94105" w:rsidP="0054289A">
      <w:pPr>
        <w:rPr>
          <w:rFonts w:ascii="Aptos" w:eastAsia="Aptos" w:hAnsi="Aptos" w:cs="Aptos"/>
        </w:rPr>
      </w:pPr>
      <w:r>
        <w:t xml:space="preserve">The year 2025 – the 10th anniversary of the Paris Agreement – marks a critical moment in the collective fight against climate change. Countries </w:t>
      </w:r>
      <w:r w:rsidR="00C40134">
        <w:t>are submitting</w:t>
      </w:r>
      <w:r>
        <w:t xml:space="preserve"> </w:t>
      </w:r>
      <w:r w:rsidR="00C40134">
        <w:t>new NDCs</w:t>
      </w:r>
      <w:r>
        <w:t xml:space="preserve"> </w:t>
      </w:r>
      <w:r w:rsidRPr="44A24F09">
        <w:rPr>
          <w:rFonts w:ascii="Aptos" w:eastAsia="Aptos" w:hAnsi="Aptos" w:cs="Aptos"/>
        </w:rPr>
        <w:t xml:space="preserve">that should reflect a ratcheting of </w:t>
      </w:r>
      <w:r w:rsidR="00C40134" w:rsidRPr="44A24F09">
        <w:rPr>
          <w:rFonts w:ascii="Aptos" w:eastAsia="Aptos" w:hAnsi="Aptos" w:cs="Aptos"/>
        </w:rPr>
        <w:t xml:space="preserve">ambition </w:t>
      </w:r>
      <w:r w:rsidR="00C40134">
        <w:t>outlining</w:t>
      </w:r>
      <w:r>
        <w:t xml:space="preserve"> sovereign commitment</w:t>
      </w:r>
      <w:r w:rsidR="007B1DE4">
        <w:t>s</w:t>
      </w:r>
      <w:r>
        <w:t xml:space="preserve"> to climate action under the Paris Agreement. The UN Secretary-General has stated that ambitious NDCs are a key priority for the UN system, and NDCs are high on the political agendas of the G20, G7, African Union, and other major political dialogues. </w:t>
      </w:r>
      <w:r w:rsidRPr="44A24F09">
        <w:rPr>
          <w:rFonts w:ascii="Aptos" w:eastAsia="Aptos" w:hAnsi="Aptos" w:cs="Aptos"/>
        </w:rPr>
        <w:t>Countries are encouraged in this new round of NDCs to update their targets to 2035.</w:t>
      </w:r>
    </w:p>
    <w:p w14:paraId="54D5519D" w14:textId="187A48DD" w:rsidR="008E3942" w:rsidRDefault="004A2F8B" w:rsidP="0054289A">
      <w:r>
        <w:t>Implementation of bold</w:t>
      </w:r>
      <w:r w:rsidR="00F94105">
        <w:t xml:space="preserve"> NDCs can usher in the green transition and integrate climate with national development priorities, plans</w:t>
      </w:r>
      <w:r w:rsidR="00F94105" w:rsidRPr="44A24F09">
        <w:rPr>
          <w:rFonts w:ascii="Aptos" w:eastAsia="Aptos" w:hAnsi="Aptos" w:cs="Aptos"/>
        </w:rPr>
        <w:t xml:space="preserve"> - such as the National Biodiversity Action Plans (NBSAPs) - and</w:t>
      </w:r>
      <w:r w:rsidR="00F94105">
        <w:t xml:space="preserve"> investments. In particular, the national ownership of NDCs gives them the power to transition an economy</w:t>
      </w:r>
      <w:r w:rsidR="1966EF9C">
        <w:t>, with the first Global Stocktake concluding that countries should set</w:t>
      </w:r>
      <w:r w:rsidR="1966EF9C" w:rsidRPr="44A24F09">
        <w:rPr>
          <w:rFonts w:ascii="Aptos" w:eastAsia="Aptos" w:hAnsi="Aptos" w:cs="Aptos"/>
        </w:rPr>
        <w:t xml:space="preserve"> </w:t>
      </w:r>
      <w:r w:rsidRPr="00E95164">
        <w:rPr>
          <w:rFonts w:ascii="Aptos" w:eastAsia="Aptos" w:hAnsi="Aptos" w:cs="Aptos"/>
          <w:b/>
          <w:bCs/>
        </w:rPr>
        <w:t>implementable,</w:t>
      </w:r>
      <w:r>
        <w:rPr>
          <w:rFonts w:ascii="Aptos" w:eastAsia="Aptos" w:hAnsi="Aptos" w:cs="Aptos"/>
        </w:rPr>
        <w:t xml:space="preserve"> </w:t>
      </w:r>
      <w:r w:rsidR="1966EF9C" w:rsidRPr="44A24F09">
        <w:rPr>
          <w:rFonts w:ascii="Aptos" w:eastAsia="Aptos" w:hAnsi="Aptos" w:cs="Aptos"/>
          <w:b/>
          <w:bCs/>
        </w:rPr>
        <w:t>clear and measurable economy-wide targets</w:t>
      </w:r>
      <w:r w:rsidR="64058E91" w:rsidRPr="44A24F09">
        <w:rPr>
          <w:rFonts w:ascii="Aptos" w:eastAsia="Aptos" w:hAnsi="Aptos" w:cs="Aptos"/>
          <w:b/>
          <w:bCs/>
        </w:rPr>
        <w:t xml:space="preserve"> </w:t>
      </w:r>
      <w:r w:rsidR="009B08C1" w:rsidRPr="004C6524">
        <w:t>to meet the 1.5°C target</w:t>
      </w:r>
      <w:r w:rsidR="009B08C1" w:rsidDel="009B08C1">
        <w:t xml:space="preserve"> </w:t>
      </w:r>
      <w:r w:rsidR="00F94105">
        <w:t>of the Paris Agreement</w:t>
      </w:r>
      <w:r w:rsidR="07128448">
        <w:t>.</w:t>
      </w:r>
      <w:r w:rsidR="007B17E4">
        <w:t xml:space="preserve"> </w:t>
      </w:r>
      <w:r w:rsidR="004C6524" w:rsidRPr="004C6524">
        <w:t>In 2025, within an increasingly complex global geopolitical context, developing countries are focused on updating their NDCs with more ambitious, measurable, and implementable land use and forestry-related targets. Looking ahead to 2026–2030, this period presents a critical window for countries to implement their enhanced NDCs, ensuring alignment with the Paris Agreement</w:t>
      </w:r>
      <w:r w:rsidR="00164D7E">
        <w:t>, SDGs,</w:t>
      </w:r>
      <w:r w:rsidR="004C6524" w:rsidRPr="004C6524">
        <w:t xml:space="preserve"> and the global goal to halt and reverse deforestation by 2030, as reaffirmed in the Glasgow Leaders' Declaration on Forests and Land Use and the Forest and Climate Leaders’ Partnership (FCLP)</w:t>
      </w:r>
      <w:r w:rsidR="000F6143">
        <w:t>.</w:t>
      </w:r>
    </w:p>
    <w:p w14:paraId="1F3585B9" w14:textId="1609EBAE" w:rsidR="00E62A58" w:rsidRPr="002D4F79" w:rsidRDefault="00E62A58" w:rsidP="0054289A">
      <w:pPr>
        <w:pStyle w:val="Heading1"/>
      </w:pPr>
      <w:bookmarkStart w:id="1" w:name="_Hlk185407506"/>
      <w:r w:rsidRPr="002D4F79">
        <w:t>The value proposition</w:t>
      </w:r>
    </w:p>
    <w:bookmarkEnd w:id="1"/>
    <w:p w14:paraId="4EF55879" w14:textId="05C25322" w:rsidR="5D2F2F66" w:rsidRDefault="5D2F2F66" w:rsidP="0054289A">
      <w:r>
        <w:t>Historically, UN-REDD has</w:t>
      </w:r>
      <w:r w:rsidRPr="44A24F09">
        <w:t xml:space="preserve"> played a significant role in supporting countries in the integration of </w:t>
      </w:r>
      <w:r w:rsidR="005B565B">
        <w:t xml:space="preserve">the forest and land use sector, including </w:t>
      </w:r>
      <w:r w:rsidRPr="44A24F09">
        <w:t>REDD+ (Reducing Emissions from Deforestation and Forest Degradation)</w:t>
      </w:r>
      <w:r w:rsidR="00776D5C">
        <w:t xml:space="preserve">, </w:t>
      </w:r>
      <w:r w:rsidRPr="44A24F09">
        <w:t>into their</w:t>
      </w:r>
      <w:r w:rsidR="50FE60D6" w:rsidRPr="44A24F09">
        <w:t xml:space="preserve"> </w:t>
      </w:r>
      <w:r w:rsidRPr="44A24F09">
        <w:t>NDCs under the Paris Agreement. UN-REDD has worked with partner countries to ensure that forest-related climate actions are incorporated into their climate strategies, providing technical support, capacity building, and policy advice.</w:t>
      </w:r>
      <w:r w:rsidR="0180B8CF" w:rsidRPr="44A24F09">
        <w:t xml:space="preserve"> </w:t>
      </w:r>
      <w:r w:rsidRPr="44A24F09">
        <w:t xml:space="preserve">UN-REDD’s engagement has been pivotal in ensuring </w:t>
      </w:r>
      <w:r w:rsidR="407FBCCC" w:rsidRPr="44A24F09">
        <w:t xml:space="preserve">recognition of the </w:t>
      </w:r>
      <w:r w:rsidRPr="00007298">
        <w:t xml:space="preserve">forest </w:t>
      </w:r>
      <w:r w:rsidRPr="44A24F09">
        <w:t>sector as key in achieving countries' emission reduction targets, with an emphasis on sustainable land use practices</w:t>
      </w:r>
      <w:r w:rsidR="00BD4623">
        <w:t xml:space="preserve">, inclusivity, </w:t>
      </w:r>
      <w:r w:rsidRPr="44A24F09">
        <w:t xml:space="preserve">and </w:t>
      </w:r>
      <w:r w:rsidR="006525E8">
        <w:t xml:space="preserve">innovative </w:t>
      </w:r>
      <w:r w:rsidR="0027620F">
        <w:t>finance</w:t>
      </w:r>
      <w:r w:rsidRPr="44A24F09">
        <w:t xml:space="preserve">. </w:t>
      </w:r>
    </w:p>
    <w:p w14:paraId="3D075037" w14:textId="024CE601" w:rsidR="0084796B" w:rsidRDefault="0084796B" w:rsidP="0054289A">
      <w:r>
        <w:t>UN-REDD has continued to support countries in integrating and enhancing Land Use, Land-Use Change, and Forestry (LULUCF) sector actions in their Nationally Determined Contributions (NDCs). In</w:t>
      </w:r>
      <w:r w:rsidR="001614CA">
        <w:t xml:space="preserve"> 2024 and early 2025, t</w:t>
      </w:r>
      <w:r>
        <w:t xml:space="preserve">he Programme </w:t>
      </w:r>
      <w:r w:rsidR="001614CA">
        <w:t xml:space="preserve">has </w:t>
      </w:r>
      <w:r>
        <w:t xml:space="preserve">contributed to both </w:t>
      </w:r>
      <w:r w:rsidR="001614CA">
        <w:t>supporting the enhancement of</w:t>
      </w:r>
      <w:r>
        <w:t xml:space="preserve"> ambition for the forest sector in new NDCs</w:t>
      </w:r>
      <w:r w:rsidR="001614CA">
        <w:t>, while also</w:t>
      </w:r>
      <w:r>
        <w:t xml:space="preserve"> assisting with the implementation of existing commitments. This work has helped countries align forest and land-use actions with broader climate targets, improve institutional coordination for NDC submissions, and secure financing for implementation. As of </w:t>
      </w:r>
      <w:r w:rsidR="005D6BD8">
        <w:t xml:space="preserve">the end of </w:t>
      </w:r>
      <w:r>
        <w:t>2024, UN-REDD has provided technical assistance to more than 15 forest countries to enhance the forest components of their NDCs.</w:t>
      </w:r>
      <w:r w:rsidR="009E71ED" w:rsidRPr="009E71ED">
        <w:t xml:space="preserve"> Beyond </w:t>
      </w:r>
      <w:r w:rsidR="006363EB">
        <w:t xml:space="preserve">support to </w:t>
      </w:r>
      <w:r w:rsidR="009E71ED" w:rsidRPr="009E71ED">
        <w:t>enhancing commitments</w:t>
      </w:r>
      <w:r w:rsidR="00D51939" w:rsidRPr="00D51939">
        <w:t xml:space="preserve"> for the 2025 NDC cycle</w:t>
      </w:r>
      <w:r w:rsidR="009E71ED" w:rsidRPr="009E71ED">
        <w:t>, UN-REDD has supported several countries in implementing their forest and land-use targets as reflected in their latest NDCs. Countries such as Cambodia, Côte d’Ivoire, and Kenya</w:t>
      </w:r>
      <w:r w:rsidR="0050641F">
        <w:t>, for example,</w:t>
      </w:r>
      <w:r w:rsidR="009E71ED" w:rsidRPr="009E71ED">
        <w:t xml:space="preserve"> have received targeted policy and technical support to translate their forest-related pledges into concrete actions.</w:t>
      </w:r>
    </w:p>
    <w:p w14:paraId="5E575713" w14:textId="521CFC49" w:rsidR="00E228BD" w:rsidRPr="001F0A55" w:rsidRDefault="00B630D3" w:rsidP="0054289A">
      <w:r w:rsidRPr="00B630D3">
        <w:lastRenderedPageBreak/>
        <w:t xml:space="preserve">The Climate Promise </w:t>
      </w:r>
      <w:r>
        <w:t>has been</w:t>
      </w:r>
      <w:r w:rsidRPr="00B630D3">
        <w:t xml:space="preserve"> the framework for UNDP’s support to developing countries to achieve their NDC priorities and deliver </w:t>
      </w:r>
      <w:r w:rsidR="009712B7">
        <w:t xml:space="preserve">on </w:t>
      </w:r>
      <w:r w:rsidRPr="00B630D3">
        <w:t xml:space="preserve">the Paris Agreement goals.  </w:t>
      </w:r>
      <w:r w:rsidR="0008785B">
        <w:t>In 2025, t</w:t>
      </w:r>
      <w:r w:rsidR="00E228BD">
        <w:t xml:space="preserve">he UN Secretary General </w:t>
      </w:r>
      <w:r w:rsidR="00FB29E4">
        <w:t>requested</w:t>
      </w:r>
      <w:r w:rsidR="00E228BD">
        <w:t xml:space="preserve"> UNDP to leverage the infrastructure of the Climate Promise to lead a coordinated, UN System-wide support effort </w:t>
      </w:r>
      <w:r w:rsidR="0D9B64CD">
        <w:t xml:space="preserve">to revise and increase the </w:t>
      </w:r>
      <w:r w:rsidR="62C20A25">
        <w:t>ambition</w:t>
      </w:r>
      <w:r w:rsidR="0D9B64CD">
        <w:t xml:space="preserve"> of </w:t>
      </w:r>
      <w:r w:rsidR="750967BB">
        <w:t xml:space="preserve">the next round of </w:t>
      </w:r>
      <w:r w:rsidR="00E228BD">
        <w:t>NDCs</w:t>
      </w:r>
      <w:r w:rsidR="00C2093D">
        <w:t xml:space="preserve"> (NDC 3.0)</w:t>
      </w:r>
      <w:r w:rsidR="00FB29E4">
        <w:t xml:space="preserve"> </w:t>
      </w:r>
      <w:r w:rsidR="00760924">
        <w:t>under</w:t>
      </w:r>
      <w:r w:rsidR="003D6C01">
        <w:t xml:space="preserve"> </w:t>
      </w:r>
      <w:r w:rsidR="00E228BD">
        <w:t>three pillars</w:t>
      </w:r>
      <w:r w:rsidR="009D0469">
        <w:t xml:space="preserve"> – ambition, acceleration and inclusivity – can be used as a</w:t>
      </w:r>
      <w:r w:rsidR="005B06E6">
        <w:t xml:space="preserve"> structure </w:t>
      </w:r>
      <w:r w:rsidR="00A17E0C">
        <w:t>to apply for</w:t>
      </w:r>
      <w:r w:rsidR="005B06E6">
        <w:t xml:space="preserve"> the support </w:t>
      </w:r>
      <w:r w:rsidR="00A17E0C">
        <w:t>offered under Outcome 3.1</w:t>
      </w:r>
      <w:r w:rsidR="00E228BD">
        <w:t>:</w:t>
      </w:r>
    </w:p>
    <w:p w14:paraId="57B46485" w14:textId="4E0BF5E3" w:rsidR="00E228BD" w:rsidRPr="001F0A55" w:rsidRDefault="00E228BD" w:rsidP="0054289A">
      <w:pPr>
        <w:pStyle w:val="ListParagraph"/>
        <w:numPr>
          <w:ilvl w:val="0"/>
          <w:numId w:val="26"/>
        </w:numPr>
      </w:pPr>
      <w:r w:rsidRPr="0054289A">
        <w:rPr>
          <w:b/>
          <w:bCs/>
        </w:rPr>
        <w:t>Ambition</w:t>
      </w:r>
      <w:r w:rsidRPr="001F0A55">
        <w:t xml:space="preserve">: </w:t>
      </w:r>
      <w:r w:rsidR="00C93E5A">
        <w:t>Alongside support to the</w:t>
      </w:r>
      <w:r w:rsidRPr="001F0A55">
        <w:t xml:space="preserve"> </w:t>
      </w:r>
      <w:r w:rsidR="008861EA">
        <w:t>implement</w:t>
      </w:r>
      <w:r w:rsidR="00C93E5A">
        <w:t xml:space="preserve">ation of ambitious </w:t>
      </w:r>
      <w:r w:rsidRPr="001F0A55">
        <w:t>2025 NDCs</w:t>
      </w:r>
      <w:r w:rsidR="009F33AE">
        <w:t xml:space="preserve">, support to </w:t>
      </w:r>
      <w:r w:rsidR="00207B37">
        <w:t xml:space="preserve">further </w:t>
      </w:r>
      <w:r w:rsidR="00C95A97">
        <w:t xml:space="preserve">NDC </w:t>
      </w:r>
      <w:r w:rsidR="009F33AE">
        <w:t>enhancements in the lead-up to the 2030 NDC cycle</w:t>
      </w:r>
      <w:r w:rsidRPr="001F0A55">
        <w:t xml:space="preserve"> </w:t>
      </w:r>
      <w:r w:rsidR="00C95A97">
        <w:t xml:space="preserve">as well as support </w:t>
      </w:r>
      <w:r w:rsidR="00935B88">
        <w:t xml:space="preserve">on </w:t>
      </w:r>
      <w:r w:rsidR="00A66503">
        <w:t>capturing the role of forests and land use in</w:t>
      </w:r>
      <w:r w:rsidR="0021190C">
        <w:t xml:space="preserve"> LT-LEDS</w:t>
      </w:r>
      <w:r w:rsidR="00A66503">
        <w:t>.</w:t>
      </w:r>
    </w:p>
    <w:p w14:paraId="3E811C61" w14:textId="2765C874" w:rsidR="00E228BD" w:rsidRPr="001F0A55" w:rsidRDefault="00E228BD" w:rsidP="0054289A">
      <w:pPr>
        <w:pStyle w:val="ListParagraph"/>
        <w:numPr>
          <w:ilvl w:val="0"/>
          <w:numId w:val="26"/>
        </w:numPr>
      </w:pPr>
      <w:r w:rsidRPr="0054289A">
        <w:rPr>
          <w:b/>
          <w:bCs/>
        </w:rPr>
        <w:t>Acceleration</w:t>
      </w:r>
      <w:r w:rsidRPr="338DA634">
        <w:t xml:space="preserve">: Scale-up implementation of </w:t>
      </w:r>
      <w:r w:rsidR="00653FF2">
        <w:t xml:space="preserve">forest-based </w:t>
      </w:r>
      <w:r w:rsidRPr="338DA634">
        <w:t>climate action on the ground through public, private, international, and national finance towards NDCs. This also includes leveraging innovative approaches, such as high integrity carbon markets, and technical support for stronger policies, institutions, budgetary frameworks, and capacities.</w:t>
      </w:r>
    </w:p>
    <w:p w14:paraId="7A2A9BD0" w14:textId="06F2E136" w:rsidR="00E228BD" w:rsidRPr="001F0A55" w:rsidRDefault="00E228BD" w:rsidP="0054289A">
      <w:pPr>
        <w:pStyle w:val="ListParagraph"/>
        <w:numPr>
          <w:ilvl w:val="0"/>
          <w:numId w:val="26"/>
        </w:numPr>
      </w:pPr>
      <w:r w:rsidRPr="0054289A">
        <w:rPr>
          <w:b/>
          <w:bCs/>
        </w:rPr>
        <w:t>Inclusivity</w:t>
      </w:r>
      <w:r>
        <w:t>: Meaningful and long-term engagement with underrepresented actors, including women, Indigenous Peoples, local communities, and youth – to support them to contribute and lead climate action.</w:t>
      </w:r>
    </w:p>
    <w:p w14:paraId="375089E3" w14:textId="7A02011C" w:rsidR="0074125A" w:rsidRDefault="00561041" w:rsidP="0054289A">
      <w:r w:rsidRPr="00561041">
        <w:t>The</w:t>
      </w:r>
      <w:r>
        <w:t xml:space="preserve"> establishment of the UN-wide effort </w:t>
      </w:r>
      <w:r w:rsidR="00AE2ABF">
        <w:t>aims to recognize that the</w:t>
      </w:r>
      <w:r>
        <w:t xml:space="preserve"> </w:t>
      </w:r>
      <w:r w:rsidRPr="00561041">
        <w:t>UN System, with its trusted relationships, broad expertise across critical climate sectors, and neutral position as a coordinating body, is well</w:t>
      </w:r>
      <w:r w:rsidR="0074125A">
        <w:t>-</w:t>
      </w:r>
      <w:r w:rsidRPr="00561041">
        <w:t xml:space="preserve">placed to </w:t>
      </w:r>
      <w:r w:rsidR="00AE2ABF" w:rsidRPr="00325D44">
        <w:t>provide the</w:t>
      </w:r>
      <w:r w:rsidR="0074125A" w:rsidRPr="00325D44">
        <w:t xml:space="preserve"> support requested by</w:t>
      </w:r>
      <w:r w:rsidR="00AE2ABF" w:rsidRPr="00325D44">
        <w:t xml:space="preserve"> </w:t>
      </w:r>
      <w:r w:rsidRPr="00325D44">
        <w:t>countries to enhance and implement their NDCs</w:t>
      </w:r>
      <w:r w:rsidR="0046503B">
        <w:t xml:space="preserve"> in 2025</w:t>
      </w:r>
      <w:r w:rsidR="00F02FD0">
        <w:t xml:space="preserve">, but </w:t>
      </w:r>
      <w:r w:rsidR="0058341A">
        <w:t>Climate Promise 2025</w:t>
      </w:r>
      <w:r w:rsidR="00F02FD0">
        <w:t xml:space="preserve"> also is laying </w:t>
      </w:r>
      <w:r w:rsidR="00A50B36" w:rsidRPr="00325D44">
        <w:t xml:space="preserve">a foundation </w:t>
      </w:r>
      <w:r w:rsidR="00C32D33" w:rsidRPr="00325D44">
        <w:t xml:space="preserve">that can be built upon for </w:t>
      </w:r>
      <w:r w:rsidR="00F02FD0">
        <w:t xml:space="preserve">sustained, </w:t>
      </w:r>
      <w:r w:rsidR="00C32D33" w:rsidRPr="00325D44">
        <w:t>coordinated UN support to countries on NDCs, during</w:t>
      </w:r>
      <w:r w:rsidR="00A50B36" w:rsidRPr="00325D44">
        <w:t xml:space="preserve"> </w:t>
      </w:r>
      <w:r w:rsidR="00261AAE" w:rsidRPr="00325D44">
        <w:t>the post</w:t>
      </w:r>
      <w:r w:rsidR="00D74EC9" w:rsidRPr="00325D44">
        <w:t xml:space="preserve">-2025 </w:t>
      </w:r>
      <w:r w:rsidR="00D84BEE" w:rsidRPr="00325D44">
        <w:t>period</w:t>
      </w:r>
      <w:r w:rsidRPr="00325D44">
        <w:t>.</w:t>
      </w:r>
      <w:r w:rsidR="0074125A">
        <w:t xml:space="preserve"> </w:t>
      </w:r>
    </w:p>
    <w:p w14:paraId="4FA86DF4" w14:textId="338603E7" w:rsidR="00E228BD" w:rsidRPr="001F0A55" w:rsidRDefault="00E228BD" w:rsidP="0054289A">
      <w:r>
        <w:t xml:space="preserve">Recognizing and responding to this context, the UN-REDD Programme </w:t>
      </w:r>
      <w:r w:rsidRPr="44A24F09">
        <w:rPr>
          <w:rFonts w:ascii="Aptos" w:eastAsia="Aptos" w:hAnsi="Aptos" w:cs="Aptos"/>
        </w:rPr>
        <w:t xml:space="preserve">is </w:t>
      </w:r>
      <w:r w:rsidR="00DF3E2C">
        <w:rPr>
          <w:rFonts w:ascii="Aptos" w:eastAsia="Aptos" w:hAnsi="Aptos" w:cs="Aptos"/>
        </w:rPr>
        <w:t xml:space="preserve">considered a flagship initiative contributing to </w:t>
      </w:r>
      <w:r w:rsidRPr="44A24F09">
        <w:rPr>
          <w:rFonts w:ascii="Aptos" w:eastAsia="Aptos" w:hAnsi="Aptos" w:cs="Aptos"/>
        </w:rPr>
        <w:t>the</w:t>
      </w:r>
      <w:r w:rsidR="00DF3E2C">
        <w:rPr>
          <w:rFonts w:ascii="Aptos" w:eastAsia="Aptos" w:hAnsi="Aptos" w:cs="Aptos"/>
        </w:rPr>
        <w:t xml:space="preserve"> broader</w:t>
      </w:r>
      <w:r w:rsidRPr="44A24F09">
        <w:rPr>
          <w:rFonts w:ascii="Aptos" w:eastAsia="Aptos" w:hAnsi="Aptos" w:cs="Aptos"/>
        </w:rPr>
        <w:t xml:space="preserve"> UN-wide Climate Promise 2025 effort</w:t>
      </w:r>
      <w:r w:rsidR="00DF3E2C">
        <w:rPr>
          <w:rFonts w:ascii="Aptos" w:eastAsia="Aptos" w:hAnsi="Aptos" w:cs="Aptos"/>
        </w:rPr>
        <w:t>s</w:t>
      </w:r>
      <w:r w:rsidRPr="44A24F09">
        <w:rPr>
          <w:rFonts w:ascii="Aptos" w:eastAsia="Aptos" w:hAnsi="Aptos" w:cs="Aptos"/>
        </w:rPr>
        <w:t xml:space="preserve"> to support countries </w:t>
      </w:r>
      <w:r w:rsidR="671BBF7C" w:rsidRPr="44A24F09">
        <w:rPr>
          <w:rFonts w:ascii="Aptos" w:eastAsia="Aptos" w:hAnsi="Aptos" w:cs="Aptos"/>
        </w:rPr>
        <w:t>in revising</w:t>
      </w:r>
      <w:r w:rsidR="6BDB1783" w:rsidRPr="44A24F09">
        <w:rPr>
          <w:rFonts w:ascii="Aptos" w:eastAsia="Aptos" w:hAnsi="Aptos" w:cs="Aptos"/>
        </w:rPr>
        <w:t xml:space="preserve"> the</w:t>
      </w:r>
      <w:r w:rsidR="7D38206B" w:rsidRPr="44A24F09">
        <w:rPr>
          <w:rFonts w:ascii="Aptos" w:eastAsia="Aptos" w:hAnsi="Aptos" w:cs="Aptos"/>
        </w:rPr>
        <w:t>i</w:t>
      </w:r>
      <w:r w:rsidR="6BDB1783" w:rsidRPr="44A24F09">
        <w:rPr>
          <w:rFonts w:ascii="Aptos" w:eastAsia="Aptos" w:hAnsi="Aptos" w:cs="Aptos"/>
        </w:rPr>
        <w:t>r</w:t>
      </w:r>
      <w:r w:rsidR="671BBF7C" w:rsidRPr="44A24F09">
        <w:rPr>
          <w:rFonts w:ascii="Aptos" w:eastAsia="Aptos" w:hAnsi="Aptos" w:cs="Aptos"/>
        </w:rPr>
        <w:t xml:space="preserve"> NDCs</w:t>
      </w:r>
      <w:r w:rsidR="00976414">
        <w:rPr>
          <w:rFonts w:ascii="Aptos" w:eastAsia="Aptos" w:hAnsi="Aptos" w:cs="Aptos"/>
        </w:rPr>
        <w:t xml:space="preserve"> to enhance the quality and ambition</w:t>
      </w:r>
      <w:r w:rsidR="414CE9F7" w:rsidRPr="44A24F09">
        <w:rPr>
          <w:rFonts w:ascii="Aptos" w:eastAsia="Aptos" w:hAnsi="Aptos" w:cs="Aptos"/>
        </w:rPr>
        <w:t xml:space="preserve">. </w:t>
      </w:r>
      <w:r w:rsidR="006B0AE0">
        <w:t>UN-REDD w</w:t>
      </w:r>
      <w:r w:rsidR="00090E71">
        <w:t>ill continue to focus on</w:t>
      </w:r>
      <w:r w:rsidR="00760924">
        <w:t xml:space="preserve"> </w:t>
      </w:r>
      <w:r>
        <w:t>demonstrat</w:t>
      </w:r>
      <w:r w:rsidR="00760924">
        <w:t>ing</w:t>
      </w:r>
      <w:r w:rsidR="00D04C56">
        <w:t xml:space="preserve"> and scaling up the</w:t>
      </w:r>
      <w:r>
        <w:t xml:space="preserve"> </w:t>
      </w:r>
      <w:r w:rsidR="00F24CCC">
        <w:t xml:space="preserve">ambition and </w:t>
      </w:r>
      <w:r>
        <w:t xml:space="preserve">potential of the forest and land use </w:t>
      </w:r>
      <w:r w:rsidR="6BE6BD1E">
        <w:t xml:space="preserve">in </w:t>
      </w:r>
      <w:r w:rsidR="009A0276">
        <w:t>accelerating</w:t>
      </w:r>
      <w:r>
        <w:t xml:space="preserve"> NDC implementation </w:t>
      </w:r>
      <w:r w:rsidR="54922C44">
        <w:t xml:space="preserve">in </w:t>
      </w:r>
      <w:r>
        <w:t>an inclusive manner with governments, Indigenous Peoples, women and youth groups, civil society, and the private sector. </w:t>
      </w:r>
      <w:r w:rsidR="009A0276">
        <w:t xml:space="preserve">In particular, </w:t>
      </w:r>
      <w:r w:rsidR="00AE6C75">
        <w:t xml:space="preserve">the focus will be on i) connecting large-scale transformational initiatives (i.e. REDD+ results-based payment programmes) </w:t>
      </w:r>
      <w:r w:rsidR="00D04C56">
        <w:t>to</w:t>
      </w:r>
      <w:r w:rsidR="009B0DAA">
        <w:t xml:space="preserve"> NDC implementation</w:t>
      </w:r>
      <w:r w:rsidR="00214C7B">
        <w:t xml:space="preserve"> to accelerate implementation of the 2025 NDCs</w:t>
      </w:r>
      <w:r w:rsidR="00EA7DAD">
        <w:t>;</w:t>
      </w:r>
      <w:r w:rsidR="00861FAD">
        <w:t xml:space="preserve"> ii) </w:t>
      </w:r>
      <w:r w:rsidR="00C8692A">
        <w:t xml:space="preserve">demonstrating </w:t>
      </w:r>
      <w:r w:rsidR="00743728">
        <w:t>and scaling up Indigenous Peoples, Afro-descendants and local communities</w:t>
      </w:r>
      <w:r w:rsidR="0034350C">
        <w:t>’ initi</w:t>
      </w:r>
      <w:r w:rsidR="00070027">
        <w:t xml:space="preserve">atives and leadership for NDC ambition and </w:t>
      </w:r>
      <w:r w:rsidR="00F248E8">
        <w:t xml:space="preserve">implementation </w:t>
      </w:r>
      <w:r w:rsidR="00CA0383">
        <w:t xml:space="preserve">iii) </w:t>
      </w:r>
      <w:r w:rsidR="00E500B4">
        <w:t xml:space="preserve">enhancing </w:t>
      </w:r>
      <w:r w:rsidR="00D411B1">
        <w:t>quality</w:t>
      </w:r>
      <w:r w:rsidR="00E11EAE">
        <w:t xml:space="preserve">, ambition and </w:t>
      </w:r>
      <w:r w:rsidR="00D411B1">
        <w:t>transparency</w:t>
      </w:r>
      <w:r w:rsidR="00DE3AC1">
        <w:t xml:space="preserve"> </w:t>
      </w:r>
      <w:r w:rsidR="00A82EEE">
        <w:t>in the development of the NDCs for the 2030 cycle</w:t>
      </w:r>
      <w:r w:rsidR="00214C7B">
        <w:t>,</w:t>
      </w:r>
      <w:r w:rsidR="00D411B1">
        <w:t xml:space="preserve"> building upon REDD+ MRV and </w:t>
      </w:r>
      <w:r w:rsidR="00433DD6">
        <w:t xml:space="preserve">linkages to </w:t>
      </w:r>
      <w:r w:rsidR="00C51D6F">
        <w:t>the ETF</w:t>
      </w:r>
      <w:r w:rsidR="00433DD6">
        <w:t xml:space="preserve"> and BTRs.</w:t>
      </w:r>
      <w:r>
        <w:t>  </w:t>
      </w:r>
    </w:p>
    <w:p w14:paraId="1467B27A" w14:textId="4F5581E8" w:rsidR="00E62A58" w:rsidRPr="001F0A55" w:rsidRDefault="00D06273" w:rsidP="0054289A">
      <w:pPr>
        <w:rPr>
          <w:rFonts w:ascii="Aptos" w:eastAsia="Aptos" w:hAnsi="Aptos" w:cs="Aptos"/>
        </w:rPr>
      </w:pPr>
      <w:r>
        <w:rPr>
          <w:lang w:val="en-US"/>
        </w:rPr>
        <w:t xml:space="preserve">As we move into the 2026-2030 period, </w:t>
      </w:r>
      <w:r w:rsidR="00E228BD" w:rsidRPr="44A24F09">
        <w:rPr>
          <w:lang w:val="en-US"/>
        </w:rPr>
        <w:t xml:space="preserve">UN-REDD will </w:t>
      </w:r>
      <w:r w:rsidR="007434A2">
        <w:rPr>
          <w:lang w:val="en-US"/>
        </w:rPr>
        <w:t xml:space="preserve">continue to engage within </w:t>
      </w:r>
      <w:r w:rsidR="007434A2" w:rsidRPr="007434A2">
        <w:rPr>
          <w:lang w:val="en-US"/>
        </w:rPr>
        <w:t xml:space="preserve">the UN system </w:t>
      </w:r>
      <w:r w:rsidR="007434A2">
        <w:rPr>
          <w:lang w:val="en-US"/>
        </w:rPr>
        <w:t xml:space="preserve">to </w:t>
      </w:r>
      <w:r w:rsidR="007434A2" w:rsidRPr="007434A2">
        <w:rPr>
          <w:lang w:val="en-US"/>
        </w:rPr>
        <w:t xml:space="preserve">support countries on the </w:t>
      </w:r>
      <w:r w:rsidR="007434A2">
        <w:rPr>
          <w:lang w:val="en-US"/>
        </w:rPr>
        <w:t>enhancement</w:t>
      </w:r>
      <w:r w:rsidR="007434A2" w:rsidRPr="007434A2">
        <w:rPr>
          <w:lang w:val="en-US"/>
        </w:rPr>
        <w:t xml:space="preserve"> and implementation of their NDCs, </w:t>
      </w:r>
      <w:r w:rsidR="007434A2">
        <w:rPr>
          <w:lang w:val="en-US"/>
        </w:rPr>
        <w:t xml:space="preserve">but it will also extend beyond, </w:t>
      </w:r>
      <w:r w:rsidR="00E228BD" w:rsidRPr="44A24F09">
        <w:rPr>
          <w:lang w:val="en-US"/>
        </w:rPr>
        <w:t>aim</w:t>
      </w:r>
      <w:r w:rsidR="007434A2">
        <w:rPr>
          <w:lang w:val="en-US"/>
        </w:rPr>
        <w:t>ing</w:t>
      </w:r>
      <w:r w:rsidR="00E228BD" w:rsidRPr="44A24F09">
        <w:rPr>
          <w:lang w:val="en-US"/>
        </w:rPr>
        <w:t xml:space="preserve"> to engage </w:t>
      </w:r>
      <w:r w:rsidR="007434A2">
        <w:rPr>
          <w:lang w:val="en-US"/>
        </w:rPr>
        <w:t xml:space="preserve">more </w:t>
      </w:r>
      <w:r w:rsidR="00CC4018">
        <w:rPr>
          <w:lang w:val="en-US"/>
        </w:rPr>
        <w:t>strategically</w:t>
      </w:r>
      <w:r w:rsidR="00E228BD" w:rsidRPr="44A24F09">
        <w:rPr>
          <w:lang w:val="en-US"/>
        </w:rPr>
        <w:t xml:space="preserve"> with the </w:t>
      </w:r>
      <w:r w:rsidR="00FC5595">
        <w:rPr>
          <w:lang w:val="en-US"/>
        </w:rPr>
        <w:t xml:space="preserve">network of partners within the context of the </w:t>
      </w:r>
      <w:r w:rsidR="00E228BD" w:rsidRPr="44A24F09">
        <w:rPr>
          <w:lang w:val="en-US"/>
        </w:rPr>
        <w:t>NDC Partnership, through its three partner agencies</w:t>
      </w:r>
      <w:r w:rsidR="08E64099" w:rsidRPr="44A24F09">
        <w:rPr>
          <w:lang w:val="en-US"/>
        </w:rPr>
        <w:t xml:space="preserve">. </w:t>
      </w:r>
      <w:r w:rsidR="00E9086D" w:rsidRPr="417A0314">
        <w:rPr>
          <w:rFonts w:ascii="Aptos" w:eastAsia="Aptos" w:hAnsi="Aptos" w:cs="Aptos"/>
        </w:rPr>
        <w:t>UN-REDD, within the broader constellation of UN partners</w:t>
      </w:r>
      <w:r w:rsidR="00A170EE" w:rsidRPr="417A0314">
        <w:rPr>
          <w:rFonts w:ascii="Aptos" w:eastAsia="Aptos" w:hAnsi="Aptos" w:cs="Aptos"/>
        </w:rPr>
        <w:t xml:space="preserve"> and beyond</w:t>
      </w:r>
      <w:r w:rsidR="00E9086D" w:rsidRPr="417A0314">
        <w:rPr>
          <w:rFonts w:ascii="Aptos" w:eastAsia="Aptos" w:hAnsi="Aptos" w:cs="Aptos"/>
        </w:rPr>
        <w:t xml:space="preserve">, </w:t>
      </w:r>
      <w:r w:rsidR="00A170EE" w:rsidRPr="417A0314">
        <w:rPr>
          <w:rFonts w:ascii="Aptos" w:eastAsia="Aptos" w:hAnsi="Aptos" w:cs="Aptos"/>
        </w:rPr>
        <w:t xml:space="preserve">is in a unique position </w:t>
      </w:r>
      <w:r w:rsidR="00E9086D" w:rsidRPr="417A0314">
        <w:rPr>
          <w:rFonts w:ascii="Aptos" w:eastAsia="Aptos" w:hAnsi="Aptos" w:cs="Aptos"/>
        </w:rPr>
        <w:t xml:space="preserve">to lead the technical analysis and </w:t>
      </w:r>
      <w:r w:rsidR="00A170EE" w:rsidRPr="417A0314">
        <w:rPr>
          <w:rFonts w:ascii="Aptos" w:eastAsia="Aptos" w:hAnsi="Aptos" w:cs="Aptos"/>
        </w:rPr>
        <w:t xml:space="preserve">policy </w:t>
      </w:r>
      <w:r w:rsidR="00E9086D" w:rsidRPr="417A0314">
        <w:rPr>
          <w:rFonts w:ascii="Aptos" w:eastAsia="Aptos" w:hAnsi="Aptos" w:cs="Aptos"/>
        </w:rPr>
        <w:t>support to continue to promote and enhance the role of forests within the NDCs</w:t>
      </w:r>
      <w:r w:rsidR="00AB5FB5" w:rsidRPr="417A0314">
        <w:rPr>
          <w:rFonts w:ascii="Aptos" w:eastAsia="Aptos" w:hAnsi="Aptos" w:cs="Aptos"/>
        </w:rPr>
        <w:t>.</w:t>
      </w:r>
      <w:r w:rsidR="00E9086D" w:rsidRPr="417A0314">
        <w:rPr>
          <w:rFonts w:ascii="Aptos" w:eastAsia="Aptos" w:hAnsi="Aptos" w:cs="Aptos"/>
        </w:rPr>
        <w:t xml:space="preserve">  </w:t>
      </w:r>
      <w:r w:rsidR="008C0B1E" w:rsidRPr="417A0314">
        <w:rPr>
          <w:rFonts w:ascii="Aptos" w:eastAsia="Aptos" w:hAnsi="Aptos" w:cs="Aptos"/>
        </w:rPr>
        <w:t>In 2026-2030, UN-REDD can b</w:t>
      </w:r>
      <w:r w:rsidR="000800A8" w:rsidRPr="417A0314">
        <w:rPr>
          <w:rFonts w:ascii="Aptos" w:eastAsia="Aptos" w:hAnsi="Aptos" w:cs="Aptos"/>
        </w:rPr>
        <w:t xml:space="preserve">uild </w:t>
      </w:r>
      <w:proofErr w:type="gramStart"/>
      <w:r w:rsidR="000800A8" w:rsidRPr="417A0314">
        <w:rPr>
          <w:rFonts w:ascii="Aptos" w:eastAsia="Aptos" w:hAnsi="Aptos" w:cs="Aptos"/>
        </w:rPr>
        <w:t>off of</w:t>
      </w:r>
      <w:proofErr w:type="gramEnd"/>
      <w:r w:rsidR="000800A8" w:rsidRPr="417A0314">
        <w:rPr>
          <w:rFonts w:ascii="Aptos" w:eastAsia="Aptos" w:hAnsi="Aptos" w:cs="Aptos"/>
        </w:rPr>
        <w:t xml:space="preserve"> the momentum that has been </w:t>
      </w:r>
      <w:r w:rsidR="4BD23F81" w:rsidRPr="417A0314">
        <w:rPr>
          <w:rFonts w:ascii="Aptos" w:eastAsia="Aptos" w:hAnsi="Aptos" w:cs="Aptos"/>
        </w:rPr>
        <w:t>driven by the UN Secretary-General,</w:t>
      </w:r>
      <w:r w:rsidR="1F3A92A6" w:rsidRPr="417A0314">
        <w:rPr>
          <w:rFonts w:ascii="Aptos" w:eastAsia="Aptos" w:hAnsi="Aptos" w:cs="Aptos"/>
        </w:rPr>
        <w:t xml:space="preserve"> </w:t>
      </w:r>
      <w:r w:rsidR="000800A8" w:rsidRPr="417A0314">
        <w:rPr>
          <w:rFonts w:ascii="Aptos" w:eastAsia="Aptos" w:hAnsi="Aptos" w:cs="Aptos"/>
        </w:rPr>
        <w:t xml:space="preserve">to </w:t>
      </w:r>
      <w:r w:rsidR="4BD23F81" w:rsidRPr="417A0314">
        <w:rPr>
          <w:rFonts w:ascii="Aptos" w:eastAsia="Aptos" w:hAnsi="Aptos" w:cs="Aptos"/>
        </w:rPr>
        <w:t xml:space="preserve">align support </w:t>
      </w:r>
      <w:r w:rsidR="003B41CC" w:rsidRPr="417A0314">
        <w:rPr>
          <w:rFonts w:ascii="Aptos" w:eastAsia="Aptos" w:hAnsi="Aptos" w:cs="Aptos"/>
        </w:rPr>
        <w:t xml:space="preserve">within the UN system </w:t>
      </w:r>
      <w:r w:rsidR="000800A8" w:rsidRPr="417A0314">
        <w:rPr>
          <w:rFonts w:ascii="Aptos" w:eastAsia="Aptos" w:hAnsi="Aptos" w:cs="Aptos"/>
        </w:rPr>
        <w:t xml:space="preserve">for </w:t>
      </w:r>
      <w:r w:rsidR="4BD23F81" w:rsidRPr="417A0314">
        <w:rPr>
          <w:rFonts w:ascii="Aptos" w:eastAsia="Aptos" w:hAnsi="Aptos" w:cs="Aptos"/>
        </w:rPr>
        <w:t>countries' NDCs</w:t>
      </w:r>
      <w:r w:rsidR="0B3B1FDF" w:rsidRPr="417A0314">
        <w:rPr>
          <w:rFonts w:ascii="Aptos" w:eastAsia="Aptos" w:hAnsi="Aptos" w:cs="Aptos"/>
        </w:rPr>
        <w:t>, using the Climate Promise</w:t>
      </w:r>
      <w:r w:rsidR="4BD23F81" w:rsidRPr="417A0314">
        <w:rPr>
          <w:rFonts w:ascii="Aptos" w:eastAsia="Aptos" w:hAnsi="Aptos" w:cs="Aptos"/>
        </w:rPr>
        <w:t xml:space="preserve">. </w:t>
      </w:r>
    </w:p>
    <w:p w14:paraId="26D27230" w14:textId="1D6F3F33" w:rsidR="00E62A58" w:rsidRPr="001F0A55" w:rsidRDefault="3F1F5EC3" w:rsidP="0054289A">
      <w:pPr>
        <w:rPr>
          <w:lang w:val="en-US"/>
        </w:rPr>
      </w:pPr>
      <w:r w:rsidRPr="12E60586">
        <w:rPr>
          <w:lang w:val="en-US"/>
        </w:rPr>
        <w:lastRenderedPageBreak/>
        <w:t>As the UN’s flagship knowledge and advisory platform for REDD+, UN-REDD is uniquely positioned to support</w:t>
      </w:r>
      <w:r w:rsidR="57039BDB" w:rsidRPr="12E60586">
        <w:rPr>
          <w:lang w:val="en-US"/>
        </w:rPr>
        <w:t xml:space="preserve"> tropical forest</w:t>
      </w:r>
      <w:r w:rsidRPr="12E60586">
        <w:rPr>
          <w:lang w:val="en-US"/>
        </w:rPr>
        <w:t xml:space="preserve"> countries in </w:t>
      </w:r>
      <w:r w:rsidR="220FD0E0" w:rsidRPr="12E60586">
        <w:rPr>
          <w:lang w:val="en-US"/>
        </w:rPr>
        <w:t>leveraging</w:t>
      </w:r>
      <w:r w:rsidRPr="12E60586">
        <w:rPr>
          <w:lang w:val="en-US"/>
        </w:rPr>
        <w:t xml:space="preserve"> forest-sector actions into their NDCs.</w:t>
      </w:r>
      <w:r w:rsidR="4BD23F81" w:rsidRPr="12E60586">
        <w:rPr>
          <w:lang w:val="en-US"/>
        </w:rPr>
        <w:t xml:space="preserve"> Through its integrated approach to forests and climate change, UN-REDD</w:t>
      </w:r>
      <w:r w:rsidR="6DF5E836" w:rsidRPr="12E60586">
        <w:rPr>
          <w:lang w:val="en-US"/>
        </w:rPr>
        <w:t xml:space="preserve"> is already</w:t>
      </w:r>
      <w:r w:rsidR="4BD23F81" w:rsidRPr="12E60586">
        <w:rPr>
          <w:lang w:val="en-US"/>
        </w:rPr>
        <w:t xml:space="preserve"> play</w:t>
      </w:r>
      <w:r w:rsidR="6DF5E836" w:rsidRPr="12E60586">
        <w:rPr>
          <w:lang w:val="en-US"/>
        </w:rPr>
        <w:t>ing</w:t>
      </w:r>
      <w:r w:rsidR="4BD23F81" w:rsidRPr="12E60586">
        <w:rPr>
          <w:lang w:val="en-US"/>
        </w:rPr>
        <w:t xml:space="preserve"> a key role in advancing forest sector targets within NDCs. </w:t>
      </w:r>
      <w:r w:rsidR="0CAADE8C" w:rsidRPr="12E60586">
        <w:rPr>
          <w:lang w:val="en-US"/>
        </w:rPr>
        <w:t xml:space="preserve">With its </w:t>
      </w:r>
      <w:r w:rsidR="4BD23F81" w:rsidRPr="12E60586">
        <w:rPr>
          <w:lang w:val="en-US"/>
        </w:rPr>
        <w:t>extensive experience in Monitoring, Reporting, and Verification (MRV) for forest outcomes ensures that forest-related actions in NDCs are measurable, transparent, and effective</w:t>
      </w:r>
      <w:r w:rsidR="313ACD2B" w:rsidRPr="12E60586">
        <w:rPr>
          <w:lang w:val="en-US"/>
        </w:rPr>
        <w:t>,</w:t>
      </w:r>
      <w:r w:rsidR="63075DEC" w:rsidRPr="12E60586">
        <w:rPr>
          <w:lang w:val="en-US"/>
        </w:rPr>
        <w:t xml:space="preserve"> </w:t>
      </w:r>
      <w:r w:rsidR="4BD23F81" w:rsidRPr="12E60586">
        <w:rPr>
          <w:lang w:val="en-US"/>
        </w:rPr>
        <w:t>particularly in the context of the broader 2030 Agenda for Sustainable Development.</w:t>
      </w:r>
      <w:r w:rsidR="6EBB83CD" w:rsidRPr="12E60586">
        <w:rPr>
          <w:lang w:val="en-US"/>
        </w:rPr>
        <w:t xml:space="preserve"> In a rapidly evolving unstable global geopolitical context, grounding the NDCs </w:t>
      </w:r>
      <w:r w:rsidR="616A7488" w:rsidRPr="12E60586">
        <w:rPr>
          <w:lang w:val="en-US"/>
        </w:rPr>
        <w:t>in</w:t>
      </w:r>
      <w:r w:rsidR="2F004CDE" w:rsidRPr="12E60586">
        <w:rPr>
          <w:lang w:val="en-US"/>
        </w:rPr>
        <w:t xml:space="preserve">to transformational </w:t>
      </w:r>
      <w:r w:rsidR="1B932900" w:rsidRPr="12E60586">
        <w:rPr>
          <w:lang w:val="en-US"/>
        </w:rPr>
        <w:t>sectoral implementation with tangible benefits for people</w:t>
      </w:r>
      <w:r w:rsidR="753F4728" w:rsidRPr="12E60586">
        <w:rPr>
          <w:lang w:val="en-US"/>
        </w:rPr>
        <w:t xml:space="preserve"> and local economies, i</w:t>
      </w:r>
      <w:r w:rsidR="616A7488" w:rsidRPr="12E60586">
        <w:rPr>
          <w:lang w:val="en-US"/>
        </w:rPr>
        <w:t>s critically important.</w:t>
      </w:r>
    </w:p>
    <w:p w14:paraId="0D080A4F" w14:textId="207BC52D" w:rsidR="00E62A58" w:rsidRPr="001F0A55" w:rsidRDefault="00E62A58" w:rsidP="0054289A">
      <w:r w:rsidRPr="00007298">
        <w:rPr>
          <w:b/>
          <w:bCs/>
        </w:rPr>
        <w:t>Landscape of players, UN-REDD comparative advantage and offer:</w:t>
      </w:r>
      <w:r>
        <w:t xml:space="preserve"> Partnerships across the UN system have been critical to NDC enhancement efforts to date and </w:t>
      </w:r>
      <w:r w:rsidR="00E8777C">
        <w:t>have been</w:t>
      </w:r>
      <w:r>
        <w:t xml:space="preserve"> further strengthened with the roll out of Climate Promise 2025. With broad reaching expertise across critical issue areas, trusted relationships as a neutral partner, and ongoing engagement on the broader 2030 Agenda, the UN System can help ensure countries have access to what they need to deliver on more ambitious NDCs. Recognizing the number of international partners supporting countries on NDCs, there </w:t>
      </w:r>
      <w:r w:rsidR="00B961D0">
        <w:t>has been a</w:t>
      </w:r>
      <w:r>
        <w:t xml:space="preserve"> concerted effort underway at the international level – driven by the United Nations Secretary General and the UNFCCC - to coordinate with key partners to ensure coordinated support for the Parties to deliver the 2025 NDCs, particularly within the UN system. When it comes to the NDC support with a focus on the forest sector, UN-REDD is already well-placed and ready to operate in alignment with this international priority and approach, and in support of the efforts of the NDC Partnership and the Climate Promise. In real terms, UN-REDD supports the delivery of the Climate Promise. As the UN’s flagship knowledge and advisory platform for REDD+, it is positioned as the ideal provider of country support on forest-sector NDC action. </w:t>
      </w:r>
    </w:p>
    <w:p w14:paraId="08ABCBE2" w14:textId="5C4D0227" w:rsidR="001846E9" w:rsidRDefault="001846E9" w:rsidP="0054289A">
      <w:pPr>
        <w:pStyle w:val="Heading1"/>
      </w:pPr>
      <w:r>
        <w:t>Scenarios</w:t>
      </w:r>
    </w:p>
    <w:p w14:paraId="71D3E716" w14:textId="21C8A746" w:rsidR="00D32035" w:rsidRPr="002D4F79" w:rsidRDefault="00E228BD" w:rsidP="0054289A">
      <w:r w:rsidRPr="338DA634">
        <w:t xml:space="preserve">This output will work at two distinct levels. At country level, support will be provided through technical inputs and review of country-level products and processes, participation in technical workshops, and country-oriented analysis and assessment. Country support on enhancing forest-sector NDC ambition and implementation is delivered through technical assistance accompanied by targeted support where strategic investments are likely to </w:t>
      </w:r>
      <w:r w:rsidR="007A0E87" w:rsidRPr="338DA634">
        <w:t>catalyse</w:t>
      </w:r>
      <w:r w:rsidRPr="338DA634">
        <w:t xml:space="preserve"> advancement in NDC ambition and implementation. </w:t>
      </w:r>
      <w:r w:rsidR="00D32035" w:rsidRPr="338DA634">
        <w:t xml:space="preserve">Key </w:t>
      </w:r>
      <w:r w:rsidR="003E5F2C" w:rsidRPr="338DA634">
        <w:t xml:space="preserve">deliverables </w:t>
      </w:r>
      <w:r w:rsidR="00D32035" w:rsidRPr="338DA634">
        <w:t>may include:</w:t>
      </w:r>
    </w:p>
    <w:p w14:paraId="3BA55772" w14:textId="02614FCC" w:rsidR="00E228BD" w:rsidRDefault="00E228BD" w:rsidP="0054289A">
      <w:pPr>
        <w:pStyle w:val="ListParagraph"/>
        <w:numPr>
          <w:ilvl w:val="0"/>
          <w:numId w:val="23"/>
        </w:numPr>
      </w:pPr>
      <w:r>
        <w:t>Building institutional and technical capacities of governments related to Forests, Land and Nature (FLN) and NDCs</w:t>
      </w:r>
    </w:p>
    <w:p w14:paraId="2DB5646B" w14:textId="2F0646D1" w:rsidR="00277798" w:rsidRDefault="00277798" w:rsidP="0054289A">
      <w:pPr>
        <w:pStyle w:val="ListParagraph"/>
        <w:numPr>
          <w:ilvl w:val="0"/>
          <w:numId w:val="23"/>
        </w:numPr>
      </w:pPr>
      <w:r>
        <w:t>Support to NDC implementation/investment plans, with a focus on the forest sector</w:t>
      </w:r>
    </w:p>
    <w:p w14:paraId="33B96597" w14:textId="113BDF60" w:rsidR="00E228BD" w:rsidRDefault="00E228BD" w:rsidP="0054289A">
      <w:pPr>
        <w:pStyle w:val="ListParagraph"/>
        <w:numPr>
          <w:ilvl w:val="0"/>
          <w:numId w:val="23"/>
        </w:numPr>
      </w:pPr>
      <w:r>
        <w:t xml:space="preserve">Scaling up social mobilization for climate and nature action through capacity building, inclusive engagement at each stage of the NDC process and direct funding for Indigenous Peoples, </w:t>
      </w:r>
      <w:r w:rsidR="00531EA2">
        <w:t xml:space="preserve">Afro descendants, </w:t>
      </w:r>
      <w:r>
        <w:t>and local communities</w:t>
      </w:r>
      <w:r w:rsidR="00436DF3">
        <w:t>,</w:t>
      </w:r>
      <w:r>
        <w:t xml:space="preserve"> including equitably women and youth among them.   </w:t>
      </w:r>
    </w:p>
    <w:p w14:paraId="6A7B2613" w14:textId="2978F0AB" w:rsidR="00E228BD" w:rsidRDefault="00E228BD" w:rsidP="0054289A">
      <w:r>
        <w:t xml:space="preserve">Secondly, this output will work at global-level support through a wide-ranging set of technical advisory, convening, and knowledge management efforts. Key </w:t>
      </w:r>
      <w:r w:rsidRPr="002D4F79">
        <w:t xml:space="preserve">deliverables </w:t>
      </w:r>
      <w:r>
        <w:t xml:space="preserve">may include: </w:t>
      </w:r>
    </w:p>
    <w:p w14:paraId="1170870A" w14:textId="69A9A9FD" w:rsidR="00E228BD" w:rsidRDefault="00E228BD" w:rsidP="0054289A">
      <w:pPr>
        <w:pStyle w:val="ListParagraph"/>
        <w:numPr>
          <w:ilvl w:val="0"/>
          <w:numId w:val="24"/>
        </w:numPr>
      </w:pPr>
      <w:r w:rsidRPr="338DA634">
        <w:t xml:space="preserve">Developing guidance documents and technical assessments, to </w:t>
      </w:r>
      <w:r w:rsidR="00866C13">
        <w:t>maximize</w:t>
      </w:r>
      <w:r w:rsidRPr="338DA634">
        <w:t xml:space="preserve"> the role of forests, land, and nature in NDC implementation</w:t>
      </w:r>
      <w:r w:rsidR="00866C13">
        <w:t xml:space="preserve">, including linkages to livelihoods, </w:t>
      </w:r>
      <w:r w:rsidR="00AC12FD">
        <w:t xml:space="preserve">and </w:t>
      </w:r>
      <w:r w:rsidR="00970331">
        <w:t>strengthening of</w:t>
      </w:r>
      <w:r w:rsidR="00AC12FD">
        <w:t xml:space="preserve"> local economies. </w:t>
      </w:r>
      <w:r w:rsidRPr="338DA634">
        <w:t xml:space="preserve">  </w:t>
      </w:r>
    </w:p>
    <w:p w14:paraId="62AED02E" w14:textId="77777777" w:rsidR="009B2370" w:rsidRDefault="00E228BD" w:rsidP="0054289A">
      <w:pPr>
        <w:pStyle w:val="ListParagraph"/>
        <w:numPr>
          <w:ilvl w:val="0"/>
          <w:numId w:val="24"/>
        </w:numPr>
        <w:sectPr w:rsidR="009B2370" w:rsidSect="00C34B28">
          <w:headerReference w:type="default" r:id="rId12"/>
          <w:footerReference w:type="default" r:id="rId13"/>
          <w:pgSz w:w="11906" w:h="16838"/>
          <w:pgMar w:top="1440" w:right="1440" w:bottom="1440" w:left="1440" w:header="708" w:footer="708" w:gutter="0"/>
          <w:pgNumType w:start="1"/>
          <w:cols w:space="708"/>
          <w:docGrid w:linePitch="360"/>
        </w:sectPr>
      </w:pPr>
      <w:r>
        <w:lastRenderedPageBreak/>
        <w:t xml:space="preserve">Support to high-level partnerships for forests and climate including the Forests and Climate Leadership partnership, as well as independent assessment of global forest goals.  </w:t>
      </w:r>
    </w:p>
    <w:tbl>
      <w:tblPr>
        <w:tblStyle w:val="TableGrid"/>
        <w:tblW w:w="5000" w:type="pct"/>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5214"/>
        <w:gridCol w:w="10168"/>
      </w:tblGrid>
      <w:tr w:rsidR="00B71743" w14:paraId="534CA9DC" w14:textId="77777777" w:rsidTr="00B71743">
        <w:trPr>
          <w:trHeight w:val="567"/>
        </w:trPr>
        <w:tc>
          <w:tcPr>
            <w:tcW w:w="1695" w:type="pct"/>
            <w:tcBorders>
              <w:top w:val="single" w:sz="6" w:space="0" w:color="auto"/>
              <w:left w:val="single" w:sz="6" w:space="0" w:color="auto"/>
            </w:tcBorders>
            <w:shd w:val="clear" w:color="auto" w:fill="215E99" w:themeFill="text2" w:themeFillTint="BF"/>
            <w:tcMar>
              <w:left w:w="105" w:type="dxa"/>
              <w:right w:w="105" w:type="dxa"/>
            </w:tcMar>
            <w:vAlign w:val="center"/>
          </w:tcPr>
          <w:p w14:paraId="04B3C947" w14:textId="48ED18C2" w:rsidR="00B71743" w:rsidRPr="009B2370" w:rsidRDefault="00B71743" w:rsidP="009B2370">
            <w:pPr>
              <w:spacing w:before="0" w:after="0"/>
              <w:jc w:val="center"/>
              <w:rPr>
                <w:rFonts w:ascii="Aptos" w:eastAsia="Aptos" w:hAnsi="Aptos" w:cs="Aptos"/>
                <w:b/>
                <w:bCs/>
                <w:color w:val="FFFFFF" w:themeColor="background1"/>
                <w:lang w:val="en-GB"/>
              </w:rPr>
            </w:pPr>
            <w:r w:rsidRPr="009B2370">
              <w:rPr>
                <w:rFonts w:ascii="Aptos" w:eastAsia="Aptos" w:hAnsi="Aptos" w:cs="Aptos"/>
                <w:b/>
                <w:bCs/>
                <w:color w:val="FFFFFF" w:themeColor="background1"/>
                <w:lang w:val="en-GB"/>
              </w:rPr>
              <w:lastRenderedPageBreak/>
              <w:t>Deliverables</w:t>
            </w:r>
          </w:p>
        </w:tc>
        <w:tc>
          <w:tcPr>
            <w:tcW w:w="3305" w:type="pct"/>
            <w:tcBorders>
              <w:top w:val="single" w:sz="6" w:space="0" w:color="auto"/>
            </w:tcBorders>
            <w:shd w:val="clear" w:color="auto" w:fill="215E99" w:themeFill="text2" w:themeFillTint="BF"/>
            <w:tcMar>
              <w:left w:w="105" w:type="dxa"/>
              <w:right w:w="105" w:type="dxa"/>
            </w:tcMar>
            <w:vAlign w:val="center"/>
          </w:tcPr>
          <w:p w14:paraId="6D99CAAB" w14:textId="46B8EB25" w:rsidR="00B71743" w:rsidRPr="009B2370" w:rsidRDefault="00B71743" w:rsidP="009B2370">
            <w:pPr>
              <w:spacing w:before="0" w:after="0"/>
              <w:jc w:val="center"/>
              <w:rPr>
                <w:rFonts w:ascii="Aptos" w:eastAsia="Aptos" w:hAnsi="Aptos" w:cs="Aptos"/>
                <w:b/>
                <w:bCs/>
                <w:color w:val="FFFFFF" w:themeColor="background1"/>
                <w:lang w:val="en-GB"/>
              </w:rPr>
            </w:pPr>
            <w:r w:rsidRPr="009B2370">
              <w:rPr>
                <w:rFonts w:ascii="Aptos" w:eastAsia="Aptos" w:hAnsi="Aptos" w:cs="Aptos"/>
                <w:b/>
                <w:bCs/>
                <w:color w:val="FFFFFF" w:themeColor="background1"/>
                <w:lang w:val="en-GB"/>
              </w:rPr>
              <w:t>Types of Activities</w:t>
            </w:r>
          </w:p>
        </w:tc>
      </w:tr>
      <w:tr w:rsidR="00B71743" w14:paraId="201CE54B" w14:textId="77777777" w:rsidTr="00B71743">
        <w:trPr>
          <w:trHeight w:val="1340"/>
        </w:trPr>
        <w:tc>
          <w:tcPr>
            <w:tcW w:w="1695" w:type="pct"/>
            <w:tcBorders>
              <w:left w:val="single" w:sz="6" w:space="0" w:color="auto"/>
            </w:tcBorders>
            <w:tcMar>
              <w:left w:w="105" w:type="dxa"/>
              <w:right w:w="105" w:type="dxa"/>
            </w:tcMar>
          </w:tcPr>
          <w:p w14:paraId="2533ED0C" w14:textId="6833DBA0" w:rsidR="00B71743" w:rsidRDefault="00B71743" w:rsidP="00DC1750">
            <w:pPr>
              <w:pStyle w:val="ListParagraph"/>
              <w:numPr>
                <w:ilvl w:val="0"/>
                <w:numId w:val="27"/>
              </w:numPr>
              <w:rPr>
                <w:lang w:val="en-GB"/>
              </w:rPr>
            </w:pPr>
            <w:r w:rsidRPr="00BE47C0">
              <w:rPr>
                <w:lang w:val="en-GB"/>
              </w:rPr>
              <w:t xml:space="preserve">By 2030, strengthen the institutional and technical capacities of </w:t>
            </w:r>
            <w:r w:rsidRPr="00DC1750">
              <w:rPr>
                <w:b/>
                <w:bCs/>
                <w:lang w:val="en-GB"/>
              </w:rPr>
              <w:t>priority countries</w:t>
            </w:r>
            <w:r w:rsidRPr="00BE47C0">
              <w:rPr>
                <w:lang w:val="en-GB"/>
              </w:rPr>
              <w:t xml:space="preserve"> to </w:t>
            </w:r>
            <w:r>
              <w:rPr>
                <w:lang w:val="en-GB"/>
              </w:rPr>
              <w:t>enhance</w:t>
            </w:r>
            <w:r w:rsidRPr="00BE47C0">
              <w:rPr>
                <w:lang w:val="en-GB"/>
              </w:rPr>
              <w:t xml:space="preserve"> FLN </w:t>
            </w:r>
            <w:r>
              <w:rPr>
                <w:lang w:val="en-GB"/>
              </w:rPr>
              <w:t>contribution toward</w:t>
            </w:r>
            <w:r w:rsidRPr="00BE47C0">
              <w:rPr>
                <w:lang w:val="en-GB"/>
              </w:rPr>
              <w:t xml:space="preserve"> their NDC</w:t>
            </w:r>
            <w:r>
              <w:rPr>
                <w:lang w:val="en-GB"/>
              </w:rPr>
              <w:t xml:space="preserve"> goals and targets </w:t>
            </w:r>
          </w:p>
        </w:tc>
        <w:tc>
          <w:tcPr>
            <w:tcW w:w="3305" w:type="pct"/>
            <w:tcMar>
              <w:left w:w="105" w:type="dxa"/>
              <w:right w:w="105" w:type="dxa"/>
            </w:tcMar>
          </w:tcPr>
          <w:p w14:paraId="570EF2E3" w14:textId="71220DA5" w:rsidR="00B71743" w:rsidRPr="00DC1750" w:rsidRDefault="00B71743" w:rsidP="00DC1750">
            <w:pPr>
              <w:pStyle w:val="ListParagraph"/>
              <w:numPr>
                <w:ilvl w:val="0"/>
                <w:numId w:val="28"/>
              </w:numPr>
            </w:pPr>
            <w:r w:rsidRPr="00DC1750">
              <w:t xml:space="preserve">Delivering </w:t>
            </w:r>
            <w:r w:rsidRPr="00DC1750">
              <w:rPr>
                <w:b/>
                <w:bCs/>
              </w:rPr>
              <w:t>knowledge exchange workshops</w:t>
            </w:r>
            <w:r w:rsidRPr="00DC1750">
              <w:t xml:space="preserve"> focused on policy integration, monitoring, and reporting for FLN-related NDC targets.</w:t>
            </w:r>
          </w:p>
          <w:p w14:paraId="7388DFC1" w14:textId="7D2E37DD" w:rsidR="00B71743" w:rsidRPr="00DC1750" w:rsidRDefault="00B71743" w:rsidP="00DC1750">
            <w:pPr>
              <w:pStyle w:val="ListParagraph"/>
              <w:numPr>
                <w:ilvl w:val="0"/>
                <w:numId w:val="28"/>
              </w:numPr>
            </w:pPr>
            <w:r w:rsidRPr="00DC1750">
              <w:t xml:space="preserve">Developing and operationalizing </w:t>
            </w:r>
            <w:r w:rsidRPr="00DC1750">
              <w:rPr>
                <w:b/>
                <w:bCs/>
              </w:rPr>
              <w:t>national FLN capacity development plans</w:t>
            </w:r>
            <w:r w:rsidRPr="00DC1750">
              <w:t xml:space="preserve"> with a focus on NDC implementation in alignment with other sectoral strategies, ensuring gender and social inclusion.</w:t>
            </w:r>
          </w:p>
          <w:p w14:paraId="64FCE187" w14:textId="1097A43E" w:rsidR="00B71743" w:rsidRPr="00DC1750" w:rsidRDefault="00B71743" w:rsidP="00DC1750">
            <w:pPr>
              <w:pStyle w:val="ListParagraph"/>
              <w:numPr>
                <w:ilvl w:val="0"/>
                <w:numId w:val="28"/>
              </w:numPr>
            </w:pPr>
            <w:r w:rsidRPr="00DC1750">
              <w:t xml:space="preserve">Supporting the establishment of </w:t>
            </w:r>
            <w:r w:rsidRPr="00DC1750">
              <w:rPr>
                <w:b/>
                <w:bCs/>
              </w:rPr>
              <w:t>multi-stakeholder platforms</w:t>
            </w:r>
            <w:r w:rsidRPr="00DC1750">
              <w:t xml:space="preserve"> to foster inclusive dialogue and policy coherence across sectors, building upon REDD+ platforms.</w:t>
            </w:r>
          </w:p>
          <w:p w14:paraId="7A71BDF0" w14:textId="5FDD6768" w:rsidR="00B71743" w:rsidRPr="00DC1750" w:rsidRDefault="00B71743" w:rsidP="0054289A">
            <w:pPr>
              <w:pStyle w:val="ListParagraph"/>
              <w:numPr>
                <w:ilvl w:val="0"/>
                <w:numId w:val="28"/>
              </w:numPr>
            </w:pPr>
            <w:r w:rsidRPr="00DC1750">
              <w:t xml:space="preserve">Developing </w:t>
            </w:r>
            <w:proofErr w:type="gramStart"/>
            <w:r w:rsidRPr="00DC1750">
              <w:t>guidance</w:t>
            </w:r>
            <w:proofErr w:type="gramEnd"/>
            <w:r w:rsidRPr="00DC1750">
              <w:t xml:space="preserve"> documents and technical assessments, to maximize the role of forests, land, and nature in NDC implementation, including linkages to livelihoods, and stronger local economies</w:t>
            </w:r>
          </w:p>
        </w:tc>
      </w:tr>
      <w:tr w:rsidR="00B71743" w14:paraId="54D35191" w14:textId="77777777" w:rsidTr="00B71743">
        <w:trPr>
          <w:trHeight w:val="300"/>
        </w:trPr>
        <w:tc>
          <w:tcPr>
            <w:tcW w:w="1695" w:type="pct"/>
            <w:tcBorders>
              <w:left w:val="single" w:sz="6" w:space="0" w:color="auto"/>
            </w:tcBorders>
            <w:tcMar>
              <w:left w:w="105" w:type="dxa"/>
              <w:right w:w="105" w:type="dxa"/>
            </w:tcMar>
          </w:tcPr>
          <w:p w14:paraId="7C724F93" w14:textId="4E18EB6C" w:rsidR="00B71743" w:rsidRDefault="00B71743" w:rsidP="00DC1750">
            <w:pPr>
              <w:pStyle w:val="ListParagraph"/>
              <w:numPr>
                <w:ilvl w:val="0"/>
                <w:numId w:val="27"/>
              </w:numPr>
              <w:rPr>
                <w:lang w:val="en-GB"/>
              </w:rPr>
            </w:pPr>
            <w:r>
              <w:rPr>
                <w:lang w:val="en-GB"/>
              </w:rPr>
              <w:t>S</w:t>
            </w:r>
            <w:r w:rsidRPr="002D0D00">
              <w:rPr>
                <w:lang w:val="en-GB"/>
              </w:rPr>
              <w:t xml:space="preserve">upport </w:t>
            </w:r>
            <w:r>
              <w:rPr>
                <w:lang w:val="en-GB"/>
              </w:rPr>
              <w:t>countries on</w:t>
            </w:r>
            <w:r w:rsidRPr="002D0D00">
              <w:rPr>
                <w:lang w:val="en-GB"/>
              </w:rPr>
              <w:t xml:space="preserve"> NDC implementatio</w:t>
            </w:r>
            <w:r>
              <w:rPr>
                <w:lang w:val="en-GB"/>
              </w:rPr>
              <w:t xml:space="preserve">n </w:t>
            </w:r>
            <w:r w:rsidRPr="002D0D00">
              <w:rPr>
                <w:lang w:val="en-GB"/>
              </w:rPr>
              <w:t>plans, with a focus on the forest sector</w:t>
            </w:r>
          </w:p>
        </w:tc>
        <w:tc>
          <w:tcPr>
            <w:tcW w:w="3305" w:type="pct"/>
            <w:tcMar>
              <w:left w:w="105" w:type="dxa"/>
              <w:right w:w="105" w:type="dxa"/>
            </w:tcMar>
          </w:tcPr>
          <w:p w14:paraId="1A54408E" w14:textId="44A0AA68" w:rsidR="00B71743" w:rsidRPr="00DC1750" w:rsidRDefault="00B71743" w:rsidP="00DC1750">
            <w:pPr>
              <w:pStyle w:val="ListParagraph"/>
              <w:numPr>
                <w:ilvl w:val="0"/>
                <w:numId w:val="29"/>
              </w:numPr>
            </w:pPr>
            <w:r w:rsidRPr="00DC1750">
              <w:t>Support countries to develop implementation plans, based on their 2025 NDCs</w:t>
            </w:r>
          </w:p>
          <w:p w14:paraId="5AB6857D" w14:textId="45FB761C" w:rsidR="00B71743" w:rsidRPr="00DC1750" w:rsidRDefault="00B71743" w:rsidP="00DC1750">
            <w:pPr>
              <w:pStyle w:val="ListParagraph"/>
              <w:numPr>
                <w:ilvl w:val="0"/>
                <w:numId w:val="29"/>
              </w:numPr>
            </w:pPr>
            <w:r w:rsidRPr="00DC1750">
              <w:t xml:space="preserve">Support to consultation and validation </w:t>
            </w:r>
            <w:proofErr w:type="gramStart"/>
            <w:r w:rsidRPr="00DC1750">
              <w:t>processed</w:t>
            </w:r>
            <w:proofErr w:type="gramEnd"/>
            <w:r w:rsidRPr="00DC1750">
              <w:t xml:space="preserve"> for development of implementation plans </w:t>
            </w:r>
          </w:p>
          <w:p w14:paraId="2825A1A8" w14:textId="56026FC7" w:rsidR="00B71743" w:rsidRPr="00DC1750" w:rsidRDefault="00B71743" w:rsidP="00DC1750">
            <w:pPr>
              <w:pStyle w:val="ListParagraph"/>
              <w:numPr>
                <w:ilvl w:val="0"/>
                <w:numId w:val="29"/>
              </w:numPr>
            </w:pPr>
            <w:r w:rsidRPr="00DC1750">
              <w:t xml:space="preserve">Support to the drafting and publication of the plans </w:t>
            </w:r>
          </w:p>
        </w:tc>
      </w:tr>
      <w:tr w:rsidR="00B71743" w14:paraId="6A656462" w14:textId="77777777" w:rsidTr="00B71743">
        <w:trPr>
          <w:trHeight w:val="300"/>
        </w:trPr>
        <w:tc>
          <w:tcPr>
            <w:tcW w:w="1695" w:type="pct"/>
            <w:tcBorders>
              <w:left w:val="single" w:sz="6" w:space="0" w:color="auto"/>
            </w:tcBorders>
            <w:tcMar>
              <w:left w:w="105" w:type="dxa"/>
              <w:right w:w="105" w:type="dxa"/>
            </w:tcMar>
          </w:tcPr>
          <w:p w14:paraId="1488E78C" w14:textId="4ACD0F4C" w:rsidR="00B71743" w:rsidRDefault="00B71743" w:rsidP="00DC1750">
            <w:pPr>
              <w:pStyle w:val="ListParagraph"/>
              <w:numPr>
                <w:ilvl w:val="0"/>
                <w:numId w:val="27"/>
              </w:numPr>
              <w:rPr>
                <w:lang w:val="en-GB"/>
              </w:rPr>
            </w:pPr>
            <w:r w:rsidRPr="00A4697D">
              <w:rPr>
                <w:lang w:val="en-GB"/>
              </w:rPr>
              <w:t xml:space="preserve">By 2030, increase the participation and leadership of Indigenous Peoples, Afro-descendants, and local communities in </w:t>
            </w:r>
            <w:r>
              <w:rPr>
                <w:lang w:val="en-GB"/>
              </w:rPr>
              <w:t>NDC implementation and enhancement</w:t>
            </w:r>
          </w:p>
        </w:tc>
        <w:tc>
          <w:tcPr>
            <w:tcW w:w="3305" w:type="pct"/>
            <w:tcMar>
              <w:left w:w="105" w:type="dxa"/>
              <w:right w:w="105" w:type="dxa"/>
            </w:tcMar>
          </w:tcPr>
          <w:p w14:paraId="64E9BC60" w14:textId="614F4D43" w:rsidR="00B71743" w:rsidRPr="00DC1750" w:rsidRDefault="00B71743" w:rsidP="00DC1750">
            <w:pPr>
              <w:pStyle w:val="ListParagraph"/>
              <w:numPr>
                <w:ilvl w:val="0"/>
                <w:numId w:val="30"/>
              </w:numPr>
            </w:pPr>
            <w:r w:rsidRPr="00DC1750">
              <w:t>Organizing</w:t>
            </w:r>
            <w:r w:rsidRPr="00DC1750">
              <w:rPr>
                <w:b/>
                <w:bCs/>
              </w:rPr>
              <w:t xml:space="preserve"> national and regional dialogues</w:t>
            </w:r>
            <w:r w:rsidRPr="00DC1750">
              <w:t xml:space="preserve"> to ensure inclusive engagement in the NDC review and implementation process.</w:t>
            </w:r>
          </w:p>
          <w:p w14:paraId="40912206" w14:textId="44111C09" w:rsidR="00B71743" w:rsidRPr="00DC1750" w:rsidRDefault="00B71743" w:rsidP="00DC1750">
            <w:pPr>
              <w:pStyle w:val="ListParagraph"/>
              <w:numPr>
                <w:ilvl w:val="0"/>
                <w:numId w:val="30"/>
              </w:numPr>
            </w:pPr>
            <w:r w:rsidRPr="00DC1750">
              <w:t xml:space="preserve">Identifying and leveraging policy and financial instruments to inform and strengthen NDC implementation by </w:t>
            </w:r>
            <w:r w:rsidRPr="00DC1750">
              <w:rPr>
                <w:b/>
                <w:bCs/>
              </w:rPr>
              <w:t>integrating Indigenous Peoples, Afro-descendant, and local community-led forest, climate, and nature initiatives</w:t>
            </w:r>
            <w:r w:rsidRPr="00DC1750">
              <w:t xml:space="preserve"> within supported countries.</w:t>
            </w:r>
          </w:p>
          <w:p w14:paraId="32AC1DF9" w14:textId="3A53F41C" w:rsidR="00B71743" w:rsidRPr="00DC1750" w:rsidRDefault="00B71743" w:rsidP="00DC1750">
            <w:pPr>
              <w:pStyle w:val="ListParagraph"/>
              <w:numPr>
                <w:ilvl w:val="0"/>
                <w:numId w:val="30"/>
              </w:numPr>
            </w:pPr>
            <w:r w:rsidRPr="00DC1750">
              <w:t xml:space="preserve">Delivering </w:t>
            </w:r>
            <w:r w:rsidRPr="00DC1750">
              <w:rPr>
                <w:b/>
                <w:bCs/>
              </w:rPr>
              <w:t>capacity-building programs to community members</w:t>
            </w:r>
            <w:r w:rsidRPr="00DC1750">
              <w:t xml:space="preserve"> to enhance their role in decision-making processes, advocacy, and monitoring.</w:t>
            </w:r>
          </w:p>
        </w:tc>
      </w:tr>
      <w:tr w:rsidR="00B71743" w14:paraId="4DDBB7F2" w14:textId="77777777" w:rsidTr="00B71743">
        <w:trPr>
          <w:trHeight w:val="300"/>
        </w:trPr>
        <w:tc>
          <w:tcPr>
            <w:tcW w:w="1695" w:type="pct"/>
            <w:tcBorders>
              <w:left w:val="single" w:sz="6" w:space="0" w:color="auto"/>
            </w:tcBorders>
            <w:tcMar>
              <w:left w:w="105" w:type="dxa"/>
              <w:right w:w="105" w:type="dxa"/>
            </w:tcMar>
          </w:tcPr>
          <w:p w14:paraId="076A0634" w14:textId="3FD2B04E" w:rsidR="00B71743" w:rsidRDefault="00B71743" w:rsidP="00DC1750">
            <w:pPr>
              <w:pStyle w:val="ListParagraph"/>
              <w:numPr>
                <w:ilvl w:val="0"/>
                <w:numId w:val="27"/>
              </w:numPr>
              <w:rPr>
                <w:lang w:val="en-GB"/>
              </w:rPr>
            </w:pPr>
            <w:r w:rsidRPr="00A4697D">
              <w:rPr>
                <w:lang w:val="en-GB"/>
              </w:rPr>
              <w:t xml:space="preserve">By 2030, </w:t>
            </w:r>
            <w:r>
              <w:rPr>
                <w:lang w:val="en-GB"/>
              </w:rPr>
              <w:t>the role of forests for climate and nature action has been recognized in high-level political fora</w:t>
            </w:r>
          </w:p>
        </w:tc>
        <w:tc>
          <w:tcPr>
            <w:tcW w:w="3305" w:type="pct"/>
            <w:tcMar>
              <w:left w:w="105" w:type="dxa"/>
              <w:right w:w="105" w:type="dxa"/>
            </w:tcMar>
          </w:tcPr>
          <w:p w14:paraId="63A2E8BE" w14:textId="2F3952ED" w:rsidR="00B71743" w:rsidRPr="00483FF8" w:rsidRDefault="00B71743" w:rsidP="00DC1750">
            <w:pPr>
              <w:pStyle w:val="ListParagraph"/>
              <w:numPr>
                <w:ilvl w:val="0"/>
                <w:numId w:val="31"/>
              </w:numPr>
              <w:rPr>
                <w:lang w:val="en-GB"/>
              </w:rPr>
            </w:pPr>
            <w:r w:rsidRPr="00DC1750">
              <w:t>Support global south country engagement and contributions to TFFF, as well as strategic linkages to FCLP</w:t>
            </w:r>
          </w:p>
          <w:p w14:paraId="1D6A89C1" w14:textId="41C897CF" w:rsidR="00B71743" w:rsidRPr="00483FF8" w:rsidRDefault="00B71743" w:rsidP="00DC1750">
            <w:pPr>
              <w:pStyle w:val="ListParagraph"/>
              <w:numPr>
                <w:ilvl w:val="0"/>
                <w:numId w:val="31"/>
              </w:numPr>
              <w:rPr>
                <w:lang w:val="en-GB"/>
              </w:rPr>
            </w:pPr>
            <w:r w:rsidRPr="00DC1750">
              <w:t>Supporting yearly civil society led</w:t>
            </w:r>
            <w:r w:rsidRPr="00DC1750">
              <w:rPr>
                <w:b/>
                <w:bCs/>
              </w:rPr>
              <w:t xml:space="preserve"> independent assessments of progress on global forests goals</w:t>
            </w:r>
            <w:r w:rsidRPr="00DC1750">
              <w:t xml:space="preserve"> (Forest Declaration Assessment reports)</w:t>
            </w:r>
          </w:p>
        </w:tc>
      </w:tr>
      <w:tr w:rsidR="00B71743" w14:paraId="064980B0" w14:textId="77777777" w:rsidTr="00B71743">
        <w:trPr>
          <w:trHeight w:val="300"/>
        </w:trPr>
        <w:tc>
          <w:tcPr>
            <w:tcW w:w="1695" w:type="pct"/>
            <w:tcBorders>
              <w:left w:val="single" w:sz="6" w:space="0" w:color="auto"/>
              <w:bottom w:val="single" w:sz="6" w:space="0" w:color="auto"/>
            </w:tcBorders>
            <w:tcMar>
              <w:left w:w="105" w:type="dxa"/>
              <w:right w:w="105" w:type="dxa"/>
            </w:tcMar>
          </w:tcPr>
          <w:p w14:paraId="38687422" w14:textId="6124F2A9" w:rsidR="00B71743" w:rsidRPr="00DC1750" w:rsidRDefault="00B71743" w:rsidP="00DC1750">
            <w:pPr>
              <w:pStyle w:val="ListParagraph"/>
              <w:numPr>
                <w:ilvl w:val="0"/>
                <w:numId w:val="27"/>
              </w:numPr>
            </w:pPr>
            <w:r w:rsidRPr="00DC1750">
              <w:t xml:space="preserve">Support to ambitious NDCs and LTS </w:t>
            </w:r>
          </w:p>
        </w:tc>
        <w:tc>
          <w:tcPr>
            <w:tcW w:w="3305" w:type="pct"/>
            <w:tcBorders>
              <w:bottom w:val="single" w:sz="6" w:space="0" w:color="auto"/>
            </w:tcBorders>
            <w:tcMar>
              <w:left w:w="105" w:type="dxa"/>
              <w:right w:w="105" w:type="dxa"/>
            </w:tcMar>
          </w:tcPr>
          <w:p w14:paraId="2F4C82C5" w14:textId="6A534A2B" w:rsidR="00B71743" w:rsidRPr="00DC1750" w:rsidRDefault="00B71743" w:rsidP="00DC1750">
            <w:pPr>
              <w:pStyle w:val="ListParagraph"/>
              <w:numPr>
                <w:ilvl w:val="0"/>
                <w:numId w:val="32"/>
              </w:numPr>
            </w:pPr>
            <w:r w:rsidRPr="00DC1750">
              <w:t xml:space="preserve">Support countries on the FLN components of NDC development for the 2030 submission cycle </w:t>
            </w:r>
          </w:p>
          <w:p w14:paraId="1A3C0D0D" w14:textId="57C95027" w:rsidR="00B71743" w:rsidRPr="00DC1750" w:rsidRDefault="00B71743" w:rsidP="00DC1750">
            <w:pPr>
              <w:pStyle w:val="ListParagraph"/>
              <w:numPr>
                <w:ilvl w:val="0"/>
                <w:numId w:val="32"/>
              </w:numPr>
            </w:pPr>
            <w:r w:rsidRPr="00DC1750">
              <w:t xml:space="preserve">Support development of LULUCF/forest-related analysis/assessments for incorporation into LTS </w:t>
            </w:r>
          </w:p>
        </w:tc>
      </w:tr>
    </w:tbl>
    <w:p w14:paraId="49C28AFC" w14:textId="29C71D07" w:rsidR="1EA63064" w:rsidRDefault="1EA63064" w:rsidP="00B71743">
      <w:pPr>
        <w:spacing w:after="120"/>
      </w:pPr>
    </w:p>
    <w:sectPr w:rsidR="1EA63064" w:rsidSect="009B237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5EDA2" w14:textId="77777777" w:rsidR="009B6B1E" w:rsidRDefault="009B6B1E" w:rsidP="00E62A58">
      <w:pPr>
        <w:spacing w:before="0" w:after="0" w:line="240" w:lineRule="auto"/>
      </w:pPr>
      <w:r>
        <w:separator/>
      </w:r>
    </w:p>
  </w:endnote>
  <w:endnote w:type="continuationSeparator" w:id="0">
    <w:p w14:paraId="7D39EDD1" w14:textId="77777777" w:rsidR="009B6B1E" w:rsidRDefault="009B6B1E" w:rsidP="00E62A58">
      <w:pPr>
        <w:spacing w:before="0" w:after="0" w:line="240" w:lineRule="auto"/>
      </w:pPr>
      <w:r>
        <w:continuationSeparator/>
      </w:r>
    </w:p>
  </w:endnote>
  <w:endnote w:type="continuationNotice" w:id="1">
    <w:p w14:paraId="795E10A0" w14:textId="77777777" w:rsidR="009B6B1E" w:rsidRDefault="009B6B1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 w:name="Arial (Body 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743860"/>
      <w:docPartObj>
        <w:docPartGallery w:val="Page Numbers (Bottom of Page)"/>
        <w:docPartUnique/>
      </w:docPartObj>
    </w:sdtPr>
    <w:sdtEndPr>
      <w:rPr>
        <w:noProof/>
      </w:rPr>
    </w:sdtEndPr>
    <w:sdtContent>
      <w:p w14:paraId="11968C98" w14:textId="03818F89" w:rsidR="00C34B28" w:rsidRDefault="00C34B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38E093" w14:textId="77777777" w:rsidR="00C34B28" w:rsidRDefault="00C34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C70C3" w14:textId="77777777" w:rsidR="009B6B1E" w:rsidRDefault="009B6B1E" w:rsidP="00E62A58">
      <w:pPr>
        <w:spacing w:before="0" w:after="0" w:line="240" w:lineRule="auto"/>
      </w:pPr>
      <w:r>
        <w:separator/>
      </w:r>
    </w:p>
  </w:footnote>
  <w:footnote w:type="continuationSeparator" w:id="0">
    <w:p w14:paraId="5203184D" w14:textId="77777777" w:rsidR="009B6B1E" w:rsidRDefault="009B6B1E" w:rsidP="00E62A58">
      <w:pPr>
        <w:spacing w:before="0" w:after="0" w:line="240" w:lineRule="auto"/>
      </w:pPr>
      <w:r>
        <w:continuationSeparator/>
      </w:r>
    </w:p>
  </w:footnote>
  <w:footnote w:type="continuationNotice" w:id="1">
    <w:p w14:paraId="2ACDDEF9" w14:textId="77777777" w:rsidR="009B6B1E" w:rsidRDefault="009B6B1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48247" w14:textId="77777777" w:rsidR="00C34B28" w:rsidRPr="004071CB" w:rsidRDefault="00C34B28" w:rsidP="00C34B28">
    <w:pPr>
      <w:pStyle w:val="Header"/>
      <w:jc w:val="right"/>
      <w:rPr>
        <w:rFonts w:ascii="Times New Roman" w:hAnsi="Times New Roman" w:cs="Times New Roman"/>
        <w:i/>
        <w:iCs/>
      </w:rPr>
    </w:pPr>
    <w:r w:rsidRPr="004071CB">
      <w:rPr>
        <w:rFonts w:ascii="Times New Roman" w:hAnsi="Times New Roman" w:cs="Times New Roman"/>
        <w:i/>
        <w:iCs/>
      </w:rPr>
      <w:t>Internal draft – not for citation, distribution, or reproduction</w:t>
    </w:r>
  </w:p>
  <w:p w14:paraId="1D82D87B" w14:textId="77777777" w:rsidR="00DC1750" w:rsidRDefault="00DC1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3F53"/>
    <w:multiLevelType w:val="hybridMultilevel"/>
    <w:tmpl w:val="16F87920"/>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EF33B3"/>
    <w:multiLevelType w:val="multilevel"/>
    <w:tmpl w:val="CAB889A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CE1028"/>
    <w:multiLevelType w:val="hybridMultilevel"/>
    <w:tmpl w:val="14B26A90"/>
    <w:lvl w:ilvl="0" w:tplc="200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E697CC"/>
    <w:multiLevelType w:val="multilevel"/>
    <w:tmpl w:val="6706C43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405594"/>
    <w:multiLevelType w:val="hybridMultilevel"/>
    <w:tmpl w:val="9AF8C358"/>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961441"/>
    <w:multiLevelType w:val="multilevel"/>
    <w:tmpl w:val="908E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B4A47"/>
    <w:multiLevelType w:val="hybridMultilevel"/>
    <w:tmpl w:val="A39E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F0530"/>
    <w:multiLevelType w:val="hybridMultilevel"/>
    <w:tmpl w:val="B9DEF31C"/>
    <w:lvl w:ilvl="0" w:tplc="6944C686">
      <w:numFmt w:val="bullet"/>
      <w:lvlText w:val="-"/>
      <w:lvlJc w:val="left"/>
      <w:pPr>
        <w:ind w:left="720" w:hanging="360"/>
      </w:pPr>
      <w:rPr>
        <w:rFonts w:ascii="Aptos" w:eastAsia="Aptos" w:hAnsi="Aptos"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85875"/>
    <w:multiLevelType w:val="hybridMultilevel"/>
    <w:tmpl w:val="B6741782"/>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D6EB3F"/>
    <w:multiLevelType w:val="multilevel"/>
    <w:tmpl w:val="CD82A06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EC09E8"/>
    <w:multiLevelType w:val="multilevel"/>
    <w:tmpl w:val="FD648AC0"/>
    <w:lvl w:ilvl="0">
      <w:start w:val="1"/>
      <w:numFmt w:val="decimal"/>
      <w:lvlText w:val="%1."/>
      <w:lvlJc w:val="left"/>
      <w:pPr>
        <w:ind w:left="717" w:hanging="360"/>
      </w:pPr>
    </w:lvl>
    <w:lvl w:ilvl="1">
      <w:start w:val="4"/>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157" w:hanging="1800"/>
      </w:pPr>
      <w:rPr>
        <w:rFonts w:hint="default"/>
      </w:rPr>
    </w:lvl>
  </w:abstractNum>
  <w:abstractNum w:abstractNumId="11" w15:restartNumberingAfterBreak="0">
    <w:nsid w:val="2C3E0CF7"/>
    <w:multiLevelType w:val="hybridMultilevel"/>
    <w:tmpl w:val="4702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37E58"/>
    <w:multiLevelType w:val="hybridMultilevel"/>
    <w:tmpl w:val="AABA33AC"/>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18612EB"/>
    <w:multiLevelType w:val="hybridMultilevel"/>
    <w:tmpl w:val="3AEE385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1B08121"/>
    <w:multiLevelType w:val="multilevel"/>
    <w:tmpl w:val="C8C232D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AE6419"/>
    <w:multiLevelType w:val="hybridMultilevel"/>
    <w:tmpl w:val="C42689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15597"/>
    <w:multiLevelType w:val="hybridMultilevel"/>
    <w:tmpl w:val="C9461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5A1C3A"/>
    <w:multiLevelType w:val="hybridMultilevel"/>
    <w:tmpl w:val="185C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26695"/>
    <w:multiLevelType w:val="hybridMultilevel"/>
    <w:tmpl w:val="4788BDD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40B68"/>
    <w:multiLevelType w:val="hybridMultilevel"/>
    <w:tmpl w:val="E174B294"/>
    <w:lvl w:ilvl="0" w:tplc="2000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3FC6CFB"/>
    <w:multiLevelType w:val="hybridMultilevel"/>
    <w:tmpl w:val="73448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366365"/>
    <w:multiLevelType w:val="hybridMultilevel"/>
    <w:tmpl w:val="24AA1A22"/>
    <w:lvl w:ilvl="0" w:tplc="FFFFFFFF">
      <w:start w:val="1"/>
      <w:numFmt w:val="lowerLetter"/>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735317"/>
    <w:multiLevelType w:val="hybridMultilevel"/>
    <w:tmpl w:val="B1FC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AD11C0"/>
    <w:multiLevelType w:val="hybridMultilevel"/>
    <w:tmpl w:val="3AEE385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F75FCFA"/>
    <w:multiLevelType w:val="hybridMultilevel"/>
    <w:tmpl w:val="6F1CF74A"/>
    <w:lvl w:ilvl="0" w:tplc="8E8E72C8">
      <w:start w:val="1"/>
      <w:numFmt w:val="bullet"/>
      <w:lvlText w:val=""/>
      <w:lvlJc w:val="left"/>
      <w:pPr>
        <w:ind w:left="720" w:hanging="360"/>
      </w:pPr>
      <w:rPr>
        <w:rFonts w:ascii="Symbol" w:hAnsi="Symbol" w:hint="default"/>
      </w:rPr>
    </w:lvl>
    <w:lvl w:ilvl="1" w:tplc="C532A8DA">
      <w:start w:val="1"/>
      <w:numFmt w:val="bullet"/>
      <w:lvlText w:val="o"/>
      <w:lvlJc w:val="left"/>
      <w:pPr>
        <w:ind w:left="1440" w:hanging="360"/>
      </w:pPr>
      <w:rPr>
        <w:rFonts w:ascii="Courier New" w:hAnsi="Courier New" w:hint="default"/>
      </w:rPr>
    </w:lvl>
    <w:lvl w:ilvl="2" w:tplc="38CA11CE">
      <w:start w:val="1"/>
      <w:numFmt w:val="bullet"/>
      <w:lvlText w:val=""/>
      <w:lvlJc w:val="left"/>
      <w:pPr>
        <w:ind w:left="2160" w:hanging="360"/>
      </w:pPr>
      <w:rPr>
        <w:rFonts w:ascii="Wingdings" w:hAnsi="Wingdings" w:hint="default"/>
      </w:rPr>
    </w:lvl>
    <w:lvl w:ilvl="3" w:tplc="4858EA6E">
      <w:start w:val="1"/>
      <w:numFmt w:val="bullet"/>
      <w:lvlText w:val=""/>
      <w:lvlJc w:val="left"/>
      <w:pPr>
        <w:ind w:left="2880" w:hanging="360"/>
      </w:pPr>
      <w:rPr>
        <w:rFonts w:ascii="Symbol" w:hAnsi="Symbol" w:hint="default"/>
      </w:rPr>
    </w:lvl>
    <w:lvl w:ilvl="4" w:tplc="41860B60">
      <w:start w:val="1"/>
      <w:numFmt w:val="bullet"/>
      <w:lvlText w:val="o"/>
      <w:lvlJc w:val="left"/>
      <w:pPr>
        <w:ind w:left="3600" w:hanging="360"/>
      </w:pPr>
      <w:rPr>
        <w:rFonts w:ascii="Courier New" w:hAnsi="Courier New" w:hint="default"/>
      </w:rPr>
    </w:lvl>
    <w:lvl w:ilvl="5" w:tplc="C53AE830">
      <w:start w:val="1"/>
      <w:numFmt w:val="bullet"/>
      <w:lvlText w:val=""/>
      <w:lvlJc w:val="left"/>
      <w:pPr>
        <w:ind w:left="4320" w:hanging="360"/>
      </w:pPr>
      <w:rPr>
        <w:rFonts w:ascii="Wingdings" w:hAnsi="Wingdings" w:hint="default"/>
      </w:rPr>
    </w:lvl>
    <w:lvl w:ilvl="6" w:tplc="0FAC8CB0">
      <w:start w:val="1"/>
      <w:numFmt w:val="bullet"/>
      <w:lvlText w:val=""/>
      <w:lvlJc w:val="left"/>
      <w:pPr>
        <w:ind w:left="5040" w:hanging="360"/>
      </w:pPr>
      <w:rPr>
        <w:rFonts w:ascii="Symbol" w:hAnsi="Symbol" w:hint="default"/>
      </w:rPr>
    </w:lvl>
    <w:lvl w:ilvl="7" w:tplc="E2186FCC">
      <w:start w:val="1"/>
      <w:numFmt w:val="bullet"/>
      <w:lvlText w:val="o"/>
      <w:lvlJc w:val="left"/>
      <w:pPr>
        <w:ind w:left="5760" w:hanging="360"/>
      </w:pPr>
      <w:rPr>
        <w:rFonts w:ascii="Courier New" w:hAnsi="Courier New" w:hint="default"/>
      </w:rPr>
    </w:lvl>
    <w:lvl w:ilvl="8" w:tplc="7B26F1B8">
      <w:start w:val="1"/>
      <w:numFmt w:val="bullet"/>
      <w:lvlText w:val=""/>
      <w:lvlJc w:val="left"/>
      <w:pPr>
        <w:ind w:left="6480" w:hanging="360"/>
      </w:pPr>
      <w:rPr>
        <w:rFonts w:ascii="Wingdings" w:hAnsi="Wingdings" w:hint="default"/>
      </w:rPr>
    </w:lvl>
  </w:abstractNum>
  <w:abstractNum w:abstractNumId="25" w15:restartNumberingAfterBreak="0">
    <w:nsid w:val="5363445A"/>
    <w:multiLevelType w:val="hybridMultilevel"/>
    <w:tmpl w:val="ECE6F16A"/>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B6A33FB"/>
    <w:multiLevelType w:val="multilevel"/>
    <w:tmpl w:val="D76AB58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97B5132"/>
    <w:multiLevelType w:val="multilevel"/>
    <w:tmpl w:val="AB86BFF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081B05"/>
    <w:multiLevelType w:val="hybridMultilevel"/>
    <w:tmpl w:val="784EEEFE"/>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1510CD5"/>
    <w:multiLevelType w:val="hybridMultilevel"/>
    <w:tmpl w:val="0C9C2C04"/>
    <w:lvl w:ilvl="0" w:tplc="2000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C834CD"/>
    <w:multiLevelType w:val="hybridMultilevel"/>
    <w:tmpl w:val="FFFFFFFF"/>
    <w:lvl w:ilvl="0" w:tplc="97ECA5AC">
      <w:numFmt w:val="bullet"/>
      <w:lvlText w:val="-"/>
      <w:lvlJc w:val="left"/>
      <w:pPr>
        <w:ind w:left="360" w:hanging="360"/>
      </w:pPr>
      <w:rPr>
        <w:rFonts w:ascii="Aptos" w:hAnsi="Aptos" w:hint="default"/>
      </w:rPr>
    </w:lvl>
    <w:lvl w:ilvl="1" w:tplc="57C6C6E6">
      <w:start w:val="1"/>
      <w:numFmt w:val="bullet"/>
      <w:lvlText w:val="o"/>
      <w:lvlJc w:val="left"/>
      <w:pPr>
        <w:ind w:left="1440" w:hanging="360"/>
      </w:pPr>
      <w:rPr>
        <w:rFonts w:ascii="Courier New" w:hAnsi="Courier New" w:hint="default"/>
      </w:rPr>
    </w:lvl>
    <w:lvl w:ilvl="2" w:tplc="030E7974">
      <w:start w:val="1"/>
      <w:numFmt w:val="bullet"/>
      <w:lvlText w:val=""/>
      <w:lvlJc w:val="left"/>
      <w:pPr>
        <w:ind w:left="2160" w:hanging="360"/>
      </w:pPr>
      <w:rPr>
        <w:rFonts w:ascii="Wingdings" w:hAnsi="Wingdings" w:hint="default"/>
      </w:rPr>
    </w:lvl>
    <w:lvl w:ilvl="3" w:tplc="B4165424">
      <w:start w:val="1"/>
      <w:numFmt w:val="bullet"/>
      <w:lvlText w:val=""/>
      <w:lvlJc w:val="left"/>
      <w:pPr>
        <w:ind w:left="2880" w:hanging="360"/>
      </w:pPr>
      <w:rPr>
        <w:rFonts w:ascii="Symbol" w:hAnsi="Symbol" w:hint="default"/>
      </w:rPr>
    </w:lvl>
    <w:lvl w:ilvl="4" w:tplc="780A9062">
      <w:start w:val="1"/>
      <w:numFmt w:val="bullet"/>
      <w:lvlText w:val="o"/>
      <w:lvlJc w:val="left"/>
      <w:pPr>
        <w:ind w:left="3600" w:hanging="360"/>
      </w:pPr>
      <w:rPr>
        <w:rFonts w:ascii="Courier New" w:hAnsi="Courier New" w:hint="default"/>
      </w:rPr>
    </w:lvl>
    <w:lvl w:ilvl="5" w:tplc="A08CA6BE">
      <w:start w:val="1"/>
      <w:numFmt w:val="bullet"/>
      <w:lvlText w:val=""/>
      <w:lvlJc w:val="left"/>
      <w:pPr>
        <w:ind w:left="4320" w:hanging="360"/>
      </w:pPr>
      <w:rPr>
        <w:rFonts w:ascii="Wingdings" w:hAnsi="Wingdings" w:hint="default"/>
      </w:rPr>
    </w:lvl>
    <w:lvl w:ilvl="6" w:tplc="6DFCCDC0">
      <w:start w:val="1"/>
      <w:numFmt w:val="bullet"/>
      <w:lvlText w:val=""/>
      <w:lvlJc w:val="left"/>
      <w:pPr>
        <w:ind w:left="5040" w:hanging="360"/>
      </w:pPr>
      <w:rPr>
        <w:rFonts w:ascii="Symbol" w:hAnsi="Symbol" w:hint="default"/>
      </w:rPr>
    </w:lvl>
    <w:lvl w:ilvl="7" w:tplc="B29A3C7A">
      <w:start w:val="1"/>
      <w:numFmt w:val="bullet"/>
      <w:lvlText w:val="o"/>
      <w:lvlJc w:val="left"/>
      <w:pPr>
        <w:ind w:left="5760" w:hanging="360"/>
      </w:pPr>
      <w:rPr>
        <w:rFonts w:ascii="Courier New" w:hAnsi="Courier New" w:hint="default"/>
      </w:rPr>
    </w:lvl>
    <w:lvl w:ilvl="8" w:tplc="81622658">
      <w:start w:val="1"/>
      <w:numFmt w:val="bullet"/>
      <w:lvlText w:val=""/>
      <w:lvlJc w:val="left"/>
      <w:pPr>
        <w:ind w:left="6480" w:hanging="360"/>
      </w:pPr>
      <w:rPr>
        <w:rFonts w:ascii="Wingdings" w:hAnsi="Wingdings" w:hint="default"/>
      </w:rPr>
    </w:lvl>
  </w:abstractNum>
  <w:abstractNum w:abstractNumId="31" w15:restartNumberingAfterBreak="0">
    <w:nsid w:val="7D95033C"/>
    <w:multiLevelType w:val="hybridMultilevel"/>
    <w:tmpl w:val="A528A2B0"/>
    <w:lvl w:ilvl="0" w:tplc="2000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2027809">
    <w:abstractNumId w:val="27"/>
  </w:num>
  <w:num w:numId="2" w16cid:durableId="521551836">
    <w:abstractNumId w:val="3"/>
  </w:num>
  <w:num w:numId="3" w16cid:durableId="392001604">
    <w:abstractNumId w:val="26"/>
  </w:num>
  <w:num w:numId="4" w16cid:durableId="1964379326">
    <w:abstractNumId w:val="1"/>
  </w:num>
  <w:num w:numId="5" w16cid:durableId="1747534959">
    <w:abstractNumId w:val="24"/>
  </w:num>
  <w:num w:numId="6" w16cid:durableId="21906590">
    <w:abstractNumId w:val="9"/>
  </w:num>
  <w:num w:numId="7" w16cid:durableId="28379019">
    <w:abstractNumId w:val="14"/>
  </w:num>
  <w:num w:numId="8" w16cid:durableId="2027634354">
    <w:abstractNumId w:val="21"/>
  </w:num>
  <w:num w:numId="9" w16cid:durableId="719944314">
    <w:abstractNumId w:val="23"/>
  </w:num>
  <w:num w:numId="10" w16cid:durableId="1032535575">
    <w:abstractNumId w:val="17"/>
  </w:num>
  <w:num w:numId="11" w16cid:durableId="2062484187">
    <w:abstractNumId w:val="22"/>
  </w:num>
  <w:num w:numId="12" w16cid:durableId="445975246">
    <w:abstractNumId w:val="10"/>
  </w:num>
  <w:num w:numId="13" w16cid:durableId="1646159588">
    <w:abstractNumId w:val="13"/>
  </w:num>
  <w:num w:numId="14" w16cid:durableId="613564670">
    <w:abstractNumId w:val="6"/>
  </w:num>
  <w:num w:numId="15" w16cid:durableId="1244030790">
    <w:abstractNumId w:val="18"/>
  </w:num>
  <w:num w:numId="16" w16cid:durableId="2066219312">
    <w:abstractNumId w:val="15"/>
  </w:num>
  <w:num w:numId="17" w16cid:durableId="398098195">
    <w:abstractNumId w:val="5"/>
  </w:num>
  <w:num w:numId="18" w16cid:durableId="965234634">
    <w:abstractNumId w:val="7"/>
  </w:num>
  <w:num w:numId="19" w16cid:durableId="1889148734">
    <w:abstractNumId w:val="16"/>
  </w:num>
  <w:num w:numId="20" w16cid:durableId="368451950">
    <w:abstractNumId w:val="11"/>
  </w:num>
  <w:num w:numId="21" w16cid:durableId="1466776527">
    <w:abstractNumId w:val="20"/>
  </w:num>
  <w:num w:numId="22" w16cid:durableId="924265049">
    <w:abstractNumId w:val="30"/>
  </w:num>
  <w:num w:numId="23" w16cid:durableId="1985234635">
    <w:abstractNumId w:val="4"/>
  </w:num>
  <w:num w:numId="24" w16cid:durableId="755788316">
    <w:abstractNumId w:val="29"/>
  </w:num>
  <w:num w:numId="25" w16cid:durableId="1036388291">
    <w:abstractNumId w:val="31"/>
  </w:num>
  <w:num w:numId="26" w16cid:durableId="2082479539">
    <w:abstractNumId w:val="2"/>
  </w:num>
  <w:num w:numId="27" w16cid:durableId="808522091">
    <w:abstractNumId w:val="19"/>
  </w:num>
  <w:num w:numId="28" w16cid:durableId="1110391350">
    <w:abstractNumId w:val="28"/>
  </w:num>
  <w:num w:numId="29" w16cid:durableId="3213753">
    <w:abstractNumId w:val="8"/>
  </w:num>
  <w:num w:numId="30" w16cid:durableId="1882085452">
    <w:abstractNumId w:val="12"/>
  </w:num>
  <w:num w:numId="31" w16cid:durableId="564223851">
    <w:abstractNumId w:val="25"/>
  </w:num>
  <w:num w:numId="32" w16cid:durableId="504440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58"/>
    <w:rsid w:val="0000125C"/>
    <w:rsid w:val="000029D8"/>
    <w:rsid w:val="00002C08"/>
    <w:rsid w:val="00007298"/>
    <w:rsid w:val="000073C0"/>
    <w:rsid w:val="0001063C"/>
    <w:rsid w:val="00013BDB"/>
    <w:rsid w:val="000279F3"/>
    <w:rsid w:val="00030633"/>
    <w:rsid w:val="0003116F"/>
    <w:rsid w:val="00035F0A"/>
    <w:rsid w:val="0004131F"/>
    <w:rsid w:val="00041B7C"/>
    <w:rsid w:val="00042923"/>
    <w:rsid w:val="00042AE2"/>
    <w:rsid w:val="00046674"/>
    <w:rsid w:val="00047953"/>
    <w:rsid w:val="00052BB1"/>
    <w:rsid w:val="00053B3F"/>
    <w:rsid w:val="00055047"/>
    <w:rsid w:val="00057993"/>
    <w:rsid w:val="0006618E"/>
    <w:rsid w:val="00070027"/>
    <w:rsid w:val="000725C7"/>
    <w:rsid w:val="000740A3"/>
    <w:rsid w:val="000800A8"/>
    <w:rsid w:val="00080D30"/>
    <w:rsid w:val="000821CF"/>
    <w:rsid w:val="0008785B"/>
    <w:rsid w:val="00090E71"/>
    <w:rsid w:val="00095CAB"/>
    <w:rsid w:val="000A0F1E"/>
    <w:rsid w:val="000A7DAE"/>
    <w:rsid w:val="000B1D46"/>
    <w:rsid w:val="000B1F97"/>
    <w:rsid w:val="000B2310"/>
    <w:rsid w:val="000C31A6"/>
    <w:rsid w:val="000C7EBA"/>
    <w:rsid w:val="000D41DF"/>
    <w:rsid w:val="000D72EC"/>
    <w:rsid w:val="000E046E"/>
    <w:rsid w:val="000E051B"/>
    <w:rsid w:val="000E0E6A"/>
    <w:rsid w:val="000E1019"/>
    <w:rsid w:val="000E3BE1"/>
    <w:rsid w:val="000E3D85"/>
    <w:rsid w:val="000E5538"/>
    <w:rsid w:val="000E5AFA"/>
    <w:rsid w:val="000F2285"/>
    <w:rsid w:val="000F6143"/>
    <w:rsid w:val="000F629E"/>
    <w:rsid w:val="001026C5"/>
    <w:rsid w:val="0010727A"/>
    <w:rsid w:val="00116E19"/>
    <w:rsid w:val="00120811"/>
    <w:rsid w:val="00144613"/>
    <w:rsid w:val="00145C7A"/>
    <w:rsid w:val="00152FEB"/>
    <w:rsid w:val="00157DA0"/>
    <w:rsid w:val="001614CA"/>
    <w:rsid w:val="00162465"/>
    <w:rsid w:val="00164D7E"/>
    <w:rsid w:val="0016535B"/>
    <w:rsid w:val="00165F85"/>
    <w:rsid w:val="00166A8B"/>
    <w:rsid w:val="001846E9"/>
    <w:rsid w:val="0019788B"/>
    <w:rsid w:val="001A2847"/>
    <w:rsid w:val="001A2B14"/>
    <w:rsid w:val="001B3E08"/>
    <w:rsid w:val="001C0DEF"/>
    <w:rsid w:val="001C43A9"/>
    <w:rsid w:val="001C5B2C"/>
    <w:rsid w:val="001D17E9"/>
    <w:rsid w:val="001D7B91"/>
    <w:rsid w:val="001E1CB6"/>
    <w:rsid w:val="001E3B35"/>
    <w:rsid w:val="001E4DC2"/>
    <w:rsid w:val="001E5BC0"/>
    <w:rsid w:val="001E5E7D"/>
    <w:rsid w:val="001E768E"/>
    <w:rsid w:val="001F4489"/>
    <w:rsid w:val="00203518"/>
    <w:rsid w:val="00205AA7"/>
    <w:rsid w:val="00207282"/>
    <w:rsid w:val="00207B37"/>
    <w:rsid w:val="0021190C"/>
    <w:rsid w:val="00212516"/>
    <w:rsid w:val="002136F1"/>
    <w:rsid w:val="00214C7B"/>
    <w:rsid w:val="00220A36"/>
    <w:rsid w:val="00226160"/>
    <w:rsid w:val="002328B7"/>
    <w:rsid w:val="002369D4"/>
    <w:rsid w:val="00261AAE"/>
    <w:rsid w:val="002634F5"/>
    <w:rsid w:val="00264B4F"/>
    <w:rsid w:val="00265F40"/>
    <w:rsid w:val="00267824"/>
    <w:rsid w:val="002737E9"/>
    <w:rsid w:val="0027620F"/>
    <w:rsid w:val="00276405"/>
    <w:rsid w:val="00276676"/>
    <w:rsid w:val="00277798"/>
    <w:rsid w:val="00282639"/>
    <w:rsid w:val="00283E6E"/>
    <w:rsid w:val="00285B80"/>
    <w:rsid w:val="00294A53"/>
    <w:rsid w:val="00296267"/>
    <w:rsid w:val="00296400"/>
    <w:rsid w:val="00297506"/>
    <w:rsid w:val="002A0B14"/>
    <w:rsid w:val="002A0C2A"/>
    <w:rsid w:val="002A2ACD"/>
    <w:rsid w:val="002A76B8"/>
    <w:rsid w:val="002B2114"/>
    <w:rsid w:val="002C5C92"/>
    <w:rsid w:val="002D0D00"/>
    <w:rsid w:val="002D4F79"/>
    <w:rsid w:val="002E39E8"/>
    <w:rsid w:val="002E73A4"/>
    <w:rsid w:val="002F13E9"/>
    <w:rsid w:val="002F3E4F"/>
    <w:rsid w:val="002F4ADA"/>
    <w:rsid w:val="00300794"/>
    <w:rsid w:val="003062B4"/>
    <w:rsid w:val="00306957"/>
    <w:rsid w:val="00307AF1"/>
    <w:rsid w:val="00311E65"/>
    <w:rsid w:val="0031218D"/>
    <w:rsid w:val="00316D3D"/>
    <w:rsid w:val="00317F2A"/>
    <w:rsid w:val="00325D44"/>
    <w:rsid w:val="003262AA"/>
    <w:rsid w:val="00333026"/>
    <w:rsid w:val="00333E6E"/>
    <w:rsid w:val="00340EC1"/>
    <w:rsid w:val="003413D7"/>
    <w:rsid w:val="00341B6E"/>
    <w:rsid w:val="0034350C"/>
    <w:rsid w:val="00347039"/>
    <w:rsid w:val="0035197F"/>
    <w:rsid w:val="003674E0"/>
    <w:rsid w:val="00370B11"/>
    <w:rsid w:val="003753EA"/>
    <w:rsid w:val="003770FE"/>
    <w:rsid w:val="00384B37"/>
    <w:rsid w:val="00394100"/>
    <w:rsid w:val="0039472E"/>
    <w:rsid w:val="00394912"/>
    <w:rsid w:val="00394C13"/>
    <w:rsid w:val="00394CCD"/>
    <w:rsid w:val="003967FE"/>
    <w:rsid w:val="00396B93"/>
    <w:rsid w:val="003A3ECD"/>
    <w:rsid w:val="003A4F25"/>
    <w:rsid w:val="003B157E"/>
    <w:rsid w:val="003B41CC"/>
    <w:rsid w:val="003B6D39"/>
    <w:rsid w:val="003D6883"/>
    <w:rsid w:val="003D6C01"/>
    <w:rsid w:val="003D70A7"/>
    <w:rsid w:val="003E2202"/>
    <w:rsid w:val="003E3B4B"/>
    <w:rsid w:val="003E5473"/>
    <w:rsid w:val="003E5F2C"/>
    <w:rsid w:val="003F3DCD"/>
    <w:rsid w:val="003F6E2B"/>
    <w:rsid w:val="004010E5"/>
    <w:rsid w:val="00401BC3"/>
    <w:rsid w:val="00401FF1"/>
    <w:rsid w:val="00405F48"/>
    <w:rsid w:val="0040628D"/>
    <w:rsid w:val="004072BF"/>
    <w:rsid w:val="004115F9"/>
    <w:rsid w:val="004169E5"/>
    <w:rsid w:val="00420FD1"/>
    <w:rsid w:val="004246BA"/>
    <w:rsid w:val="00433328"/>
    <w:rsid w:val="00433DD6"/>
    <w:rsid w:val="0043647D"/>
    <w:rsid w:val="00436DF3"/>
    <w:rsid w:val="00436E65"/>
    <w:rsid w:val="00442AD4"/>
    <w:rsid w:val="00444393"/>
    <w:rsid w:val="004476C3"/>
    <w:rsid w:val="00457214"/>
    <w:rsid w:val="0046503B"/>
    <w:rsid w:val="00466B1A"/>
    <w:rsid w:val="00483FF8"/>
    <w:rsid w:val="004876EE"/>
    <w:rsid w:val="00492704"/>
    <w:rsid w:val="004A2F8B"/>
    <w:rsid w:val="004A303E"/>
    <w:rsid w:val="004A4906"/>
    <w:rsid w:val="004A4CDD"/>
    <w:rsid w:val="004B0523"/>
    <w:rsid w:val="004B1F04"/>
    <w:rsid w:val="004B4373"/>
    <w:rsid w:val="004B6E2F"/>
    <w:rsid w:val="004C0929"/>
    <w:rsid w:val="004C4AD8"/>
    <w:rsid w:val="004C6524"/>
    <w:rsid w:val="004C6750"/>
    <w:rsid w:val="004D46E9"/>
    <w:rsid w:val="004D7468"/>
    <w:rsid w:val="004D751C"/>
    <w:rsid w:val="004E6246"/>
    <w:rsid w:val="004F0557"/>
    <w:rsid w:val="004F582D"/>
    <w:rsid w:val="00500073"/>
    <w:rsid w:val="005002AA"/>
    <w:rsid w:val="00501DF6"/>
    <w:rsid w:val="00503023"/>
    <w:rsid w:val="0050641F"/>
    <w:rsid w:val="00506BA2"/>
    <w:rsid w:val="0051392D"/>
    <w:rsid w:val="0052023D"/>
    <w:rsid w:val="00525006"/>
    <w:rsid w:val="00531EA2"/>
    <w:rsid w:val="005342F6"/>
    <w:rsid w:val="0054289A"/>
    <w:rsid w:val="00550B3F"/>
    <w:rsid w:val="00551E30"/>
    <w:rsid w:val="00557B63"/>
    <w:rsid w:val="0056083A"/>
    <w:rsid w:val="00561041"/>
    <w:rsid w:val="00564D4F"/>
    <w:rsid w:val="00566853"/>
    <w:rsid w:val="00566923"/>
    <w:rsid w:val="005717EF"/>
    <w:rsid w:val="005743E5"/>
    <w:rsid w:val="00574D82"/>
    <w:rsid w:val="00575C57"/>
    <w:rsid w:val="00577D1F"/>
    <w:rsid w:val="00582A70"/>
    <w:rsid w:val="0058341A"/>
    <w:rsid w:val="00587298"/>
    <w:rsid w:val="005B06E6"/>
    <w:rsid w:val="005B0836"/>
    <w:rsid w:val="005B22C3"/>
    <w:rsid w:val="005B565B"/>
    <w:rsid w:val="005C3B3A"/>
    <w:rsid w:val="005D0E2B"/>
    <w:rsid w:val="005D3D74"/>
    <w:rsid w:val="005D524D"/>
    <w:rsid w:val="005D6BD8"/>
    <w:rsid w:val="005E1735"/>
    <w:rsid w:val="005E320E"/>
    <w:rsid w:val="005F3EE1"/>
    <w:rsid w:val="005F5DB6"/>
    <w:rsid w:val="005F7D07"/>
    <w:rsid w:val="006039A4"/>
    <w:rsid w:val="0060513D"/>
    <w:rsid w:val="00605523"/>
    <w:rsid w:val="00605F41"/>
    <w:rsid w:val="00607B1A"/>
    <w:rsid w:val="006146C7"/>
    <w:rsid w:val="006166E3"/>
    <w:rsid w:val="006251CB"/>
    <w:rsid w:val="006363EB"/>
    <w:rsid w:val="00640889"/>
    <w:rsid w:val="006462A1"/>
    <w:rsid w:val="00646CA1"/>
    <w:rsid w:val="00647565"/>
    <w:rsid w:val="00647926"/>
    <w:rsid w:val="006518AE"/>
    <w:rsid w:val="006524AB"/>
    <w:rsid w:val="006525E8"/>
    <w:rsid w:val="00653FF2"/>
    <w:rsid w:val="00664627"/>
    <w:rsid w:val="0066638F"/>
    <w:rsid w:val="00667542"/>
    <w:rsid w:val="006710CA"/>
    <w:rsid w:val="0069067F"/>
    <w:rsid w:val="0069357E"/>
    <w:rsid w:val="00694433"/>
    <w:rsid w:val="00696230"/>
    <w:rsid w:val="0069768E"/>
    <w:rsid w:val="006978EE"/>
    <w:rsid w:val="006A1DDE"/>
    <w:rsid w:val="006A2B5F"/>
    <w:rsid w:val="006A2BB6"/>
    <w:rsid w:val="006A3DBC"/>
    <w:rsid w:val="006B0AE0"/>
    <w:rsid w:val="006B6C55"/>
    <w:rsid w:val="006C629C"/>
    <w:rsid w:val="006D2A79"/>
    <w:rsid w:val="006D2D27"/>
    <w:rsid w:val="006D70E0"/>
    <w:rsid w:val="006E155F"/>
    <w:rsid w:val="006E62D6"/>
    <w:rsid w:val="006E6A0A"/>
    <w:rsid w:val="00700711"/>
    <w:rsid w:val="007059AA"/>
    <w:rsid w:val="00710FC9"/>
    <w:rsid w:val="007123D7"/>
    <w:rsid w:val="00713467"/>
    <w:rsid w:val="00714D9A"/>
    <w:rsid w:val="00717303"/>
    <w:rsid w:val="007203B0"/>
    <w:rsid w:val="0072558A"/>
    <w:rsid w:val="00732777"/>
    <w:rsid w:val="0073365C"/>
    <w:rsid w:val="007368D8"/>
    <w:rsid w:val="0074125A"/>
    <w:rsid w:val="00742E8E"/>
    <w:rsid w:val="007434A2"/>
    <w:rsid w:val="00743728"/>
    <w:rsid w:val="00744EEB"/>
    <w:rsid w:val="00745FF7"/>
    <w:rsid w:val="007469AE"/>
    <w:rsid w:val="00747B48"/>
    <w:rsid w:val="00755A95"/>
    <w:rsid w:val="00760924"/>
    <w:rsid w:val="00760962"/>
    <w:rsid w:val="00762446"/>
    <w:rsid w:val="00765A1F"/>
    <w:rsid w:val="00767377"/>
    <w:rsid w:val="00773A96"/>
    <w:rsid w:val="00774290"/>
    <w:rsid w:val="00776D5C"/>
    <w:rsid w:val="00777A9B"/>
    <w:rsid w:val="00777E74"/>
    <w:rsid w:val="0078113C"/>
    <w:rsid w:val="00785525"/>
    <w:rsid w:val="00790ECE"/>
    <w:rsid w:val="00796718"/>
    <w:rsid w:val="00797D1E"/>
    <w:rsid w:val="007A094B"/>
    <w:rsid w:val="007A0E87"/>
    <w:rsid w:val="007B17E4"/>
    <w:rsid w:val="007B1DE4"/>
    <w:rsid w:val="007C1D83"/>
    <w:rsid w:val="007C66EA"/>
    <w:rsid w:val="007D1CA3"/>
    <w:rsid w:val="007D1F13"/>
    <w:rsid w:val="007F163E"/>
    <w:rsid w:val="007F18BE"/>
    <w:rsid w:val="008056DA"/>
    <w:rsid w:val="00816725"/>
    <w:rsid w:val="00816FF8"/>
    <w:rsid w:val="008203DD"/>
    <w:rsid w:val="00822576"/>
    <w:rsid w:val="00833B9E"/>
    <w:rsid w:val="0083503A"/>
    <w:rsid w:val="00835300"/>
    <w:rsid w:val="00836AD6"/>
    <w:rsid w:val="00847585"/>
    <w:rsid w:val="0084796B"/>
    <w:rsid w:val="00861FAD"/>
    <w:rsid w:val="00865D17"/>
    <w:rsid w:val="00866C13"/>
    <w:rsid w:val="0087153B"/>
    <w:rsid w:val="008734AA"/>
    <w:rsid w:val="00880F3D"/>
    <w:rsid w:val="008861EA"/>
    <w:rsid w:val="008909D9"/>
    <w:rsid w:val="00891176"/>
    <w:rsid w:val="0089360A"/>
    <w:rsid w:val="00894FAD"/>
    <w:rsid w:val="00895A3E"/>
    <w:rsid w:val="00895F25"/>
    <w:rsid w:val="008A117E"/>
    <w:rsid w:val="008A3066"/>
    <w:rsid w:val="008A4031"/>
    <w:rsid w:val="008A56CC"/>
    <w:rsid w:val="008B0892"/>
    <w:rsid w:val="008B7ADD"/>
    <w:rsid w:val="008C0B1E"/>
    <w:rsid w:val="008D0A4B"/>
    <w:rsid w:val="008D0DF3"/>
    <w:rsid w:val="008D454F"/>
    <w:rsid w:val="008E3942"/>
    <w:rsid w:val="008E3B0C"/>
    <w:rsid w:val="008F29E5"/>
    <w:rsid w:val="008F55A6"/>
    <w:rsid w:val="008F67EF"/>
    <w:rsid w:val="009003E6"/>
    <w:rsid w:val="009029E8"/>
    <w:rsid w:val="00906182"/>
    <w:rsid w:val="00914867"/>
    <w:rsid w:val="009156ED"/>
    <w:rsid w:val="0093043D"/>
    <w:rsid w:val="00935046"/>
    <w:rsid w:val="00935B88"/>
    <w:rsid w:val="00935E46"/>
    <w:rsid w:val="00936E00"/>
    <w:rsid w:val="00942D47"/>
    <w:rsid w:val="00953135"/>
    <w:rsid w:val="0095467E"/>
    <w:rsid w:val="00957779"/>
    <w:rsid w:val="009578F6"/>
    <w:rsid w:val="00957C21"/>
    <w:rsid w:val="00961038"/>
    <w:rsid w:val="00963C01"/>
    <w:rsid w:val="00970331"/>
    <w:rsid w:val="00971185"/>
    <w:rsid w:val="009712B7"/>
    <w:rsid w:val="009748D5"/>
    <w:rsid w:val="009755B3"/>
    <w:rsid w:val="00976414"/>
    <w:rsid w:val="00976EAF"/>
    <w:rsid w:val="0097A894"/>
    <w:rsid w:val="00980260"/>
    <w:rsid w:val="00980683"/>
    <w:rsid w:val="0098526F"/>
    <w:rsid w:val="00993587"/>
    <w:rsid w:val="0099440D"/>
    <w:rsid w:val="009967BB"/>
    <w:rsid w:val="009A0276"/>
    <w:rsid w:val="009A3765"/>
    <w:rsid w:val="009A383E"/>
    <w:rsid w:val="009A4759"/>
    <w:rsid w:val="009B08C1"/>
    <w:rsid w:val="009B0DAA"/>
    <w:rsid w:val="009B2370"/>
    <w:rsid w:val="009B289E"/>
    <w:rsid w:val="009B4069"/>
    <w:rsid w:val="009B6B1E"/>
    <w:rsid w:val="009C0FCA"/>
    <w:rsid w:val="009C4574"/>
    <w:rsid w:val="009C5519"/>
    <w:rsid w:val="009D0469"/>
    <w:rsid w:val="009D544C"/>
    <w:rsid w:val="009E1884"/>
    <w:rsid w:val="009E3181"/>
    <w:rsid w:val="009E71ED"/>
    <w:rsid w:val="009F33AE"/>
    <w:rsid w:val="009F4A40"/>
    <w:rsid w:val="009F4FDC"/>
    <w:rsid w:val="009F7DF4"/>
    <w:rsid w:val="00A01078"/>
    <w:rsid w:val="00A067DC"/>
    <w:rsid w:val="00A0704C"/>
    <w:rsid w:val="00A11602"/>
    <w:rsid w:val="00A13D3E"/>
    <w:rsid w:val="00A170EE"/>
    <w:rsid w:val="00A177B4"/>
    <w:rsid w:val="00A17E0C"/>
    <w:rsid w:val="00A20B57"/>
    <w:rsid w:val="00A25315"/>
    <w:rsid w:val="00A2627F"/>
    <w:rsid w:val="00A27799"/>
    <w:rsid w:val="00A305AE"/>
    <w:rsid w:val="00A32821"/>
    <w:rsid w:val="00A4697D"/>
    <w:rsid w:val="00A50B36"/>
    <w:rsid w:val="00A55FA5"/>
    <w:rsid w:val="00A66503"/>
    <w:rsid w:val="00A759FD"/>
    <w:rsid w:val="00A82EEE"/>
    <w:rsid w:val="00A833C2"/>
    <w:rsid w:val="00A855A4"/>
    <w:rsid w:val="00A93BB7"/>
    <w:rsid w:val="00A943B2"/>
    <w:rsid w:val="00AA4889"/>
    <w:rsid w:val="00AB5FB5"/>
    <w:rsid w:val="00AB716D"/>
    <w:rsid w:val="00AB77A7"/>
    <w:rsid w:val="00AC0DAE"/>
    <w:rsid w:val="00AC12FD"/>
    <w:rsid w:val="00AC7070"/>
    <w:rsid w:val="00AD446A"/>
    <w:rsid w:val="00AD5545"/>
    <w:rsid w:val="00AE0261"/>
    <w:rsid w:val="00AE2ABF"/>
    <w:rsid w:val="00AE6C12"/>
    <w:rsid w:val="00AE6C75"/>
    <w:rsid w:val="00AF02C4"/>
    <w:rsid w:val="00AF3127"/>
    <w:rsid w:val="00AF5595"/>
    <w:rsid w:val="00AF61C2"/>
    <w:rsid w:val="00AF756A"/>
    <w:rsid w:val="00B00FFC"/>
    <w:rsid w:val="00B05BBB"/>
    <w:rsid w:val="00B11993"/>
    <w:rsid w:val="00B16F2C"/>
    <w:rsid w:val="00B17335"/>
    <w:rsid w:val="00B24E30"/>
    <w:rsid w:val="00B2649E"/>
    <w:rsid w:val="00B26C0D"/>
    <w:rsid w:val="00B3038C"/>
    <w:rsid w:val="00B3089D"/>
    <w:rsid w:val="00B35099"/>
    <w:rsid w:val="00B43932"/>
    <w:rsid w:val="00B47C77"/>
    <w:rsid w:val="00B53698"/>
    <w:rsid w:val="00B630D3"/>
    <w:rsid w:val="00B654A8"/>
    <w:rsid w:val="00B66D16"/>
    <w:rsid w:val="00B71743"/>
    <w:rsid w:val="00B737D2"/>
    <w:rsid w:val="00B80094"/>
    <w:rsid w:val="00B9024E"/>
    <w:rsid w:val="00B92557"/>
    <w:rsid w:val="00B92A27"/>
    <w:rsid w:val="00B961D0"/>
    <w:rsid w:val="00BA38CD"/>
    <w:rsid w:val="00BA5245"/>
    <w:rsid w:val="00BB59CD"/>
    <w:rsid w:val="00BB6264"/>
    <w:rsid w:val="00BC192A"/>
    <w:rsid w:val="00BC276D"/>
    <w:rsid w:val="00BD4623"/>
    <w:rsid w:val="00BE0D50"/>
    <w:rsid w:val="00BE2AFE"/>
    <w:rsid w:val="00BE47C0"/>
    <w:rsid w:val="00BE65E5"/>
    <w:rsid w:val="00BF05C7"/>
    <w:rsid w:val="00BF07C1"/>
    <w:rsid w:val="00BF3BDD"/>
    <w:rsid w:val="00BF4D88"/>
    <w:rsid w:val="00BF5D3A"/>
    <w:rsid w:val="00C031D3"/>
    <w:rsid w:val="00C056C8"/>
    <w:rsid w:val="00C14401"/>
    <w:rsid w:val="00C15A23"/>
    <w:rsid w:val="00C16D58"/>
    <w:rsid w:val="00C2093D"/>
    <w:rsid w:val="00C25008"/>
    <w:rsid w:val="00C26B50"/>
    <w:rsid w:val="00C318BB"/>
    <w:rsid w:val="00C318BC"/>
    <w:rsid w:val="00C32D33"/>
    <w:rsid w:val="00C34B28"/>
    <w:rsid w:val="00C3696D"/>
    <w:rsid w:val="00C40134"/>
    <w:rsid w:val="00C51D6F"/>
    <w:rsid w:val="00C53641"/>
    <w:rsid w:val="00C57840"/>
    <w:rsid w:val="00C644BC"/>
    <w:rsid w:val="00C67FDD"/>
    <w:rsid w:val="00C7271E"/>
    <w:rsid w:val="00C73933"/>
    <w:rsid w:val="00C82463"/>
    <w:rsid w:val="00C8692A"/>
    <w:rsid w:val="00C87238"/>
    <w:rsid w:val="00C913B1"/>
    <w:rsid w:val="00C93E5A"/>
    <w:rsid w:val="00C94D94"/>
    <w:rsid w:val="00C95A97"/>
    <w:rsid w:val="00CA0383"/>
    <w:rsid w:val="00CA72EE"/>
    <w:rsid w:val="00CB206E"/>
    <w:rsid w:val="00CB4517"/>
    <w:rsid w:val="00CB52A1"/>
    <w:rsid w:val="00CC188B"/>
    <w:rsid w:val="00CC197B"/>
    <w:rsid w:val="00CC3F98"/>
    <w:rsid w:val="00CC4018"/>
    <w:rsid w:val="00CC40BF"/>
    <w:rsid w:val="00CC57BC"/>
    <w:rsid w:val="00CD4421"/>
    <w:rsid w:val="00CD494F"/>
    <w:rsid w:val="00CE56E2"/>
    <w:rsid w:val="00CE5D61"/>
    <w:rsid w:val="00CF1B8F"/>
    <w:rsid w:val="00CF296B"/>
    <w:rsid w:val="00CF3CAB"/>
    <w:rsid w:val="00CF3D55"/>
    <w:rsid w:val="00CF4341"/>
    <w:rsid w:val="00D032D2"/>
    <w:rsid w:val="00D04C56"/>
    <w:rsid w:val="00D06273"/>
    <w:rsid w:val="00D15EF8"/>
    <w:rsid w:val="00D21CEB"/>
    <w:rsid w:val="00D23578"/>
    <w:rsid w:val="00D3005F"/>
    <w:rsid w:val="00D32035"/>
    <w:rsid w:val="00D330F2"/>
    <w:rsid w:val="00D3476C"/>
    <w:rsid w:val="00D347CD"/>
    <w:rsid w:val="00D411B1"/>
    <w:rsid w:val="00D4403A"/>
    <w:rsid w:val="00D45046"/>
    <w:rsid w:val="00D51678"/>
    <w:rsid w:val="00D51939"/>
    <w:rsid w:val="00D60899"/>
    <w:rsid w:val="00D65715"/>
    <w:rsid w:val="00D74EC9"/>
    <w:rsid w:val="00D77010"/>
    <w:rsid w:val="00D84BEE"/>
    <w:rsid w:val="00D85A00"/>
    <w:rsid w:val="00D85B28"/>
    <w:rsid w:val="00D85E9E"/>
    <w:rsid w:val="00D86E5A"/>
    <w:rsid w:val="00D877C8"/>
    <w:rsid w:val="00D91073"/>
    <w:rsid w:val="00D949BF"/>
    <w:rsid w:val="00DA1B25"/>
    <w:rsid w:val="00DA22A2"/>
    <w:rsid w:val="00DA29B3"/>
    <w:rsid w:val="00DA3BCD"/>
    <w:rsid w:val="00DA568D"/>
    <w:rsid w:val="00DB6257"/>
    <w:rsid w:val="00DB6AA4"/>
    <w:rsid w:val="00DC0168"/>
    <w:rsid w:val="00DC1750"/>
    <w:rsid w:val="00DD110C"/>
    <w:rsid w:val="00DD129B"/>
    <w:rsid w:val="00DD1E2E"/>
    <w:rsid w:val="00DD38FF"/>
    <w:rsid w:val="00DD75AD"/>
    <w:rsid w:val="00DE2995"/>
    <w:rsid w:val="00DE3AC1"/>
    <w:rsid w:val="00DE3FD7"/>
    <w:rsid w:val="00DE65BD"/>
    <w:rsid w:val="00DF0C79"/>
    <w:rsid w:val="00DF3E2C"/>
    <w:rsid w:val="00E01A93"/>
    <w:rsid w:val="00E047F2"/>
    <w:rsid w:val="00E11EAE"/>
    <w:rsid w:val="00E17A33"/>
    <w:rsid w:val="00E2056B"/>
    <w:rsid w:val="00E20FA0"/>
    <w:rsid w:val="00E218D6"/>
    <w:rsid w:val="00E228BD"/>
    <w:rsid w:val="00E23C61"/>
    <w:rsid w:val="00E2673D"/>
    <w:rsid w:val="00E27A1D"/>
    <w:rsid w:val="00E33E38"/>
    <w:rsid w:val="00E3719D"/>
    <w:rsid w:val="00E3E2C7"/>
    <w:rsid w:val="00E43120"/>
    <w:rsid w:val="00E500B4"/>
    <w:rsid w:val="00E57AF7"/>
    <w:rsid w:val="00E61CDA"/>
    <w:rsid w:val="00E62A58"/>
    <w:rsid w:val="00E663BF"/>
    <w:rsid w:val="00E66AF7"/>
    <w:rsid w:val="00E75485"/>
    <w:rsid w:val="00E8777C"/>
    <w:rsid w:val="00E9086D"/>
    <w:rsid w:val="00E92E69"/>
    <w:rsid w:val="00E940EF"/>
    <w:rsid w:val="00E95164"/>
    <w:rsid w:val="00E974DF"/>
    <w:rsid w:val="00EA1EA2"/>
    <w:rsid w:val="00EA20BE"/>
    <w:rsid w:val="00EA7DAD"/>
    <w:rsid w:val="00EB6076"/>
    <w:rsid w:val="00EC74AB"/>
    <w:rsid w:val="00ED562D"/>
    <w:rsid w:val="00EE513C"/>
    <w:rsid w:val="00F0029A"/>
    <w:rsid w:val="00F01784"/>
    <w:rsid w:val="00F02FD0"/>
    <w:rsid w:val="00F0515A"/>
    <w:rsid w:val="00F12B83"/>
    <w:rsid w:val="00F15BDC"/>
    <w:rsid w:val="00F17159"/>
    <w:rsid w:val="00F22D60"/>
    <w:rsid w:val="00F23167"/>
    <w:rsid w:val="00F248E8"/>
    <w:rsid w:val="00F24CCC"/>
    <w:rsid w:val="00F34D6E"/>
    <w:rsid w:val="00F35FB0"/>
    <w:rsid w:val="00F423C9"/>
    <w:rsid w:val="00F435C9"/>
    <w:rsid w:val="00F44F34"/>
    <w:rsid w:val="00F51B0E"/>
    <w:rsid w:val="00F545A9"/>
    <w:rsid w:val="00F57E44"/>
    <w:rsid w:val="00F60D2A"/>
    <w:rsid w:val="00F63969"/>
    <w:rsid w:val="00F66736"/>
    <w:rsid w:val="00F7198D"/>
    <w:rsid w:val="00F71BA9"/>
    <w:rsid w:val="00F72217"/>
    <w:rsid w:val="00F72614"/>
    <w:rsid w:val="00F7728E"/>
    <w:rsid w:val="00F8346A"/>
    <w:rsid w:val="00F84CF8"/>
    <w:rsid w:val="00F94105"/>
    <w:rsid w:val="00F97B72"/>
    <w:rsid w:val="00FA0A5D"/>
    <w:rsid w:val="00FB1C61"/>
    <w:rsid w:val="00FB29E4"/>
    <w:rsid w:val="00FB36CC"/>
    <w:rsid w:val="00FB38A3"/>
    <w:rsid w:val="00FC5595"/>
    <w:rsid w:val="00FC6F75"/>
    <w:rsid w:val="00FD126A"/>
    <w:rsid w:val="00FD631D"/>
    <w:rsid w:val="00FD667F"/>
    <w:rsid w:val="00FE0631"/>
    <w:rsid w:val="00FE0F4E"/>
    <w:rsid w:val="00FE490D"/>
    <w:rsid w:val="00FE5947"/>
    <w:rsid w:val="00FF02F1"/>
    <w:rsid w:val="00FF2DBD"/>
    <w:rsid w:val="00FF66CC"/>
    <w:rsid w:val="00FF6881"/>
    <w:rsid w:val="00FF68E2"/>
    <w:rsid w:val="0146EBDF"/>
    <w:rsid w:val="0180B8CF"/>
    <w:rsid w:val="0278CC07"/>
    <w:rsid w:val="0387BE56"/>
    <w:rsid w:val="0394E057"/>
    <w:rsid w:val="03CC5E99"/>
    <w:rsid w:val="04052AF4"/>
    <w:rsid w:val="04150BC3"/>
    <w:rsid w:val="04310B24"/>
    <w:rsid w:val="044F75D3"/>
    <w:rsid w:val="04FD4960"/>
    <w:rsid w:val="05C5E15A"/>
    <w:rsid w:val="05D38F9E"/>
    <w:rsid w:val="060AFE1A"/>
    <w:rsid w:val="06446144"/>
    <w:rsid w:val="068375E3"/>
    <w:rsid w:val="07128448"/>
    <w:rsid w:val="078F5AED"/>
    <w:rsid w:val="07B2AAB2"/>
    <w:rsid w:val="08DADCE4"/>
    <w:rsid w:val="08E64099"/>
    <w:rsid w:val="099C92BC"/>
    <w:rsid w:val="09C20C75"/>
    <w:rsid w:val="09CD67E3"/>
    <w:rsid w:val="0A7B73F5"/>
    <w:rsid w:val="0A7D6976"/>
    <w:rsid w:val="0A839118"/>
    <w:rsid w:val="0B143C8E"/>
    <w:rsid w:val="0B3B1FDF"/>
    <w:rsid w:val="0B9D2960"/>
    <w:rsid w:val="0CAADE8C"/>
    <w:rsid w:val="0D8C8E83"/>
    <w:rsid w:val="0D9B64CD"/>
    <w:rsid w:val="0E04FD02"/>
    <w:rsid w:val="0E6B07CD"/>
    <w:rsid w:val="0F257C54"/>
    <w:rsid w:val="0F275158"/>
    <w:rsid w:val="107F0775"/>
    <w:rsid w:val="11312E8E"/>
    <w:rsid w:val="119DBE8D"/>
    <w:rsid w:val="1245A27D"/>
    <w:rsid w:val="127D778D"/>
    <w:rsid w:val="12E60586"/>
    <w:rsid w:val="13325332"/>
    <w:rsid w:val="13986585"/>
    <w:rsid w:val="13C38AF3"/>
    <w:rsid w:val="13F33535"/>
    <w:rsid w:val="142DBB2C"/>
    <w:rsid w:val="142FC78C"/>
    <w:rsid w:val="14EAD7B1"/>
    <w:rsid w:val="155FDF78"/>
    <w:rsid w:val="162FA620"/>
    <w:rsid w:val="1745BD80"/>
    <w:rsid w:val="189E9FDC"/>
    <w:rsid w:val="18E3F01F"/>
    <w:rsid w:val="1924B6B5"/>
    <w:rsid w:val="193CAF4B"/>
    <w:rsid w:val="1966EF9C"/>
    <w:rsid w:val="1A692697"/>
    <w:rsid w:val="1B302B1B"/>
    <w:rsid w:val="1B546371"/>
    <w:rsid w:val="1B8449C6"/>
    <w:rsid w:val="1B932900"/>
    <w:rsid w:val="1C5AC9BD"/>
    <w:rsid w:val="1C72E243"/>
    <w:rsid w:val="1C8E6925"/>
    <w:rsid w:val="1E9DA1A1"/>
    <w:rsid w:val="1EA63064"/>
    <w:rsid w:val="1F3A92A6"/>
    <w:rsid w:val="20B9663E"/>
    <w:rsid w:val="20BA8659"/>
    <w:rsid w:val="20F1CE4E"/>
    <w:rsid w:val="20FFC481"/>
    <w:rsid w:val="211A0D68"/>
    <w:rsid w:val="2139744D"/>
    <w:rsid w:val="2190D9D9"/>
    <w:rsid w:val="220FD0E0"/>
    <w:rsid w:val="22333BC0"/>
    <w:rsid w:val="226613FB"/>
    <w:rsid w:val="230445AC"/>
    <w:rsid w:val="241D1C20"/>
    <w:rsid w:val="2439CE21"/>
    <w:rsid w:val="24607C34"/>
    <w:rsid w:val="25731F21"/>
    <w:rsid w:val="261561BE"/>
    <w:rsid w:val="26EE2F97"/>
    <w:rsid w:val="274B7DFC"/>
    <w:rsid w:val="2763BB00"/>
    <w:rsid w:val="2767618D"/>
    <w:rsid w:val="2853C2BD"/>
    <w:rsid w:val="288712CE"/>
    <w:rsid w:val="291732AD"/>
    <w:rsid w:val="2A7EDA96"/>
    <w:rsid w:val="2A91B140"/>
    <w:rsid w:val="2AC0DE4C"/>
    <w:rsid w:val="2B464204"/>
    <w:rsid w:val="2BFCF32B"/>
    <w:rsid w:val="2C350742"/>
    <w:rsid w:val="2CCE0F3C"/>
    <w:rsid w:val="2D4ACF3A"/>
    <w:rsid w:val="2E0E53FE"/>
    <w:rsid w:val="2EE13200"/>
    <w:rsid w:val="2F004CDE"/>
    <w:rsid w:val="2F1FC538"/>
    <w:rsid w:val="2F3307B8"/>
    <w:rsid w:val="30244A67"/>
    <w:rsid w:val="3050CD32"/>
    <w:rsid w:val="30637C41"/>
    <w:rsid w:val="30AB3A88"/>
    <w:rsid w:val="30C69877"/>
    <w:rsid w:val="31318814"/>
    <w:rsid w:val="313ACD2B"/>
    <w:rsid w:val="31583B18"/>
    <w:rsid w:val="3251DFB8"/>
    <w:rsid w:val="32609F44"/>
    <w:rsid w:val="32C0862D"/>
    <w:rsid w:val="32CE85F7"/>
    <w:rsid w:val="338DA634"/>
    <w:rsid w:val="33A3CC1C"/>
    <w:rsid w:val="33DD6B12"/>
    <w:rsid w:val="34A22C36"/>
    <w:rsid w:val="3505514F"/>
    <w:rsid w:val="352DCA8E"/>
    <w:rsid w:val="353A926A"/>
    <w:rsid w:val="35B21A10"/>
    <w:rsid w:val="36D3F243"/>
    <w:rsid w:val="3700DA07"/>
    <w:rsid w:val="37E852C8"/>
    <w:rsid w:val="38224B83"/>
    <w:rsid w:val="38CDC630"/>
    <w:rsid w:val="38E8D939"/>
    <w:rsid w:val="399C11FF"/>
    <w:rsid w:val="39B06698"/>
    <w:rsid w:val="39C3D2CD"/>
    <w:rsid w:val="3BE4BAF1"/>
    <w:rsid w:val="3C88EC95"/>
    <w:rsid w:val="3D088E54"/>
    <w:rsid w:val="3D2019D7"/>
    <w:rsid w:val="3D204357"/>
    <w:rsid w:val="3D74871B"/>
    <w:rsid w:val="3D9E6644"/>
    <w:rsid w:val="3DE75B76"/>
    <w:rsid w:val="3EB76944"/>
    <w:rsid w:val="3F1F5EC3"/>
    <w:rsid w:val="3F3D2FF1"/>
    <w:rsid w:val="3F3E7658"/>
    <w:rsid w:val="3FBD5956"/>
    <w:rsid w:val="40638D9F"/>
    <w:rsid w:val="40794EDB"/>
    <w:rsid w:val="407FBCCC"/>
    <w:rsid w:val="40EFCEA3"/>
    <w:rsid w:val="40FF0045"/>
    <w:rsid w:val="414CE9F7"/>
    <w:rsid w:val="417A0314"/>
    <w:rsid w:val="41C17BE9"/>
    <w:rsid w:val="433FCFA4"/>
    <w:rsid w:val="4377828B"/>
    <w:rsid w:val="43CA603D"/>
    <w:rsid w:val="448DC83F"/>
    <w:rsid w:val="44A24F09"/>
    <w:rsid w:val="450A8B90"/>
    <w:rsid w:val="45700523"/>
    <w:rsid w:val="45C7D4DC"/>
    <w:rsid w:val="4774F466"/>
    <w:rsid w:val="48803490"/>
    <w:rsid w:val="48E257CD"/>
    <w:rsid w:val="49A17C65"/>
    <w:rsid w:val="4A3A8A86"/>
    <w:rsid w:val="4ABF88AE"/>
    <w:rsid w:val="4BD23F81"/>
    <w:rsid w:val="4BDEAA78"/>
    <w:rsid w:val="4BEEFAB1"/>
    <w:rsid w:val="4C1F6A66"/>
    <w:rsid w:val="4C2966E2"/>
    <w:rsid w:val="4C46F8FC"/>
    <w:rsid w:val="4C7A2203"/>
    <w:rsid w:val="4CC689EC"/>
    <w:rsid w:val="4CE8B996"/>
    <w:rsid w:val="4D19F568"/>
    <w:rsid w:val="4DBC5449"/>
    <w:rsid w:val="4DCA7E44"/>
    <w:rsid w:val="4DD82C21"/>
    <w:rsid w:val="4E8E14C7"/>
    <w:rsid w:val="4E9D7A23"/>
    <w:rsid w:val="4ECDB9B1"/>
    <w:rsid w:val="4FA95586"/>
    <w:rsid w:val="50FE60D6"/>
    <w:rsid w:val="5134E846"/>
    <w:rsid w:val="51872F4E"/>
    <w:rsid w:val="52A0490B"/>
    <w:rsid w:val="52B8DB60"/>
    <w:rsid w:val="52E9419A"/>
    <w:rsid w:val="54922C44"/>
    <w:rsid w:val="557862F7"/>
    <w:rsid w:val="55908663"/>
    <w:rsid w:val="55D5E7AA"/>
    <w:rsid w:val="565D15F5"/>
    <w:rsid w:val="57039BDB"/>
    <w:rsid w:val="5719B1F2"/>
    <w:rsid w:val="57392FCE"/>
    <w:rsid w:val="57A1AD5F"/>
    <w:rsid w:val="57EAAE94"/>
    <w:rsid w:val="581BB187"/>
    <w:rsid w:val="58A7E021"/>
    <w:rsid w:val="5943A1E7"/>
    <w:rsid w:val="59657E82"/>
    <w:rsid w:val="5A20668A"/>
    <w:rsid w:val="5AD8DFBC"/>
    <w:rsid w:val="5B0BE22E"/>
    <w:rsid w:val="5B8EA426"/>
    <w:rsid w:val="5BA6B9C5"/>
    <w:rsid w:val="5C1F7B7C"/>
    <w:rsid w:val="5CA66A5C"/>
    <w:rsid w:val="5CD6122C"/>
    <w:rsid w:val="5CE7020D"/>
    <w:rsid w:val="5D2F2F66"/>
    <w:rsid w:val="5E050B8E"/>
    <w:rsid w:val="5E2C3456"/>
    <w:rsid w:val="5ED4DBBD"/>
    <w:rsid w:val="5EF93A80"/>
    <w:rsid w:val="5F01E9DF"/>
    <w:rsid w:val="5F0B18E5"/>
    <w:rsid w:val="5F762C6A"/>
    <w:rsid w:val="6033910C"/>
    <w:rsid w:val="6062A01E"/>
    <w:rsid w:val="606A8E7E"/>
    <w:rsid w:val="6070B851"/>
    <w:rsid w:val="616A7488"/>
    <w:rsid w:val="6286274F"/>
    <w:rsid w:val="62C20A25"/>
    <w:rsid w:val="62C3A6AB"/>
    <w:rsid w:val="62FC860A"/>
    <w:rsid w:val="63075DEC"/>
    <w:rsid w:val="6361AECC"/>
    <w:rsid w:val="63739CC8"/>
    <w:rsid w:val="64058E91"/>
    <w:rsid w:val="641F14B9"/>
    <w:rsid w:val="64577A77"/>
    <w:rsid w:val="649752FE"/>
    <w:rsid w:val="64F132F6"/>
    <w:rsid w:val="663FB560"/>
    <w:rsid w:val="671BBF7C"/>
    <w:rsid w:val="67E47031"/>
    <w:rsid w:val="69942611"/>
    <w:rsid w:val="6B58D963"/>
    <w:rsid w:val="6BDB1783"/>
    <w:rsid w:val="6BE6BD1E"/>
    <w:rsid w:val="6C2AA809"/>
    <w:rsid w:val="6C308783"/>
    <w:rsid w:val="6CF5ADF3"/>
    <w:rsid w:val="6DCFE938"/>
    <w:rsid w:val="6DF5E836"/>
    <w:rsid w:val="6DF5FA7A"/>
    <w:rsid w:val="6E82F9DD"/>
    <w:rsid w:val="6EBB83CD"/>
    <w:rsid w:val="70C11CC7"/>
    <w:rsid w:val="71F5D9C3"/>
    <w:rsid w:val="725F1281"/>
    <w:rsid w:val="74013E15"/>
    <w:rsid w:val="750967BB"/>
    <w:rsid w:val="753F4728"/>
    <w:rsid w:val="766ED74E"/>
    <w:rsid w:val="767ED8BE"/>
    <w:rsid w:val="76F5D06F"/>
    <w:rsid w:val="7724BDCE"/>
    <w:rsid w:val="77C76D9A"/>
    <w:rsid w:val="77D2D652"/>
    <w:rsid w:val="788A4656"/>
    <w:rsid w:val="7A65AD3A"/>
    <w:rsid w:val="7A7CCB01"/>
    <w:rsid w:val="7A9F756E"/>
    <w:rsid w:val="7B1D7F7D"/>
    <w:rsid w:val="7B2CDB16"/>
    <w:rsid w:val="7C1CF660"/>
    <w:rsid w:val="7C3BD88C"/>
    <w:rsid w:val="7C476EED"/>
    <w:rsid w:val="7CC72FAF"/>
    <w:rsid w:val="7D38206B"/>
    <w:rsid w:val="7D4F475C"/>
    <w:rsid w:val="7D69A916"/>
    <w:rsid w:val="7DC0D490"/>
    <w:rsid w:val="7E0ACCA9"/>
    <w:rsid w:val="7ECF89E8"/>
    <w:rsid w:val="7F664C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7537A"/>
  <w15:chartTrackingRefBased/>
  <w15:docId w15:val="{3852D8B2-2494-4C8B-AF92-A2EE7471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A58"/>
    <w:pPr>
      <w:spacing w:before="120" w:after="240" w:line="259" w:lineRule="auto"/>
    </w:pPr>
    <w:rPr>
      <w:sz w:val="22"/>
      <w:szCs w:val="22"/>
    </w:rPr>
  </w:style>
  <w:style w:type="paragraph" w:styleId="Heading1">
    <w:name w:val="heading 1"/>
    <w:basedOn w:val="Normal"/>
    <w:next w:val="Normal"/>
    <w:link w:val="Heading1Char"/>
    <w:uiPriority w:val="9"/>
    <w:qFormat/>
    <w:rsid w:val="0054289A"/>
    <w:pPr>
      <w:keepNext/>
      <w:keepLines/>
      <w:spacing w:before="360" w:after="80"/>
      <w:outlineLvl w:val="0"/>
    </w:pPr>
    <w:rPr>
      <w:rFonts w:asciiTheme="majorHAnsi" w:eastAsiaTheme="majorEastAsia" w:hAnsiTheme="majorHAnsi" w:cstheme="majorBidi"/>
      <w:b/>
      <w:color w:val="215E99" w:themeColor="text2" w:themeTint="BF"/>
      <w:sz w:val="24"/>
      <w:szCs w:val="40"/>
    </w:rPr>
  </w:style>
  <w:style w:type="paragraph" w:styleId="Heading2">
    <w:name w:val="heading 2"/>
    <w:basedOn w:val="Normal"/>
    <w:next w:val="Normal"/>
    <w:link w:val="Heading2Char"/>
    <w:uiPriority w:val="9"/>
    <w:unhideWhenUsed/>
    <w:qFormat/>
    <w:rsid w:val="00E62A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62A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62A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A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A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A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A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A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89A"/>
    <w:rPr>
      <w:rFonts w:asciiTheme="majorHAnsi" w:eastAsiaTheme="majorEastAsia" w:hAnsiTheme="majorHAnsi" w:cstheme="majorBidi"/>
      <w:b/>
      <w:color w:val="215E99" w:themeColor="text2" w:themeTint="BF"/>
      <w:szCs w:val="40"/>
    </w:rPr>
  </w:style>
  <w:style w:type="character" w:customStyle="1" w:styleId="Heading2Char">
    <w:name w:val="Heading 2 Char"/>
    <w:basedOn w:val="DefaultParagraphFont"/>
    <w:link w:val="Heading2"/>
    <w:uiPriority w:val="9"/>
    <w:rsid w:val="00E62A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A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A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A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A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A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A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A58"/>
    <w:rPr>
      <w:rFonts w:eastAsiaTheme="majorEastAsia" w:cstheme="majorBidi"/>
      <w:color w:val="272727" w:themeColor="text1" w:themeTint="D8"/>
    </w:rPr>
  </w:style>
  <w:style w:type="paragraph" w:styleId="Title">
    <w:name w:val="Title"/>
    <w:basedOn w:val="Normal"/>
    <w:next w:val="Normal"/>
    <w:link w:val="TitleChar"/>
    <w:uiPriority w:val="10"/>
    <w:qFormat/>
    <w:rsid w:val="00E62A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A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A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A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A58"/>
    <w:pPr>
      <w:spacing w:before="160"/>
      <w:jc w:val="center"/>
    </w:pPr>
    <w:rPr>
      <w:i/>
      <w:iCs/>
      <w:color w:val="404040" w:themeColor="text1" w:themeTint="BF"/>
    </w:rPr>
  </w:style>
  <w:style w:type="character" w:customStyle="1" w:styleId="QuoteChar">
    <w:name w:val="Quote Char"/>
    <w:basedOn w:val="DefaultParagraphFont"/>
    <w:link w:val="Quote"/>
    <w:uiPriority w:val="29"/>
    <w:rsid w:val="00E62A58"/>
    <w:rPr>
      <w:i/>
      <w:iCs/>
      <w:color w:val="404040" w:themeColor="text1" w:themeTint="BF"/>
    </w:rPr>
  </w:style>
  <w:style w:type="paragraph" w:styleId="ListParagraph">
    <w:name w:val="List Paragraph"/>
    <w:basedOn w:val="Normal"/>
    <w:uiPriority w:val="34"/>
    <w:qFormat/>
    <w:rsid w:val="00E62A58"/>
    <w:pPr>
      <w:ind w:left="720"/>
      <w:contextualSpacing/>
    </w:pPr>
  </w:style>
  <w:style w:type="character" w:styleId="IntenseEmphasis">
    <w:name w:val="Intense Emphasis"/>
    <w:basedOn w:val="DefaultParagraphFont"/>
    <w:uiPriority w:val="21"/>
    <w:qFormat/>
    <w:rsid w:val="00E62A58"/>
    <w:rPr>
      <w:i/>
      <w:iCs/>
      <w:color w:val="0F4761" w:themeColor="accent1" w:themeShade="BF"/>
    </w:rPr>
  </w:style>
  <w:style w:type="paragraph" w:styleId="IntenseQuote">
    <w:name w:val="Intense Quote"/>
    <w:basedOn w:val="Normal"/>
    <w:next w:val="Normal"/>
    <w:link w:val="IntenseQuoteChar"/>
    <w:uiPriority w:val="30"/>
    <w:qFormat/>
    <w:rsid w:val="00E62A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A58"/>
    <w:rPr>
      <w:i/>
      <w:iCs/>
      <w:color w:val="0F4761" w:themeColor="accent1" w:themeShade="BF"/>
    </w:rPr>
  </w:style>
  <w:style w:type="character" w:styleId="IntenseReference">
    <w:name w:val="Intense Reference"/>
    <w:basedOn w:val="DefaultParagraphFont"/>
    <w:uiPriority w:val="32"/>
    <w:qFormat/>
    <w:rsid w:val="00E62A58"/>
    <w:rPr>
      <w:b/>
      <w:bCs/>
      <w:smallCaps/>
      <w:color w:val="0F4761" w:themeColor="accent1" w:themeShade="BF"/>
      <w:spacing w:val="5"/>
    </w:rPr>
  </w:style>
  <w:style w:type="paragraph" w:styleId="FootnoteText">
    <w:name w:val="footnote text"/>
    <w:basedOn w:val="Normal"/>
    <w:link w:val="FootnoteTextChar"/>
    <w:uiPriority w:val="99"/>
    <w:unhideWhenUsed/>
    <w:rsid w:val="00E62A58"/>
    <w:pPr>
      <w:spacing w:after="0" w:line="240" w:lineRule="auto"/>
    </w:pPr>
    <w:rPr>
      <w:rFonts w:eastAsia="Roboto" w:cstheme="minorHAnsi"/>
      <w:color w:val="000000" w:themeColor="text1"/>
      <w:kern w:val="0"/>
      <w:sz w:val="20"/>
      <w:szCs w:val="20"/>
      <w14:ligatures w14:val="none"/>
    </w:rPr>
  </w:style>
  <w:style w:type="character" w:customStyle="1" w:styleId="FootnoteTextChar">
    <w:name w:val="Footnote Text Char"/>
    <w:basedOn w:val="DefaultParagraphFont"/>
    <w:link w:val="FootnoteText"/>
    <w:uiPriority w:val="99"/>
    <w:rsid w:val="00E62A58"/>
    <w:rPr>
      <w:rFonts w:eastAsia="Roboto" w:cstheme="minorHAnsi"/>
      <w:color w:val="000000" w:themeColor="text1"/>
      <w:kern w:val="0"/>
      <w:sz w:val="20"/>
      <w:szCs w:val="20"/>
      <w14:ligatures w14:val="none"/>
    </w:rPr>
  </w:style>
  <w:style w:type="character" w:styleId="FootnoteReference">
    <w:name w:val="footnote reference"/>
    <w:basedOn w:val="DefaultParagraphFont"/>
    <w:uiPriority w:val="99"/>
    <w:semiHidden/>
    <w:unhideWhenUsed/>
    <w:rsid w:val="00E62A58"/>
    <w:rPr>
      <w:vertAlign w:val="superscript"/>
    </w:rPr>
  </w:style>
  <w:style w:type="table" w:styleId="TableGrid">
    <w:name w:val="Table Grid"/>
    <w:basedOn w:val="TableNormal"/>
    <w:uiPriority w:val="39"/>
    <w:rsid w:val="00E62A58"/>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2035"/>
    <w:pPr>
      <w:spacing w:after="0" w:line="240" w:lineRule="auto"/>
    </w:pPr>
    <w:rPr>
      <w:sz w:val="22"/>
      <w:szCs w:val="22"/>
    </w:rPr>
  </w:style>
  <w:style w:type="character" w:customStyle="1" w:styleId="normaltextrun">
    <w:name w:val="normaltextrun"/>
    <w:basedOn w:val="DefaultParagraphFont"/>
    <w:rsid w:val="00D32035"/>
  </w:style>
  <w:style w:type="character" w:customStyle="1" w:styleId="eop">
    <w:name w:val="eop"/>
    <w:basedOn w:val="DefaultParagraphFont"/>
    <w:rsid w:val="00D32035"/>
  </w:style>
  <w:style w:type="character" w:styleId="CommentReference">
    <w:name w:val="annotation reference"/>
    <w:basedOn w:val="DefaultParagraphFont"/>
    <w:uiPriority w:val="99"/>
    <w:semiHidden/>
    <w:unhideWhenUsed/>
    <w:rsid w:val="00D32035"/>
    <w:rPr>
      <w:sz w:val="16"/>
      <w:szCs w:val="16"/>
    </w:rPr>
  </w:style>
  <w:style w:type="paragraph" w:styleId="CommentText">
    <w:name w:val="annotation text"/>
    <w:basedOn w:val="Normal"/>
    <w:link w:val="CommentTextChar"/>
    <w:uiPriority w:val="99"/>
    <w:unhideWhenUsed/>
    <w:rsid w:val="00D32035"/>
    <w:pPr>
      <w:spacing w:line="240" w:lineRule="auto"/>
    </w:pPr>
    <w:rPr>
      <w:sz w:val="20"/>
      <w:szCs w:val="20"/>
    </w:rPr>
  </w:style>
  <w:style w:type="character" w:customStyle="1" w:styleId="CommentTextChar">
    <w:name w:val="Comment Text Char"/>
    <w:basedOn w:val="DefaultParagraphFont"/>
    <w:link w:val="CommentText"/>
    <w:uiPriority w:val="99"/>
    <w:rsid w:val="00D32035"/>
    <w:rPr>
      <w:sz w:val="20"/>
      <w:szCs w:val="20"/>
    </w:rPr>
  </w:style>
  <w:style w:type="paragraph" w:styleId="CommentSubject">
    <w:name w:val="annotation subject"/>
    <w:basedOn w:val="CommentText"/>
    <w:next w:val="CommentText"/>
    <w:link w:val="CommentSubjectChar"/>
    <w:uiPriority w:val="99"/>
    <w:semiHidden/>
    <w:unhideWhenUsed/>
    <w:rsid w:val="00D32035"/>
    <w:rPr>
      <w:b/>
      <w:bCs/>
    </w:rPr>
  </w:style>
  <w:style w:type="character" w:customStyle="1" w:styleId="CommentSubjectChar">
    <w:name w:val="Comment Subject Char"/>
    <w:basedOn w:val="CommentTextChar"/>
    <w:link w:val="CommentSubject"/>
    <w:uiPriority w:val="99"/>
    <w:semiHidden/>
    <w:rsid w:val="00D32035"/>
    <w:rPr>
      <w:b/>
      <w:bCs/>
      <w:sz w:val="20"/>
      <w:szCs w:val="20"/>
    </w:rPr>
  </w:style>
  <w:style w:type="character" w:styleId="Hyperlink">
    <w:name w:val="Hyperlink"/>
    <w:basedOn w:val="DefaultParagraphFont"/>
    <w:uiPriority w:val="99"/>
    <w:unhideWhenUsed/>
    <w:rsid w:val="00D32035"/>
    <w:rPr>
      <w:color w:val="467886" w:themeColor="hyperlink"/>
      <w:u w:val="single"/>
    </w:rPr>
  </w:style>
  <w:style w:type="character" w:styleId="UnresolvedMention">
    <w:name w:val="Unresolved Mention"/>
    <w:basedOn w:val="DefaultParagraphFont"/>
    <w:uiPriority w:val="99"/>
    <w:semiHidden/>
    <w:unhideWhenUsed/>
    <w:rsid w:val="00D32035"/>
    <w:rPr>
      <w:color w:val="605E5C"/>
      <w:shd w:val="clear" w:color="auto" w:fill="E1DFDD"/>
    </w:rPr>
  </w:style>
  <w:style w:type="paragraph" w:styleId="Header">
    <w:name w:val="header"/>
    <w:basedOn w:val="Normal"/>
    <w:link w:val="HeaderChar"/>
    <w:uiPriority w:val="99"/>
    <w:unhideWhenUsed/>
    <w:rsid w:val="004F582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F582D"/>
    <w:rPr>
      <w:sz w:val="22"/>
      <w:szCs w:val="22"/>
    </w:rPr>
  </w:style>
  <w:style w:type="paragraph" w:styleId="Footer">
    <w:name w:val="footer"/>
    <w:basedOn w:val="Normal"/>
    <w:link w:val="FooterChar"/>
    <w:uiPriority w:val="99"/>
    <w:unhideWhenUsed/>
    <w:rsid w:val="004F582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F582D"/>
    <w:rPr>
      <w:sz w:val="22"/>
      <w:szCs w:val="22"/>
    </w:rPr>
  </w:style>
  <w:style w:type="character" w:styleId="Mention">
    <w:name w:val="Mention"/>
    <w:basedOn w:val="DefaultParagraphFont"/>
    <w:uiPriority w:val="99"/>
    <w:unhideWhenUsed/>
    <w:rsid w:val="00F435C9"/>
    <w:rPr>
      <w:color w:val="2B579A"/>
      <w:shd w:val="clear" w:color="auto" w:fill="E1DFDD"/>
    </w:rPr>
  </w:style>
  <w:style w:type="paragraph" w:customStyle="1" w:styleId="Default">
    <w:name w:val="Default"/>
    <w:basedOn w:val="Normal"/>
    <w:uiPriority w:val="1"/>
    <w:rsid w:val="000E3BE1"/>
    <w:rPr>
      <w:rFonts w:eastAsiaTheme="minorEastAsia"/>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2184">
      <w:bodyDiv w:val="1"/>
      <w:marLeft w:val="0"/>
      <w:marRight w:val="0"/>
      <w:marTop w:val="0"/>
      <w:marBottom w:val="0"/>
      <w:divBdr>
        <w:top w:val="none" w:sz="0" w:space="0" w:color="auto"/>
        <w:left w:val="none" w:sz="0" w:space="0" w:color="auto"/>
        <w:bottom w:val="none" w:sz="0" w:space="0" w:color="auto"/>
        <w:right w:val="none" w:sz="0" w:space="0" w:color="auto"/>
      </w:divBdr>
    </w:div>
    <w:div w:id="502741027">
      <w:bodyDiv w:val="1"/>
      <w:marLeft w:val="0"/>
      <w:marRight w:val="0"/>
      <w:marTop w:val="0"/>
      <w:marBottom w:val="0"/>
      <w:divBdr>
        <w:top w:val="none" w:sz="0" w:space="0" w:color="auto"/>
        <w:left w:val="none" w:sz="0" w:space="0" w:color="auto"/>
        <w:bottom w:val="none" w:sz="0" w:space="0" w:color="auto"/>
        <w:right w:val="none" w:sz="0" w:space="0" w:color="auto"/>
      </w:divBdr>
    </w:div>
    <w:div w:id="930970717">
      <w:bodyDiv w:val="1"/>
      <w:marLeft w:val="0"/>
      <w:marRight w:val="0"/>
      <w:marTop w:val="0"/>
      <w:marBottom w:val="0"/>
      <w:divBdr>
        <w:top w:val="none" w:sz="0" w:space="0" w:color="auto"/>
        <w:left w:val="none" w:sz="0" w:space="0" w:color="auto"/>
        <w:bottom w:val="none" w:sz="0" w:space="0" w:color="auto"/>
        <w:right w:val="none" w:sz="0" w:space="0" w:color="auto"/>
      </w:divBdr>
    </w:div>
    <w:div w:id="1020160583">
      <w:bodyDiv w:val="1"/>
      <w:marLeft w:val="0"/>
      <w:marRight w:val="0"/>
      <w:marTop w:val="0"/>
      <w:marBottom w:val="0"/>
      <w:divBdr>
        <w:top w:val="none" w:sz="0" w:space="0" w:color="auto"/>
        <w:left w:val="none" w:sz="0" w:space="0" w:color="auto"/>
        <w:bottom w:val="none" w:sz="0" w:space="0" w:color="auto"/>
        <w:right w:val="none" w:sz="0" w:space="0" w:color="auto"/>
      </w:divBdr>
    </w:div>
    <w:div w:id="1173568552">
      <w:bodyDiv w:val="1"/>
      <w:marLeft w:val="0"/>
      <w:marRight w:val="0"/>
      <w:marTop w:val="0"/>
      <w:marBottom w:val="0"/>
      <w:divBdr>
        <w:top w:val="none" w:sz="0" w:space="0" w:color="auto"/>
        <w:left w:val="none" w:sz="0" w:space="0" w:color="auto"/>
        <w:bottom w:val="none" w:sz="0" w:space="0" w:color="auto"/>
        <w:right w:val="none" w:sz="0" w:space="0" w:color="auto"/>
      </w:divBdr>
    </w:div>
    <w:div w:id="133118111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1dbcec-f8f8-470e-9cf1-ff758009fc79">
      <Terms xmlns="http://schemas.microsoft.com/office/infopath/2007/PartnerControls"/>
    </lcf76f155ced4ddcb4097134ff3c332f>
    <SharedWithUsers xmlns="b22eec61-2d44-43c5-b594-c27c970b8cd8">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9195B9495523448EAA8C2805A437E4" ma:contentTypeVersion="15" ma:contentTypeDescription="Create a new document." ma:contentTypeScope="" ma:versionID="65de334d260f78bf2f19e47cac26840a">
  <xsd:schema xmlns:xsd="http://www.w3.org/2001/XMLSchema" xmlns:xs="http://www.w3.org/2001/XMLSchema" xmlns:p="http://schemas.microsoft.com/office/2006/metadata/properties" xmlns:ns2="b22eec61-2d44-43c5-b594-c27c970b8cd8" xmlns:ns3="081dbcec-f8f8-470e-9cf1-ff758009fc79" xmlns:ns4="985ec44e-1bab-4c0b-9df0-6ba128686fc9" targetNamespace="http://schemas.microsoft.com/office/2006/metadata/properties" ma:root="true" ma:fieldsID="b9d36350cd8e8cf00a7ea7c241648e88" ns2:_="" ns3:_="" ns4:_="">
    <xsd:import namespace="b22eec61-2d44-43c5-b594-c27c970b8cd8"/>
    <xsd:import namespace="081dbcec-f8f8-470e-9cf1-ff758009fc79"/>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eec61-2d44-43c5-b594-c27c970b8c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1dbcec-f8f8-470e-9cf1-ff758009fc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44679b-3369-4aa4-9b0e-a35420982155}" ma:internalName="TaxCatchAll" ma:showField="CatchAllData" ma:web="b22eec61-2d44-43c5-b594-c27c970b8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D8739-EC84-48A5-A683-07145201DFEF}">
  <ds:schemaRefs>
    <ds:schemaRef ds:uri="http://schemas.openxmlformats.org/officeDocument/2006/bibliography"/>
  </ds:schemaRefs>
</ds:datastoreItem>
</file>

<file path=customXml/itemProps2.xml><?xml version="1.0" encoding="utf-8"?>
<ds:datastoreItem xmlns:ds="http://schemas.openxmlformats.org/officeDocument/2006/customXml" ds:itemID="{E3A9D197-B86D-4B78-A457-6659D1AC5C56}">
  <ds:schemaRefs>
    <ds:schemaRef ds:uri="http://schemas.microsoft.com/office/2006/metadata/properties"/>
    <ds:schemaRef ds:uri="http://schemas.microsoft.com/office/infopath/2007/PartnerControls"/>
    <ds:schemaRef ds:uri="985ec44e-1bab-4c0b-9df0-6ba128686fc9"/>
    <ds:schemaRef ds:uri="081dbcec-f8f8-470e-9cf1-ff758009fc79"/>
    <ds:schemaRef ds:uri="b22eec61-2d44-43c5-b594-c27c970b8cd8"/>
  </ds:schemaRefs>
</ds:datastoreItem>
</file>

<file path=customXml/itemProps3.xml><?xml version="1.0" encoding="utf-8"?>
<ds:datastoreItem xmlns:ds="http://schemas.openxmlformats.org/officeDocument/2006/customXml" ds:itemID="{0EA6EB9E-E124-4CA4-9BB5-3CFAA486580B}">
  <ds:schemaRefs>
    <ds:schemaRef ds:uri="http://schemas.microsoft.com/sharepoint/v3/contenttype/forms"/>
  </ds:schemaRefs>
</ds:datastoreItem>
</file>

<file path=customXml/itemProps4.xml><?xml version="1.0" encoding="utf-8"?>
<ds:datastoreItem xmlns:ds="http://schemas.openxmlformats.org/officeDocument/2006/customXml" ds:itemID="{4FAE9622-95FF-4342-9EF0-1F61B1844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eec61-2d44-43c5-b594-c27c970b8cd8"/>
    <ds:schemaRef ds:uri="081dbcec-f8f8-470e-9cf1-ff758009fc7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190</TotalTime>
  <Pages>7</Pages>
  <Words>2637</Words>
  <Characters>15036</Characters>
  <Application>Microsoft Office Word</Application>
  <DocSecurity>0</DocSecurity>
  <Lines>125</Lines>
  <Paragraphs>35</Paragraphs>
  <ScaleCrop>false</ScaleCrop>
  <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Secrieru</dc:creator>
  <cp:keywords/>
  <dc:description/>
  <cp:lastModifiedBy>C.Manalu</cp:lastModifiedBy>
  <cp:revision>59</cp:revision>
  <cp:lastPrinted>2025-03-28T19:23:00Z</cp:lastPrinted>
  <dcterms:created xsi:type="dcterms:W3CDTF">2025-04-05T18:14:00Z</dcterms:created>
  <dcterms:modified xsi:type="dcterms:W3CDTF">2025-05-20T12:09:00Z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0x010100549195B9495523448EAA8C2805A437E4</vt:lpwstr>
  </property>
  <property fmtid="{D5CDD505-2E9C-101B-9397-08002B2CF9AE}" pid="3" name="MediaServiceImageTags">
    <vt:lpwstr/>
  </property>
  <property fmtid="{D5CDD505-2E9C-101B-9397-08002B2CF9AE}" pid="4" name="Order">
    <vt:r8>157100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