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B351" w14:textId="77777777" w:rsidR="00762CAE" w:rsidRDefault="00762CAE" w:rsidP="67E1CCD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7371"/>
        <w:gridCol w:w="799"/>
      </w:tblGrid>
      <w:tr w:rsidR="00A7019F" w:rsidRPr="00AD674B" w14:paraId="3384C4BB" w14:textId="77777777" w:rsidTr="008E40B0">
        <w:tc>
          <w:tcPr>
            <w:tcW w:w="846" w:type="dxa"/>
          </w:tcPr>
          <w:p w14:paraId="54D9ED7C" w14:textId="77777777" w:rsidR="00A7019F" w:rsidRPr="008A45B6"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Pr>
          <w:p w14:paraId="47789DB1" w14:textId="77777777" w:rsidR="00A7019F" w:rsidRDefault="00A7019F" w:rsidP="008E40B0">
            <w:pPr>
              <w:spacing w:before="0" w:after="0" w:line="240" w:lineRule="auto"/>
              <w:rPr>
                <w:rFonts w:ascii="Aptos" w:eastAsia="Aptos" w:hAnsi="Aptos" w:cs="Arial"/>
                <w:b/>
                <w:color w:val="215E99" w:themeColor="text2" w:themeTint="BF"/>
                <w:sz w:val="28"/>
                <w:szCs w:val="28"/>
                <w:lang w:val="it-IT"/>
              </w:rPr>
            </w:pPr>
          </w:p>
          <w:p w14:paraId="79465B80" w14:textId="77777777" w:rsidR="00A7019F" w:rsidRDefault="00A7019F" w:rsidP="008E40B0">
            <w:pPr>
              <w:spacing w:before="0" w:after="0" w:line="240" w:lineRule="auto"/>
              <w:rPr>
                <w:rFonts w:ascii="Aptos" w:eastAsia="Aptos" w:hAnsi="Aptos" w:cs="Arial"/>
                <w:b/>
                <w:color w:val="215E99" w:themeColor="text2" w:themeTint="BF"/>
                <w:sz w:val="28"/>
                <w:szCs w:val="28"/>
                <w:lang w:val="it-IT"/>
              </w:rPr>
            </w:pPr>
          </w:p>
          <w:p w14:paraId="4989660A" w14:textId="77777777" w:rsidR="00A7019F" w:rsidRDefault="00A7019F" w:rsidP="008E40B0">
            <w:pPr>
              <w:spacing w:before="0" w:after="0" w:line="240" w:lineRule="auto"/>
              <w:rPr>
                <w:rFonts w:ascii="Aptos" w:eastAsia="Aptos" w:hAnsi="Aptos" w:cs="Arial"/>
                <w:b/>
                <w:color w:val="215E99" w:themeColor="text2" w:themeTint="BF"/>
                <w:sz w:val="28"/>
                <w:szCs w:val="28"/>
                <w:lang w:val="it-IT"/>
              </w:rPr>
            </w:pPr>
          </w:p>
          <w:p w14:paraId="371C6467" w14:textId="77777777" w:rsidR="00A7019F" w:rsidRDefault="00A7019F" w:rsidP="008E40B0">
            <w:pPr>
              <w:spacing w:before="0" w:after="0" w:line="240" w:lineRule="auto"/>
              <w:rPr>
                <w:rFonts w:ascii="Aptos" w:eastAsia="Aptos" w:hAnsi="Aptos" w:cs="Arial"/>
                <w:b/>
                <w:color w:val="215E99" w:themeColor="text2" w:themeTint="BF"/>
                <w:sz w:val="28"/>
                <w:szCs w:val="28"/>
                <w:lang w:val="it-IT"/>
              </w:rPr>
            </w:pPr>
          </w:p>
          <w:p w14:paraId="574483EE" w14:textId="77777777" w:rsidR="00A7019F" w:rsidRPr="008A45B6" w:rsidRDefault="00A7019F" w:rsidP="008E40B0">
            <w:pPr>
              <w:spacing w:before="0" w:after="0" w:line="240" w:lineRule="auto"/>
              <w:rPr>
                <w:rFonts w:ascii="Aptos" w:eastAsia="Aptos" w:hAnsi="Aptos" w:cs="Arial"/>
                <w:b/>
                <w:color w:val="215E99" w:themeColor="text2" w:themeTint="BF"/>
                <w:sz w:val="28"/>
                <w:szCs w:val="28"/>
                <w:lang w:val="it-IT"/>
              </w:rPr>
            </w:pPr>
            <w:r>
              <w:rPr>
                <w:rFonts w:ascii="Aptos" w:eastAsia="Aptos" w:hAnsi="Aptos" w:cs="Arial"/>
                <w:b/>
                <w:noProof/>
                <w:color w:val="215E99" w:themeColor="text2" w:themeTint="BF"/>
                <w:sz w:val="28"/>
                <w:szCs w:val="28"/>
                <w:lang w:val="it-IT"/>
              </w:rPr>
              <w:drawing>
                <wp:inline distT="0" distB="0" distL="0" distR="0" wp14:anchorId="6198C589" wp14:editId="77F5923B">
                  <wp:extent cx="1188720" cy="664877"/>
                  <wp:effectExtent l="0" t="0" r="0" b="1905"/>
                  <wp:docPr id="319893295" name="Picture 1" descr="A black background with red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93295" name="Picture 1" descr="A black background with red and blue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7928" cy="670027"/>
                          </a:xfrm>
                          <a:prstGeom prst="rect">
                            <a:avLst/>
                          </a:prstGeom>
                          <a:noFill/>
                        </pic:spPr>
                      </pic:pic>
                    </a:graphicData>
                  </a:graphic>
                </wp:inline>
              </w:drawing>
            </w:r>
          </w:p>
          <w:p w14:paraId="7A862A5B" w14:textId="77777777" w:rsidR="00A7019F" w:rsidRPr="008A45B6" w:rsidRDefault="00A7019F" w:rsidP="008E40B0">
            <w:pPr>
              <w:spacing w:before="0" w:after="0" w:line="240" w:lineRule="auto"/>
              <w:rPr>
                <w:rFonts w:ascii="Aptos" w:eastAsia="Aptos" w:hAnsi="Aptos" w:cs="Arial"/>
                <w:b/>
                <w:color w:val="215E99" w:themeColor="text2" w:themeTint="BF"/>
                <w:sz w:val="28"/>
                <w:szCs w:val="28"/>
                <w:lang w:val="it-IT"/>
              </w:rPr>
            </w:pPr>
          </w:p>
          <w:p w14:paraId="0813F0A7" w14:textId="77777777" w:rsidR="00A7019F" w:rsidRPr="008A45B6" w:rsidRDefault="00A7019F"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0003F96F"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30B372D8" w14:textId="77777777" w:rsidTr="008E40B0">
        <w:tc>
          <w:tcPr>
            <w:tcW w:w="846" w:type="dxa"/>
            <w:tcBorders>
              <w:right w:val="single" w:sz="24" w:space="0" w:color="336699"/>
            </w:tcBorders>
          </w:tcPr>
          <w:p w14:paraId="077C16A0"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50195152" w14:textId="0FA77806" w:rsidR="00A7019F" w:rsidRPr="00F84651" w:rsidRDefault="00A7019F" w:rsidP="008E40B0">
            <w:pPr>
              <w:spacing w:before="0" w:after="0" w:line="240" w:lineRule="auto"/>
              <w:rPr>
                <w:rFonts w:ascii="Times New Roman" w:eastAsia="Aptos" w:hAnsi="Times New Roman" w:cs="Times New Roman"/>
                <w:b/>
                <w:color w:val="215E99" w:themeColor="text2" w:themeTint="BF"/>
                <w:sz w:val="56"/>
                <w:szCs w:val="56"/>
                <w:lang w:val="it-IT"/>
              </w:rPr>
            </w:pPr>
            <w:r w:rsidRPr="00A7019F">
              <w:rPr>
                <w:rFonts w:ascii="Times New Roman" w:eastAsia="Aptos" w:hAnsi="Times New Roman" w:cs="Times New Roman"/>
                <w:b/>
                <w:color w:val="215E99" w:themeColor="text2" w:themeTint="BF"/>
                <w:sz w:val="44"/>
                <w:szCs w:val="44"/>
                <w:lang w:val="it-IT"/>
              </w:rPr>
              <w:t>Output 1.1: National Forest Monitoring Systems, and Measurement, Reporting, and Verification consolidated with Environmental Integrity</w:t>
            </w:r>
          </w:p>
        </w:tc>
        <w:tc>
          <w:tcPr>
            <w:tcW w:w="799" w:type="dxa"/>
          </w:tcPr>
          <w:p w14:paraId="765186F6"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7020DB48" w14:textId="77777777" w:rsidTr="008E40B0">
        <w:tc>
          <w:tcPr>
            <w:tcW w:w="846" w:type="dxa"/>
            <w:tcBorders>
              <w:right w:val="single" w:sz="24" w:space="0" w:color="336699"/>
            </w:tcBorders>
          </w:tcPr>
          <w:p w14:paraId="6F499C76"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76044C75"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p w14:paraId="1DF60C6F"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sz w:val="28"/>
                <w:szCs w:val="28"/>
                <w:lang w:val="it-IT"/>
              </w:rPr>
              <w:t>UN-REDD Multiyear Programming Document 2026–2030       Illustrative Support Overview</w:t>
            </w:r>
          </w:p>
        </w:tc>
        <w:tc>
          <w:tcPr>
            <w:tcW w:w="799" w:type="dxa"/>
          </w:tcPr>
          <w:p w14:paraId="0347AF68"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254CBB38" w14:textId="77777777" w:rsidTr="008E40B0">
        <w:tc>
          <w:tcPr>
            <w:tcW w:w="846" w:type="dxa"/>
            <w:tcBorders>
              <w:right w:val="single" w:sz="24" w:space="0" w:color="336699"/>
            </w:tcBorders>
          </w:tcPr>
          <w:p w14:paraId="37894355"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27E8ED1F"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2DDD7E8D"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7CEA0E1D" w14:textId="77777777" w:rsidTr="008E40B0">
        <w:trPr>
          <w:trHeight w:val="68"/>
        </w:trPr>
        <w:tc>
          <w:tcPr>
            <w:tcW w:w="846" w:type="dxa"/>
            <w:tcBorders>
              <w:right w:val="single" w:sz="24" w:space="0" w:color="336699"/>
            </w:tcBorders>
          </w:tcPr>
          <w:p w14:paraId="0BB71E93"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left w:val="single" w:sz="24" w:space="0" w:color="336699"/>
            </w:tcBorders>
          </w:tcPr>
          <w:p w14:paraId="0B1CAEF8" w14:textId="77777777" w:rsidR="00A7019F" w:rsidRPr="00F84651" w:rsidRDefault="00A7019F" w:rsidP="008E40B0">
            <w:pPr>
              <w:spacing w:before="0" w:after="0" w:line="240" w:lineRule="auto"/>
              <w:rPr>
                <w:rFonts w:ascii="Aptos" w:eastAsia="Aptos" w:hAnsi="Aptos" w:cs="Arial"/>
                <w:b/>
                <w:color w:val="215E99" w:themeColor="text2" w:themeTint="BF"/>
                <w:lang w:val="it-IT"/>
              </w:rPr>
            </w:pPr>
            <w:r w:rsidRPr="00F84651">
              <w:rPr>
                <w:rFonts w:ascii="Aptos" w:eastAsia="Aptos" w:hAnsi="Aptos" w:cs="Arial"/>
                <w:b/>
                <w:color w:val="215E99" w:themeColor="text2" w:themeTint="BF"/>
                <w:lang w:val="it-IT"/>
              </w:rPr>
              <w:t>Prepared by UN-REDD Programme</w:t>
            </w:r>
          </w:p>
          <w:p w14:paraId="66711118"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r w:rsidRPr="00F84651">
              <w:rPr>
                <w:rFonts w:ascii="Aptos" w:eastAsia="Aptos" w:hAnsi="Aptos" w:cs="Arial"/>
                <w:b/>
                <w:color w:val="215E99" w:themeColor="text2" w:themeTint="BF"/>
                <w:lang w:val="it-IT"/>
              </w:rPr>
              <w:t>June 2025</w:t>
            </w:r>
          </w:p>
        </w:tc>
        <w:tc>
          <w:tcPr>
            <w:tcW w:w="799" w:type="dxa"/>
          </w:tcPr>
          <w:p w14:paraId="1AA9BDFB"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7972DFB2" w14:textId="77777777" w:rsidTr="008E40B0">
        <w:trPr>
          <w:trHeight w:val="3470"/>
        </w:trPr>
        <w:tc>
          <w:tcPr>
            <w:tcW w:w="846" w:type="dxa"/>
          </w:tcPr>
          <w:p w14:paraId="3A2C56C3"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371" w:type="dxa"/>
            <w:tcBorders>
              <w:bottom w:val="single" w:sz="4" w:space="0" w:color="auto"/>
            </w:tcBorders>
          </w:tcPr>
          <w:p w14:paraId="520943CA"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p w14:paraId="07ABF41C" w14:textId="77777777" w:rsidR="00A7019F" w:rsidRPr="00F84651" w:rsidRDefault="00A7019F" w:rsidP="008E40B0">
            <w:pPr>
              <w:spacing w:before="0" w:after="0" w:line="240" w:lineRule="auto"/>
              <w:rPr>
                <w:rFonts w:ascii="Aptos" w:eastAsia="Aptos" w:hAnsi="Aptos" w:cs="Arial"/>
                <w:b/>
                <w:color w:val="215E99" w:themeColor="text2" w:themeTint="BF"/>
                <w:sz w:val="28"/>
                <w:szCs w:val="28"/>
                <w:lang w:val="it-IT"/>
              </w:rPr>
            </w:pPr>
          </w:p>
        </w:tc>
        <w:tc>
          <w:tcPr>
            <w:tcW w:w="799" w:type="dxa"/>
          </w:tcPr>
          <w:p w14:paraId="6AC09722" w14:textId="77777777" w:rsidR="00A7019F" w:rsidRPr="00AD674B" w:rsidRDefault="00A7019F" w:rsidP="008E40B0">
            <w:pPr>
              <w:spacing w:before="0" w:after="0" w:line="240" w:lineRule="auto"/>
              <w:rPr>
                <w:rFonts w:ascii="Aptos" w:eastAsia="Aptos" w:hAnsi="Aptos" w:cs="Arial"/>
                <w:b/>
                <w:sz w:val="28"/>
                <w:szCs w:val="28"/>
                <w:lang w:val="it-IT"/>
              </w:rPr>
            </w:pPr>
          </w:p>
        </w:tc>
      </w:tr>
      <w:tr w:rsidR="00A7019F" w:rsidRPr="00AD674B" w14:paraId="21B2C0BD" w14:textId="77777777" w:rsidTr="008E40B0">
        <w:trPr>
          <w:trHeight w:val="368"/>
        </w:trPr>
        <w:tc>
          <w:tcPr>
            <w:tcW w:w="846" w:type="dxa"/>
            <w:tcBorders>
              <w:right w:val="single" w:sz="4" w:space="0" w:color="auto"/>
            </w:tcBorders>
          </w:tcPr>
          <w:p w14:paraId="46FCA287" w14:textId="77777777" w:rsidR="00A7019F" w:rsidRPr="00AD674B" w:rsidRDefault="00A7019F" w:rsidP="008E40B0">
            <w:pPr>
              <w:spacing w:before="0" w:after="0" w:line="240" w:lineRule="auto"/>
              <w:rPr>
                <w:rFonts w:ascii="Aptos" w:eastAsia="Aptos" w:hAnsi="Aptos" w:cs="Arial"/>
                <w:b/>
                <w:sz w:val="28"/>
                <w:szCs w:val="28"/>
                <w:lang w:val="it-IT"/>
              </w:rPr>
            </w:pPr>
          </w:p>
        </w:tc>
        <w:tc>
          <w:tcPr>
            <w:tcW w:w="7371" w:type="dxa"/>
            <w:tcBorders>
              <w:top w:val="single" w:sz="4" w:space="0" w:color="auto"/>
              <w:left w:val="single" w:sz="4" w:space="0" w:color="auto"/>
              <w:bottom w:val="single" w:sz="4" w:space="0" w:color="auto"/>
              <w:right w:val="single" w:sz="4" w:space="0" w:color="auto"/>
            </w:tcBorders>
          </w:tcPr>
          <w:p w14:paraId="64F4006A" w14:textId="77777777" w:rsidR="00A7019F" w:rsidRPr="00AD674B" w:rsidRDefault="00A7019F" w:rsidP="008E40B0">
            <w:pPr>
              <w:spacing w:after="120" w:line="240" w:lineRule="auto"/>
              <w:ind w:left="57" w:right="57"/>
              <w:jc w:val="both"/>
              <w:rPr>
                <w:rFonts w:ascii="Roboto" w:eastAsia="Aptos" w:hAnsi="Roboto" w:cs="Arial"/>
                <w:b/>
                <w:i/>
                <w:iCs/>
                <w:sz w:val="18"/>
                <w:szCs w:val="18"/>
                <w:lang w:val="it-IT"/>
              </w:rPr>
            </w:pPr>
            <w:r w:rsidRPr="00AD674B">
              <w:rPr>
                <w:rFonts w:ascii="Roboto" w:eastAsia="Aptos" w:hAnsi="Roboto" w:cs="Arial"/>
                <w:i/>
                <w:iCs/>
                <w:sz w:val="20"/>
                <w:szCs w:val="20"/>
              </w:rPr>
              <w:t>This brief has been prepared by the UN-REDD Programme team based on preliminary analysis, internal assessments, and strategic insights from prior engagements and consultations. It is intended to provide illustrative information on potential areas of UN-REDD support for the 2026–2030 period. The content, including indicative budgets and activities, is for donor engagement purposes only and has not yet been discussed or consulted with the respective country authorities. As such, it does not represent an official position or commitment from the country concerned or from the UN-REDD Programme.</w:t>
            </w:r>
          </w:p>
        </w:tc>
        <w:tc>
          <w:tcPr>
            <w:tcW w:w="799" w:type="dxa"/>
            <w:tcBorders>
              <w:left w:val="single" w:sz="4" w:space="0" w:color="auto"/>
            </w:tcBorders>
          </w:tcPr>
          <w:p w14:paraId="7FC0C782" w14:textId="77777777" w:rsidR="00A7019F" w:rsidRPr="00AD674B" w:rsidRDefault="00A7019F" w:rsidP="008E40B0">
            <w:pPr>
              <w:spacing w:before="0" w:after="0" w:line="240" w:lineRule="auto"/>
              <w:rPr>
                <w:rFonts w:ascii="Roboto" w:eastAsia="Aptos" w:hAnsi="Roboto" w:cs="Arial"/>
                <w:b/>
                <w:sz w:val="18"/>
                <w:szCs w:val="18"/>
                <w:lang w:val="it-IT"/>
              </w:rPr>
            </w:pPr>
          </w:p>
        </w:tc>
      </w:tr>
    </w:tbl>
    <w:p w14:paraId="643C49E0" w14:textId="77777777" w:rsidR="00A7019F" w:rsidRPr="00A7019F" w:rsidRDefault="00A7019F" w:rsidP="00A7019F">
      <w:pPr>
        <w:sectPr w:rsidR="00A7019F" w:rsidRPr="00A7019F">
          <w:pgSz w:w="11906" w:h="16838"/>
          <w:pgMar w:top="1440" w:right="1440" w:bottom="1440" w:left="1440" w:header="708" w:footer="708" w:gutter="0"/>
          <w:cols w:space="708"/>
          <w:docGrid w:linePitch="360"/>
        </w:sectPr>
      </w:pPr>
    </w:p>
    <w:p w14:paraId="4A3BBA9A" w14:textId="1D0B3641" w:rsidR="00EB72D2" w:rsidRPr="00EB72D2" w:rsidRDefault="649454C3" w:rsidP="00D73934">
      <w:pPr>
        <w:pStyle w:val="Heading1"/>
        <w:spacing w:after="240"/>
        <w:jc w:val="center"/>
      </w:pPr>
      <w:r w:rsidRPr="67E1CCD0">
        <w:lastRenderedPageBreak/>
        <w:t>Output 1.1: National Forest Monitoring</w:t>
      </w:r>
      <w:r w:rsidR="0A906A9C" w:rsidRPr="67E1CCD0">
        <w:t xml:space="preserve"> Syste</w:t>
      </w:r>
      <w:r w:rsidR="151A27A6" w:rsidRPr="67E1CCD0">
        <w:t>ms</w:t>
      </w:r>
      <w:r w:rsidRPr="67E1CCD0">
        <w:t>,</w:t>
      </w:r>
      <w:r w:rsidR="36FB3B02" w:rsidRPr="67E1CCD0">
        <w:t xml:space="preserve"> and</w:t>
      </w:r>
      <w:r w:rsidRPr="67E1CCD0">
        <w:t xml:space="preserve"> Measurement, Reporting, and Verificatio</w:t>
      </w:r>
      <w:r w:rsidR="01DEB022" w:rsidRPr="67E1CCD0">
        <w:t>n</w:t>
      </w:r>
      <w:r w:rsidRPr="67E1CCD0">
        <w:t xml:space="preserve"> consolidated </w:t>
      </w:r>
      <w:r w:rsidR="16749F5C" w:rsidRPr="67E1CCD0">
        <w:t>with Environmental Integrity</w:t>
      </w:r>
    </w:p>
    <w:p w14:paraId="6974DCAC" w14:textId="77777777" w:rsidR="00EB72D2" w:rsidRPr="00F67F56" w:rsidRDefault="00EB72D2" w:rsidP="00EB72D2">
      <w:pPr>
        <w:pBdr>
          <w:top w:val="single" w:sz="4" w:space="1" w:color="auto"/>
          <w:left w:val="single" w:sz="4" w:space="4" w:color="auto"/>
          <w:bottom w:val="single" w:sz="4" w:space="1" w:color="auto"/>
          <w:right w:val="single" w:sz="4" w:space="4" w:color="auto"/>
        </w:pBdr>
        <w:spacing w:after="120"/>
        <w:rPr>
          <w:rFonts w:eastAsiaTheme="minorEastAsia"/>
          <w:b/>
          <w:bCs/>
          <w:i/>
        </w:rPr>
      </w:pPr>
      <w:r w:rsidRPr="00F67F56">
        <w:rPr>
          <w:b/>
          <w:bCs/>
          <w:iCs/>
        </w:rPr>
        <w:t>This is one of three outputs forming Outcome 1: Demonstrating High-Integrity REDD+ Results</w:t>
      </w:r>
      <w:r w:rsidRPr="0017667B">
        <w:rPr>
          <w:b/>
          <w:bCs/>
          <w:iCs/>
        </w:rPr>
        <w:t>:</w:t>
      </w:r>
      <w:r>
        <w:rPr>
          <w:b/>
          <w:bCs/>
        </w:rPr>
        <w:t xml:space="preserve"> </w:t>
      </w:r>
      <w:r w:rsidRPr="0008383B">
        <w:rPr>
          <w:rFonts w:eastAsiaTheme="minorEastAsia"/>
          <w:i/>
        </w:rPr>
        <w:t xml:space="preserve">Consolidating, institutionalising, and updating forest monitoring and MRV, and safeguards systems, in line with </w:t>
      </w:r>
      <w:r w:rsidRPr="0008383B">
        <w:rPr>
          <w:i/>
        </w:rPr>
        <w:t xml:space="preserve">country approaches (e.g. nesting models), </w:t>
      </w:r>
      <w:r w:rsidRPr="0008383B">
        <w:rPr>
          <w:rFonts w:eastAsiaTheme="minorEastAsia"/>
          <w:i/>
        </w:rPr>
        <w:t xml:space="preserve">supporting countries to demonstrate the integrity of results, results-based finance, and socially inclusive </w:t>
      </w:r>
      <w:r w:rsidRPr="0008383B">
        <w:rPr>
          <w:rFonts w:eastAsiaTheme="minorEastAsia"/>
          <w:i/>
          <w:iCs/>
        </w:rPr>
        <w:t xml:space="preserve">and gender-responsive </w:t>
      </w:r>
      <w:r w:rsidRPr="0008383B">
        <w:rPr>
          <w:rFonts w:eastAsiaTheme="minorEastAsia"/>
          <w:i/>
        </w:rPr>
        <w:t>benefit-sharing mechanisms.</w:t>
      </w:r>
    </w:p>
    <w:p w14:paraId="1087AB7A" w14:textId="74680353" w:rsidR="00BF4CA5" w:rsidRDefault="00E62A58" w:rsidP="00762CAE">
      <w:pPr>
        <w:pStyle w:val="Heading1"/>
      </w:pPr>
      <w:r w:rsidRPr="0C4239D2">
        <w:t>The challenge</w:t>
      </w:r>
      <w:r w:rsidR="003E5473" w:rsidRPr="0C4239D2">
        <w:t xml:space="preserve"> </w:t>
      </w:r>
    </w:p>
    <w:p w14:paraId="4B5C808C" w14:textId="762EAC94" w:rsidR="00BE08F3" w:rsidRPr="00BE08F3" w:rsidRDefault="00BE08F3" w:rsidP="001A08EE">
      <w:r>
        <w:t xml:space="preserve">Over the last 25 years, there have been substantial improvements in national forest monitoring capacities across the globe. However, the status of National Forest Monitoring Systems (NFMS) and Measurement, Reporting, and Verification (MRV) continues to vary significantly across countries. While many </w:t>
      </w:r>
      <w:r w:rsidR="7FA3D3A4">
        <w:t>forest</w:t>
      </w:r>
      <w:r>
        <w:t xml:space="preserve"> countries have made important strides, key challenges remain in terms of institutional consolidation, system integration, and long-term sustainability.</w:t>
      </w:r>
    </w:p>
    <w:p w14:paraId="36BC6077" w14:textId="5AAB8A59" w:rsidR="00BE08F3" w:rsidRPr="00BE08F3" w:rsidRDefault="00BE08F3" w:rsidP="001A08EE">
      <w:pPr>
        <w:pStyle w:val="ListParagraph"/>
        <w:numPr>
          <w:ilvl w:val="0"/>
          <w:numId w:val="34"/>
        </w:numPr>
      </w:pPr>
      <w:r>
        <w:t xml:space="preserve">NFMS are now operational or partially established in most </w:t>
      </w:r>
      <w:r w:rsidR="00DC2E0C">
        <w:t>forest</w:t>
      </w:r>
      <w:r>
        <w:t xml:space="preserve"> countries, often supported by open-source platforms </w:t>
      </w:r>
      <w:r w:rsidR="00677729">
        <w:t>under</w:t>
      </w:r>
      <w:r w:rsidR="00A10408">
        <w:t xml:space="preserve"> FAO’s</w:t>
      </w:r>
      <w:r w:rsidR="00677729">
        <w:t xml:space="preserve"> </w:t>
      </w:r>
      <w:r>
        <w:t>Open Foris</w:t>
      </w:r>
      <w:r w:rsidR="00677729">
        <w:t xml:space="preserve"> init</w:t>
      </w:r>
      <w:r w:rsidR="00A10408">
        <w:t>i</w:t>
      </w:r>
      <w:r w:rsidR="00677729">
        <w:t xml:space="preserve">ative </w:t>
      </w:r>
      <w:r w:rsidR="00A10408">
        <w:t>such as SEPAL</w:t>
      </w:r>
      <w:r>
        <w:t xml:space="preserve">. These </w:t>
      </w:r>
      <w:r w:rsidR="00A10408">
        <w:t>technical solutions</w:t>
      </w:r>
      <w:r>
        <w:t>, provided by FAO and partners, have enabled countries to access and process high-resolution satellite data alongside national and subnational information.</w:t>
      </w:r>
    </w:p>
    <w:p w14:paraId="73CD7464" w14:textId="563AB913" w:rsidR="00BE08F3" w:rsidRPr="001A08EE" w:rsidRDefault="00BE08F3" w:rsidP="001A08EE">
      <w:pPr>
        <w:pStyle w:val="ListParagraph"/>
        <w:numPr>
          <w:ilvl w:val="0"/>
          <w:numId w:val="34"/>
        </w:numPr>
        <w:rPr>
          <w:lang w:val="en-US"/>
        </w:rPr>
      </w:pPr>
      <w:r w:rsidRPr="001A08EE">
        <w:rPr>
          <w:lang w:val="en-US"/>
        </w:rPr>
        <w:t xml:space="preserve">Countries that have accessed </w:t>
      </w:r>
      <w:r w:rsidR="33A54C2D" w:rsidRPr="001A08EE">
        <w:rPr>
          <w:lang w:val="en-US"/>
        </w:rPr>
        <w:t>carbon finance through</w:t>
      </w:r>
      <w:r w:rsidR="5BE3050E" w:rsidRPr="001A08EE">
        <w:rPr>
          <w:lang w:val="en-US"/>
        </w:rPr>
        <w:t xml:space="preserve"> the FCPF</w:t>
      </w:r>
      <w:r w:rsidR="1C44FDDC" w:rsidRPr="001A08EE">
        <w:rPr>
          <w:lang w:val="en-US"/>
        </w:rPr>
        <w:t xml:space="preserve"> Carbon Fund of ART-TREES</w:t>
      </w:r>
      <w:r w:rsidRPr="001A08EE">
        <w:rPr>
          <w:lang w:val="en-US"/>
        </w:rPr>
        <w:t>—have typically developed more advanced MRV to meet stringent reporting standards.</w:t>
      </w:r>
    </w:p>
    <w:p w14:paraId="2BF72541" w14:textId="77777777" w:rsidR="00BE08F3" w:rsidRPr="00BE08F3" w:rsidRDefault="00BE08F3" w:rsidP="001A08EE">
      <w:pPr>
        <w:pStyle w:val="ListParagraph"/>
        <w:numPr>
          <w:ilvl w:val="0"/>
          <w:numId w:val="34"/>
        </w:numPr>
      </w:pPr>
      <w:r>
        <w:t>Nonetheless, </w:t>
      </w:r>
      <w:r w:rsidRPr="001A08EE">
        <w:rPr>
          <w:b/>
          <w:bCs/>
        </w:rPr>
        <w:t>institutional fragmentation and coordination gaps</w:t>
      </w:r>
      <w:r>
        <w:t> between forestry, environmental, and statistical agencies continue to hinder implementation. In many contexts, the </w:t>
      </w:r>
      <w:r w:rsidRPr="001A08EE">
        <w:rPr>
          <w:b/>
          <w:bCs/>
        </w:rPr>
        <w:t>recurrent costs</w:t>
      </w:r>
      <w:r>
        <w:t> of maintaining permanent technical staff and infrastructure remain a barrier to system sustainability.</w:t>
      </w:r>
    </w:p>
    <w:p w14:paraId="435CEAEE" w14:textId="77777777" w:rsidR="00BE08F3" w:rsidRPr="00BE08F3" w:rsidRDefault="00BE08F3" w:rsidP="001A08EE">
      <w:pPr>
        <w:pStyle w:val="ListParagraph"/>
        <w:numPr>
          <w:ilvl w:val="0"/>
          <w:numId w:val="34"/>
        </w:numPr>
      </w:pPr>
      <w:r>
        <w:t>Where countries have delegated some monitoring functions to third parties—such as subnational agencies or Indigenous Peoples and local communities—this has often supported capacity development and territorial management at the local level.</w:t>
      </w:r>
    </w:p>
    <w:p w14:paraId="5EAD8EC4" w14:textId="77777777" w:rsidR="00BE08F3" w:rsidRPr="00BE08F3" w:rsidRDefault="00BE08F3" w:rsidP="001A08EE">
      <w:r>
        <w:t>As REDD+ evolves, so too does the complexity of MRV. It is no longer a time-bound readiness activity but a </w:t>
      </w:r>
      <w:r w:rsidRPr="5528F28D">
        <w:rPr>
          <w:b/>
          <w:bCs/>
        </w:rPr>
        <w:t>continuous cycle of technical and institutional strengthening</w:t>
      </w:r>
      <w:r>
        <w:t>. Evolving requirements under multiple initiatives—including the Warsaw Framework for REDD+, donor programs (GCF, LEAF, FCPF), and emerging carbon market standards—require countries to make </w:t>
      </w:r>
      <w:r w:rsidRPr="5528F28D">
        <w:rPr>
          <w:b/>
          <w:bCs/>
        </w:rPr>
        <w:t>progressive improvements</w:t>
      </w:r>
      <w:r>
        <w:t> to existing systems. These improvements are no longer optional: they are </w:t>
      </w:r>
      <w:r w:rsidRPr="5528F28D">
        <w:rPr>
          <w:b/>
          <w:bCs/>
        </w:rPr>
        <w:t>prerequisites</w:t>
      </w:r>
      <w:r>
        <w:t> for securing international support and maintaining credibility.</w:t>
      </w:r>
    </w:p>
    <w:p w14:paraId="434ADB08" w14:textId="77777777" w:rsidR="00BE08F3" w:rsidRPr="00BE08F3" w:rsidRDefault="00BE08F3" w:rsidP="001A08EE">
      <w:r>
        <w:t>Between now and 2030, MRV systems will become even more critical for four key reasons:</w:t>
      </w:r>
    </w:p>
    <w:p w14:paraId="29C195FA" w14:textId="46FA191E" w:rsidR="00BE08F3" w:rsidRPr="00BE08F3" w:rsidRDefault="00BE08F3" w:rsidP="001A08EE">
      <w:pPr>
        <w:pStyle w:val="ListParagraph"/>
        <w:numPr>
          <w:ilvl w:val="0"/>
          <w:numId w:val="35"/>
        </w:numPr>
      </w:pPr>
      <w:r w:rsidRPr="001A08EE">
        <w:rPr>
          <w:b/>
          <w:bCs/>
        </w:rPr>
        <w:t>Compliance with the Paris Agreement is entering a decisive phase.</w:t>
      </w:r>
      <w:r>
        <w:t> As countries move deeper into the implementation period of their Nationally Determined Contributions (NDCs), they must demonstrate the </w:t>
      </w:r>
      <w:r w:rsidRPr="001A08EE">
        <w:rPr>
          <w:b/>
          <w:bCs/>
        </w:rPr>
        <w:t>transparency and integrity of their emission reductions</w:t>
      </w:r>
      <w:r>
        <w:t>—a requirement already formalized under the Enhanced Transparency Framework (ETF).</w:t>
      </w:r>
      <w:r w:rsidR="4050EE05" w:rsidRPr="001A08EE">
        <w:rPr>
          <w:rFonts w:eastAsiaTheme="minorEastAsia"/>
        </w:rPr>
        <w:t xml:space="preserve"> [relates and contribute to output 3.2]</w:t>
      </w:r>
    </w:p>
    <w:p w14:paraId="02A36A05" w14:textId="3E9FD888" w:rsidR="00BE08F3" w:rsidRPr="00BE08F3" w:rsidRDefault="00BE08F3" w:rsidP="001A08EE">
      <w:pPr>
        <w:pStyle w:val="ListParagraph"/>
        <w:numPr>
          <w:ilvl w:val="0"/>
          <w:numId w:val="35"/>
        </w:numPr>
      </w:pPr>
      <w:r w:rsidRPr="001A08EE">
        <w:rPr>
          <w:b/>
          <w:bCs/>
        </w:rPr>
        <w:lastRenderedPageBreak/>
        <w:t>Access to climate finance increasingly depends on MRV</w:t>
      </w:r>
      <w:r w:rsidR="00E27E7C" w:rsidRPr="001A08EE">
        <w:rPr>
          <w:b/>
          <w:bCs/>
        </w:rPr>
        <w:t xml:space="preserve"> with Environmental Integrity</w:t>
      </w:r>
      <w:r w:rsidRPr="001A08EE">
        <w:rPr>
          <w:b/>
          <w:bCs/>
        </w:rPr>
        <w:t>.</w:t>
      </w:r>
      <w:r>
        <w:t> Funding from multilateral funds, voluntary markets, and bilateral agreements is tied to the availability of </w:t>
      </w:r>
      <w:r w:rsidRPr="001A08EE">
        <w:rPr>
          <w:b/>
          <w:bCs/>
        </w:rPr>
        <w:t xml:space="preserve">credible, verifiable </w:t>
      </w:r>
      <w:r w:rsidR="49E5D7E9" w:rsidRPr="001A08EE">
        <w:rPr>
          <w:b/>
          <w:bCs/>
        </w:rPr>
        <w:t xml:space="preserve">forest, land use, land use change and related </w:t>
      </w:r>
      <w:r w:rsidRPr="001A08EE">
        <w:rPr>
          <w:b/>
          <w:bCs/>
        </w:rPr>
        <w:t>emissions data</w:t>
      </w:r>
      <w:r>
        <w:t>, including for REDD+ and land-use mitigation programs.</w:t>
      </w:r>
    </w:p>
    <w:p w14:paraId="0BA06040" w14:textId="77777777" w:rsidR="00CE12C4" w:rsidRDefault="00BE08F3" w:rsidP="001A08EE">
      <w:pPr>
        <w:pStyle w:val="ListParagraph"/>
        <w:numPr>
          <w:ilvl w:val="0"/>
          <w:numId w:val="35"/>
        </w:numPr>
      </w:pPr>
      <w:r w:rsidRPr="001A08EE">
        <w:rPr>
          <w:b/>
          <w:bCs/>
        </w:rPr>
        <w:t>Monitoring systems are essential for informing public policies and incentives.</w:t>
      </w:r>
      <w:r>
        <w:t> Reliable data enables governments to understand the impacts of policy interventions, allocate resources more effectively, and align forest conservation efforts with broader development priorities.</w:t>
      </w:r>
    </w:p>
    <w:p w14:paraId="0A60BD02" w14:textId="77777777" w:rsidR="00CE12C4" w:rsidRDefault="00BE08F3" w:rsidP="001A08EE">
      <w:pPr>
        <w:pStyle w:val="ListParagraph"/>
        <w:numPr>
          <w:ilvl w:val="0"/>
          <w:numId w:val="35"/>
        </w:numPr>
      </w:pPr>
      <w:r w:rsidRPr="00CE12C4">
        <w:rPr>
          <w:b/>
          <w:bCs/>
        </w:rPr>
        <w:t>Monitoring demands are expanding—not only for climate, but also for biodiversity and restoration.</w:t>
      </w:r>
      <w:r>
        <w:t> The Kunming-Montreal Global Biodiversity Framework (GBF) introduces new expectations for countries to report on ecosystem condition and restoration under Target 2. Yet:</w:t>
      </w:r>
    </w:p>
    <w:p w14:paraId="149368D0" w14:textId="77777777" w:rsidR="00CE12C4" w:rsidRDefault="00BE08F3" w:rsidP="00CE12C4">
      <w:pPr>
        <w:pStyle w:val="ListParagraph"/>
        <w:numPr>
          <w:ilvl w:val="1"/>
          <w:numId w:val="36"/>
        </w:numPr>
      </w:pPr>
      <w:r>
        <w:t>Over </w:t>
      </w:r>
      <w:r w:rsidRPr="00CE12C4">
        <w:rPr>
          <w:b/>
          <w:bCs/>
        </w:rPr>
        <w:t>80% of countries currently lack the capacity</w:t>
      </w:r>
      <w:r>
        <w:t> to collect required restoration data.</w:t>
      </w:r>
    </w:p>
    <w:p w14:paraId="00A6937F" w14:textId="77777777" w:rsidR="00CE12C4" w:rsidRDefault="00BE08F3" w:rsidP="00CE12C4">
      <w:pPr>
        <w:pStyle w:val="ListParagraph"/>
        <w:numPr>
          <w:ilvl w:val="1"/>
          <w:numId w:val="36"/>
        </w:numPr>
      </w:pPr>
      <w:r w:rsidRPr="00CE12C4">
        <w:rPr>
          <w:b/>
          <w:bCs/>
        </w:rPr>
        <w:t>70% report institutional coordination gaps</w:t>
      </w:r>
      <w:r>
        <w:t>, and</w:t>
      </w:r>
    </w:p>
    <w:p w14:paraId="65B49E70" w14:textId="433FC648" w:rsidR="00BE08F3" w:rsidRPr="00BE08F3" w:rsidRDefault="00BE08F3" w:rsidP="00CE12C4">
      <w:pPr>
        <w:pStyle w:val="ListParagraph"/>
        <w:numPr>
          <w:ilvl w:val="1"/>
          <w:numId w:val="36"/>
        </w:numPr>
      </w:pPr>
      <w:r w:rsidRPr="00CE12C4">
        <w:rPr>
          <w:b/>
          <w:bCs/>
        </w:rPr>
        <w:t>All countries</w:t>
      </w:r>
      <w:r>
        <w:t> express the need for tailored support to interpret global guidance in national contexts. These gaps highlight the urgent need to build </w:t>
      </w:r>
      <w:r w:rsidRPr="00CE12C4">
        <w:rPr>
          <w:b/>
          <w:bCs/>
        </w:rPr>
        <w:t>interoperable national systems</w:t>
      </w:r>
      <w:r>
        <w:t> that link forest cover change, degradation, and restoration metrics across climate and biodiversity domains.</w:t>
      </w:r>
    </w:p>
    <w:p w14:paraId="5D2F103E" w14:textId="77777777" w:rsidR="00BE08F3" w:rsidRPr="00BE08F3" w:rsidRDefault="00BE08F3" w:rsidP="001A08EE">
      <w:r>
        <w:t>Even as global data systems and private analysis firms expand, </w:t>
      </w:r>
      <w:r w:rsidRPr="0C4239D2">
        <w:rPr>
          <w:b/>
          <w:bCs/>
        </w:rPr>
        <w:t>national NFMS and MRV capacities remain critical</w:t>
      </w:r>
      <w:r>
        <w:t>. Country ownership—anchored in strong central coordination and oversight—is essential to ensure data credibility, meet international transparency requirements, align with national policy cycles, and access climate finance with integrity.</w:t>
      </w:r>
    </w:p>
    <w:p w14:paraId="718F0764" w14:textId="77777777" w:rsidR="00BE08F3" w:rsidRPr="00BE08F3" w:rsidRDefault="00BE08F3" w:rsidP="001A08EE">
      <w:r>
        <w:t>The road ahead will require countries to </w:t>
      </w:r>
      <w:r w:rsidRPr="0C4239D2">
        <w:rPr>
          <w:b/>
          <w:bCs/>
        </w:rPr>
        <w:t>institutionalize MRV within national systems</w:t>
      </w:r>
      <w:r>
        <w:t>, link it to planning and budgeting processes, and </w:t>
      </w:r>
      <w:r w:rsidRPr="0C4239D2">
        <w:rPr>
          <w:b/>
          <w:bCs/>
        </w:rPr>
        <w:t>contain the rising costs of system maintenance and data acquisition</w:t>
      </w:r>
      <w:r>
        <w:t>. This includes aligning monitoring efforts across climate, biodiversity, and land governance objectives—recognizing that the same systems and data can often serve multiple policy frameworks.</w:t>
      </w:r>
    </w:p>
    <w:p w14:paraId="171B849C" w14:textId="249F3BC7" w:rsidR="00BE08F3" w:rsidRPr="00BE08F3" w:rsidRDefault="00BE08F3" w:rsidP="001A08EE">
      <w:r>
        <w:t>Addressing these challenges will require sustained technical support, predictable finance, and strong regional cooperation. UN-REDD will continue to assist countries in navigating these demands—helping them develop MRV systems</w:t>
      </w:r>
      <w:r w:rsidR="00F97575">
        <w:t xml:space="preserve"> with Environmental Integrity</w:t>
      </w:r>
      <w:r>
        <w:t>, and design funding proposals that meet the standards of a rapidly evolving climate finance landscape.</w:t>
      </w:r>
    </w:p>
    <w:p w14:paraId="70845533" w14:textId="61B52AF2" w:rsidR="00374332" w:rsidRPr="005A21A2" w:rsidRDefault="6B2673BB" w:rsidP="00762CAE">
      <w:pPr>
        <w:pStyle w:val="Heading1"/>
      </w:pPr>
      <w:bookmarkStart w:id="0" w:name="_Hlk185407506"/>
      <w:r w:rsidRPr="41339433">
        <w:t>The value proposition</w:t>
      </w:r>
      <w:bookmarkEnd w:id="0"/>
    </w:p>
    <w:p w14:paraId="3A769E4F" w14:textId="07FFF790" w:rsidR="00BB66AB" w:rsidRPr="00BB66AB" w:rsidRDefault="00BB66AB" w:rsidP="00762CAE">
      <w:r>
        <w:t xml:space="preserve">Addressing the growing demand for </w:t>
      </w:r>
      <w:r w:rsidR="002324A1">
        <w:t xml:space="preserve">MRV with Environmental Integrity </w:t>
      </w:r>
      <w:r>
        <w:t xml:space="preserve">will require sustained technical support, predictable financing, and stronger regional cooperation. UN-REDD is uniquely positioned to meet this demand, offering trusted, long-term assistance to countries in developing </w:t>
      </w:r>
      <w:r w:rsidR="001A37BF">
        <w:t>their</w:t>
      </w:r>
      <w:r>
        <w:t xml:space="preserve"> MRV systems, preparing emissions reduction submissions, and designing funding proposals aligned with the evolving landscape of climate and biodiversity finance.</w:t>
      </w:r>
    </w:p>
    <w:p w14:paraId="73A3FD49" w14:textId="4432FB4A" w:rsidR="00BB66AB" w:rsidRPr="00BB66AB" w:rsidRDefault="00BB66AB" w:rsidP="00762CAE">
      <w:r>
        <w:t>Since its inception in 2008, UN-REDD</w:t>
      </w:r>
      <w:r w:rsidR="0014041D">
        <w:t xml:space="preserve"> and </w:t>
      </w:r>
      <w:r w:rsidR="00503748">
        <w:t>its agencies</w:t>
      </w:r>
      <w:r w:rsidR="40B2B31D">
        <w:t xml:space="preserve"> (including through external yet coordinat</w:t>
      </w:r>
      <w:r w:rsidR="364A4504">
        <w:t xml:space="preserve">ed projects, </w:t>
      </w:r>
      <w:proofErr w:type="spellStart"/>
      <w:r w:rsidR="364A4504">
        <w:t>e.g</w:t>
      </w:r>
      <w:proofErr w:type="spellEnd"/>
      <w:r w:rsidR="364A4504">
        <w:t xml:space="preserve"> </w:t>
      </w:r>
      <w:hyperlink r:id="rId12" w:history="1">
        <w:r w:rsidR="364A4504" w:rsidRPr="67E1CCD0">
          <w:rPr>
            <w:rStyle w:val="Hyperlink"/>
          </w:rPr>
          <w:t>SEPAL</w:t>
        </w:r>
      </w:hyperlink>
      <w:r w:rsidR="364A4504">
        <w:t xml:space="preserve"> or collaboration with WB FCPF) </w:t>
      </w:r>
      <w:r>
        <w:t xml:space="preserve">has been a leading provider of in-country technical support, helping countries </w:t>
      </w:r>
      <w:r w:rsidR="0055155E">
        <w:t>fulfil</w:t>
      </w:r>
      <w:r>
        <w:t xml:space="preserve"> REDD+ requirements and access results-based finance. This includes the development of over </w:t>
      </w:r>
      <w:r w:rsidRPr="67E1CCD0">
        <w:rPr>
          <w:b/>
          <w:bCs/>
        </w:rPr>
        <w:t>65 national forest monitoring systems</w:t>
      </w:r>
      <w:r>
        <w:t>, the submission of more than </w:t>
      </w:r>
      <w:r w:rsidRPr="67E1CCD0">
        <w:rPr>
          <w:b/>
          <w:bCs/>
        </w:rPr>
        <w:t>29 forest reference emissions levels (FRELs)</w:t>
      </w:r>
      <w:r>
        <w:t>, and contributions to national REDD+ strategies and action plans. Thanks to such support, countries like </w:t>
      </w:r>
      <w:r w:rsidRPr="67E1CCD0">
        <w:rPr>
          <w:b/>
          <w:bCs/>
        </w:rPr>
        <w:t xml:space="preserve">Ghana, </w:t>
      </w:r>
      <w:r w:rsidRPr="67E1CCD0">
        <w:rPr>
          <w:b/>
          <w:bCs/>
        </w:rPr>
        <w:lastRenderedPageBreak/>
        <w:t>Indonesia, and Colombia</w:t>
      </w:r>
      <w:r w:rsidR="43477C2D" w:rsidRPr="67E1CCD0">
        <w:rPr>
          <w:b/>
          <w:bCs/>
        </w:rPr>
        <w:t xml:space="preserve"> </w:t>
      </w:r>
      <w:r>
        <w:t>have successfully accessed results-based payments by reporting verified emissions reductions.</w:t>
      </w:r>
    </w:p>
    <w:p w14:paraId="7538C962" w14:textId="77777777" w:rsidR="00BB66AB" w:rsidRPr="00BB66AB" w:rsidRDefault="00BB66AB" w:rsidP="00762CAE">
      <w:r>
        <w:t>UN-REDD agencies have also played a pivotal role in shaping global MRV systems and enabling access to multiple REDD+ and carbon finance mechanisms. This includes:</w:t>
      </w:r>
    </w:p>
    <w:p w14:paraId="1E92BC26" w14:textId="057AA0E7" w:rsidR="00BB66AB" w:rsidRPr="00BB66AB" w:rsidRDefault="00BB66AB" w:rsidP="00762CAE">
      <w:pPr>
        <w:pStyle w:val="ListParagraph"/>
        <w:numPr>
          <w:ilvl w:val="0"/>
          <w:numId w:val="28"/>
        </w:numPr>
      </w:pPr>
      <w:r>
        <w:t>Supporting </w:t>
      </w:r>
      <w:r w:rsidRPr="00762CAE">
        <w:rPr>
          <w:b/>
          <w:bCs/>
        </w:rPr>
        <w:t>~70% of the 100 FRELs</w:t>
      </w:r>
      <w:r>
        <w:t xml:space="preserve"> submitted to the </w:t>
      </w:r>
      <w:r w:rsidR="00054D01">
        <w:t>UNFCCC.</w:t>
      </w:r>
    </w:p>
    <w:p w14:paraId="7E48C7E8" w14:textId="282D5601" w:rsidR="00BB66AB" w:rsidRPr="00BB66AB" w:rsidRDefault="00BB66AB" w:rsidP="00762CAE">
      <w:pPr>
        <w:pStyle w:val="ListParagraph"/>
        <w:numPr>
          <w:ilvl w:val="0"/>
          <w:numId w:val="28"/>
        </w:numPr>
      </w:pPr>
      <w:r>
        <w:t>Assisting </w:t>
      </w:r>
      <w:r w:rsidRPr="00762CAE">
        <w:rPr>
          <w:b/>
          <w:bCs/>
        </w:rPr>
        <w:t>50% of the 24 countries</w:t>
      </w:r>
      <w:r>
        <w:t xml:space="preserve"> that submitted REDD+ results to the </w:t>
      </w:r>
      <w:r w:rsidR="00054D01">
        <w:t>UNFCCC.</w:t>
      </w:r>
    </w:p>
    <w:p w14:paraId="492A01C5" w14:textId="1A2E3D1C" w:rsidR="00BB66AB" w:rsidRPr="00BB66AB" w:rsidRDefault="00BB66AB" w:rsidP="00762CAE">
      <w:pPr>
        <w:pStyle w:val="ListParagraph"/>
        <w:numPr>
          <w:ilvl w:val="0"/>
          <w:numId w:val="28"/>
        </w:numPr>
      </w:pPr>
      <w:r>
        <w:t>Contributing to </w:t>
      </w:r>
      <w:r w:rsidRPr="00762CAE">
        <w:rPr>
          <w:b/>
          <w:bCs/>
        </w:rPr>
        <w:t>~1/3 of LEAF proposals</w:t>
      </w:r>
      <w:r>
        <w:t xml:space="preserve"> submitted to </w:t>
      </w:r>
      <w:r w:rsidR="00054D01">
        <w:t>Emergent.</w:t>
      </w:r>
    </w:p>
    <w:p w14:paraId="6B92D162" w14:textId="356110E2" w:rsidR="00BB66AB" w:rsidRPr="00BB66AB" w:rsidRDefault="00BB66AB" w:rsidP="00762CAE">
      <w:pPr>
        <w:pStyle w:val="ListParagraph"/>
        <w:numPr>
          <w:ilvl w:val="0"/>
          <w:numId w:val="28"/>
        </w:numPr>
      </w:pPr>
      <w:r>
        <w:t>Supporting </w:t>
      </w:r>
      <w:r w:rsidRPr="00762CAE">
        <w:rPr>
          <w:b/>
          <w:bCs/>
        </w:rPr>
        <w:t>~50% of ART-TREES Concepts</w:t>
      </w:r>
      <w:r>
        <w:t> </w:t>
      </w:r>
      <w:r w:rsidR="00054D01">
        <w:t>submitted.</w:t>
      </w:r>
    </w:p>
    <w:p w14:paraId="7A778F3D" w14:textId="422D25AC" w:rsidR="00BB66AB" w:rsidRPr="00BB66AB" w:rsidRDefault="00BB66AB" w:rsidP="00762CAE">
      <w:pPr>
        <w:pStyle w:val="ListParagraph"/>
        <w:numPr>
          <w:ilvl w:val="0"/>
          <w:numId w:val="28"/>
        </w:numPr>
      </w:pPr>
      <w:r>
        <w:t>Assisting </w:t>
      </w:r>
      <w:r w:rsidRPr="00762CAE">
        <w:rPr>
          <w:b/>
          <w:bCs/>
        </w:rPr>
        <w:t>11 of the 12 countries</w:t>
      </w:r>
      <w:r>
        <w:t xml:space="preserve"> submitting concept notes to the GCF RBP pilot </w:t>
      </w:r>
      <w:r w:rsidR="00054D01">
        <w:t>programme.</w:t>
      </w:r>
    </w:p>
    <w:p w14:paraId="57BF13EA" w14:textId="77777777" w:rsidR="00BB66AB" w:rsidRPr="00BB66AB" w:rsidRDefault="00BB66AB" w:rsidP="00762CAE">
      <w:r>
        <w:t>Providing MRV support to Ghana, enabling it to secure payments from the </w:t>
      </w:r>
      <w:r w:rsidRPr="0C4239D2">
        <w:rPr>
          <w:b/>
          <w:bCs/>
        </w:rPr>
        <w:t>FCPF Carbon Fund</w:t>
      </w:r>
      <w:r>
        <w:t>, submit ART-TREES monitoring reports, and sign an ERPA under the </w:t>
      </w:r>
      <w:r w:rsidRPr="0C4239D2">
        <w:rPr>
          <w:b/>
          <w:bCs/>
        </w:rPr>
        <w:t>LEAF Coalition</w:t>
      </w:r>
      <w:r>
        <w:t>.</w:t>
      </w:r>
    </w:p>
    <w:p w14:paraId="586BE27B" w14:textId="49B27335" w:rsidR="00BB66AB" w:rsidRPr="00BB66AB" w:rsidRDefault="00BB66AB" w:rsidP="00762CAE">
      <w:r>
        <w:t>UN-REDD’s comparative advantage is grounded in its:</w:t>
      </w:r>
    </w:p>
    <w:p w14:paraId="3DDC66CB" w14:textId="6BA6C23D" w:rsidR="00BB66AB" w:rsidRPr="00BB66AB" w:rsidRDefault="00BB66AB" w:rsidP="00762CAE">
      <w:pPr>
        <w:pStyle w:val="ListParagraph"/>
        <w:numPr>
          <w:ilvl w:val="0"/>
          <w:numId w:val="26"/>
        </w:numPr>
      </w:pPr>
      <w:r w:rsidRPr="00762CAE">
        <w:rPr>
          <w:b/>
          <w:bCs/>
        </w:rPr>
        <w:t>Trusted technical teams</w:t>
      </w:r>
      <w:r>
        <w:t xml:space="preserve"> with long-term presence and embedded collaboration with national </w:t>
      </w:r>
      <w:r w:rsidR="00054D01">
        <w:t>institutions.</w:t>
      </w:r>
    </w:p>
    <w:p w14:paraId="4B6058FB" w14:textId="1AA0BED0" w:rsidR="00BB66AB" w:rsidRPr="00BB66AB" w:rsidRDefault="00BB66AB" w:rsidP="00762CAE">
      <w:pPr>
        <w:pStyle w:val="ListParagraph"/>
        <w:numPr>
          <w:ilvl w:val="0"/>
          <w:numId w:val="26"/>
        </w:numPr>
      </w:pPr>
      <w:r w:rsidRPr="00762CAE">
        <w:rPr>
          <w:b/>
          <w:bCs/>
        </w:rPr>
        <w:t>Proven track record</w:t>
      </w:r>
      <w:r>
        <w:t xml:space="preserve">, including direct support to over half the countries submitting REDD+ results </w:t>
      </w:r>
      <w:r w:rsidR="00054D01">
        <w:t>globally.</w:t>
      </w:r>
    </w:p>
    <w:p w14:paraId="4A4269DA" w14:textId="567EE0AE" w:rsidR="00BB66AB" w:rsidRPr="00BB66AB" w:rsidRDefault="00BB66AB" w:rsidP="00762CAE">
      <w:pPr>
        <w:pStyle w:val="ListParagraph"/>
        <w:numPr>
          <w:ilvl w:val="0"/>
          <w:numId w:val="26"/>
        </w:numPr>
      </w:pPr>
      <w:r w:rsidRPr="00762CAE">
        <w:rPr>
          <w:b/>
          <w:bCs/>
        </w:rPr>
        <w:t>Neutral and initiative-agnostic approach</w:t>
      </w:r>
      <w:r>
        <w:t xml:space="preserve">, allowing for flexibility across different carbon and climate finance </w:t>
      </w:r>
      <w:r w:rsidR="00054D01">
        <w:t>standards.</w:t>
      </w:r>
    </w:p>
    <w:p w14:paraId="70E3B3C6" w14:textId="74B4F983" w:rsidR="00BB66AB" w:rsidRPr="00BB66AB" w:rsidRDefault="00BB66AB" w:rsidP="00762CAE">
      <w:pPr>
        <w:pStyle w:val="ListParagraph"/>
        <w:numPr>
          <w:ilvl w:val="0"/>
          <w:numId w:val="26"/>
        </w:numPr>
      </w:pPr>
      <w:r w:rsidRPr="00762CAE">
        <w:rPr>
          <w:b/>
          <w:bCs/>
        </w:rPr>
        <w:t>Dual support model</w:t>
      </w:r>
      <w:r>
        <w:t xml:space="preserve">, balancing long-term capacity development with countries’ short-term transactional </w:t>
      </w:r>
      <w:r w:rsidR="00054D01">
        <w:t>needs.</w:t>
      </w:r>
    </w:p>
    <w:p w14:paraId="6A749C20" w14:textId="77777777" w:rsidR="00BB66AB" w:rsidRPr="00BB66AB" w:rsidRDefault="00BB66AB" w:rsidP="00762CAE">
      <w:pPr>
        <w:pStyle w:val="ListParagraph"/>
        <w:numPr>
          <w:ilvl w:val="0"/>
          <w:numId w:val="26"/>
        </w:numPr>
      </w:pPr>
      <w:r w:rsidRPr="00762CAE">
        <w:rPr>
          <w:b/>
          <w:bCs/>
        </w:rPr>
        <w:t>Expertise in integrity standards</w:t>
      </w:r>
      <w:r>
        <w:t>, spanning the UNFCCC, GCF, ART-TREES, and voluntary market initiatives.</w:t>
      </w:r>
    </w:p>
    <w:p w14:paraId="731E8F0A" w14:textId="14010A8D" w:rsidR="00BB66AB" w:rsidRPr="00BB66AB" w:rsidRDefault="53F1DB3B" w:rsidP="00762CAE">
      <w:r>
        <w:t xml:space="preserve">Responding to </w:t>
      </w:r>
      <w:r w:rsidR="002B7E72">
        <w:t>an</w:t>
      </w:r>
      <w:r>
        <w:t xml:space="preserve"> evolving and demanding context, countries and global stakeholders need to count </w:t>
      </w:r>
      <w:r w:rsidR="002B7E72">
        <w:t>on</w:t>
      </w:r>
      <w:r w:rsidR="00177E8D" w:rsidRPr="67E1CCD0">
        <w:rPr>
          <w:b/>
          <w:bCs/>
        </w:rPr>
        <w:t xml:space="preserve"> advanced</w:t>
      </w:r>
      <w:r w:rsidR="00BB66AB" w:rsidRPr="67E1CCD0">
        <w:rPr>
          <w:b/>
          <w:bCs/>
        </w:rPr>
        <w:t xml:space="preserve"> </w:t>
      </w:r>
      <w:r w:rsidR="00054D01" w:rsidRPr="67E1CCD0">
        <w:rPr>
          <w:b/>
          <w:bCs/>
        </w:rPr>
        <w:t>MRV.</w:t>
      </w:r>
      <w:r w:rsidR="00BB66AB">
        <w:t xml:space="preserve"> UK-funded </w:t>
      </w:r>
      <w:r w:rsidR="6163FF02">
        <w:t xml:space="preserve">UN-REDD </w:t>
      </w:r>
      <w:r w:rsidR="37EE27B9">
        <w:t>affiliated initiatives</w:t>
      </w:r>
      <w:r w:rsidR="1F811E26">
        <w:t>,</w:t>
      </w:r>
      <w:r w:rsidR="37EE27B9">
        <w:t xml:space="preserve"> </w:t>
      </w:r>
      <w:r w:rsidR="00BB66AB">
        <w:t>such</w:t>
      </w:r>
      <w:r w:rsidR="00054D01">
        <w:t xml:space="preserve"> a</w:t>
      </w:r>
      <w:r w:rsidR="00BB66AB">
        <w:t>s </w:t>
      </w:r>
      <w:r w:rsidR="00BB66AB" w:rsidRPr="67E1CCD0">
        <w:rPr>
          <w:b/>
          <w:bCs/>
        </w:rPr>
        <w:t>AIM4Forests</w:t>
      </w:r>
      <w:r w:rsidR="00BB66AB">
        <w:t> and </w:t>
      </w:r>
      <w:r w:rsidR="00BB66AB" w:rsidRPr="67E1CCD0">
        <w:rPr>
          <w:b/>
          <w:bCs/>
        </w:rPr>
        <w:t>AIM4NatureRestoration</w:t>
      </w:r>
      <w:r w:rsidR="2668BB66" w:rsidRPr="67E1CCD0">
        <w:rPr>
          <w:b/>
          <w:bCs/>
        </w:rPr>
        <w:t xml:space="preserve">, </w:t>
      </w:r>
      <w:r w:rsidR="2668BB66">
        <w:t>are leading the way in this regard</w:t>
      </w:r>
      <w:r w:rsidR="0E1E5383">
        <w:t xml:space="preserve"> developing and constantly improving </w:t>
      </w:r>
      <w:r w:rsidR="00DF34C2">
        <w:t>technical</w:t>
      </w:r>
      <w:r w:rsidR="0E1E5383">
        <w:t xml:space="preserve"> solutions for </w:t>
      </w:r>
      <w:r w:rsidR="00DF34C2">
        <w:t>advanced</w:t>
      </w:r>
      <w:r w:rsidR="0E1E5383">
        <w:t xml:space="preserve"> MRV</w:t>
      </w:r>
      <w:r w:rsidR="00DF34C2">
        <w:t xml:space="preserve"> dem</w:t>
      </w:r>
      <w:r w:rsidR="00A45BAB">
        <w:t>onstrating high environmental integrity</w:t>
      </w:r>
      <w:r w:rsidR="0E1E5383">
        <w:t xml:space="preserve"> and </w:t>
      </w:r>
      <w:r w:rsidR="00BB66AB">
        <w:t xml:space="preserve">supporting innovation in monitoring forest degradation, restoration progress, and biodiversity outcomes. </w:t>
      </w:r>
    </w:p>
    <w:p w14:paraId="169678BB" w14:textId="73E7BB09" w:rsidR="00BB66AB" w:rsidRPr="00BB66AB" w:rsidRDefault="00BB66AB" w:rsidP="00762CAE">
      <w:r>
        <w:t xml:space="preserve">These </w:t>
      </w:r>
      <w:r w:rsidR="30A0AEF8">
        <w:t xml:space="preserve">affiliated initiatives </w:t>
      </w:r>
      <w:r>
        <w:t>are:</w:t>
      </w:r>
    </w:p>
    <w:p w14:paraId="25A25023" w14:textId="517F4B03" w:rsidR="00BB66AB" w:rsidRPr="00BB66AB" w:rsidRDefault="00BB66AB" w:rsidP="00762CAE">
      <w:pPr>
        <w:pStyle w:val="ListParagraph"/>
        <w:numPr>
          <w:ilvl w:val="0"/>
          <w:numId w:val="27"/>
        </w:numPr>
      </w:pPr>
      <w:r>
        <w:t>Developing </w:t>
      </w:r>
      <w:r w:rsidRPr="00762CAE">
        <w:rPr>
          <w:b/>
          <w:bCs/>
        </w:rPr>
        <w:t>interoperable information systems</w:t>
      </w:r>
      <w:r>
        <w:t xml:space="preserve"> that serve both climate and biodiversity </w:t>
      </w:r>
      <w:r w:rsidR="00054D01">
        <w:t>objectives.</w:t>
      </w:r>
    </w:p>
    <w:p w14:paraId="5EE91D03" w14:textId="580A9D88" w:rsidR="00BB66AB" w:rsidRPr="00BB66AB" w:rsidRDefault="00BB66AB" w:rsidP="00762CAE">
      <w:pPr>
        <w:pStyle w:val="ListParagraph"/>
        <w:numPr>
          <w:ilvl w:val="0"/>
          <w:numId w:val="27"/>
        </w:numPr>
      </w:pPr>
      <w:r>
        <w:t>Addressing</w:t>
      </w:r>
      <w:r w:rsidRPr="00762CAE">
        <w:rPr>
          <w:b/>
          <w:bCs/>
        </w:rPr>
        <w:t xml:space="preserve"> key methodological gaps</w:t>
      </w:r>
      <w:r>
        <w:t xml:space="preserve">, including monitoring of forest degradation and sampling </w:t>
      </w:r>
      <w:r w:rsidR="00054D01">
        <w:t>uncertainty.</w:t>
      </w:r>
    </w:p>
    <w:p w14:paraId="300AF52D" w14:textId="4D5D5D14" w:rsidR="00BB66AB" w:rsidRPr="00BB66AB" w:rsidRDefault="0DF3163D" w:rsidP="00762CAE">
      <w:pPr>
        <w:pStyle w:val="ListParagraph"/>
        <w:numPr>
          <w:ilvl w:val="0"/>
          <w:numId w:val="27"/>
        </w:numPr>
      </w:pPr>
      <w:r>
        <w:t>Performing</w:t>
      </w:r>
      <w:r w:rsidR="00BB66AB">
        <w:t xml:space="preserve"> </w:t>
      </w:r>
      <w:r w:rsidR="0C993002" w:rsidRPr="00762CAE">
        <w:rPr>
          <w:b/>
          <w:bCs/>
        </w:rPr>
        <w:t xml:space="preserve">technical and </w:t>
      </w:r>
      <w:r w:rsidR="00BB66AB" w:rsidRPr="00762CAE">
        <w:rPr>
          <w:b/>
          <w:bCs/>
        </w:rPr>
        <w:t xml:space="preserve">institutional </w:t>
      </w:r>
      <w:r w:rsidR="05DE0080" w:rsidRPr="00762CAE">
        <w:rPr>
          <w:b/>
          <w:bCs/>
        </w:rPr>
        <w:t xml:space="preserve">gap assessments </w:t>
      </w:r>
      <w:r w:rsidR="04D70CF3">
        <w:t xml:space="preserve">providing countries with a strategy to access climate finance and institutionalize their </w:t>
      </w:r>
      <w:r w:rsidR="00054D01">
        <w:t>NFMS.</w:t>
      </w:r>
    </w:p>
    <w:p w14:paraId="2F6C8735" w14:textId="77777777" w:rsidR="00BB66AB" w:rsidRPr="00BB66AB" w:rsidRDefault="00BB66AB" w:rsidP="00762CAE">
      <w:pPr>
        <w:pStyle w:val="ListParagraph"/>
        <w:numPr>
          <w:ilvl w:val="0"/>
          <w:numId w:val="27"/>
        </w:numPr>
      </w:pPr>
      <w:r>
        <w:t>Piloting </w:t>
      </w:r>
      <w:r w:rsidRPr="00762CAE">
        <w:rPr>
          <w:b/>
          <w:bCs/>
        </w:rPr>
        <w:t>Indigenous-led monitoring approaches</w:t>
      </w:r>
      <w:r>
        <w:t> and expanding support for ecosystem restoration reporting under the Kunming-Montreal Global Biodiversity Framework.</w:t>
      </w:r>
    </w:p>
    <w:p w14:paraId="718BB725" w14:textId="0A7D9FD2" w:rsidR="00BB66AB" w:rsidRPr="00BB66AB" w:rsidRDefault="00BB66AB" w:rsidP="00762CAE">
      <w:r>
        <w:lastRenderedPageBreak/>
        <w:t>These efforts reflect a shift from compliance-oriented monitoring toward more integrated systems that support national planning, accountability, and learning—across climate, forest, biodiversity, and development priorities.</w:t>
      </w:r>
    </w:p>
    <w:p w14:paraId="17FDFDCE" w14:textId="154CF2C7" w:rsidR="00BB66AB" w:rsidRPr="00BB66AB" w:rsidRDefault="00BB66AB" w:rsidP="00762CAE">
      <w:r>
        <w:t>This work is further reinforced by </w:t>
      </w:r>
      <w:r w:rsidRPr="67E1CCD0">
        <w:rPr>
          <w:b/>
          <w:bCs/>
        </w:rPr>
        <w:t>strategic partnerships</w:t>
      </w:r>
      <w:r>
        <w:t xml:space="preserve"> with key institutions and knowledge providers, including the World Bank (FCPF, </w:t>
      </w:r>
      <w:proofErr w:type="spellStart"/>
      <w:r>
        <w:t>BioCF</w:t>
      </w:r>
      <w:proofErr w:type="spellEnd"/>
      <w:r>
        <w:t xml:space="preserve">), GCF, UNFCCC, ART, GIZ, JICA, CIRAD, </w:t>
      </w:r>
      <w:r w:rsidR="001A08EE">
        <w:t xml:space="preserve">WRI, </w:t>
      </w:r>
      <w:r w:rsidR="00054D01">
        <w:t>GFOI and</w:t>
      </w:r>
      <w:r>
        <w:t xml:space="preserve"> academic institutions.</w:t>
      </w:r>
    </w:p>
    <w:p w14:paraId="1825D967" w14:textId="4A66619F" w:rsidR="00BA082F" w:rsidRPr="005A21A2" w:rsidRDefault="7F514F21" w:rsidP="00762CAE">
      <w:r>
        <w:t xml:space="preserve">Building on the technological solutions and </w:t>
      </w:r>
      <w:r w:rsidR="2BC67F9E">
        <w:t xml:space="preserve">methodological expertise </w:t>
      </w:r>
      <w:r>
        <w:t>created under the AIM4Forests programme, UN-REDD</w:t>
      </w:r>
      <w:r w:rsidR="304F5A73">
        <w:t xml:space="preserve"> </w:t>
      </w:r>
      <w:r w:rsidR="13C8E049">
        <w:t xml:space="preserve">can help deploy these solutions in-country, </w:t>
      </w:r>
      <w:r w:rsidR="5E431164">
        <w:t>taking advantage of</w:t>
      </w:r>
      <w:r w:rsidR="304F5A73">
        <w:t xml:space="preserve"> the deep and systemic anchorage of UN-REDD with countries </w:t>
      </w:r>
      <w:r w:rsidR="2BC8E610">
        <w:t xml:space="preserve">institutions </w:t>
      </w:r>
      <w:r w:rsidR="304F5A73">
        <w:t>and stakeholders</w:t>
      </w:r>
      <w:r w:rsidR="09C97787">
        <w:t>.</w:t>
      </w:r>
      <w:r w:rsidR="304F5A73">
        <w:t xml:space="preserve"> </w:t>
      </w:r>
      <w:r w:rsidR="08D5E084">
        <w:t xml:space="preserve">As such, </w:t>
      </w:r>
      <w:r w:rsidR="00BB66AB">
        <w:t xml:space="preserve">UN-REDD </w:t>
      </w:r>
      <w:r w:rsidR="31D75318">
        <w:t xml:space="preserve">can </w:t>
      </w:r>
      <w:r w:rsidR="00BB66AB">
        <w:t>make monitoring systems enduring pillars of national climate and biodiversity policy, transparency, and finance readiness.</w:t>
      </w:r>
    </w:p>
    <w:p w14:paraId="08ABCBE2" w14:textId="3ADDE8A6" w:rsidR="001846E9" w:rsidRPr="005A21A2" w:rsidRDefault="001846E9" w:rsidP="00762CAE">
      <w:pPr>
        <w:pStyle w:val="Heading1"/>
      </w:pPr>
      <w:r w:rsidRPr="005A21A2">
        <w:t>Scenarios</w:t>
      </w:r>
    </w:p>
    <w:p w14:paraId="28E19D25" w14:textId="745B5E0D" w:rsidR="00B929C6" w:rsidRPr="00B929C6" w:rsidRDefault="00B929C6" w:rsidP="00762CAE">
      <w:r>
        <w:t>Between now and 2030, UN-REDD will consolidate, strengthen, and support the national forest monitoring</w:t>
      </w:r>
      <w:r w:rsidR="00A1315D">
        <w:t xml:space="preserve"> systems</w:t>
      </w:r>
      <w:r>
        <w:t xml:space="preserve"> and </w:t>
      </w:r>
      <w:r w:rsidR="00CE4D3C">
        <w:t>MRV</w:t>
      </w:r>
      <w:r>
        <w:t xml:space="preserve">. The goal is to ensure that countries not only have access to the latest technologies and </w:t>
      </w:r>
      <w:r w:rsidR="00762CAE">
        <w:t>methods but</w:t>
      </w:r>
      <w:r>
        <w:t xml:space="preserve"> also have the institutional and human capacities to maintain, govern, and use these systems effectively.</w:t>
      </w:r>
    </w:p>
    <w:p w14:paraId="72566E34" w14:textId="32B21818" w:rsidR="00B929C6" w:rsidRPr="00B929C6" w:rsidRDefault="00B929C6" w:rsidP="00762CAE">
      <w:r>
        <w:t xml:space="preserve">Under Output 1.1, UN-REDD will support countries in leveraging </w:t>
      </w:r>
      <w:r w:rsidR="003E2569">
        <w:t>NFMS</w:t>
      </w:r>
      <w:r>
        <w:t xml:space="preserve"> data and platforms to inform evidence-based policy formulation, national dialogues, and strategic choices—particularly related to mitigation strategies, carbon crediting, and trade-offs in land-use decision-making. UN-REDD will </w:t>
      </w:r>
      <w:r w:rsidR="00A131F3">
        <w:t xml:space="preserve">support </w:t>
      </w:r>
      <w:r>
        <w:t xml:space="preserve">governments </w:t>
      </w:r>
      <w:r w:rsidR="00834F30">
        <w:t xml:space="preserve">to be </w:t>
      </w:r>
      <w:r>
        <w:t xml:space="preserve">equipped with the necessary data and analyses to align their </w:t>
      </w:r>
      <w:r w:rsidR="006564DB">
        <w:t xml:space="preserve">NFMS and </w:t>
      </w:r>
      <w:r>
        <w:t>MRV</w:t>
      </w:r>
      <w:r w:rsidR="006564DB">
        <w:t xml:space="preserve"> related</w:t>
      </w:r>
      <w:r>
        <w:t xml:space="preserve"> systems with national development and climate goals.</w:t>
      </w:r>
    </w:p>
    <w:p w14:paraId="78CEB1F4" w14:textId="6ABCAF04" w:rsidR="00B929C6" w:rsidRPr="007E1319" w:rsidRDefault="00B929C6" w:rsidP="00762CAE">
      <w:r w:rsidRPr="007E1319">
        <w:t>UN-REDD will support</w:t>
      </w:r>
      <w:r w:rsidR="007E1319" w:rsidRPr="007E1319">
        <w:t xml:space="preserve"> </w:t>
      </w:r>
      <w:r w:rsidRPr="007E1319">
        <w:t xml:space="preserve">partner countries—particularly those currently lacking </w:t>
      </w:r>
      <w:r w:rsidR="00B916CE" w:rsidRPr="007E1319">
        <w:t>operational</w:t>
      </w:r>
      <w:r w:rsidRPr="007E1319">
        <w:t xml:space="preserve"> NFMS—to establish </w:t>
      </w:r>
      <w:r w:rsidRPr="007E1319">
        <w:rPr>
          <w:b/>
          <w:bCs/>
        </w:rPr>
        <w:t>technically robust</w:t>
      </w:r>
      <w:r w:rsidRPr="007E1319">
        <w:t>, </w:t>
      </w:r>
      <w:r w:rsidRPr="007E1319">
        <w:rPr>
          <w:b/>
          <w:bCs/>
        </w:rPr>
        <w:t>transparently governed</w:t>
      </w:r>
      <w:r w:rsidRPr="007E1319">
        <w:t>, and </w:t>
      </w:r>
      <w:r w:rsidRPr="007E1319">
        <w:rPr>
          <w:b/>
          <w:bCs/>
        </w:rPr>
        <w:t>policy-relevant monitoring systems</w:t>
      </w:r>
      <w:r w:rsidRPr="007E1319">
        <w:t>. These systems will be capable of supporting REDD+ results submissions, accessing high-integrity climate finance, and integrating climate, biodiversity, and adaptation reporting under international frameworks like the UNFCCC and CBD.</w:t>
      </w:r>
      <w:r w:rsidR="00F46A06" w:rsidRPr="007E1319">
        <w:t xml:space="preserve"> Support in this area will also be consistent and aligned with the requirements of potential financin</w:t>
      </w:r>
      <w:r w:rsidR="00344734" w:rsidRPr="007E1319">
        <w:t>g mechanisms such as the Tropical Forest Forever Facility (TFFF).</w:t>
      </w:r>
    </w:p>
    <w:p w14:paraId="47C7E67C" w14:textId="4A11BC49" w:rsidR="00762CAE" w:rsidRDefault="00B929C6" w:rsidP="00762CAE">
      <w:pPr>
        <w:sectPr w:rsidR="00762CAE" w:rsidSect="00780567">
          <w:headerReference w:type="default" r:id="rId13"/>
          <w:footerReference w:type="default" r:id="rId14"/>
          <w:pgSz w:w="11906" w:h="16838"/>
          <w:pgMar w:top="1440" w:right="1440" w:bottom="1440" w:left="1440" w:header="708" w:footer="708" w:gutter="0"/>
          <w:pgNumType w:start="1"/>
          <w:cols w:space="708"/>
          <w:docGrid w:linePitch="360"/>
        </w:sectPr>
      </w:pPr>
      <w:r w:rsidRPr="007E1319">
        <w:t xml:space="preserve">This transformation will be supported through a phased and adaptive delivery model, grounded in strong country demand and knowledge exchange, </w:t>
      </w:r>
      <w:r w:rsidR="6CE4D0D4" w:rsidRPr="007E1319">
        <w:t>building on the technical solutions created by</w:t>
      </w:r>
      <w:r w:rsidR="4FC4D2E1" w:rsidRPr="007E1319">
        <w:t xml:space="preserve"> </w:t>
      </w:r>
      <w:r w:rsidR="1634ABA8" w:rsidRPr="007E1319">
        <w:t>the</w:t>
      </w:r>
      <w:r w:rsidRPr="007E1319">
        <w:t xml:space="preserve"> AIM4Forests </w:t>
      </w:r>
      <w:r w:rsidR="747E5392" w:rsidRPr="007E1319">
        <w:t xml:space="preserve">programme, including the new </w:t>
      </w:r>
      <w:r w:rsidRPr="007E1319">
        <w:t>AIM4Natur</w:t>
      </w:r>
      <w:r w:rsidR="6A88086A" w:rsidRPr="007E1319">
        <w:t>e component</w:t>
      </w:r>
      <w:r w:rsidR="75AD8EF2" w:rsidRPr="007E1319">
        <w:t>, and incorporating innovations emerging from this programme</w:t>
      </w:r>
      <w:r w:rsidRPr="007E1319">
        <w:t>.</w:t>
      </w:r>
      <w:r w:rsidR="00E24C1D" w:rsidRPr="007E1319">
        <w:t xml:space="preserve"> The activities indicated below are intended to enable </w:t>
      </w:r>
      <w:r w:rsidR="00FB488B" w:rsidRPr="007E1319">
        <w:t xml:space="preserve">specific knowledge products and tools to facilitate and complement country level activities. They </w:t>
      </w:r>
      <w:r w:rsidR="00130B71" w:rsidRPr="007E1319">
        <w:t>are complementary to ongoing and planned work under AIM4Forest.</w:t>
      </w:r>
    </w:p>
    <w:tbl>
      <w:tblPr>
        <w:tblStyle w:val="TableGrid"/>
        <w:tblW w:w="5000" w:type="pct"/>
        <w:tblLook w:val="04A0" w:firstRow="1" w:lastRow="0" w:firstColumn="1" w:lastColumn="0" w:noHBand="0" w:noVBand="1"/>
      </w:tblPr>
      <w:tblGrid>
        <w:gridCol w:w="5524"/>
        <w:gridCol w:w="9864"/>
      </w:tblGrid>
      <w:tr w:rsidR="0055155E" w:rsidRPr="008652BE" w14:paraId="1C784DB7" w14:textId="77777777" w:rsidTr="0055155E">
        <w:trPr>
          <w:trHeight w:val="567"/>
          <w:tblHeader/>
        </w:trPr>
        <w:tc>
          <w:tcPr>
            <w:tcW w:w="1795" w:type="pct"/>
            <w:shd w:val="clear" w:color="auto" w:fill="215E99" w:themeFill="text2" w:themeFillTint="BF"/>
            <w:vAlign w:val="center"/>
          </w:tcPr>
          <w:p w14:paraId="17354DEF" w14:textId="77777777" w:rsidR="0055155E" w:rsidRPr="00762CAE" w:rsidRDefault="0055155E" w:rsidP="00762CAE">
            <w:pPr>
              <w:spacing w:before="0" w:after="0"/>
              <w:jc w:val="center"/>
              <w:rPr>
                <w:b/>
                <w:bCs/>
                <w:color w:val="FFFFFF" w:themeColor="background1"/>
              </w:rPr>
            </w:pPr>
            <w:r w:rsidRPr="00762CAE">
              <w:rPr>
                <w:b/>
                <w:bCs/>
                <w:color w:val="FFFFFF" w:themeColor="background1"/>
              </w:rPr>
              <w:lastRenderedPageBreak/>
              <w:t>Deliverables</w:t>
            </w:r>
          </w:p>
        </w:tc>
        <w:tc>
          <w:tcPr>
            <w:tcW w:w="3205" w:type="pct"/>
            <w:shd w:val="clear" w:color="auto" w:fill="215E99" w:themeFill="text2" w:themeFillTint="BF"/>
            <w:vAlign w:val="center"/>
          </w:tcPr>
          <w:p w14:paraId="72FB9174" w14:textId="77777777" w:rsidR="0055155E" w:rsidRPr="00762CAE" w:rsidRDefault="0055155E" w:rsidP="00762CAE">
            <w:pPr>
              <w:spacing w:before="0" w:after="0"/>
              <w:jc w:val="center"/>
              <w:rPr>
                <w:b/>
                <w:bCs/>
                <w:color w:val="FFFFFF" w:themeColor="background1"/>
              </w:rPr>
            </w:pPr>
            <w:r w:rsidRPr="00762CAE">
              <w:rPr>
                <w:b/>
                <w:bCs/>
                <w:color w:val="FFFFFF" w:themeColor="background1"/>
              </w:rPr>
              <w:t>Types of Activities</w:t>
            </w:r>
          </w:p>
        </w:tc>
      </w:tr>
      <w:tr w:rsidR="0055155E" w:rsidRPr="008652BE" w14:paraId="596B735F" w14:textId="77777777" w:rsidTr="0055155E">
        <w:trPr>
          <w:trHeight w:val="300"/>
        </w:trPr>
        <w:tc>
          <w:tcPr>
            <w:tcW w:w="1795" w:type="pct"/>
          </w:tcPr>
          <w:p w14:paraId="5CB34238" w14:textId="6ECF686E" w:rsidR="0055155E" w:rsidRPr="00762CAE" w:rsidRDefault="0055155E" w:rsidP="00762CAE">
            <w:pPr>
              <w:pStyle w:val="ListParagraph"/>
              <w:numPr>
                <w:ilvl w:val="0"/>
                <w:numId w:val="29"/>
              </w:numPr>
            </w:pPr>
            <w:r w:rsidRPr="00762CAE">
              <w:t>Support consolidation and sustainability of NFMS capacities for various purposes, including access to carbon finance</w:t>
            </w:r>
          </w:p>
        </w:tc>
        <w:tc>
          <w:tcPr>
            <w:tcW w:w="3205" w:type="pct"/>
          </w:tcPr>
          <w:p w14:paraId="43536005" w14:textId="13504D79" w:rsidR="0055155E" w:rsidRPr="001A08EE" w:rsidRDefault="0055155E" w:rsidP="001A08EE">
            <w:pPr>
              <w:pStyle w:val="ListParagraph"/>
              <w:numPr>
                <w:ilvl w:val="0"/>
                <w:numId w:val="30"/>
              </w:numPr>
            </w:pPr>
            <w:r w:rsidRPr="001A08EE">
              <w:t>Complement AIM4F with in-country capacity building on MRV and support countries to get access to climate finance</w:t>
            </w:r>
          </w:p>
          <w:p w14:paraId="640033C3" w14:textId="1EF1987B" w:rsidR="0055155E" w:rsidRPr="0055155E" w:rsidRDefault="0055155E" w:rsidP="009A6F41">
            <w:pPr>
              <w:pStyle w:val="ListParagraph"/>
              <w:numPr>
                <w:ilvl w:val="0"/>
                <w:numId w:val="30"/>
              </w:numPr>
            </w:pPr>
            <w:r w:rsidRPr="001A08EE">
              <w:t>Identify lessons learned and support south-south exchanges on these issues</w:t>
            </w:r>
          </w:p>
        </w:tc>
      </w:tr>
      <w:tr w:rsidR="0055155E" w14:paraId="2D075B52" w14:textId="77777777" w:rsidTr="0055155E">
        <w:trPr>
          <w:trHeight w:val="300"/>
        </w:trPr>
        <w:tc>
          <w:tcPr>
            <w:tcW w:w="1795" w:type="pct"/>
          </w:tcPr>
          <w:p w14:paraId="085F51F4" w14:textId="5C58A99D" w:rsidR="0055155E" w:rsidRPr="00762CAE" w:rsidRDefault="0055155E" w:rsidP="00762CAE">
            <w:pPr>
              <w:pStyle w:val="ListParagraph"/>
              <w:numPr>
                <w:ilvl w:val="0"/>
                <w:numId w:val="29"/>
              </w:numPr>
            </w:pPr>
            <w:r w:rsidRPr="00762CAE">
              <w:t>Increase relevance and use of monitoring data to inform policy decisions</w:t>
            </w:r>
          </w:p>
        </w:tc>
        <w:tc>
          <w:tcPr>
            <w:tcW w:w="3205" w:type="pct"/>
          </w:tcPr>
          <w:p w14:paraId="63981453" w14:textId="35D9C408" w:rsidR="0055155E" w:rsidRPr="001A08EE" w:rsidRDefault="0055155E" w:rsidP="001A08EE">
            <w:pPr>
              <w:pStyle w:val="ListParagraph"/>
              <w:numPr>
                <w:ilvl w:val="0"/>
                <w:numId w:val="31"/>
              </w:numPr>
            </w:pPr>
            <w:r w:rsidRPr="001A08EE">
              <w:t>Provide technical assistance to align monitoring systems with national planning and reporting frameworks (also as a potential link to support access to TFFF)</w:t>
            </w:r>
          </w:p>
          <w:p w14:paraId="77544EEC" w14:textId="350B1E09" w:rsidR="0055155E" w:rsidRPr="0055155E" w:rsidRDefault="0055155E" w:rsidP="0A2244AA">
            <w:pPr>
              <w:pStyle w:val="ListParagraph"/>
              <w:numPr>
                <w:ilvl w:val="0"/>
                <w:numId w:val="31"/>
              </w:numPr>
            </w:pPr>
            <w:r w:rsidRPr="001A08EE">
              <w:t>Identify lessons learned and support south-south exchanges on these issues</w:t>
            </w:r>
          </w:p>
        </w:tc>
      </w:tr>
      <w:tr w:rsidR="0055155E" w:rsidRPr="008652BE" w14:paraId="06D1547E" w14:textId="77777777" w:rsidTr="0055155E">
        <w:trPr>
          <w:trHeight w:val="300"/>
        </w:trPr>
        <w:tc>
          <w:tcPr>
            <w:tcW w:w="1795" w:type="pct"/>
          </w:tcPr>
          <w:p w14:paraId="7253588E" w14:textId="77777777" w:rsidR="0055155E" w:rsidRPr="00762CAE" w:rsidRDefault="0055155E" w:rsidP="00762CAE">
            <w:pPr>
              <w:pStyle w:val="ListParagraph"/>
              <w:numPr>
                <w:ilvl w:val="0"/>
                <w:numId w:val="29"/>
              </w:numPr>
            </w:pPr>
            <w:r w:rsidRPr="00762CAE">
              <w:t>Support countries in aligning climate mitigation with biodiversity and adaptation agendas for integrated monitoring and reporting.</w:t>
            </w:r>
          </w:p>
        </w:tc>
        <w:tc>
          <w:tcPr>
            <w:tcW w:w="3205" w:type="pct"/>
          </w:tcPr>
          <w:p w14:paraId="2696C547" w14:textId="77777777" w:rsidR="0055155E" w:rsidRDefault="0055155E" w:rsidP="001A08EE">
            <w:pPr>
              <w:pStyle w:val="ListParagraph"/>
              <w:numPr>
                <w:ilvl w:val="0"/>
                <w:numId w:val="32"/>
              </w:numPr>
            </w:pPr>
            <w:r w:rsidRPr="001A08EE">
              <w:t>Provide technical assistance to align monitoring systems for climate, biodiversity, and adaptation</w:t>
            </w:r>
          </w:p>
          <w:p w14:paraId="02792F3C" w14:textId="51E70424" w:rsidR="0055155E" w:rsidRPr="001A08EE" w:rsidRDefault="0055155E" w:rsidP="001A08EE">
            <w:pPr>
              <w:pStyle w:val="ListParagraph"/>
              <w:numPr>
                <w:ilvl w:val="0"/>
                <w:numId w:val="32"/>
              </w:numPr>
            </w:pPr>
            <w:r w:rsidRPr="001A08EE">
              <w:t>Build capacity to assess biodiversity and adaptation benefits/losses from deforestation, aligned with NDCs, NBSAPs, and NAPs</w:t>
            </w:r>
          </w:p>
        </w:tc>
      </w:tr>
      <w:tr w:rsidR="0055155E" w14:paraId="22CE817B" w14:textId="77777777" w:rsidTr="0055155E">
        <w:trPr>
          <w:trHeight w:val="300"/>
        </w:trPr>
        <w:tc>
          <w:tcPr>
            <w:tcW w:w="1795" w:type="pct"/>
          </w:tcPr>
          <w:p w14:paraId="70A2FD46" w14:textId="706AB7AF" w:rsidR="0055155E" w:rsidRPr="00762CAE" w:rsidRDefault="0055155E" w:rsidP="00762CAE">
            <w:pPr>
              <w:pStyle w:val="ListParagraph"/>
              <w:numPr>
                <w:ilvl w:val="0"/>
                <w:numId w:val="29"/>
              </w:numPr>
            </w:pPr>
            <w:r w:rsidRPr="00762CAE">
              <w:t xml:space="preserve">Explore how MRV data generated can be used by countries to move towards the Enhanced Transparency Framework (link with Outcome 3.2) </w:t>
            </w:r>
          </w:p>
        </w:tc>
        <w:tc>
          <w:tcPr>
            <w:tcW w:w="3205" w:type="pct"/>
          </w:tcPr>
          <w:p w14:paraId="023656FD" w14:textId="440A6714" w:rsidR="0055155E" w:rsidRPr="00762CAE" w:rsidRDefault="0055155E" w:rsidP="001A08EE">
            <w:pPr>
              <w:pStyle w:val="ListParagraph"/>
              <w:numPr>
                <w:ilvl w:val="0"/>
                <w:numId w:val="33"/>
              </w:numPr>
            </w:pPr>
            <w:r w:rsidRPr="00762CAE">
              <w:rPr>
                <w:rFonts w:eastAsiaTheme="minorEastAsia"/>
              </w:rPr>
              <w:t>Support countries to generate cutting edge forest and land use data to support NDC progress reporting in the BTR and explore support of other reporting streams such as NBSAP</w:t>
            </w:r>
            <w:r w:rsidRPr="00762CAE">
              <w:t>s and NAPs</w:t>
            </w:r>
          </w:p>
        </w:tc>
      </w:tr>
    </w:tbl>
    <w:p w14:paraId="71C5DD8A" w14:textId="27C1E762" w:rsidR="35F9E276" w:rsidRDefault="35F9E276" w:rsidP="67E1CCD0"/>
    <w:sectPr w:rsidR="35F9E276" w:rsidSect="00762CA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3476" w14:textId="77777777" w:rsidR="00411BCD" w:rsidRDefault="00411BCD" w:rsidP="00E62A58">
      <w:pPr>
        <w:spacing w:before="0" w:after="0" w:line="240" w:lineRule="auto"/>
      </w:pPr>
      <w:r>
        <w:separator/>
      </w:r>
    </w:p>
  </w:endnote>
  <w:endnote w:type="continuationSeparator" w:id="0">
    <w:p w14:paraId="53EB994E" w14:textId="77777777" w:rsidR="00411BCD" w:rsidRDefault="00411BCD" w:rsidP="00E62A58">
      <w:pPr>
        <w:spacing w:before="0" w:after="0" w:line="240" w:lineRule="auto"/>
      </w:pPr>
      <w:r>
        <w:continuationSeparator/>
      </w:r>
    </w:p>
  </w:endnote>
  <w:endnote w:type="continuationNotice" w:id="1">
    <w:p w14:paraId="166C04DA" w14:textId="77777777" w:rsidR="00411BCD" w:rsidRDefault="00411B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828343"/>
      <w:docPartObj>
        <w:docPartGallery w:val="Page Numbers (Bottom of Page)"/>
        <w:docPartUnique/>
      </w:docPartObj>
    </w:sdtPr>
    <w:sdtEndPr>
      <w:rPr>
        <w:noProof/>
      </w:rPr>
    </w:sdtEndPr>
    <w:sdtContent>
      <w:p w14:paraId="3DB3AB05" w14:textId="15E5D054" w:rsidR="00780567" w:rsidRDefault="007805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7314F5" w14:textId="77777777" w:rsidR="00780567" w:rsidRDefault="00780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11DAE" w14:textId="77777777" w:rsidR="00411BCD" w:rsidRDefault="00411BCD" w:rsidP="00E62A58">
      <w:pPr>
        <w:spacing w:before="0" w:after="0" w:line="240" w:lineRule="auto"/>
      </w:pPr>
      <w:r>
        <w:separator/>
      </w:r>
    </w:p>
  </w:footnote>
  <w:footnote w:type="continuationSeparator" w:id="0">
    <w:p w14:paraId="6FB38BA1" w14:textId="77777777" w:rsidR="00411BCD" w:rsidRDefault="00411BCD" w:rsidP="00E62A58">
      <w:pPr>
        <w:spacing w:before="0" w:after="0" w:line="240" w:lineRule="auto"/>
      </w:pPr>
      <w:r>
        <w:continuationSeparator/>
      </w:r>
    </w:p>
  </w:footnote>
  <w:footnote w:type="continuationNotice" w:id="1">
    <w:p w14:paraId="7173D59D" w14:textId="77777777" w:rsidR="00411BCD" w:rsidRDefault="00411BC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ABAE" w14:textId="77777777" w:rsidR="00780567" w:rsidRPr="004071CB" w:rsidRDefault="00780567" w:rsidP="00780567">
    <w:pPr>
      <w:pStyle w:val="Header"/>
      <w:jc w:val="right"/>
      <w:rPr>
        <w:rFonts w:ascii="Times New Roman" w:hAnsi="Times New Roman" w:cs="Times New Roman"/>
        <w:i/>
        <w:iCs/>
      </w:rPr>
    </w:pPr>
    <w:r w:rsidRPr="004071CB">
      <w:rPr>
        <w:rFonts w:ascii="Times New Roman" w:hAnsi="Times New Roman" w:cs="Times New Roman"/>
        <w:i/>
        <w:iCs/>
      </w:rPr>
      <w:t>Internal draft – not for citation, distribution, or reproduction</w:t>
    </w:r>
  </w:p>
  <w:p w14:paraId="46664E11" w14:textId="77777777" w:rsidR="00780567" w:rsidRDefault="00780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18E9"/>
    <w:multiLevelType w:val="hybridMultilevel"/>
    <w:tmpl w:val="E35A781A"/>
    <w:lvl w:ilvl="0" w:tplc="2000000F">
      <w:start w:val="1"/>
      <w:numFmt w:val="decimal"/>
      <w:lvlText w:val="%1."/>
      <w:lvlJc w:val="left"/>
      <w:pPr>
        <w:ind w:left="360" w:hanging="360"/>
      </w:pPr>
    </w:lvl>
    <w:lvl w:ilvl="1" w:tplc="E402B674">
      <w:start w:val="1"/>
      <w:numFmt w:val="bullet"/>
      <w:lvlText w:val="-"/>
      <w:lvlJc w:val="left"/>
      <w:pPr>
        <w:ind w:left="1080" w:hanging="360"/>
      </w:pPr>
      <w:rPr>
        <w:rFonts w:ascii="Aptos" w:eastAsiaTheme="minorHAnsi" w:hAnsi="Aptos"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F1646D"/>
    <w:multiLevelType w:val="multilevel"/>
    <w:tmpl w:val="0DAE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C1CEA"/>
    <w:multiLevelType w:val="multilevel"/>
    <w:tmpl w:val="0494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F669C"/>
    <w:multiLevelType w:val="multilevel"/>
    <w:tmpl w:val="7454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203E2"/>
    <w:multiLevelType w:val="multilevel"/>
    <w:tmpl w:val="5098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F16CB"/>
    <w:multiLevelType w:val="hybridMultilevel"/>
    <w:tmpl w:val="6354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743C9"/>
    <w:multiLevelType w:val="hybridMultilevel"/>
    <w:tmpl w:val="82FA22F4"/>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C6DB0D5"/>
    <w:multiLevelType w:val="hybridMultilevel"/>
    <w:tmpl w:val="FFFFFFFF"/>
    <w:lvl w:ilvl="0" w:tplc="96BC3576">
      <w:start w:val="1"/>
      <w:numFmt w:val="bullet"/>
      <w:lvlText w:val="-"/>
      <w:lvlJc w:val="left"/>
      <w:pPr>
        <w:ind w:left="720" w:hanging="360"/>
      </w:pPr>
      <w:rPr>
        <w:rFonts w:ascii="Aptos" w:hAnsi="Aptos" w:hint="default"/>
      </w:rPr>
    </w:lvl>
    <w:lvl w:ilvl="1" w:tplc="592A28C4">
      <w:start w:val="1"/>
      <w:numFmt w:val="bullet"/>
      <w:lvlText w:val="o"/>
      <w:lvlJc w:val="left"/>
      <w:pPr>
        <w:ind w:left="1440" w:hanging="360"/>
      </w:pPr>
      <w:rPr>
        <w:rFonts w:ascii="Courier New" w:hAnsi="Courier New" w:hint="default"/>
      </w:rPr>
    </w:lvl>
    <w:lvl w:ilvl="2" w:tplc="2BA241B0">
      <w:start w:val="1"/>
      <w:numFmt w:val="bullet"/>
      <w:lvlText w:val=""/>
      <w:lvlJc w:val="left"/>
      <w:pPr>
        <w:ind w:left="2160" w:hanging="360"/>
      </w:pPr>
      <w:rPr>
        <w:rFonts w:ascii="Wingdings" w:hAnsi="Wingdings" w:hint="default"/>
      </w:rPr>
    </w:lvl>
    <w:lvl w:ilvl="3" w:tplc="791E0848">
      <w:start w:val="1"/>
      <w:numFmt w:val="bullet"/>
      <w:lvlText w:val=""/>
      <w:lvlJc w:val="left"/>
      <w:pPr>
        <w:ind w:left="2880" w:hanging="360"/>
      </w:pPr>
      <w:rPr>
        <w:rFonts w:ascii="Symbol" w:hAnsi="Symbol" w:hint="default"/>
      </w:rPr>
    </w:lvl>
    <w:lvl w:ilvl="4" w:tplc="1D1C2042">
      <w:start w:val="1"/>
      <w:numFmt w:val="bullet"/>
      <w:lvlText w:val="o"/>
      <w:lvlJc w:val="left"/>
      <w:pPr>
        <w:ind w:left="3600" w:hanging="360"/>
      </w:pPr>
      <w:rPr>
        <w:rFonts w:ascii="Courier New" w:hAnsi="Courier New" w:hint="default"/>
      </w:rPr>
    </w:lvl>
    <w:lvl w:ilvl="5" w:tplc="D2D2522C">
      <w:start w:val="1"/>
      <w:numFmt w:val="bullet"/>
      <w:lvlText w:val=""/>
      <w:lvlJc w:val="left"/>
      <w:pPr>
        <w:ind w:left="4320" w:hanging="360"/>
      </w:pPr>
      <w:rPr>
        <w:rFonts w:ascii="Wingdings" w:hAnsi="Wingdings" w:hint="default"/>
      </w:rPr>
    </w:lvl>
    <w:lvl w:ilvl="6" w:tplc="F7482188">
      <w:start w:val="1"/>
      <w:numFmt w:val="bullet"/>
      <w:lvlText w:val=""/>
      <w:lvlJc w:val="left"/>
      <w:pPr>
        <w:ind w:left="5040" w:hanging="360"/>
      </w:pPr>
      <w:rPr>
        <w:rFonts w:ascii="Symbol" w:hAnsi="Symbol" w:hint="default"/>
      </w:rPr>
    </w:lvl>
    <w:lvl w:ilvl="7" w:tplc="C8FE48BA">
      <w:start w:val="1"/>
      <w:numFmt w:val="bullet"/>
      <w:lvlText w:val="o"/>
      <w:lvlJc w:val="left"/>
      <w:pPr>
        <w:ind w:left="5760" w:hanging="360"/>
      </w:pPr>
      <w:rPr>
        <w:rFonts w:ascii="Courier New" w:hAnsi="Courier New" w:hint="default"/>
      </w:rPr>
    </w:lvl>
    <w:lvl w:ilvl="8" w:tplc="6B38DF44">
      <w:start w:val="1"/>
      <w:numFmt w:val="bullet"/>
      <w:lvlText w:val=""/>
      <w:lvlJc w:val="left"/>
      <w:pPr>
        <w:ind w:left="6480" w:hanging="360"/>
      </w:pPr>
      <w:rPr>
        <w:rFonts w:ascii="Wingdings" w:hAnsi="Wingdings" w:hint="default"/>
      </w:rPr>
    </w:lvl>
  </w:abstractNum>
  <w:abstractNum w:abstractNumId="8" w15:restartNumberingAfterBreak="0">
    <w:nsid w:val="1C9960B4"/>
    <w:multiLevelType w:val="multilevel"/>
    <w:tmpl w:val="4AC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61761"/>
    <w:multiLevelType w:val="multilevel"/>
    <w:tmpl w:val="40C4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982C8A"/>
    <w:multiLevelType w:val="hybridMultilevel"/>
    <w:tmpl w:val="B886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461F7"/>
    <w:multiLevelType w:val="hybridMultilevel"/>
    <w:tmpl w:val="06B25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D65CA"/>
    <w:multiLevelType w:val="hybridMultilevel"/>
    <w:tmpl w:val="FFFFFFFF"/>
    <w:lvl w:ilvl="0" w:tplc="0C686316">
      <w:numFmt w:val="bullet"/>
      <w:lvlText w:val="-"/>
      <w:lvlJc w:val="left"/>
      <w:pPr>
        <w:ind w:left="360" w:hanging="360"/>
      </w:pPr>
      <w:rPr>
        <w:rFonts w:ascii="Aptos" w:hAnsi="Aptos" w:hint="default"/>
      </w:rPr>
    </w:lvl>
    <w:lvl w:ilvl="1" w:tplc="9AD8D422">
      <w:start w:val="1"/>
      <w:numFmt w:val="bullet"/>
      <w:lvlText w:val="o"/>
      <w:lvlJc w:val="left"/>
      <w:pPr>
        <w:ind w:left="1440" w:hanging="360"/>
      </w:pPr>
      <w:rPr>
        <w:rFonts w:ascii="Courier New" w:hAnsi="Courier New" w:hint="default"/>
      </w:rPr>
    </w:lvl>
    <w:lvl w:ilvl="2" w:tplc="9AD0914E">
      <w:start w:val="1"/>
      <w:numFmt w:val="bullet"/>
      <w:lvlText w:val=""/>
      <w:lvlJc w:val="left"/>
      <w:pPr>
        <w:ind w:left="2160" w:hanging="360"/>
      </w:pPr>
      <w:rPr>
        <w:rFonts w:ascii="Wingdings" w:hAnsi="Wingdings" w:hint="default"/>
      </w:rPr>
    </w:lvl>
    <w:lvl w:ilvl="3" w:tplc="EE26E1CA">
      <w:start w:val="1"/>
      <w:numFmt w:val="bullet"/>
      <w:lvlText w:val=""/>
      <w:lvlJc w:val="left"/>
      <w:pPr>
        <w:ind w:left="2880" w:hanging="360"/>
      </w:pPr>
      <w:rPr>
        <w:rFonts w:ascii="Symbol" w:hAnsi="Symbol" w:hint="default"/>
      </w:rPr>
    </w:lvl>
    <w:lvl w:ilvl="4" w:tplc="8462437A">
      <w:start w:val="1"/>
      <w:numFmt w:val="bullet"/>
      <w:lvlText w:val="o"/>
      <w:lvlJc w:val="left"/>
      <w:pPr>
        <w:ind w:left="3600" w:hanging="360"/>
      </w:pPr>
      <w:rPr>
        <w:rFonts w:ascii="Courier New" w:hAnsi="Courier New" w:hint="default"/>
      </w:rPr>
    </w:lvl>
    <w:lvl w:ilvl="5" w:tplc="0A4C48F8">
      <w:start w:val="1"/>
      <w:numFmt w:val="bullet"/>
      <w:lvlText w:val=""/>
      <w:lvlJc w:val="left"/>
      <w:pPr>
        <w:ind w:left="4320" w:hanging="360"/>
      </w:pPr>
      <w:rPr>
        <w:rFonts w:ascii="Wingdings" w:hAnsi="Wingdings" w:hint="default"/>
      </w:rPr>
    </w:lvl>
    <w:lvl w:ilvl="6" w:tplc="A7202B88">
      <w:start w:val="1"/>
      <w:numFmt w:val="bullet"/>
      <w:lvlText w:val=""/>
      <w:lvlJc w:val="left"/>
      <w:pPr>
        <w:ind w:left="5040" w:hanging="360"/>
      </w:pPr>
      <w:rPr>
        <w:rFonts w:ascii="Symbol" w:hAnsi="Symbol" w:hint="default"/>
      </w:rPr>
    </w:lvl>
    <w:lvl w:ilvl="7" w:tplc="7D129656">
      <w:start w:val="1"/>
      <w:numFmt w:val="bullet"/>
      <w:lvlText w:val="o"/>
      <w:lvlJc w:val="left"/>
      <w:pPr>
        <w:ind w:left="5760" w:hanging="360"/>
      </w:pPr>
      <w:rPr>
        <w:rFonts w:ascii="Courier New" w:hAnsi="Courier New" w:hint="default"/>
      </w:rPr>
    </w:lvl>
    <w:lvl w:ilvl="8" w:tplc="E444AA78">
      <w:start w:val="1"/>
      <w:numFmt w:val="bullet"/>
      <w:lvlText w:val=""/>
      <w:lvlJc w:val="left"/>
      <w:pPr>
        <w:ind w:left="6480" w:hanging="360"/>
      </w:pPr>
      <w:rPr>
        <w:rFonts w:ascii="Wingdings" w:hAnsi="Wingdings" w:hint="default"/>
      </w:rPr>
    </w:lvl>
  </w:abstractNum>
  <w:abstractNum w:abstractNumId="13" w15:restartNumberingAfterBreak="0">
    <w:nsid w:val="332013D1"/>
    <w:multiLevelType w:val="multilevel"/>
    <w:tmpl w:val="C7C21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94E41"/>
    <w:multiLevelType w:val="hybridMultilevel"/>
    <w:tmpl w:val="FFFFFFFF"/>
    <w:lvl w:ilvl="0" w:tplc="FD7E8908">
      <w:start w:val="1"/>
      <w:numFmt w:val="decimal"/>
      <w:lvlText w:val="%1."/>
      <w:lvlJc w:val="left"/>
      <w:pPr>
        <w:ind w:left="720" w:hanging="360"/>
      </w:pPr>
    </w:lvl>
    <w:lvl w:ilvl="1" w:tplc="93A82E46">
      <w:start w:val="1"/>
      <w:numFmt w:val="decimal"/>
      <w:lvlText w:val="%2."/>
      <w:lvlJc w:val="left"/>
      <w:pPr>
        <w:ind w:left="1800" w:hanging="360"/>
      </w:pPr>
    </w:lvl>
    <w:lvl w:ilvl="2" w:tplc="B142CC0E">
      <w:start w:val="1"/>
      <w:numFmt w:val="lowerRoman"/>
      <w:lvlText w:val="%3."/>
      <w:lvlJc w:val="right"/>
      <w:pPr>
        <w:ind w:left="2520" w:hanging="180"/>
      </w:pPr>
    </w:lvl>
    <w:lvl w:ilvl="3" w:tplc="C96A6104">
      <w:start w:val="1"/>
      <w:numFmt w:val="decimal"/>
      <w:lvlText w:val="%4."/>
      <w:lvlJc w:val="left"/>
      <w:pPr>
        <w:ind w:left="2880" w:hanging="360"/>
      </w:pPr>
    </w:lvl>
    <w:lvl w:ilvl="4" w:tplc="4F10906E">
      <w:start w:val="1"/>
      <w:numFmt w:val="lowerLetter"/>
      <w:lvlText w:val="%5."/>
      <w:lvlJc w:val="left"/>
      <w:pPr>
        <w:ind w:left="3600" w:hanging="360"/>
      </w:pPr>
    </w:lvl>
    <w:lvl w:ilvl="5" w:tplc="746E3386">
      <w:start w:val="1"/>
      <w:numFmt w:val="lowerRoman"/>
      <w:lvlText w:val="%6."/>
      <w:lvlJc w:val="right"/>
      <w:pPr>
        <w:ind w:left="4320" w:hanging="180"/>
      </w:pPr>
    </w:lvl>
    <w:lvl w:ilvl="6" w:tplc="2B26B86C">
      <w:start w:val="1"/>
      <w:numFmt w:val="decimal"/>
      <w:lvlText w:val="%7."/>
      <w:lvlJc w:val="left"/>
      <w:pPr>
        <w:ind w:left="5040" w:hanging="360"/>
      </w:pPr>
    </w:lvl>
    <w:lvl w:ilvl="7" w:tplc="90D6F7D2">
      <w:start w:val="1"/>
      <w:numFmt w:val="lowerLetter"/>
      <w:lvlText w:val="%8."/>
      <w:lvlJc w:val="left"/>
      <w:pPr>
        <w:ind w:left="5760" w:hanging="360"/>
      </w:pPr>
    </w:lvl>
    <w:lvl w:ilvl="8" w:tplc="B7502B66">
      <w:start w:val="1"/>
      <w:numFmt w:val="lowerRoman"/>
      <w:lvlText w:val="%9."/>
      <w:lvlJc w:val="right"/>
      <w:pPr>
        <w:ind w:left="6480" w:hanging="180"/>
      </w:pPr>
    </w:lvl>
  </w:abstractNum>
  <w:abstractNum w:abstractNumId="15" w15:restartNumberingAfterBreak="0">
    <w:nsid w:val="36772F2E"/>
    <w:multiLevelType w:val="hybridMultilevel"/>
    <w:tmpl w:val="9270454A"/>
    <w:lvl w:ilvl="0" w:tplc="2000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85A1C3A"/>
    <w:multiLevelType w:val="hybridMultilevel"/>
    <w:tmpl w:val="E16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BE73AB"/>
    <w:multiLevelType w:val="multilevel"/>
    <w:tmpl w:val="6AFE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7A3756"/>
    <w:multiLevelType w:val="hybridMultilevel"/>
    <w:tmpl w:val="323A6706"/>
    <w:lvl w:ilvl="0" w:tplc="2000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9D10FC"/>
    <w:multiLevelType w:val="multilevel"/>
    <w:tmpl w:val="6DF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66365"/>
    <w:multiLevelType w:val="hybridMultilevel"/>
    <w:tmpl w:val="24AA1A22"/>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36183A"/>
    <w:multiLevelType w:val="hybridMultilevel"/>
    <w:tmpl w:val="D29AE80C"/>
    <w:lvl w:ilvl="0" w:tplc="FFFFFFFF">
      <w:start w:val="1"/>
      <w:numFmt w:val="decimal"/>
      <w:lvlText w:val="%1."/>
      <w:lvlJc w:val="left"/>
      <w:pPr>
        <w:ind w:left="360" w:hanging="360"/>
      </w:pPr>
      <w:rPr>
        <w:rFonts w:hint="default"/>
        <w:b/>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7735317"/>
    <w:multiLevelType w:val="hybridMultilevel"/>
    <w:tmpl w:val="B1F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028D4"/>
    <w:multiLevelType w:val="multilevel"/>
    <w:tmpl w:val="ED2A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AD11C0"/>
    <w:multiLevelType w:val="hybridMultilevel"/>
    <w:tmpl w:val="3AEE385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D5267C8"/>
    <w:multiLevelType w:val="hybridMultilevel"/>
    <w:tmpl w:val="7674AF78"/>
    <w:lvl w:ilvl="0" w:tplc="3CE692F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1323A4"/>
    <w:multiLevelType w:val="hybridMultilevel"/>
    <w:tmpl w:val="E3DAD5F4"/>
    <w:lvl w:ilvl="0" w:tplc="2000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19727A"/>
    <w:multiLevelType w:val="multilevel"/>
    <w:tmpl w:val="238C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6C0460"/>
    <w:multiLevelType w:val="multilevel"/>
    <w:tmpl w:val="EF42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F7A4A"/>
    <w:multiLevelType w:val="hybridMultilevel"/>
    <w:tmpl w:val="7EB8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3501F0"/>
    <w:multiLevelType w:val="multilevel"/>
    <w:tmpl w:val="2834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051F21"/>
    <w:multiLevelType w:val="hybridMultilevel"/>
    <w:tmpl w:val="FFFFFFFF"/>
    <w:lvl w:ilvl="0" w:tplc="02606F0E">
      <w:start w:val="1"/>
      <w:numFmt w:val="bullet"/>
      <w:lvlText w:val=""/>
      <w:lvlJc w:val="left"/>
      <w:pPr>
        <w:ind w:left="720" w:hanging="360"/>
      </w:pPr>
      <w:rPr>
        <w:rFonts w:ascii="Symbol" w:hAnsi="Symbol" w:hint="default"/>
      </w:rPr>
    </w:lvl>
    <w:lvl w:ilvl="1" w:tplc="F3B2973E">
      <w:start w:val="1"/>
      <w:numFmt w:val="bullet"/>
      <w:lvlText w:val="o"/>
      <w:lvlJc w:val="left"/>
      <w:pPr>
        <w:ind w:left="1440" w:hanging="360"/>
      </w:pPr>
      <w:rPr>
        <w:rFonts w:ascii="Courier New" w:hAnsi="Courier New" w:hint="default"/>
      </w:rPr>
    </w:lvl>
    <w:lvl w:ilvl="2" w:tplc="9F923724">
      <w:start w:val="1"/>
      <w:numFmt w:val="bullet"/>
      <w:lvlText w:val=""/>
      <w:lvlJc w:val="left"/>
      <w:pPr>
        <w:ind w:left="2160" w:hanging="360"/>
      </w:pPr>
      <w:rPr>
        <w:rFonts w:ascii="Wingdings" w:hAnsi="Wingdings" w:hint="default"/>
      </w:rPr>
    </w:lvl>
    <w:lvl w:ilvl="3" w:tplc="BF907EA0">
      <w:start w:val="1"/>
      <w:numFmt w:val="bullet"/>
      <w:lvlText w:val=""/>
      <w:lvlJc w:val="left"/>
      <w:pPr>
        <w:ind w:left="2880" w:hanging="360"/>
      </w:pPr>
      <w:rPr>
        <w:rFonts w:ascii="Symbol" w:hAnsi="Symbol" w:hint="default"/>
      </w:rPr>
    </w:lvl>
    <w:lvl w:ilvl="4" w:tplc="3E3E3838">
      <w:start w:val="1"/>
      <w:numFmt w:val="bullet"/>
      <w:lvlText w:val="o"/>
      <w:lvlJc w:val="left"/>
      <w:pPr>
        <w:ind w:left="3600" w:hanging="360"/>
      </w:pPr>
      <w:rPr>
        <w:rFonts w:ascii="Courier New" w:hAnsi="Courier New" w:hint="default"/>
      </w:rPr>
    </w:lvl>
    <w:lvl w:ilvl="5" w:tplc="2DB2781E">
      <w:start w:val="1"/>
      <w:numFmt w:val="bullet"/>
      <w:lvlText w:val=""/>
      <w:lvlJc w:val="left"/>
      <w:pPr>
        <w:ind w:left="4320" w:hanging="360"/>
      </w:pPr>
      <w:rPr>
        <w:rFonts w:ascii="Wingdings" w:hAnsi="Wingdings" w:hint="default"/>
      </w:rPr>
    </w:lvl>
    <w:lvl w:ilvl="6" w:tplc="77B4C792">
      <w:start w:val="1"/>
      <w:numFmt w:val="bullet"/>
      <w:lvlText w:val=""/>
      <w:lvlJc w:val="left"/>
      <w:pPr>
        <w:ind w:left="5040" w:hanging="360"/>
      </w:pPr>
      <w:rPr>
        <w:rFonts w:ascii="Symbol" w:hAnsi="Symbol" w:hint="default"/>
      </w:rPr>
    </w:lvl>
    <w:lvl w:ilvl="7" w:tplc="C062212E">
      <w:start w:val="1"/>
      <w:numFmt w:val="bullet"/>
      <w:lvlText w:val="o"/>
      <w:lvlJc w:val="left"/>
      <w:pPr>
        <w:ind w:left="5760" w:hanging="360"/>
      </w:pPr>
      <w:rPr>
        <w:rFonts w:ascii="Courier New" w:hAnsi="Courier New" w:hint="default"/>
      </w:rPr>
    </w:lvl>
    <w:lvl w:ilvl="8" w:tplc="5D2269BA">
      <w:start w:val="1"/>
      <w:numFmt w:val="bullet"/>
      <w:lvlText w:val=""/>
      <w:lvlJc w:val="left"/>
      <w:pPr>
        <w:ind w:left="6480" w:hanging="360"/>
      </w:pPr>
      <w:rPr>
        <w:rFonts w:ascii="Wingdings" w:hAnsi="Wingdings" w:hint="default"/>
      </w:rPr>
    </w:lvl>
  </w:abstractNum>
  <w:abstractNum w:abstractNumId="32" w15:restartNumberingAfterBreak="0">
    <w:nsid w:val="6E015D6F"/>
    <w:multiLevelType w:val="multilevel"/>
    <w:tmpl w:val="69C6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D682E"/>
    <w:multiLevelType w:val="multilevel"/>
    <w:tmpl w:val="0E5A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65F10"/>
    <w:multiLevelType w:val="multilevel"/>
    <w:tmpl w:val="584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83E58"/>
    <w:multiLevelType w:val="multilevel"/>
    <w:tmpl w:val="E71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305582">
    <w:abstractNumId w:val="7"/>
  </w:num>
  <w:num w:numId="2" w16cid:durableId="319769357">
    <w:abstractNumId w:val="12"/>
  </w:num>
  <w:num w:numId="3" w16cid:durableId="762645101">
    <w:abstractNumId w:val="31"/>
  </w:num>
  <w:num w:numId="4" w16cid:durableId="1401638482">
    <w:abstractNumId w:val="14"/>
  </w:num>
  <w:num w:numId="5" w16cid:durableId="2027634354">
    <w:abstractNumId w:val="20"/>
  </w:num>
  <w:num w:numId="6" w16cid:durableId="719944314">
    <w:abstractNumId w:val="24"/>
  </w:num>
  <w:num w:numId="7" w16cid:durableId="1032535575">
    <w:abstractNumId w:val="16"/>
  </w:num>
  <w:num w:numId="8" w16cid:durableId="2062484187">
    <w:abstractNumId w:val="22"/>
  </w:num>
  <w:num w:numId="9" w16cid:durableId="1503427311">
    <w:abstractNumId w:val="28"/>
  </w:num>
  <w:num w:numId="10" w16cid:durableId="287012571">
    <w:abstractNumId w:val="34"/>
  </w:num>
  <w:num w:numId="11" w16cid:durableId="445009741">
    <w:abstractNumId w:val="32"/>
  </w:num>
  <w:num w:numId="12" w16cid:durableId="1290210650">
    <w:abstractNumId w:val="4"/>
  </w:num>
  <w:num w:numId="13" w16cid:durableId="1886672473">
    <w:abstractNumId w:val="9"/>
  </w:num>
  <w:num w:numId="14" w16cid:durableId="2002922728">
    <w:abstractNumId w:val="1"/>
  </w:num>
  <w:num w:numId="15" w16cid:durableId="381516223">
    <w:abstractNumId w:val="23"/>
  </w:num>
  <w:num w:numId="16" w16cid:durableId="2022047842">
    <w:abstractNumId w:val="30"/>
  </w:num>
  <w:num w:numId="17" w16cid:durableId="1278025169">
    <w:abstractNumId w:val="17"/>
  </w:num>
  <w:num w:numId="18" w16cid:durableId="1817869965">
    <w:abstractNumId w:val="3"/>
  </w:num>
  <w:num w:numId="19" w16cid:durableId="1122841408">
    <w:abstractNumId w:val="2"/>
  </w:num>
  <w:num w:numId="20" w16cid:durableId="1041704555">
    <w:abstractNumId w:val="27"/>
  </w:num>
  <w:num w:numId="21" w16cid:durableId="561527786">
    <w:abstractNumId w:val="33"/>
  </w:num>
  <w:num w:numId="22" w16cid:durableId="1767460667">
    <w:abstractNumId w:val="13"/>
  </w:num>
  <w:num w:numId="23" w16cid:durableId="26565926">
    <w:abstractNumId w:val="35"/>
  </w:num>
  <w:num w:numId="24" w16cid:durableId="1363748426">
    <w:abstractNumId w:val="19"/>
  </w:num>
  <w:num w:numId="25" w16cid:durableId="168522549">
    <w:abstractNumId w:val="8"/>
  </w:num>
  <w:num w:numId="26" w16cid:durableId="902104770">
    <w:abstractNumId w:val="29"/>
  </w:num>
  <w:num w:numId="27" w16cid:durableId="628583751">
    <w:abstractNumId w:val="5"/>
  </w:num>
  <w:num w:numId="28" w16cid:durableId="1973559108">
    <w:abstractNumId w:val="10"/>
  </w:num>
  <w:num w:numId="29" w16cid:durableId="890120941">
    <w:abstractNumId w:val="0"/>
  </w:num>
  <w:num w:numId="30" w16cid:durableId="1179856396">
    <w:abstractNumId w:val="18"/>
  </w:num>
  <w:num w:numId="31" w16cid:durableId="754857283">
    <w:abstractNumId w:val="6"/>
  </w:num>
  <w:num w:numId="32" w16cid:durableId="338428606">
    <w:abstractNumId w:val="26"/>
  </w:num>
  <w:num w:numId="33" w16cid:durableId="999966452">
    <w:abstractNumId w:val="15"/>
  </w:num>
  <w:num w:numId="34" w16cid:durableId="1784884577">
    <w:abstractNumId w:val="11"/>
  </w:num>
  <w:num w:numId="35" w16cid:durableId="804546971">
    <w:abstractNumId w:val="25"/>
  </w:num>
  <w:num w:numId="36" w16cid:durableId="604847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8"/>
    <w:rsid w:val="0000005A"/>
    <w:rsid w:val="00000A1C"/>
    <w:rsid w:val="0000736C"/>
    <w:rsid w:val="00012E26"/>
    <w:rsid w:val="00021DBF"/>
    <w:rsid w:val="000279F3"/>
    <w:rsid w:val="00044345"/>
    <w:rsid w:val="0005027A"/>
    <w:rsid w:val="00054D01"/>
    <w:rsid w:val="000558DB"/>
    <w:rsid w:val="00080D30"/>
    <w:rsid w:val="0008232A"/>
    <w:rsid w:val="000828F7"/>
    <w:rsid w:val="0008383B"/>
    <w:rsid w:val="000A0F1E"/>
    <w:rsid w:val="000D381B"/>
    <w:rsid w:val="000D65C3"/>
    <w:rsid w:val="000D6A76"/>
    <w:rsid w:val="001026C5"/>
    <w:rsid w:val="00102A08"/>
    <w:rsid w:val="00120811"/>
    <w:rsid w:val="0013017C"/>
    <w:rsid w:val="00130B71"/>
    <w:rsid w:val="00135AA4"/>
    <w:rsid w:val="00135B68"/>
    <w:rsid w:val="00137013"/>
    <w:rsid w:val="0014041D"/>
    <w:rsid w:val="00144613"/>
    <w:rsid w:val="00145C7A"/>
    <w:rsid w:val="00151110"/>
    <w:rsid w:val="00152FEB"/>
    <w:rsid w:val="001534D8"/>
    <w:rsid w:val="001602F5"/>
    <w:rsid w:val="0016535B"/>
    <w:rsid w:val="00166F96"/>
    <w:rsid w:val="00176710"/>
    <w:rsid w:val="00177E8D"/>
    <w:rsid w:val="0018016E"/>
    <w:rsid w:val="001846E9"/>
    <w:rsid w:val="001A08EE"/>
    <w:rsid w:val="001A37BF"/>
    <w:rsid w:val="001A3991"/>
    <w:rsid w:val="001A642D"/>
    <w:rsid w:val="001A696C"/>
    <w:rsid w:val="001B12F4"/>
    <w:rsid w:val="001B1F36"/>
    <w:rsid w:val="001B7E31"/>
    <w:rsid w:val="001C13AD"/>
    <w:rsid w:val="001C5A85"/>
    <w:rsid w:val="001E3067"/>
    <w:rsid w:val="001E5070"/>
    <w:rsid w:val="001E54EB"/>
    <w:rsid w:val="00202BDE"/>
    <w:rsid w:val="00221A67"/>
    <w:rsid w:val="00230967"/>
    <w:rsid w:val="002324A1"/>
    <w:rsid w:val="0024648D"/>
    <w:rsid w:val="00267587"/>
    <w:rsid w:val="00273FB5"/>
    <w:rsid w:val="002765E1"/>
    <w:rsid w:val="002768BF"/>
    <w:rsid w:val="00277B6F"/>
    <w:rsid w:val="00281167"/>
    <w:rsid w:val="00293D58"/>
    <w:rsid w:val="00296267"/>
    <w:rsid w:val="002A05F0"/>
    <w:rsid w:val="002A0D4D"/>
    <w:rsid w:val="002B2D67"/>
    <w:rsid w:val="002B7E72"/>
    <w:rsid w:val="002C0FB2"/>
    <w:rsid w:val="002C77A9"/>
    <w:rsid w:val="002D2EAA"/>
    <w:rsid w:val="002D4F79"/>
    <w:rsid w:val="002E0E57"/>
    <w:rsid w:val="002F10DA"/>
    <w:rsid w:val="002F7B47"/>
    <w:rsid w:val="003013F1"/>
    <w:rsid w:val="003072B7"/>
    <w:rsid w:val="003142A6"/>
    <w:rsid w:val="00316D3D"/>
    <w:rsid w:val="003173B0"/>
    <w:rsid w:val="00326546"/>
    <w:rsid w:val="00333E6E"/>
    <w:rsid w:val="00335078"/>
    <w:rsid w:val="00340EC1"/>
    <w:rsid w:val="003429AE"/>
    <w:rsid w:val="00344734"/>
    <w:rsid w:val="00346308"/>
    <w:rsid w:val="00366438"/>
    <w:rsid w:val="00371511"/>
    <w:rsid w:val="00374332"/>
    <w:rsid w:val="003753EA"/>
    <w:rsid w:val="0037718E"/>
    <w:rsid w:val="003839B4"/>
    <w:rsid w:val="0038793E"/>
    <w:rsid w:val="003A3ECD"/>
    <w:rsid w:val="003A3F34"/>
    <w:rsid w:val="003B157E"/>
    <w:rsid w:val="003D44E3"/>
    <w:rsid w:val="003E2569"/>
    <w:rsid w:val="003E5473"/>
    <w:rsid w:val="003E5F2C"/>
    <w:rsid w:val="003E6932"/>
    <w:rsid w:val="003F3D0A"/>
    <w:rsid w:val="003F445A"/>
    <w:rsid w:val="00406FA3"/>
    <w:rsid w:val="00411BCD"/>
    <w:rsid w:val="0041430F"/>
    <w:rsid w:val="00417B09"/>
    <w:rsid w:val="00423A50"/>
    <w:rsid w:val="00425638"/>
    <w:rsid w:val="00430378"/>
    <w:rsid w:val="00442301"/>
    <w:rsid w:val="004618DD"/>
    <w:rsid w:val="0046752D"/>
    <w:rsid w:val="00472A17"/>
    <w:rsid w:val="004741DB"/>
    <w:rsid w:val="004A303E"/>
    <w:rsid w:val="004A5898"/>
    <w:rsid w:val="004B6330"/>
    <w:rsid w:val="004B6E2F"/>
    <w:rsid w:val="004C1B8A"/>
    <w:rsid w:val="004E6884"/>
    <w:rsid w:val="004E713F"/>
    <w:rsid w:val="004F582D"/>
    <w:rsid w:val="00503748"/>
    <w:rsid w:val="00503E7C"/>
    <w:rsid w:val="00512840"/>
    <w:rsid w:val="0051465A"/>
    <w:rsid w:val="0055155E"/>
    <w:rsid w:val="00557B50"/>
    <w:rsid w:val="00557B63"/>
    <w:rsid w:val="00562A0C"/>
    <w:rsid w:val="0056462B"/>
    <w:rsid w:val="00585A20"/>
    <w:rsid w:val="0059371F"/>
    <w:rsid w:val="00594520"/>
    <w:rsid w:val="005A2121"/>
    <w:rsid w:val="005A21A2"/>
    <w:rsid w:val="005B22C3"/>
    <w:rsid w:val="005B2C4C"/>
    <w:rsid w:val="005D21E6"/>
    <w:rsid w:val="005D524D"/>
    <w:rsid w:val="005D60A6"/>
    <w:rsid w:val="005E320E"/>
    <w:rsid w:val="005E6D33"/>
    <w:rsid w:val="005E6FFA"/>
    <w:rsid w:val="00605F41"/>
    <w:rsid w:val="00613542"/>
    <w:rsid w:val="00621601"/>
    <w:rsid w:val="00623F03"/>
    <w:rsid w:val="00624CE9"/>
    <w:rsid w:val="00630969"/>
    <w:rsid w:val="00634D7D"/>
    <w:rsid w:val="006564DB"/>
    <w:rsid w:val="006721BB"/>
    <w:rsid w:val="00677729"/>
    <w:rsid w:val="0068579F"/>
    <w:rsid w:val="006942CE"/>
    <w:rsid w:val="00695B32"/>
    <w:rsid w:val="006B1C0C"/>
    <w:rsid w:val="006C4D70"/>
    <w:rsid w:val="006D111E"/>
    <w:rsid w:val="006D70E0"/>
    <w:rsid w:val="006E6C58"/>
    <w:rsid w:val="006F0D73"/>
    <w:rsid w:val="006F6E90"/>
    <w:rsid w:val="00706FBB"/>
    <w:rsid w:val="00710A78"/>
    <w:rsid w:val="007203B0"/>
    <w:rsid w:val="00721F41"/>
    <w:rsid w:val="007305BA"/>
    <w:rsid w:val="00746ED1"/>
    <w:rsid w:val="007503F1"/>
    <w:rsid w:val="00762421"/>
    <w:rsid w:val="00762CAE"/>
    <w:rsid w:val="00772FF5"/>
    <w:rsid w:val="00780567"/>
    <w:rsid w:val="00782FF1"/>
    <w:rsid w:val="00793B79"/>
    <w:rsid w:val="007D1887"/>
    <w:rsid w:val="007D2A55"/>
    <w:rsid w:val="007D4CA1"/>
    <w:rsid w:val="007E1319"/>
    <w:rsid w:val="007F16F1"/>
    <w:rsid w:val="00802755"/>
    <w:rsid w:val="00807C94"/>
    <w:rsid w:val="008129EC"/>
    <w:rsid w:val="008164E6"/>
    <w:rsid w:val="00823483"/>
    <w:rsid w:val="00830EF5"/>
    <w:rsid w:val="00831BD5"/>
    <w:rsid w:val="00833B9E"/>
    <w:rsid w:val="00834F30"/>
    <w:rsid w:val="008415E8"/>
    <w:rsid w:val="00845183"/>
    <w:rsid w:val="008541D2"/>
    <w:rsid w:val="00854DC7"/>
    <w:rsid w:val="00855DA7"/>
    <w:rsid w:val="00860752"/>
    <w:rsid w:val="008652BE"/>
    <w:rsid w:val="00867785"/>
    <w:rsid w:val="00873755"/>
    <w:rsid w:val="0089360A"/>
    <w:rsid w:val="008971C5"/>
    <w:rsid w:val="008A1BC8"/>
    <w:rsid w:val="008B0C7C"/>
    <w:rsid w:val="008B7ADD"/>
    <w:rsid w:val="008C28A3"/>
    <w:rsid w:val="008D0AE0"/>
    <w:rsid w:val="008D1A1E"/>
    <w:rsid w:val="008D7348"/>
    <w:rsid w:val="008E27EE"/>
    <w:rsid w:val="008E2FCC"/>
    <w:rsid w:val="008F4287"/>
    <w:rsid w:val="008F5B58"/>
    <w:rsid w:val="009020F0"/>
    <w:rsid w:val="00913C08"/>
    <w:rsid w:val="00914867"/>
    <w:rsid w:val="00914BED"/>
    <w:rsid w:val="00941F4C"/>
    <w:rsid w:val="0094488E"/>
    <w:rsid w:val="00954509"/>
    <w:rsid w:val="00962C2F"/>
    <w:rsid w:val="00971185"/>
    <w:rsid w:val="00977E4F"/>
    <w:rsid w:val="00992721"/>
    <w:rsid w:val="009A0634"/>
    <w:rsid w:val="009A10FC"/>
    <w:rsid w:val="009A3162"/>
    <w:rsid w:val="009A6F41"/>
    <w:rsid w:val="009B1C40"/>
    <w:rsid w:val="009C5D3A"/>
    <w:rsid w:val="00A10408"/>
    <w:rsid w:val="00A1315D"/>
    <w:rsid w:val="00A131F3"/>
    <w:rsid w:val="00A169AE"/>
    <w:rsid w:val="00A2280F"/>
    <w:rsid w:val="00A305AE"/>
    <w:rsid w:val="00A40A8A"/>
    <w:rsid w:val="00A42A8C"/>
    <w:rsid w:val="00A45BAB"/>
    <w:rsid w:val="00A47243"/>
    <w:rsid w:val="00A60356"/>
    <w:rsid w:val="00A611CE"/>
    <w:rsid w:val="00A6184E"/>
    <w:rsid w:val="00A63C5D"/>
    <w:rsid w:val="00A7019F"/>
    <w:rsid w:val="00A8157B"/>
    <w:rsid w:val="00A849AA"/>
    <w:rsid w:val="00A93687"/>
    <w:rsid w:val="00A936EF"/>
    <w:rsid w:val="00A94A9A"/>
    <w:rsid w:val="00A952A0"/>
    <w:rsid w:val="00A967CB"/>
    <w:rsid w:val="00A96A1D"/>
    <w:rsid w:val="00AA5DE9"/>
    <w:rsid w:val="00AB658B"/>
    <w:rsid w:val="00AD1C65"/>
    <w:rsid w:val="00AD6418"/>
    <w:rsid w:val="00AE03E8"/>
    <w:rsid w:val="00AE2C46"/>
    <w:rsid w:val="00AE3D83"/>
    <w:rsid w:val="00AF02C4"/>
    <w:rsid w:val="00B12FA3"/>
    <w:rsid w:val="00B138D6"/>
    <w:rsid w:val="00B3038C"/>
    <w:rsid w:val="00B30AC7"/>
    <w:rsid w:val="00B3542C"/>
    <w:rsid w:val="00B36A15"/>
    <w:rsid w:val="00B37A4E"/>
    <w:rsid w:val="00B37CDB"/>
    <w:rsid w:val="00B43148"/>
    <w:rsid w:val="00B565BB"/>
    <w:rsid w:val="00B643FB"/>
    <w:rsid w:val="00B72908"/>
    <w:rsid w:val="00B72FB9"/>
    <w:rsid w:val="00B75B2D"/>
    <w:rsid w:val="00B916CE"/>
    <w:rsid w:val="00B91793"/>
    <w:rsid w:val="00B929C6"/>
    <w:rsid w:val="00B93925"/>
    <w:rsid w:val="00BA082F"/>
    <w:rsid w:val="00BB66AB"/>
    <w:rsid w:val="00BD006E"/>
    <w:rsid w:val="00BE08F3"/>
    <w:rsid w:val="00BE2AFD"/>
    <w:rsid w:val="00BE65E5"/>
    <w:rsid w:val="00BE7DFE"/>
    <w:rsid w:val="00BF10FE"/>
    <w:rsid w:val="00BF4CA5"/>
    <w:rsid w:val="00BF4D88"/>
    <w:rsid w:val="00BF538B"/>
    <w:rsid w:val="00C044AE"/>
    <w:rsid w:val="00C056C8"/>
    <w:rsid w:val="00C12D32"/>
    <w:rsid w:val="00C13B6E"/>
    <w:rsid w:val="00C146E3"/>
    <w:rsid w:val="00C24669"/>
    <w:rsid w:val="00C2683D"/>
    <w:rsid w:val="00C36131"/>
    <w:rsid w:val="00C44391"/>
    <w:rsid w:val="00C46C9B"/>
    <w:rsid w:val="00C50D22"/>
    <w:rsid w:val="00C54F9A"/>
    <w:rsid w:val="00C66902"/>
    <w:rsid w:val="00C74BBE"/>
    <w:rsid w:val="00C83753"/>
    <w:rsid w:val="00C85F1F"/>
    <w:rsid w:val="00C9241A"/>
    <w:rsid w:val="00C943C4"/>
    <w:rsid w:val="00C94D94"/>
    <w:rsid w:val="00C95977"/>
    <w:rsid w:val="00CA232E"/>
    <w:rsid w:val="00CA361A"/>
    <w:rsid w:val="00CB4517"/>
    <w:rsid w:val="00CC57BC"/>
    <w:rsid w:val="00CD2922"/>
    <w:rsid w:val="00CE12C4"/>
    <w:rsid w:val="00CE4D3C"/>
    <w:rsid w:val="00D03E6A"/>
    <w:rsid w:val="00D1108D"/>
    <w:rsid w:val="00D137B1"/>
    <w:rsid w:val="00D229C5"/>
    <w:rsid w:val="00D23D33"/>
    <w:rsid w:val="00D25D57"/>
    <w:rsid w:val="00D32035"/>
    <w:rsid w:val="00D330F2"/>
    <w:rsid w:val="00D36F5E"/>
    <w:rsid w:val="00D511E7"/>
    <w:rsid w:val="00D51537"/>
    <w:rsid w:val="00D55A63"/>
    <w:rsid w:val="00D73934"/>
    <w:rsid w:val="00D74401"/>
    <w:rsid w:val="00D803D2"/>
    <w:rsid w:val="00D80991"/>
    <w:rsid w:val="00D85B28"/>
    <w:rsid w:val="00DA1B25"/>
    <w:rsid w:val="00DA1CA7"/>
    <w:rsid w:val="00DA3BCD"/>
    <w:rsid w:val="00DB0282"/>
    <w:rsid w:val="00DB63AC"/>
    <w:rsid w:val="00DB6AA4"/>
    <w:rsid w:val="00DC2E0C"/>
    <w:rsid w:val="00DC3992"/>
    <w:rsid w:val="00DD5CBC"/>
    <w:rsid w:val="00DF09FB"/>
    <w:rsid w:val="00DF34C2"/>
    <w:rsid w:val="00DF7C70"/>
    <w:rsid w:val="00DF7F92"/>
    <w:rsid w:val="00E047F2"/>
    <w:rsid w:val="00E15BBA"/>
    <w:rsid w:val="00E20FA0"/>
    <w:rsid w:val="00E22648"/>
    <w:rsid w:val="00E23C61"/>
    <w:rsid w:val="00E24C1D"/>
    <w:rsid w:val="00E27E7C"/>
    <w:rsid w:val="00E32CB3"/>
    <w:rsid w:val="00E36303"/>
    <w:rsid w:val="00E3640B"/>
    <w:rsid w:val="00E41947"/>
    <w:rsid w:val="00E62A58"/>
    <w:rsid w:val="00E66AF7"/>
    <w:rsid w:val="00E846A6"/>
    <w:rsid w:val="00E8675E"/>
    <w:rsid w:val="00EB72D2"/>
    <w:rsid w:val="00EB7A2A"/>
    <w:rsid w:val="00EC1561"/>
    <w:rsid w:val="00EC533D"/>
    <w:rsid w:val="00EC560F"/>
    <w:rsid w:val="00ED0FBC"/>
    <w:rsid w:val="00ED1D63"/>
    <w:rsid w:val="00ED3785"/>
    <w:rsid w:val="00ED562D"/>
    <w:rsid w:val="00ED6976"/>
    <w:rsid w:val="00ED6ED0"/>
    <w:rsid w:val="00EE114C"/>
    <w:rsid w:val="00F15BDC"/>
    <w:rsid w:val="00F1618A"/>
    <w:rsid w:val="00F1721D"/>
    <w:rsid w:val="00F20255"/>
    <w:rsid w:val="00F223C1"/>
    <w:rsid w:val="00F22A16"/>
    <w:rsid w:val="00F231C9"/>
    <w:rsid w:val="00F33C7D"/>
    <w:rsid w:val="00F35FB0"/>
    <w:rsid w:val="00F46A06"/>
    <w:rsid w:val="00F51B0E"/>
    <w:rsid w:val="00F572A1"/>
    <w:rsid w:val="00F60D2A"/>
    <w:rsid w:val="00F64E2A"/>
    <w:rsid w:val="00F66987"/>
    <w:rsid w:val="00F76E95"/>
    <w:rsid w:val="00F8346A"/>
    <w:rsid w:val="00F97575"/>
    <w:rsid w:val="00F97B72"/>
    <w:rsid w:val="00FB1C61"/>
    <w:rsid w:val="00FB488B"/>
    <w:rsid w:val="00FF5839"/>
    <w:rsid w:val="01DA210A"/>
    <w:rsid w:val="01DEB022"/>
    <w:rsid w:val="01E1A2C5"/>
    <w:rsid w:val="030122DD"/>
    <w:rsid w:val="04D70CF3"/>
    <w:rsid w:val="055F4E04"/>
    <w:rsid w:val="05738D73"/>
    <w:rsid w:val="0583D595"/>
    <w:rsid w:val="058B7B3B"/>
    <w:rsid w:val="05DE0080"/>
    <w:rsid w:val="05FFF9C7"/>
    <w:rsid w:val="06975DA5"/>
    <w:rsid w:val="06B60BF9"/>
    <w:rsid w:val="07E143F2"/>
    <w:rsid w:val="0814ABE8"/>
    <w:rsid w:val="0858BBBC"/>
    <w:rsid w:val="08D5E084"/>
    <w:rsid w:val="08FB3AAE"/>
    <w:rsid w:val="094D7535"/>
    <w:rsid w:val="098C27CB"/>
    <w:rsid w:val="09C97787"/>
    <w:rsid w:val="0A2244AA"/>
    <w:rsid w:val="0A906A9C"/>
    <w:rsid w:val="0BFD153B"/>
    <w:rsid w:val="0C4239D2"/>
    <w:rsid w:val="0C993002"/>
    <w:rsid w:val="0CA8C27C"/>
    <w:rsid w:val="0CE27E0C"/>
    <w:rsid w:val="0DF3163D"/>
    <w:rsid w:val="0E1E5383"/>
    <w:rsid w:val="0E4F3FEE"/>
    <w:rsid w:val="0EC8EBD2"/>
    <w:rsid w:val="0F1E1392"/>
    <w:rsid w:val="0F2CB492"/>
    <w:rsid w:val="10D9B067"/>
    <w:rsid w:val="113C06D0"/>
    <w:rsid w:val="116CE340"/>
    <w:rsid w:val="1209BD36"/>
    <w:rsid w:val="1222C743"/>
    <w:rsid w:val="1332FE63"/>
    <w:rsid w:val="136FD38C"/>
    <w:rsid w:val="13C8E049"/>
    <w:rsid w:val="13DC3AD2"/>
    <w:rsid w:val="1455A131"/>
    <w:rsid w:val="14A0CB0E"/>
    <w:rsid w:val="14E017BB"/>
    <w:rsid w:val="14F7F8DB"/>
    <w:rsid w:val="151A27A6"/>
    <w:rsid w:val="1586FAB5"/>
    <w:rsid w:val="15AF4981"/>
    <w:rsid w:val="162EE7D6"/>
    <w:rsid w:val="1634ABA8"/>
    <w:rsid w:val="16749F5C"/>
    <w:rsid w:val="176CB95E"/>
    <w:rsid w:val="18455A5E"/>
    <w:rsid w:val="1C44FDDC"/>
    <w:rsid w:val="1D1D462C"/>
    <w:rsid w:val="1DE6BF87"/>
    <w:rsid w:val="1E6FDD13"/>
    <w:rsid w:val="1EABB0CF"/>
    <w:rsid w:val="1F406359"/>
    <w:rsid w:val="1F811E26"/>
    <w:rsid w:val="214350E2"/>
    <w:rsid w:val="21AE9F06"/>
    <w:rsid w:val="22FA8D58"/>
    <w:rsid w:val="2342E819"/>
    <w:rsid w:val="23967263"/>
    <w:rsid w:val="239E94D0"/>
    <w:rsid w:val="23AECB2D"/>
    <w:rsid w:val="23F5C096"/>
    <w:rsid w:val="24236ED6"/>
    <w:rsid w:val="245D45CC"/>
    <w:rsid w:val="245D6479"/>
    <w:rsid w:val="24B022E3"/>
    <w:rsid w:val="25297474"/>
    <w:rsid w:val="2571E83D"/>
    <w:rsid w:val="25B105B4"/>
    <w:rsid w:val="2668BB66"/>
    <w:rsid w:val="27608657"/>
    <w:rsid w:val="284AEC5F"/>
    <w:rsid w:val="288511F5"/>
    <w:rsid w:val="29BDAE01"/>
    <w:rsid w:val="2A1777B1"/>
    <w:rsid w:val="2A344B2B"/>
    <w:rsid w:val="2A9BB6E5"/>
    <w:rsid w:val="2AA346D5"/>
    <w:rsid w:val="2BC67F9E"/>
    <w:rsid w:val="2BC8E610"/>
    <w:rsid w:val="2E966B04"/>
    <w:rsid w:val="2F5756F6"/>
    <w:rsid w:val="30269082"/>
    <w:rsid w:val="304F5A73"/>
    <w:rsid w:val="30516C9C"/>
    <w:rsid w:val="309795B0"/>
    <w:rsid w:val="30A0AEF8"/>
    <w:rsid w:val="30CAC976"/>
    <w:rsid w:val="31375565"/>
    <w:rsid w:val="31D75318"/>
    <w:rsid w:val="329CBCB2"/>
    <w:rsid w:val="334CE291"/>
    <w:rsid w:val="33A54C2D"/>
    <w:rsid w:val="33BB3871"/>
    <w:rsid w:val="33BE49AB"/>
    <w:rsid w:val="349DF21F"/>
    <w:rsid w:val="35F9E276"/>
    <w:rsid w:val="363E9946"/>
    <w:rsid w:val="364A4504"/>
    <w:rsid w:val="36FB3B02"/>
    <w:rsid w:val="37C134FE"/>
    <w:rsid w:val="37EE27B9"/>
    <w:rsid w:val="3803E733"/>
    <w:rsid w:val="3805A305"/>
    <w:rsid w:val="384FED77"/>
    <w:rsid w:val="386504AE"/>
    <w:rsid w:val="3874D567"/>
    <w:rsid w:val="3913F753"/>
    <w:rsid w:val="3A81C0A1"/>
    <w:rsid w:val="3B5DB681"/>
    <w:rsid w:val="3B8FA0BE"/>
    <w:rsid w:val="3B9835B4"/>
    <w:rsid w:val="3BE2229F"/>
    <w:rsid w:val="3C5078A2"/>
    <w:rsid w:val="3CF715CD"/>
    <w:rsid w:val="3F9CC111"/>
    <w:rsid w:val="3FE594D6"/>
    <w:rsid w:val="4050EE05"/>
    <w:rsid w:val="40B2B31D"/>
    <w:rsid w:val="41339433"/>
    <w:rsid w:val="422F3429"/>
    <w:rsid w:val="42572992"/>
    <w:rsid w:val="4270C7B8"/>
    <w:rsid w:val="4298952C"/>
    <w:rsid w:val="42A5C3AF"/>
    <w:rsid w:val="43477C2D"/>
    <w:rsid w:val="434CD619"/>
    <w:rsid w:val="436EED6E"/>
    <w:rsid w:val="446257C6"/>
    <w:rsid w:val="46428495"/>
    <w:rsid w:val="46456095"/>
    <w:rsid w:val="46459CB8"/>
    <w:rsid w:val="48D116FE"/>
    <w:rsid w:val="48DA6556"/>
    <w:rsid w:val="49E5D7E9"/>
    <w:rsid w:val="4A86368A"/>
    <w:rsid w:val="4A9053A4"/>
    <w:rsid w:val="4B04F17F"/>
    <w:rsid w:val="4C3929C2"/>
    <w:rsid w:val="4C5A607B"/>
    <w:rsid w:val="4CDFF6EA"/>
    <w:rsid w:val="4D0BB97C"/>
    <w:rsid w:val="4DEE4239"/>
    <w:rsid w:val="4E707DDD"/>
    <w:rsid w:val="4F1467F5"/>
    <w:rsid w:val="4FB554EF"/>
    <w:rsid w:val="4FC4D2E1"/>
    <w:rsid w:val="50B48437"/>
    <w:rsid w:val="513D0617"/>
    <w:rsid w:val="52285CA2"/>
    <w:rsid w:val="525084FD"/>
    <w:rsid w:val="53794A3E"/>
    <w:rsid w:val="53C8F9F2"/>
    <w:rsid w:val="53CFDA3B"/>
    <w:rsid w:val="53F1DB3B"/>
    <w:rsid w:val="54AC423A"/>
    <w:rsid w:val="55106494"/>
    <w:rsid w:val="5528F28D"/>
    <w:rsid w:val="567E51E2"/>
    <w:rsid w:val="568B0755"/>
    <w:rsid w:val="570C9C49"/>
    <w:rsid w:val="57CBC943"/>
    <w:rsid w:val="58EAFDE2"/>
    <w:rsid w:val="591A1338"/>
    <w:rsid w:val="5A501123"/>
    <w:rsid w:val="5AF89573"/>
    <w:rsid w:val="5B46D3AF"/>
    <w:rsid w:val="5BE3050E"/>
    <w:rsid w:val="5C9536E7"/>
    <w:rsid w:val="5CE793DE"/>
    <w:rsid w:val="5D1C563A"/>
    <w:rsid w:val="5D25F424"/>
    <w:rsid w:val="5D29733E"/>
    <w:rsid w:val="5D4F7BF3"/>
    <w:rsid w:val="5DCFADE8"/>
    <w:rsid w:val="5E431164"/>
    <w:rsid w:val="5F22E4BE"/>
    <w:rsid w:val="5FF2B6CF"/>
    <w:rsid w:val="604772C0"/>
    <w:rsid w:val="610B8D66"/>
    <w:rsid w:val="6163FF02"/>
    <w:rsid w:val="61C4B11F"/>
    <w:rsid w:val="62534947"/>
    <w:rsid w:val="62E75DB5"/>
    <w:rsid w:val="649454C3"/>
    <w:rsid w:val="664AB6B8"/>
    <w:rsid w:val="66FA19A6"/>
    <w:rsid w:val="6706CAF1"/>
    <w:rsid w:val="67E1CCD0"/>
    <w:rsid w:val="68364E2A"/>
    <w:rsid w:val="689E04D9"/>
    <w:rsid w:val="68D98EC8"/>
    <w:rsid w:val="68FB22E6"/>
    <w:rsid w:val="69DBC3AB"/>
    <w:rsid w:val="6A189E32"/>
    <w:rsid w:val="6A88086A"/>
    <w:rsid w:val="6ADC1846"/>
    <w:rsid w:val="6B19CED0"/>
    <w:rsid w:val="6B2673BB"/>
    <w:rsid w:val="6B6B8800"/>
    <w:rsid w:val="6C5B550E"/>
    <w:rsid w:val="6CD8550B"/>
    <w:rsid w:val="6CE4D0D4"/>
    <w:rsid w:val="6D8A65D7"/>
    <w:rsid w:val="6DAD03E8"/>
    <w:rsid w:val="6EB05AA5"/>
    <w:rsid w:val="6F02A5FC"/>
    <w:rsid w:val="6FC344B2"/>
    <w:rsid w:val="700A8856"/>
    <w:rsid w:val="70383F11"/>
    <w:rsid w:val="708ECF84"/>
    <w:rsid w:val="717B570A"/>
    <w:rsid w:val="737126D2"/>
    <w:rsid w:val="74027367"/>
    <w:rsid w:val="7476165E"/>
    <w:rsid w:val="747E5392"/>
    <w:rsid w:val="75AD8EF2"/>
    <w:rsid w:val="775849FF"/>
    <w:rsid w:val="787BB944"/>
    <w:rsid w:val="798566BB"/>
    <w:rsid w:val="7A54FFE3"/>
    <w:rsid w:val="7AC7F98F"/>
    <w:rsid w:val="7B73BFAF"/>
    <w:rsid w:val="7C2155AA"/>
    <w:rsid w:val="7CA7A35A"/>
    <w:rsid w:val="7D570813"/>
    <w:rsid w:val="7ED3CD78"/>
    <w:rsid w:val="7F404C83"/>
    <w:rsid w:val="7F514F21"/>
    <w:rsid w:val="7FA3D3A4"/>
    <w:rsid w:val="7FDD14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537A"/>
  <w15:chartTrackingRefBased/>
  <w15:docId w15:val="{57065F13-6118-4CEE-8BB6-AD94F69E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58"/>
    <w:pPr>
      <w:spacing w:before="120" w:after="240" w:line="259" w:lineRule="auto"/>
    </w:pPr>
    <w:rPr>
      <w:sz w:val="22"/>
      <w:szCs w:val="22"/>
    </w:rPr>
  </w:style>
  <w:style w:type="paragraph" w:styleId="Heading1">
    <w:name w:val="heading 1"/>
    <w:basedOn w:val="Normal"/>
    <w:next w:val="Normal"/>
    <w:link w:val="Heading1Char"/>
    <w:uiPriority w:val="9"/>
    <w:qFormat/>
    <w:rsid w:val="00762CAE"/>
    <w:pPr>
      <w:keepNext/>
      <w:keepLines/>
      <w:spacing w:before="360" w:after="80"/>
      <w:outlineLvl w:val="0"/>
    </w:pPr>
    <w:rPr>
      <w:rFonts w:asciiTheme="majorHAnsi" w:eastAsiaTheme="majorEastAsia" w:hAnsiTheme="majorHAnsi" w:cstheme="majorBidi"/>
      <w:b/>
      <w:color w:val="215E99" w:themeColor="text2" w:themeTint="BF"/>
      <w:sz w:val="24"/>
      <w:szCs w:val="40"/>
    </w:rPr>
  </w:style>
  <w:style w:type="paragraph" w:styleId="Heading2">
    <w:name w:val="heading 2"/>
    <w:basedOn w:val="Normal"/>
    <w:next w:val="Normal"/>
    <w:link w:val="Heading2Char"/>
    <w:uiPriority w:val="9"/>
    <w:unhideWhenUsed/>
    <w:qFormat/>
    <w:rsid w:val="00E62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2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2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2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2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AE"/>
    <w:rPr>
      <w:rFonts w:asciiTheme="majorHAnsi" w:eastAsiaTheme="majorEastAsia" w:hAnsiTheme="majorHAnsi" w:cstheme="majorBidi"/>
      <w:b/>
      <w:color w:val="215E99" w:themeColor="text2" w:themeTint="BF"/>
      <w:szCs w:val="40"/>
    </w:rPr>
  </w:style>
  <w:style w:type="character" w:customStyle="1" w:styleId="Heading2Char">
    <w:name w:val="Heading 2 Char"/>
    <w:basedOn w:val="DefaultParagraphFont"/>
    <w:link w:val="Heading2"/>
    <w:uiPriority w:val="9"/>
    <w:rsid w:val="00E62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A58"/>
    <w:rPr>
      <w:rFonts w:eastAsiaTheme="majorEastAsia" w:cstheme="majorBidi"/>
      <w:color w:val="272727" w:themeColor="text1" w:themeTint="D8"/>
    </w:rPr>
  </w:style>
  <w:style w:type="paragraph" w:styleId="Title">
    <w:name w:val="Title"/>
    <w:basedOn w:val="Normal"/>
    <w:next w:val="Normal"/>
    <w:link w:val="TitleChar"/>
    <w:uiPriority w:val="10"/>
    <w:qFormat/>
    <w:rsid w:val="00E62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A58"/>
    <w:pPr>
      <w:spacing w:before="160"/>
      <w:jc w:val="center"/>
    </w:pPr>
    <w:rPr>
      <w:i/>
      <w:iCs/>
      <w:color w:val="404040" w:themeColor="text1" w:themeTint="BF"/>
    </w:rPr>
  </w:style>
  <w:style w:type="character" w:customStyle="1" w:styleId="QuoteChar">
    <w:name w:val="Quote Char"/>
    <w:basedOn w:val="DefaultParagraphFont"/>
    <w:link w:val="Quote"/>
    <w:uiPriority w:val="29"/>
    <w:rsid w:val="00E62A58"/>
    <w:rPr>
      <w:i/>
      <w:iCs/>
      <w:color w:val="404040" w:themeColor="text1" w:themeTint="BF"/>
    </w:rPr>
  </w:style>
  <w:style w:type="paragraph" w:styleId="ListParagraph">
    <w:name w:val="List Paragraph"/>
    <w:basedOn w:val="Normal"/>
    <w:uiPriority w:val="34"/>
    <w:qFormat/>
    <w:rsid w:val="00E62A58"/>
    <w:pPr>
      <w:ind w:left="720"/>
      <w:contextualSpacing/>
    </w:pPr>
  </w:style>
  <w:style w:type="character" w:styleId="IntenseEmphasis">
    <w:name w:val="Intense Emphasis"/>
    <w:basedOn w:val="DefaultParagraphFont"/>
    <w:uiPriority w:val="21"/>
    <w:qFormat/>
    <w:rsid w:val="00E62A58"/>
    <w:rPr>
      <w:i/>
      <w:iCs/>
      <w:color w:val="0F4761" w:themeColor="accent1" w:themeShade="BF"/>
    </w:rPr>
  </w:style>
  <w:style w:type="paragraph" w:styleId="IntenseQuote">
    <w:name w:val="Intense Quote"/>
    <w:basedOn w:val="Normal"/>
    <w:next w:val="Normal"/>
    <w:link w:val="IntenseQuoteChar"/>
    <w:uiPriority w:val="30"/>
    <w:qFormat/>
    <w:rsid w:val="00E62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2A58"/>
    <w:rPr>
      <w:i/>
      <w:iCs/>
      <w:color w:val="0F4761" w:themeColor="accent1" w:themeShade="BF"/>
    </w:rPr>
  </w:style>
  <w:style w:type="character" w:styleId="IntenseReference">
    <w:name w:val="Intense Reference"/>
    <w:basedOn w:val="DefaultParagraphFont"/>
    <w:uiPriority w:val="32"/>
    <w:qFormat/>
    <w:rsid w:val="00E62A58"/>
    <w:rPr>
      <w:b/>
      <w:bCs/>
      <w:smallCaps/>
      <w:color w:val="0F4761" w:themeColor="accent1" w:themeShade="BF"/>
      <w:spacing w:val="5"/>
    </w:rPr>
  </w:style>
  <w:style w:type="paragraph" w:styleId="FootnoteText">
    <w:name w:val="footnote text"/>
    <w:basedOn w:val="Normal"/>
    <w:link w:val="FootnoteTextChar"/>
    <w:uiPriority w:val="99"/>
    <w:unhideWhenUsed/>
    <w:rsid w:val="00E62A58"/>
    <w:pPr>
      <w:spacing w:after="0" w:line="240" w:lineRule="auto"/>
    </w:pPr>
    <w:rPr>
      <w:rFonts w:eastAsia="Roboto" w:cstheme="minorHAnsi"/>
      <w:color w:val="000000" w:themeColor="text1"/>
      <w:kern w:val="0"/>
      <w:sz w:val="20"/>
      <w:szCs w:val="20"/>
      <w14:ligatures w14:val="none"/>
    </w:rPr>
  </w:style>
  <w:style w:type="character" w:customStyle="1" w:styleId="FootnoteTextChar">
    <w:name w:val="Footnote Text Char"/>
    <w:basedOn w:val="DefaultParagraphFont"/>
    <w:link w:val="FootnoteText"/>
    <w:uiPriority w:val="99"/>
    <w:rsid w:val="00E62A58"/>
    <w:rPr>
      <w:rFonts w:eastAsia="Roboto" w:cstheme="minorHAnsi"/>
      <w:color w:val="000000" w:themeColor="text1"/>
      <w:kern w:val="0"/>
      <w:sz w:val="20"/>
      <w:szCs w:val="20"/>
      <w14:ligatures w14:val="none"/>
    </w:rPr>
  </w:style>
  <w:style w:type="character" w:styleId="FootnoteReference">
    <w:name w:val="footnote reference"/>
    <w:basedOn w:val="DefaultParagraphFont"/>
    <w:uiPriority w:val="99"/>
    <w:semiHidden/>
    <w:unhideWhenUsed/>
    <w:rsid w:val="00E62A58"/>
    <w:rPr>
      <w:vertAlign w:val="superscript"/>
    </w:rPr>
  </w:style>
  <w:style w:type="table" w:styleId="TableGrid">
    <w:name w:val="Table Grid"/>
    <w:basedOn w:val="TableNormal"/>
    <w:uiPriority w:val="59"/>
    <w:rsid w:val="00E62A58"/>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32035"/>
    <w:pPr>
      <w:spacing w:after="0" w:line="240" w:lineRule="auto"/>
    </w:pPr>
    <w:rPr>
      <w:sz w:val="22"/>
      <w:szCs w:val="22"/>
    </w:rPr>
  </w:style>
  <w:style w:type="character" w:customStyle="1" w:styleId="normaltextrun">
    <w:name w:val="normaltextrun"/>
    <w:basedOn w:val="DefaultParagraphFont"/>
    <w:rsid w:val="00D32035"/>
  </w:style>
  <w:style w:type="character" w:customStyle="1" w:styleId="eop">
    <w:name w:val="eop"/>
    <w:basedOn w:val="DefaultParagraphFont"/>
    <w:rsid w:val="00D32035"/>
  </w:style>
  <w:style w:type="character" w:styleId="CommentReference">
    <w:name w:val="annotation reference"/>
    <w:basedOn w:val="DefaultParagraphFont"/>
    <w:uiPriority w:val="99"/>
    <w:semiHidden/>
    <w:unhideWhenUsed/>
    <w:rsid w:val="00D32035"/>
    <w:rPr>
      <w:sz w:val="16"/>
      <w:szCs w:val="16"/>
    </w:rPr>
  </w:style>
  <w:style w:type="paragraph" w:styleId="CommentText">
    <w:name w:val="annotation text"/>
    <w:basedOn w:val="Normal"/>
    <w:link w:val="CommentTextChar"/>
    <w:uiPriority w:val="99"/>
    <w:unhideWhenUsed/>
    <w:rsid w:val="00D32035"/>
    <w:pPr>
      <w:spacing w:line="240" w:lineRule="auto"/>
    </w:pPr>
    <w:rPr>
      <w:sz w:val="20"/>
      <w:szCs w:val="20"/>
    </w:rPr>
  </w:style>
  <w:style w:type="character" w:customStyle="1" w:styleId="CommentTextChar">
    <w:name w:val="Comment Text Char"/>
    <w:basedOn w:val="DefaultParagraphFont"/>
    <w:link w:val="CommentText"/>
    <w:uiPriority w:val="99"/>
    <w:rsid w:val="00D32035"/>
    <w:rPr>
      <w:sz w:val="20"/>
      <w:szCs w:val="20"/>
    </w:rPr>
  </w:style>
  <w:style w:type="paragraph" w:styleId="CommentSubject">
    <w:name w:val="annotation subject"/>
    <w:basedOn w:val="CommentText"/>
    <w:next w:val="CommentText"/>
    <w:link w:val="CommentSubjectChar"/>
    <w:uiPriority w:val="99"/>
    <w:semiHidden/>
    <w:unhideWhenUsed/>
    <w:rsid w:val="00D32035"/>
    <w:rPr>
      <w:b/>
      <w:bCs/>
    </w:rPr>
  </w:style>
  <w:style w:type="character" w:customStyle="1" w:styleId="CommentSubjectChar">
    <w:name w:val="Comment Subject Char"/>
    <w:basedOn w:val="CommentTextChar"/>
    <w:link w:val="CommentSubject"/>
    <w:uiPriority w:val="99"/>
    <w:semiHidden/>
    <w:rsid w:val="00D32035"/>
    <w:rPr>
      <w:b/>
      <w:bCs/>
      <w:sz w:val="20"/>
      <w:szCs w:val="20"/>
    </w:rPr>
  </w:style>
  <w:style w:type="character" w:styleId="Hyperlink">
    <w:name w:val="Hyperlink"/>
    <w:basedOn w:val="DefaultParagraphFont"/>
    <w:uiPriority w:val="99"/>
    <w:unhideWhenUsed/>
    <w:rsid w:val="00D32035"/>
    <w:rPr>
      <w:color w:val="467886" w:themeColor="hyperlink"/>
      <w:u w:val="single"/>
    </w:rPr>
  </w:style>
  <w:style w:type="character" w:styleId="UnresolvedMention">
    <w:name w:val="Unresolved Mention"/>
    <w:basedOn w:val="DefaultParagraphFont"/>
    <w:uiPriority w:val="99"/>
    <w:semiHidden/>
    <w:unhideWhenUsed/>
    <w:rsid w:val="00D32035"/>
    <w:rPr>
      <w:color w:val="605E5C"/>
      <w:shd w:val="clear" w:color="auto" w:fill="E1DFDD"/>
    </w:rPr>
  </w:style>
  <w:style w:type="paragraph" w:styleId="Header">
    <w:name w:val="header"/>
    <w:basedOn w:val="Normal"/>
    <w:link w:val="HeaderChar"/>
    <w:uiPriority w:val="99"/>
    <w:unhideWhenUsed/>
    <w:rsid w:val="004F582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582D"/>
    <w:rPr>
      <w:sz w:val="22"/>
      <w:szCs w:val="22"/>
    </w:rPr>
  </w:style>
  <w:style w:type="paragraph" w:styleId="Footer">
    <w:name w:val="footer"/>
    <w:basedOn w:val="Normal"/>
    <w:link w:val="FooterChar"/>
    <w:uiPriority w:val="99"/>
    <w:unhideWhenUsed/>
    <w:rsid w:val="004F582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582D"/>
    <w:rPr>
      <w:sz w:val="22"/>
      <w:szCs w:val="22"/>
    </w:rPr>
  </w:style>
  <w:style w:type="paragraph" w:customStyle="1" w:styleId="paragraph">
    <w:name w:val="paragraph"/>
    <w:basedOn w:val="Normal"/>
    <w:rsid w:val="008A1B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197522084">
    <w:name w:val="scxw197522084"/>
    <w:basedOn w:val="DefaultParagraphFont"/>
    <w:rsid w:val="008A1BC8"/>
  </w:style>
  <w:style w:type="paragraph" w:customStyle="1" w:styleId="p1">
    <w:name w:val="p1"/>
    <w:basedOn w:val="Normal"/>
    <w:rsid w:val="003F3D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3F3D0A"/>
  </w:style>
  <w:style w:type="character" w:customStyle="1" w:styleId="s2">
    <w:name w:val="s2"/>
    <w:basedOn w:val="DefaultParagraphFont"/>
    <w:rsid w:val="003F3D0A"/>
  </w:style>
  <w:style w:type="character" w:customStyle="1" w:styleId="s3">
    <w:name w:val="s3"/>
    <w:basedOn w:val="DefaultParagraphFont"/>
    <w:rsid w:val="003F3D0A"/>
  </w:style>
  <w:style w:type="character" w:customStyle="1" w:styleId="s4">
    <w:name w:val="s4"/>
    <w:basedOn w:val="DefaultParagraphFont"/>
    <w:rsid w:val="003F3D0A"/>
  </w:style>
  <w:style w:type="paragraph" w:customStyle="1" w:styleId="p3">
    <w:name w:val="p3"/>
    <w:basedOn w:val="Normal"/>
    <w:rsid w:val="003F3D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6A1D"/>
    <w:rPr>
      <w:b/>
      <w:bCs/>
    </w:rPr>
  </w:style>
  <w:style w:type="character" w:styleId="Emphasis">
    <w:name w:val="Emphasis"/>
    <w:basedOn w:val="DefaultParagraphFont"/>
    <w:uiPriority w:val="20"/>
    <w:qFormat/>
    <w:rsid w:val="00A96A1D"/>
    <w:rPr>
      <w:i/>
      <w:iCs/>
    </w:rPr>
  </w:style>
  <w:style w:type="paragraph" w:customStyle="1" w:styleId="Default">
    <w:name w:val="Default"/>
    <w:basedOn w:val="Normal"/>
    <w:uiPriority w:val="1"/>
    <w:rsid w:val="35F9E276"/>
    <w:pPr>
      <w:spacing w:after="0"/>
    </w:pPr>
    <w:rPr>
      <w:rFonts w:eastAsiaTheme="minorEastAsia"/>
      <w:color w:val="000000" w:themeColor="text1"/>
      <w:sz w:val="24"/>
      <w:szCs w:val="24"/>
      <w:lang w:eastAsia="en-GB"/>
    </w:rPr>
  </w:style>
  <w:style w:type="character" w:styleId="Mention">
    <w:name w:val="Mention"/>
    <w:basedOn w:val="DefaultParagraphFont"/>
    <w:uiPriority w:val="99"/>
    <w:unhideWhenUsed/>
    <w:rsid w:val="002B2D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8427">
      <w:bodyDiv w:val="1"/>
      <w:marLeft w:val="0"/>
      <w:marRight w:val="0"/>
      <w:marTop w:val="0"/>
      <w:marBottom w:val="0"/>
      <w:divBdr>
        <w:top w:val="none" w:sz="0" w:space="0" w:color="auto"/>
        <w:left w:val="none" w:sz="0" w:space="0" w:color="auto"/>
        <w:bottom w:val="none" w:sz="0" w:space="0" w:color="auto"/>
        <w:right w:val="none" w:sz="0" w:space="0" w:color="auto"/>
      </w:divBdr>
    </w:div>
    <w:div w:id="107169354">
      <w:bodyDiv w:val="1"/>
      <w:marLeft w:val="0"/>
      <w:marRight w:val="0"/>
      <w:marTop w:val="0"/>
      <w:marBottom w:val="0"/>
      <w:divBdr>
        <w:top w:val="none" w:sz="0" w:space="0" w:color="auto"/>
        <w:left w:val="none" w:sz="0" w:space="0" w:color="auto"/>
        <w:bottom w:val="none" w:sz="0" w:space="0" w:color="auto"/>
        <w:right w:val="none" w:sz="0" w:space="0" w:color="auto"/>
      </w:divBdr>
    </w:div>
    <w:div w:id="125243630">
      <w:bodyDiv w:val="1"/>
      <w:marLeft w:val="0"/>
      <w:marRight w:val="0"/>
      <w:marTop w:val="0"/>
      <w:marBottom w:val="0"/>
      <w:divBdr>
        <w:top w:val="none" w:sz="0" w:space="0" w:color="auto"/>
        <w:left w:val="none" w:sz="0" w:space="0" w:color="auto"/>
        <w:bottom w:val="none" w:sz="0" w:space="0" w:color="auto"/>
        <w:right w:val="none" w:sz="0" w:space="0" w:color="auto"/>
      </w:divBdr>
    </w:div>
    <w:div w:id="145123836">
      <w:bodyDiv w:val="1"/>
      <w:marLeft w:val="0"/>
      <w:marRight w:val="0"/>
      <w:marTop w:val="0"/>
      <w:marBottom w:val="0"/>
      <w:divBdr>
        <w:top w:val="none" w:sz="0" w:space="0" w:color="auto"/>
        <w:left w:val="none" w:sz="0" w:space="0" w:color="auto"/>
        <w:bottom w:val="none" w:sz="0" w:space="0" w:color="auto"/>
        <w:right w:val="none" w:sz="0" w:space="0" w:color="auto"/>
      </w:divBdr>
      <w:divsChild>
        <w:div w:id="1308825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46827">
      <w:bodyDiv w:val="1"/>
      <w:marLeft w:val="0"/>
      <w:marRight w:val="0"/>
      <w:marTop w:val="0"/>
      <w:marBottom w:val="0"/>
      <w:divBdr>
        <w:top w:val="none" w:sz="0" w:space="0" w:color="auto"/>
        <w:left w:val="none" w:sz="0" w:space="0" w:color="auto"/>
        <w:bottom w:val="none" w:sz="0" w:space="0" w:color="auto"/>
        <w:right w:val="none" w:sz="0" w:space="0" w:color="auto"/>
      </w:divBdr>
    </w:div>
    <w:div w:id="214784370">
      <w:bodyDiv w:val="1"/>
      <w:marLeft w:val="0"/>
      <w:marRight w:val="0"/>
      <w:marTop w:val="0"/>
      <w:marBottom w:val="0"/>
      <w:divBdr>
        <w:top w:val="none" w:sz="0" w:space="0" w:color="auto"/>
        <w:left w:val="none" w:sz="0" w:space="0" w:color="auto"/>
        <w:bottom w:val="none" w:sz="0" w:space="0" w:color="auto"/>
        <w:right w:val="none" w:sz="0" w:space="0" w:color="auto"/>
      </w:divBdr>
    </w:div>
    <w:div w:id="306014266">
      <w:bodyDiv w:val="1"/>
      <w:marLeft w:val="0"/>
      <w:marRight w:val="0"/>
      <w:marTop w:val="0"/>
      <w:marBottom w:val="0"/>
      <w:divBdr>
        <w:top w:val="none" w:sz="0" w:space="0" w:color="auto"/>
        <w:left w:val="none" w:sz="0" w:space="0" w:color="auto"/>
        <w:bottom w:val="none" w:sz="0" w:space="0" w:color="auto"/>
        <w:right w:val="none" w:sz="0" w:space="0" w:color="auto"/>
      </w:divBdr>
    </w:div>
    <w:div w:id="683898586">
      <w:bodyDiv w:val="1"/>
      <w:marLeft w:val="0"/>
      <w:marRight w:val="0"/>
      <w:marTop w:val="0"/>
      <w:marBottom w:val="0"/>
      <w:divBdr>
        <w:top w:val="none" w:sz="0" w:space="0" w:color="auto"/>
        <w:left w:val="none" w:sz="0" w:space="0" w:color="auto"/>
        <w:bottom w:val="none" w:sz="0" w:space="0" w:color="auto"/>
        <w:right w:val="none" w:sz="0" w:space="0" w:color="auto"/>
      </w:divBdr>
    </w:div>
    <w:div w:id="826482211">
      <w:bodyDiv w:val="1"/>
      <w:marLeft w:val="0"/>
      <w:marRight w:val="0"/>
      <w:marTop w:val="0"/>
      <w:marBottom w:val="0"/>
      <w:divBdr>
        <w:top w:val="none" w:sz="0" w:space="0" w:color="auto"/>
        <w:left w:val="none" w:sz="0" w:space="0" w:color="auto"/>
        <w:bottom w:val="none" w:sz="0" w:space="0" w:color="auto"/>
        <w:right w:val="none" w:sz="0" w:space="0" w:color="auto"/>
      </w:divBdr>
    </w:div>
    <w:div w:id="865676193">
      <w:bodyDiv w:val="1"/>
      <w:marLeft w:val="0"/>
      <w:marRight w:val="0"/>
      <w:marTop w:val="0"/>
      <w:marBottom w:val="0"/>
      <w:divBdr>
        <w:top w:val="none" w:sz="0" w:space="0" w:color="auto"/>
        <w:left w:val="none" w:sz="0" w:space="0" w:color="auto"/>
        <w:bottom w:val="none" w:sz="0" w:space="0" w:color="auto"/>
        <w:right w:val="none" w:sz="0" w:space="0" w:color="auto"/>
      </w:divBdr>
      <w:divsChild>
        <w:div w:id="1282881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625171">
      <w:bodyDiv w:val="1"/>
      <w:marLeft w:val="0"/>
      <w:marRight w:val="0"/>
      <w:marTop w:val="0"/>
      <w:marBottom w:val="0"/>
      <w:divBdr>
        <w:top w:val="none" w:sz="0" w:space="0" w:color="auto"/>
        <w:left w:val="none" w:sz="0" w:space="0" w:color="auto"/>
        <w:bottom w:val="none" w:sz="0" w:space="0" w:color="auto"/>
        <w:right w:val="none" w:sz="0" w:space="0" w:color="auto"/>
      </w:divBdr>
    </w:div>
    <w:div w:id="1095781671">
      <w:bodyDiv w:val="1"/>
      <w:marLeft w:val="0"/>
      <w:marRight w:val="0"/>
      <w:marTop w:val="0"/>
      <w:marBottom w:val="0"/>
      <w:divBdr>
        <w:top w:val="none" w:sz="0" w:space="0" w:color="auto"/>
        <w:left w:val="none" w:sz="0" w:space="0" w:color="auto"/>
        <w:bottom w:val="none" w:sz="0" w:space="0" w:color="auto"/>
        <w:right w:val="none" w:sz="0" w:space="0" w:color="auto"/>
      </w:divBdr>
    </w:div>
    <w:div w:id="1125198194">
      <w:bodyDiv w:val="1"/>
      <w:marLeft w:val="0"/>
      <w:marRight w:val="0"/>
      <w:marTop w:val="0"/>
      <w:marBottom w:val="0"/>
      <w:divBdr>
        <w:top w:val="none" w:sz="0" w:space="0" w:color="auto"/>
        <w:left w:val="none" w:sz="0" w:space="0" w:color="auto"/>
        <w:bottom w:val="none" w:sz="0" w:space="0" w:color="auto"/>
        <w:right w:val="none" w:sz="0" w:space="0" w:color="auto"/>
      </w:divBdr>
    </w:div>
    <w:div w:id="1166018144">
      <w:bodyDiv w:val="1"/>
      <w:marLeft w:val="0"/>
      <w:marRight w:val="0"/>
      <w:marTop w:val="0"/>
      <w:marBottom w:val="0"/>
      <w:divBdr>
        <w:top w:val="none" w:sz="0" w:space="0" w:color="auto"/>
        <w:left w:val="none" w:sz="0" w:space="0" w:color="auto"/>
        <w:bottom w:val="none" w:sz="0" w:space="0" w:color="auto"/>
        <w:right w:val="none" w:sz="0" w:space="0" w:color="auto"/>
      </w:divBdr>
      <w:divsChild>
        <w:div w:id="1224558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348474">
      <w:bodyDiv w:val="1"/>
      <w:marLeft w:val="0"/>
      <w:marRight w:val="0"/>
      <w:marTop w:val="0"/>
      <w:marBottom w:val="0"/>
      <w:divBdr>
        <w:top w:val="none" w:sz="0" w:space="0" w:color="auto"/>
        <w:left w:val="none" w:sz="0" w:space="0" w:color="auto"/>
        <w:bottom w:val="none" w:sz="0" w:space="0" w:color="auto"/>
        <w:right w:val="none" w:sz="0" w:space="0" w:color="auto"/>
      </w:divBdr>
    </w:div>
    <w:div w:id="1440563822">
      <w:bodyDiv w:val="1"/>
      <w:marLeft w:val="0"/>
      <w:marRight w:val="0"/>
      <w:marTop w:val="0"/>
      <w:marBottom w:val="0"/>
      <w:divBdr>
        <w:top w:val="none" w:sz="0" w:space="0" w:color="auto"/>
        <w:left w:val="none" w:sz="0" w:space="0" w:color="auto"/>
        <w:bottom w:val="none" w:sz="0" w:space="0" w:color="auto"/>
        <w:right w:val="none" w:sz="0" w:space="0" w:color="auto"/>
      </w:divBdr>
    </w:div>
    <w:div w:id="1570652923">
      <w:bodyDiv w:val="1"/>
      <w:marLeft w:val="0"/>
      <w:marRight w:val="0"/>
      <w:marTop w:val="0"/>
      <w:marBottom w:val="0"/>
      <w:divBdr>
        <w:top w:val="none" w:sz="0" w:space="0" w:color="auto"/>
        <w:left w:val="none" w:sz="0" w:space="0" w:color="auto"/>
        <w:bottom w:val="none" w:sz="0" w:space="0" w:color="auto"/>
        <w:right w:val="none" w:sz="0" w:space="0" w:color="auto"/>
      </w:divBdr>
    </w:div>
    <w:div w:id="1571427511">
      <w:bodyDiv w:val="1"/>
      <w:marLeft w:val="0"/>
      <w:marRight w:val="0"/>
      <w:marTop w:val="0"/>
      <w:marBottom w:val="0"/>
      <w:divBdr>
        <w:top w:val="none" w:sz="0" w:space="0" w:color="auto"/>
        <w:left w:val="none" w:sz="0" w:space="0" w:color="auto"/>
        <w:bottom w:val="none" w:sz="0" w:space="0" w:color="auto"/>
        <w:right w:val="none" w:sz="0" w:space="0" w:color="auto"/>
      </w:divBdr>
      <w:divsChild>
        <w:div w:id="167064636">
          <w:marLeft w:val="0"/>
          <w:marRight w:val="0"/>
          <w:marTop w:val="0"/>
          <w:marBottom w:val="0"/>
          <w:divBdr>
            <w:top w:val="none" w:sz="0" w:space="0" w:color="auto"/>
            <w:left w:val="none" w:sz="0" w:space="0" w:color="auto"/>
            <w:bottom w:val="none" w:sz="0" w:space="0" w:color="auto"/>
            <w:right w:val="none" w:sz="0" w:space="0" w:color="auto"/>
          </w:divBdr>
          <w:divsChild>
            <w:div w:id="141701887">
              <w:marLeft w:val="0"/>
              <w:marRight w:val="0"/>
              <w:marTop w:val="0"/>
              <w:marBottom w:val="0"/>
              <w:divBdr>
                <w:top w:val="none" w:sz="0" w:space="0" w:color="auto"/>
                <w:left w:val="none" w:sz="0" w:space="0" w:color="auto"/>
                <w:bottom w:val="none" w:sz="0" w:space="0" w:color="auto"/>
                <w:right w:val="none" w:sz="0" w:space="0" w:color="auto"/>
              </w:divBdr>
            </w:div>
            <w:div w:id="999849199">
              <w:marLeft w:val="0"/>
              <w:marRight w:val="0"/>
              <w:marTop w:val="0"/>
              <w:marBottom w:val="0"/>
              <w:divBdr>
                <w:top w:val="none" w:sz="0" w:space="0" w:color="auto"/>
                <w:left w:val="none" w:sz="0" w:space="0" w:color="auto"/>
                <w:bottom w:val="none" w:sz="0" w:space="0" w:color="auto"/>
                <w:right w:val="none" w:sz="0" w:space="0" w:color="auto"/>
              </w:divBdr>
            </w:div>
          </w:divsChild>
        </w:div>
        <w:div w:id="174226619">
          <w:marLeft w:val="0"/>
          <w:marRight w:val="0"/>
          <w:marTop w:val="0"/>
          <w:marBottom w:val="0"/>
          <w:divBdr>
            <w:top w:val="none" w:sz="0" w:space="0" w:color="auto"/>
            <w:left w:val="none" w:sz="0" w:space="0" w:color="auto"/>
            <w:bottom w:val="none" w:sz="0" w:space="0" w:color="auto"/>
            <w:right w:val="none" w:sz="0" w:space="0" w:color="auto"/>
          </w:divBdr>
          <w:divsChild>
            <w:div w:id="1439258343">
              <w:marLeft w:val="0"/>
              <w:marRight w:val="0"/>
              <w:marTop w:val="0"/>
              <w:marBottom w:val="0"/>
              <w:divBdr>
                <w:top w:val="none" w:sz="0" w:space="0" w:color="auto"/>
                <w:left w:val="none" w:sz="0" w:space="0" w:color="auto"/>
                <w:bottom w:val="none" w:sz="0" w:space="0" w:color="auto"/>
                <w:right w:val="none" w:sz="0" w:space="0" w:color="auto"/>
              </w:divBdr>
            </w:div>
          </w:divsChild>
        </w:div>
        <w:div w:id="310409985">
          <w:marLeft w:val="0"/>
          <w:marRight w:val="0"/>
          <w:marTop w:val="0"/>
          <w:marBottom w:val="0"/>
          <w:divBdr>
            <w:top w:val="none" w:sz="0" w:space="0" w:color="auto"/>
            <w:left w:val="none" w:sz="0" w:space="0" w:color="auto"/>
            <w:bottom w:val="none" w:sz="0" w:space="0" w:color="auto"/>
            <w:right w:val="none" w:sz="0" w:space="0" w:color="auto"/>
          </w:divBdr>
          <w:divsChild>
            <w:div w:id="798302423">
              <w:marLeft w:val="0"/>
              <w:marRight w:val="0"/>
              <w:marTop w:val="0"/>
              <w:marBottom w:val="0"/>
              <w:divBdr>
                <w:top w:val="none" w:sz="0" w:space="0" w:color="auto"/>
                <w:left w:val="none" w:sz="0" w:space="0" w:color="auto"/>
                <w:bottom w:val="none" w:sz="0" w:space="0" w:color="auto"/>
                <w:right w:val="none" w:sz="0" w:space="0" w:color="auto"/>
              </w:divBdr>
            </w:div>
            <w:div w:id="1656256620">
              <w:marLeft w:val="0"/>
              <w:marRight w:val="0"/>
              <w:marTop w:val="0"/>
              <w:marBottom w:val="0"/>
              <w:divBdr>
                <w:top w:val="none" w:sz="0" w:space="0" w:color="auto"/>
                <w:left w:val="none" w:sz="0" w:space="0" w:color="auto"/>
                <w:bottom w:val="none" w:sz="0" w:space="0" w:color="auto"/>
                <w:right w:val="none" w:sz="0" w:space="0" w:color="auto"/>
              </w:divBdr>
            </w:div>
            <w:div w:id="1837376758">
              <w:marLeft w:val="0"/>
              <w:marRight w:val="0"/>
              <w:marTop w:val="0"/>
              <w:marBottom w:val="0"/>
              <w:divBdr>
                <w:top w:val="none" w:sz="0" w:space="0" w:color="auto"/>
                <w:left w:val="none" w:sz="0" w:space="0" w:color="auto"/>
                <w:bottom w:val="none" w:sz="0" w:space="0" w:color="auto"/>
                <w:right w:val="none" w:sz="0" w:space="0" w:color="auto"/>
              </w:divBdr>
            </w:div>
          </w:divsChild>
        </w:div>
        <w:div w:id="481432428">
          <w:marLeft w:val="0"/>
          <w:marRight w:val="0"/>
          <w:marTop w:val="0"/>
          <w:marBottom w:val="0"/>
          <w:divBdr>
            <w:top w:val="none" w:sz="0" w:space="0" w:color="auto"/>
            <w:left w:val="none" w:sz="0" w:space="0" w:color="auto"/>
            <w:bottom w:val="none" w:sz="0" w:space="0" w:color="auto"/>
            <w:right w:val="none" w:sz="0" w:space="0" w:color="auto"/>
          </w:divBdr>
          <w:divsChild>
            <w:div w:id="1601375010">
              <w:marLeft w:val="0"/>
              <w:marRight w:val="0"/>
              <w:marTop w:val="0"/>
              <w:marBottom w:val="0"/>
              <w:divBdr>
                <w:top w:val="none" w:sz="0" w:space="0" w:color="auto"/>
                <w:left w:val="none" w:sz="0" w:space="0" w:color="auto"/>
                <w:bottom w:val="none" w:sz="0" w:space="0" w:color="auto"/>
                <w:right w:val="none" w:sz="0" w:space="0" w:color="auto"/>
              </w:divBdr>
            </w:div>
          </w:divsChild>
        </w:div>
        <w:div w:id="531696562">
          <w:marLeft w:val="0"/>
          <w:marRight w:val="0"/>
          <w:marTop w:val="0"/>
          <w:marBottom w:val="0"/>
          <w:divBdr>
            <w:top w:val="none" w:sz="0" w:space="0" w:color="auto"/>
            <w:left w:val="none" w:sz="0" w:space="0" w:color="auto"/>
            <w:bottom w:val="none" w:sz="0" w:space="0" w:color="auto"/>
            <w:right w:val="none" w:sz="0" w:space="0" w:color="auto"/>
          </w:divBdr>
          <w:divsChild>
            <w:div w:id="1863084891">
              <w:marLeft w:val="0"/>
              <w:marRight w:val="0"/>
              <w:marTop w:val="0"/>
              <w:marBottom w:val="0"/>
              <w:divBdr>
                <w:top w:val="none" w:sz="0" w:space="0" w:color="auto"/>
                <w:left w:val="none" w:sz="0" w:space="0" w:color="auto"/>
                <w:bottom w:val="none" w:sz="0" w:space="0" w:color="auto"/>
                <w:right w:val="none" w:sz="0" w:space="0" w:color="auto"/>
              </w:divBdr>
            </w:div>
          </w:divsChild>
        </w:div>
        <w:div w:id="739064409">
          <w:marLeft w:val="0"/>
          <w:marRight w:val="0"/>
          <w:marTop w:val="0"/>
          <w:marBottom w:val="0"/>
          <w:divBdr>
            <w:top w:val="none" w:sz="0" w:space="0" w:color="auto"/>
            <w:left w:val="none" w:sz="0" w:space="0" w:color="auto"/>
            <w:bottom w:val="none" w:sz="0" w:space="0" w:color="auto"/>
            <w:right w:val="none" w:sz="0" w:space="0" w:color="auto"/>
          </w:divBdr>
          <w:divsChild>
            <w:div w:id="1463035040">
              <w:marLeft w:val="0"/>
              <w:marRight w:val="0"/>
              <w:marTop w:val="0"/>
              <w:marBottom w:val="0"/>
              <w:divBdr>
                <w:top w:val="none" w:sz="0" w:space="0" w:color="auto"/>
                <w:left w:val="none" w:sz="0" w:space="0" w:color="auto"/>
                <w:bottom w:val="none" w:sz="0" w:space="0" w:color="auto"/>
                <w:right w:val="none" w:sz="0" w:space="0" w:color="auto"/>
              </w:divBdr>
            </w:div>
          </w:divsChild>
        </w:div>
        <w:div w:id="834147437">
          <w:marLeft w:val="0"/>
          <w:marRight w:val="0"/>
          <w:marTop w:val="0"/>
          <w:marBottom w:val="0"/>
          <w:divBdr>
            <w:top w:val="none" w:sz="0" w:space="0" w:color="auto"/>
            <w:left w:val="none" w:sz="0" w:space="0" w:color="auto"/>
            <w:bottom w:val="none" w:sz="0" w:space="0" w:color="auto"/>
            <w:right w:val="none" w:sz="0" w:space="0" w:color="auto"/>
          </w:divBdr>
          <w:divsChild>
            <w:div w:id="1920480024">
              <w:marLeft w:val="0"/>
              <w:marRight w:val="0"/>
              <w:marTop w:val="0"/>
              <w:marBottom w:val="0"/>
              <w:divBdr>
                <w:top w:val="none" w:sz="0" w:space="0" w:color="auto"/>
                <w:left w:val="none" w:sz="0" w:space="0" w:color="auto"/>
                <w:bottom w:val="none" w:sz="0" w:space="0" w:color="auto"/>
                <w:right w:val="none" w:sz="0" w:space="0" w:color="auto"/>
              </w:divBdr>
            </w:div>
          </w:divsChild>
        </w:div>
        <w:div w:id="1379478160">
          <w:marLeft w:val="0"/>
          <w:marRight w:val="0"/>
          <w:marTop w:val="0"/>
          <w:marBottom w:val="0"/>
          <w:divBdr>
            <w:top w:val="none" w:sz="0" w:space="0" w:color="auto"/>
            <w:left w:val="none" w:sz="0" w:space="0" w:color="auto"/>
            <w:bottom w:val="none" w:sz="0" w:space="0" w:color="auto"/>
            <w:right w:val="none" w:sz="0" w:space="0" w:color="auto"/>
          </w:divBdr>
          <w:divsChild>
            <w:div w:id="622884748">
              <w:marLeft w:val="0"/>
              <w:marRight w:val="0"/>
              <w:marTop w:val="0"/>
              <w:marBottom w:val="0"/>
              <w:divBdr>
                <w:top w:val="none" w:sz="0" w:space="0" w:color="auto"/>
                <w:left w:val="none" w:sz="0" w:space="0" w:color="auto"/>
                <w:bottom w:val="none" w:sz="0" w:space="0" w:color="auto"/>
                <w:right w:val="none" w:sz="0" w:space="0" w:color="auto"/>
              </w:divBdr>
            </w:div>
          </w:divsChild>
        </w:div>
        <w:div w:id="1629243523">
          <w:marLeft w:val="0"/>
          <w:marRight w:val="0"/>
          <w:marTop w:val="0"/>
          <w:marBottom w:val="0"/>
          <w:divBdr>
            <w:top w:val="none" w:sz="0" w:space="0" w:color="auto"/>
            <w:left w:val="none" w:sz="0" w:space="0" w:color="auto"/>
            <w:bottom w:val="none" w:sz="0" w:space="0" w:color="auto"/>
            <w:right w:val="none" w:sz="0" w:space="0" w:color="auto"/>
          </w:divBdr>
          <w:divsChild>
            <w:div w:id="773601043">
              <w:marLeft w:val="0"/>
              <w:marRight w:val="0"/>
              <w:marTop w:val="0"/>
              <w:marBottom w:val="0"/>
              <w:divBdr>
                <w:top w:val="none" w:sz="0" w:space="0" w:color="auto"/>
                <w:left w:val="none" w:sz="0" w:space="0" w:color="auto"/>
                <w:bottom w:val="none" w:sz="0" w:space="0" w:color="auto"/>
                <w:right w:val="none" w:sz="0" w:space="0" w:color="auto"/>
              </w:divBdr>
            </w:div>
          </w:divsChild>
        </w:div>
        <w:div w:id="1781794782">
          <w:marLeft w:val="0"/>
          <w:marRight w:val="0"/>
          <w:marTop w:val="0"/>
          <w:marBottom w:val="0"/>
          <w:divBdr>
            <w:top w:val="none" w:sz="0" w:space="0" w:color="auto"/>
            <w:left w:val="none" w:sz="0" w:space="0" w:color="auto"/>
            <w:bottom w:val="none" w:sz="0" w:space="0" w:color="auto"/>
            <w:right w:val="none" w:sz="0" w:space="0" w:color="auto"/>
          </w:divBdr>
          <w:divsChild>
            <w:div w:id="197399624">
              <w:marLeft w:val="0"/>
              <w:marRight w:val="0"/>
              <w:marTop w:val="0"/>
              <w:marBottom w:val="0"/>
              <w:divBdr>
                <w:top w:val="none" w:sz="0" w:space="0" w:color="auto"/>
                <w:left w:val="none" w:sz="0" w:space="0" w:color="auto"/>
                <w:bottom w:val="none" w:sz="0" w:space="0" w:color="auto"/>
                <w:right w:val="none" w:sz="0" w:space="0" w:color="auto"/>
              </w:divBdr>
            </w:div>
            <w:div w:id="6771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369">
      <w:bodyDiv w:val="1"/>
      <w:marLeft w:val="0"/>
      <w:marRight w:val="0"/>
      <w:marTop w:val="0"/>
      <w:marBottom w:val="0"/>
      <w:divBdr>
        <w:top w:val="none" w:sz="0" w:space="0" w:color="auto"/>
        <w:left w:val="none" w:sz="0" w:space="0" w:color="auto"/>
        <w:bottom w:val="none" w:sz="0" w:space="0" w:color="auto"/>
        <w:right w:val="none" w:sz="0" w:space="0" w:color="auto"/>
      </w:divBdr>
    </w:div>
    <w:div w:id="1673797257">
      <w:bodyDiv w:val="1"/>
      <w:marLeft w:val="0"/>
      <w:marRight w:val="0"/>
      <w:marTop w:val="0"/>
      <w:marBottom w:val="0"/>
      <w:divBdr>
        <w:top w:val="none" w:sz="0" w:space="0" w:color="auto"/>
        <w:left w:val="none" w:sz="0" w:space="0" w:color="auto"/>
        <w:bottom w:val="none" w:sz="0" w:space="0" w:color="auto"/>
        <w:right w:val="none" w:sz="0" w:space="0" w:color="auto"/>
      </w:divBdr>
    </w:div>
    <w:div w:id="1677997602">
      <w:bodyDiv w:val="1"/>
      <w:marLeft w:val="0"/>
      <w:marRight w:val="0"/>
      <w:marTop w:val="0"/>
      <w:marBottom w:val="0"/>
      <w:divBdr>
        <w:top w:val="none" w:sz="0" w:space="0" w:color="auto"/>
        <w:left w:val="none" w:sz="0" w:space="0" w:color="auto"/>
        <w:bottom w:val="none" w:sz="0" w:space="0" w:color="auto"/>
        <w:right w:val="none" w:sz="0" w:space="0" w:color="auto"/>
      </w:divBdr>
    </w:div>
    <w:div w:id="1884752003">
      <w:bodyDiv w:val="1"/>
      <w:marLeft w:val="0"/>
      <w:marRight w:val="0"/>
      <w:marTop w:val="0"/>
      <w:marBottom w:val="0"/>
      <w:divBdr>
        <w:top w:val="none" w:sz="0" w:space="0" w:color="auto"/>
        <w:left w:val="none" w:sz="0" w:space="0" w:color="auto"/>
        <w:bottom w:val="none" w:sz="0" w:space="0" w:color="auto"/>
        <w:right w:val="none" w:sz="0" w:space="0" w:color="auto"/>
      </w:divBdr>
    </w:div>
    <w:div w:id="1965889542">
      <w:bodyDiv w:val="1"/>
      <w:marLeft w:val="0"/>
      <w:marRight w:val="0"/>
      <w:marTop w:val="0"/>
      <w:marBottom w:val="0"/>
      <w:divBdr>
        <w:top w:val="none" w:sz="0" w:space="0" w:color="auto"/>
        <w:left w:val="none" w:sz="0" w:space="0" w:color="auto"/>
        <w:bottom w:val="none" w:sz="0" w:space="0" w:color="auto"/>
        <w:right w:val="none" w:sz="0" w:space="0" w:color="auto"/>
      </w:divBdr>
    </w:div>
    <w:div w:id="2146926023">
      <w:bodyDiv w:val="1"/>
      <w:marLeft w:val="0"/>
      <w:marRight w:val="0"/>
      <w:marTop w:val="0"/>
      <w:marBottom w:val="0"/>
      <w:divBdr>
        <w:top w:val="none" w:sz="0" w:space="0" w:color="auto"/>
        <w:left w:val="none" w:sz="0" w:space="0" w:color="auto"/>
        <w:bottom w:val="none" w:sz="0" w:space="0" w:color="auto"/>
        <w:right w:val="none" w:sz="0" w:space="0" w:color="auto"/>
      </w:divBdr>
      <w:divsChild>
        <w:div w:id="1958832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pal.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195B9495523448EAA8C2805A437E4" ma:contentTypeVersion="15" ma:contentTypeDescription="Create a new document." ma:contentTypeScope="" ma:versionID="65de334d260f78bf2f19e47cac26840a">
  <xsd:schema xmlns:xsd="http://www.w3.org/2001/XMLSchema" xmlns:xs="http://www.w3.org/2001/XMLSchema" xmlns:p="http://schemas.microsoft.com/office/2006/metadata/properties" xmlns:ns2="b22eec61-2d44-43c5-b594-c27c970b8cd8" xmlns:ns3="081dbcec-f8f8-470e-9cf1-ff758009fc79" xmlns:ns4="985ec44e-1bab-4c0b-9df0-6ba128686fc9" targetNamespace="http://schemas.microsoft.com/office/2006/metadata/properties" ma:root="true" ma:fieldsID="b9d36350cd8e8cf00a7ea7c241648e88" ns2:_="" ns3:_="" ns4:_="">
    <xsd:import namespace="b22eec61-2d44-43c5-b594-c27c970b8cd8"/>
    <xsd:import namespace="081dbcec-f8f8-470e-9cf1-ff758009fc79"/>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ec61-2d44-43c5-b594-c27c970b8c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1dbcec-f8f8-470e-9cf1-ff758009fc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c44679b-3369-4aa4-9b0e-a35420982155}" ma:internalName="TaxCatchAll" ma:showField="CatchAllData" ma:web="b22eec61-2d44-43c5-b594-c27c970b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1dbcec-f8f8-470e-9cf1-ff758009fc79">
      <Terms xmlns="http://schemas.microsoft.com/office/infopath/2007/PartnerControls"/>
    </lcf76f155ced4ddcb4097134ff3c332f>
    <SharedWithUsers xmlns="b22eec61-2d44-43c5-b594-c27c970b8cd8">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24EE-26F8-4AF9-9F95-CD064CE2F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ec61-2d44-43c5-b594-c27c970b8cd8"/>
    <ds:schemaRef ds:uri="081dbcec-f8f8-470e-9cf1-ff758009fc79"/>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9D197-B86D-4B78-A457-6659D1AC5C56}">
  <ds:schemaRefs>
    <ds:schemaRef ds:uri="http://schemas.microsoft.com/office/2006/metadata/properties"/>
    <ds:schemaRef ds:uri="http://schemas.microsoft.com/office/infopath/2007/PartnerControls"/>
    <ds:schemaRef ds:uri="985ec44e-1bab-4c0b-9df0-6ba128686fc9"/>
    <ds:schemaRef ds:uri="081dbcec-f8f8-470e-9cf1-ff758009fc79"/>
    <ds:schemaRef ds:uri="b22eec61-2d44-43c5-b594-c27c970b8cd8"/>
  </ds:schemaRefs>
</ds:datastoreItem>
</file>

<file path=customXml/itemProps3.xml><?xml version="1.0" encoding="utf-8"?>
<ds:datastoreItem xmlns:ds="http://schemas.openxmlformats.org/officeDocument/2006/customXml" ds:itemID="{0EA6EB9E-E124-4CA4-9BB5-3CFAA486580B}">
  <ds:schemaRefs>
    <ds:schemaRef ds:uri="http://schemas.microsoft.com/sharepoint/v3/contenttype/forms"/>
  </ds:schemaRefs>
</ds:datastoreItem>
</file>

<file path=customXml/itemProps4.xml><?xml version="1.0" encoding="utf-8"?>
<ds:datastoreItem xmlns:ds="http://schemas.openxmlformats.org/officeDocument/2006/customXml" ds:itemID="{B8117EAF-0700-494F-8C68-D85DF27F1F3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2075</Words>
  <Characters>11833</Characters>
  <Application>Microsoft Office Word</Application>
  <DocSecurity>0</DocSecurity>
  <Lines>98</Lines>
  <Paragraphs>27</Paragraphs>
  <ScaleCrop>false</ScaleCrop>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Secrieru</dc:creator>
  <cp:keywords/>
  <dc:description/>
  <cp:lastModifiedBy>Sharon Mcauslan</cp:lastModifiedBy>
  <cp:revision>171</cp:revision>
  <dcterms:created xsi:type="dcterms:W3CDTF">2025-04-09T08:56:00Z</dcterms:created>
  <dcterms:modified xsi:type="dcterms:W3CDTF">2025-05-20T16:53:00Z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0x010100549195B9495523448EAA8C2805A437E4</vt:lpwstr>
  </property>
  <property fmtid="{D5CDD505-2E9C-101B-9397-08002B2CF9AE}" pid="3" name="MediaServiceImageTags">
    <vt:lpwstr/>
  </property>
  <property fmtid="{D5CDD505-2E9C-101B-9397-08002B2CF9AE}" pid="4" name="Order">
    <vt:r8>156900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TaxKeyword">
    <vt:lpwstr/>
  </property>
  <property fmtid="{D5CDD505-2E9C-101B-9397-08002B2CF9AE}" pid="12" name="Weight">
    <vt:lpwstr/>
  </property>
</Properties>
</file>