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74" w:rsidRDefault="00A50A74" w:rsidP="00A50A74">
      <w:pPr>
        <w:pStyle w:val="Default"/>
        <w:jc w:val="center"/>
        <w:rPr>
          <w:b/>
          <w:bCs/>
        </w:rPr>
      </w:pPr>
    </w:p>
    <w:p w:rsidR="00A50A74" w:rsidRPr="00AF7363" w:rsidRDefault="00A50A74" w:rsidP="00A50A74">
      <w:pPr>
        <w:pStyle w:val="Default"/>
        <w:jc w:val="center"/>
      </w:pPr>
      <w:r w:rsidRPr="00AF7363">
        <w:rPr>
          <w:b/>
          <w:bCs/>
        </w:rPr>
        <w:t>FOREST CARBON PARTNERSHIP FACILITY (FCPF)</w:t>
      </w:r>
    </w:p>
    <w:p w:rsidR="00A50A74" w:rsidRPr="00AF7363" w:rsidRDefault="008075C1" w:rsidP="00A50A74">
      <w:pPr>
        <w:pStyle w:val="Default"/>
        <w:jc w:val="center"/>
      </w:pPr>
      <w:r>
        <w:rPr>
          <w:b/>
          <w:bCs/>
        </w:rPr>
        <w:t>SIXTH</w:t>
      </w:r>
      <w:r w:rsidR="00A50A74" w:rsidRPr="00AF7363">
        <w:rPr>
          <w:b/>
          <w:bCs/>
        </w:rPr>
        <w:t xml:space="preserve"> PARTICIPANTS COMMITTEE MEETING</w:t>
      </w:r>
    </w:p>
    <w:p w:rsidR="00A50A74" w:rsidRDefault="00A50A74" w:rsidP="00A50A74">
      <w:pPr>
        <w:pStyle w:val="Default"/>
        <w:jc w:val="center"/>
      </w:pPr>
      <w:r>
        <w:rPr>
          <w:b/>
          <w:bCs/>
        </w:rPr>
        <w:t>June 28-30</w:t>
      </w:r>
      <w:r w:rsidRPr="00AF7363">
        <w:rPr>
          <w:b/>
          <w:bCs/>
        </w:rPr>
        <w:t>, 2010</w:t>
      </w:r>
    </w:p>
    <w:p w:rsidR="00A50A74" w:rsidRPr="00AF7363" w:rsidRDefault="00A50A74" w:rsidP="00A50A74">
      <w:pPr>
        <w:pStyle w:val="Default"/>
        <w:jc w:val="center"/>
      </w:pPr>
      <w:r w:rsidRPr="005558CA">
        <w:rPr>
          <w:b/>
        </w:rPr>
        <w:t>Georgetown</w:t>
      </w:r>
      <w:r w:rsidRPr="005558CA">
        <w:rPr>
          <w:b/>
          <w:bCs/>
        </w:rPr>
        <w:t>,</w:t>
      </w:r>
      <w:r>
        <w:rPr>
          <w:b/>
          <w:bCs/>
        </w:rPr>
        <w:t xml:space="preserve"> Guyana</w:t>
      </w:r>
    </w:p>
    <w:p w:rsidR="00A50A74" w:rsidRDefault="00A50A74" w:rsidP="00A50A74">
      <w:pPr>
        <w:pStyle w:val="Default"/>
        <w:jc w:val="center"/>
        <w:rPr>
          <w:b/>
          <w:bCs/>
        </w:rPr>
      </w:pPr>
    </w:p>
    <w:p w:rsidR="00A50A74" w:rsidRPr="00AF7363" w:rsidRDefault="007A609B" w:rsidP="00A50A74">
      <w:pPr>
        <w:pStyle w:val="Default"/>
        <w:jc w:val="center"/>
        <w:rPr>
          <w:b/>
          <w:bCs/>
        </w:rPr>
      </w:pPr>
      <w:r>
        <w:rPr>
          <w:b/>
          <w:bCs/>
        </w:rPr>
        <w:t>Resolution PC/6/2010/6</w:t>
      </w:r>
    </w:p>
    <w:p w:rsidR="00A50A74" w:rsidRPr="00AF7363" w:rsidRDefault="00A50A74" w:rsidP="00A50A74">
      <w:pPr>
        <w:pStyle w:val="Default"/>
        <w:jc w:val="center"/>
      </w:pPr>
      <w:r w:rsidRPr="00AF7363">
        <w:rPr>
          <w:b/>
          <w:bCs/>
        </w:rPr>
        <w:t xml:space="preserve"> </w:t>
      </w:r>
    </w:p>
    <w:p w:rsidR="006A6744" w:rsidRPr="00493C3C" w:rsidRDefault="006A6744" w:rsidP="006A6744">
      <w:pPr>
        <w:tabs>
          <w:tab w:val="left" w:pos="10890"/>
        </w:tabs>
        <w:jc w:val="center"/>
        <w:rPr>
          <w:b/>
        </w:rPr>
      </w:pPr>
      <w:r w:rsidRPr="00493C3C">
        <w:rPr>
          <w:b/>
        </w:rPr>
        <w:t xml:space="preserve">Resolution on Multiple </w:t>
      </w:r>
      <w:r>
        <w:rPr>
          <w:b/>
        </w:rPr>
        <w:t>D</w:t>
      </w:r>
      <w:r w:rsidRPr="00493C3C">
        <w:rPr>
          <w:b/>
        </w:rPr>
        <w:t xml:space="preserve">elivery </w:t>
      </w:r>
      <w:r>
        <w:rPr>
          <w:b/>
        </w:rPr>
        <w:t>P</w:t>
      </w:r>
      <w:r w:rsidRPr="00493C3C">
        <w:rPr>
          <w:b/>
        </w:rPr>
        <w:t>artners under the Readiness Fund</w:t>
      </w:r>
    </w:p>
    <w:p w:rsidR="00CA3268" w:rsidRDefault="006A6744" w:rsidP="00CA3268">
      <w:pPr>
        <w:tabs>
          <w:tab w:val="left" w:pos="10890"/>
        </w:tabs>
        <w:spacing w:before="120" w:after="0" w:line="240" w:lineRule="auto"/>
        <w:rPr>
          <w:b/>
        </w:rPr>
      </w:pPr>
      <w:r w:rsidRPr="00493C3C">
        <w:rPr>
          <w:b/>
        </w:rPr>
        <w:t>Whereas:</w:t>
      </w:r>
    </w:p>
    <w:p w:rsidR="001E04FF" w:rsidRPr="00CA3268" w:rsidRDefault="00A57D4C" w:rsidP="00CA3268">
      <w:pPr>
        <w:pStyle w:val="ListParagraph"/>
        <w:numPr>
          <w:ilvl w:val="0"/>
          <w:numId w:val="12"/>
        </w:numPr>
        <w:rPr>
          <w:b/>
        </w:rPr>
      </w:pPr>
      <w:r>
        <w:t>At its fourth meeting</w:t>
      </w:r>
      <w:r w:rsidR="00EE5CE6">
        <w:t xml:space="preserve"> held in October 2009</w:t>
      </w:r>
      <w:r>
        <w:t>, the Participants Committee (PC) considered the proposal by the Facility Management Team (FMT) on options to optimize delivery in the Readiness Fund by increasing the number of delivery partners in addition to the World Bank. Prior to the fifth meeting of the PC</w:t>
      </w:r>
      <w:r w:rsidR="00EE5CE6">
        <w:t xml:space="preserve"> (PC5)</w:t>
      </w:r>
      <w:r>
        <w:t>,</w:t>
      </w:r>
      <w:r w:rsidRPr="00493C3C">
        <w:t xml:space="preserve"> </w:t>
      </w:r>
      <w:r>
        <w:t>t</w:t>
      </w:r>
      <w:r w:rsidR="001E04FF" w:rsidRPr="00493C3C">
        <w:t xml:space="preserve">he </w:t>
      </w:r>
      <w:r>
        <w:t xml:space="preserve">FMT issued a note (FMT Note 2010-11) on </w:t>
      </w:r>
      <w:r w:rsidR="001E04FF">
        <w:t>the</w:t>
      </w:r>
      <w:r w:rsidR="001E04FF" w:rsidRPr="00493C3C">
        <w:t xml:space="preserve"> </w:t>
      </w:r>
      <w:r w:rsidR="001E04FF">
        <w:t xml:space="preserve">rationale </w:t>
      </w:r>
      <w:r w:rsidR="00EE5CE6">
        <w:t xml:space="preserve">and approaches </w:t>
      </w:r>
      <w:r w:rsidR="001E04FF">
        <w:t>for relying on multiple delivery partners under the Readiness F</w:t>
      </w:r>
      <w:r w:rsidR="00EE5CE6">
        <w:t>und</w:t>
      </w:r>
      <w:r w:rsidR="001E04FF">
        <w:t>.</w:t>
      </w:r>
      <w:r w:rsidR="00EE5CE6">
        <w:t xml:space="preserve">  </w:t>
      </w:r>
      <w:r w:rsidR="00CA3268">
        <w:t>Subsequently a</w:t>
      </w:r>
      <w:r w:rsidR="00EE5CE6">
        <w:t xml:space="preserve"> </w:t>
      </w:r>
      <w:r w:rsidR="001E04FF" w:rsidRPr="00493C3C">
        <w:t xml:space="preserve">Resolution </w:t>
      </w:r>
      <w:r w:rsidR="00EE5CE6">
        <w:t>(</w:t>
      </w:r>
      <w:r w:rsidR="001E04FF" w:rsidRPr="00493C3C">
        <w:t>PC/5/2010/4</w:t>
      </w:r>
      <w:r w:rsidR="00EE5CE6">
        <w:t>) was adopted at PC5</w:t>
      </w:r>
      <w:r w:rsidR="001E04FF" w:rsidRPr="00493C3C">
        <w:t>, recogniz</w:t>
      </w:r>
      <w:r w:rsidR="001E04FF">
        <w:t xml:space="preserve">ing the need to </w:t>
      </w:r>
      <w:r w:rsidR="001E04FF" w:rsidRPr="00493C3C">
        <w:t>include other entities alongside the W</w:t>
      </w:r>
      <w:r w:rsidR="001E04FF">
        <w:t>orld Bank as delivery partners.</w:t>
      </w:r>
    </w:p>
    <w:p w:rsidR="00CA3268" w:rsidRDefault="00CA3268" w:rsidP="00CA3268">
      <w:r>
        <w:t xml:space="preserve"> </w:t>
      </w:r>
    </w:p>
    <w:p w:rsidR="001E04FF" w:rsidRDefault="001E04FF" w:rsidP="00CA3268">
      <w:pPr>
        <w:pStyle w:val="ListParagraph"/>
        <w:numPr>
          <w:ilvl w:val="0"/>
          <w:numId w:val="12"/>
        </w:numPr>
      </w:pPr>
      <w:r>
        <w:t xml:space="preserve">The FMT, in Addendum 1 to FMT Note 2010-1 issued prior to </w:t>
      </w:r>
      <w:r w:rsidR="00CA3268">
        <w:t>this meeting</w:t>
      </w:r>
      <w:r>
        <w:t xml:space="preserve">, provided further details on the </w:t>
      </w:r>
      <w:r w:rsidRPr="00493C3C">
        <w:t xml:space="preserve">operational </w:t>
      </w:r>
      <w:r>
        <w:t>implications</w:t>
      </w:r>
      <w:r w:rsidRPr="00493C3C">
        <w:t xml:space="preserve"> of</w:t>
      </w:r>
      <w:r w:rsidR="004D42AB">
        <w:t xml:space="preserve"> delivering REDD services through </w:t>
      </w:r>
      <w:r>
        <w:t>multiple delivery partners.</w:t>
      </w:r>
    </w:p>
    <w:p w:rsidR="006A6744" w:rsidRDefault="006A6744" w:rsidP="006A6744">
      <w:pPr>
        <w:tabs>
          <w:tab w:val="left" w:pos="10890"/>
        </w:tabs>
        <w:spacing w:before="120" w:after="0" w:line="240" w:lineRule="auto"/>
        <w:rPr>
          <w:b/>
        </w:rPr>
      </w:pPr>
      <w:r w:rsidRPr="00493C3C">
        <w:rPr>
          <w:b/>
        </w:rPr>
        <w:t>The Participants Committee:</w:t>
      </w:r>
    </w:p>
    <w:p w:rsidR="006A6744" w:rsidRDefault="006A6744" w:rsidP="004A0CC2">
      <w:pPr>
        <w:spacing w:before="120" w:after="0" w:line="240" w:lineRule="auto"/>
        <w:ind w:left="360"/>
      </w:pPr>
      <w:r w:rsidRPr="00493C3C">
        <w:t>1.</w:t>
      </w:r>
      <w:r w:rsidRPr="00493C3C">
        <w:tab/>
      </w:r>
      <w:proofErr w:type="gramStart"/>
      <w:r w:rsidR="00BB441E">
        <w:t>R</w:t>
      </w:r>
      <w:r w:rsidR="00BB441E">
        <w:t>eaffirms</w:t>
      </w:r>
      <w:proofErr w:type="gramEnd"/>
      <w:r w:rsidR="00BB441E" w:rsidRPr="00493C3C">
        <w:t xml:space="preserve"> </w:t>
      </w:r>
      <w:r w:rsidR="001E04FF">
        <w:t xml:space="preserve">the </w:t>
      </w:r>
      <w:r w:rsidRPr="00493C3C">
        <w:t xml:space="preserve">need to increase the </w:t>
      </w:r>
      <w:r w:rsidR="00BB441E">
        <w:t xml:space="preserve">number of </w:t>
      </w:r>
      <w:r w:rsidRPr="00493C3C">
        <w:t xml:space="preserve">delivery partners </w:t>
      </w:r>
      <w:r w:rsidR="00C713B7">
        <w:t xml:space="preserve">under the Readiness Fund </w:t>
      </w:r>
      <w:r w:rsidRPr="00493C3C">
        <w:t xml:space="preserve">to </w:t>
      </w:r>
      <w:r w:rsidR="004A0CC2">
        <w:tab/>
      </w:r>
      <w:r w:rsidRPr="00493C3C">
        <w:t xml:space="preserve">include other </w:t>
      </w:r>
      <w:r w:rsidR="001E04FF">
        <w:t xml:space="preserve">entities </w:t>
      </w:r>
      <w:r w:rsidR="00771BF3">
        <w:t>(Other Del</w:t>
      </w:r>
      <w:r w:rsidR="00456B99">
        <w:t xml:space="preserve">ivery Partners) alongside </w:t>
      </w:r>
      <w:r w:rsidR="00771BF3">
        <w:t xml:space="preserve">the </w:t>
      </w:r>
      <w:r w:rsidRPr="00493C3C">
        <w:t>World Bank</w:t>
      </w:r>
      <w:r>
        <w:t>;</w:t>
      </w:r>
    </w:p>
    <w:p w:rsidR="001E04FF" w:rsidRDefault="001E04FF" w:rsidP="004A0CC2">
      <w:pPr>
        <w:spacing w:before="120" w:after="0" w:line="240" w:lineRule="auto"/>
        <w:ind w:left="720" w:hanging="360"/>
      </w:pPr>
      <w:r>
        <w:t>2.</w:t>
      </w:r>
      <w:r>
        <w:tab/>
        <w:t>Recognize</w:t>
      </w:r>
      <w:r w:rsidR="00932C1B">
        <w:t>s</w:t>
      </w:r>
      <w:r w:rsidR="006A6744" w:rsidRPr="00493C3C">
        <w:t xml:space="preserve"> that each delivery partner </w:t>
      </w:r>
      <w:r w:rsidR="00BB441E">
        <w:t>would</w:t>
      </w:r>
      <w:r w:rsidR="00BB441E" w:rsidRPr="00493C3C">
        <w:t xml:space="preserve"> </w:t>
      </w:r>
      <w:r w:rsidR="006A6744" w:rsidRPr="00493C3C">
        <w:t>follow its</w:t>
      </w:r>
      <w:r w:rsidR="00C713B7">
        <w:t xml:space="preserve"> fiduciary framework and policies</w:t>
      </w:r>
      <w:r w:rsidR="006A6744" w:rsidRPr="00493C3C">
        <w:t>,</w:t>
      </w:r>
      <w:r w:rsidR="006A6744">
        <w:t xml:space="preserve"> </w:t>
      </w:r>
      <w:r w:rsidR="006A6744" w:rsidRPr="00493C3C">
        <w:t xml:space="preserve">guidelines </w:t>
      </w:r>
      <w:r>
        <w:t xml:space="preserve">and procedures </w:t>
      </w:r>
      <w:r w:rsidR="006A6744" w:rsidRPr="00493C3C">
        <w:t>in supervising the use of the funds transferred by the Trustee of the</w:t>
      </w:r>
      <w:r w:rsidR="006A6744">
        <w:t xml:space="preserve"> </w:t>
      </w:r>
      <w:r>
        <w:t>Readiness Fund;</w:t>
      </w:r>
    </w:p>
    <w:p w:rsidR="00771BF3" w:rsidRDefault="001E04FF" w:rsidP="004A0CC2">
      <w:pPr>
        <w:spacing w:before="120" w:after="0" w:line="240" w:lineRule="auto"/>
        <w:ind w:left="720" w:hanging="360"/>
      </w:pPr>
      <w:r>
        <w:t>3.</w:t>
      </w:r>
      <w:r>
        <w:tab/>
        <w:t>R</w:t>
      </w:r>
      <w:r w:rsidR="006A6744" w:rsidRPr="00493C3C">
        <w:t>equest</w:t>
      </w:r>
      <w:r w:rsidR="006A6744">
        <w:t>s</w:t>
      </w:r>
      <w:r w:rsidR="006A6744" w:rsidRPr="00493C3C">
        <w:t xml:space="preserve"> the FMT to </w:t>
      </w:r>
      <w:r>
        <w:t>establish a working group</w:t>
      </w:r>
      <w:r w:rsidR="00456B99">
        <w:t xml:space="preserve"> (Working Group)</w:t>
      </w:r>
      <w:r>
        <w:t xml:space="preserve"> </w:t>
      </w:r>
      <w:r w:rsidR="00EE5CE6">
        <w:t>and invite design</w:t>
      </w:r>
      <w:r w:rsidR="004D42AB">
        <w:t>at</w:t>
      </w:r>
      <w:r w:rsidR="00EE5CE6">
        <w:t xml:space="preserve">ed representatives of </w:t>
      </w:r>
      <w:r w:rsidR="00EB5A30">
        <w:t>PC me</w:t>
      </w:r>
      <w:r w:rsidR="00EE5CE6">
        <w:t xml:space="preserve">mbers, including </w:t>
      </w:r>
      <w:r w:rsidR="00EB5A30">
        <w:t xml:space="preserve">REDD Country Participants, Donor Country Participants, Carbon Fund Participants and Observers, and designated representatives </w:t>
      </w:r>
      <w:r w:rsidR="00DC7632">
        <w:t xml:space="preserve">of </w:t>
      </w:r>
      <w:r w:rsidR="00EB5A30">
        <w:t xml:space="preserve">potential Other Delivery Partners </w:t>
      </w:r>
      <w:r w:rsidR="00771BF3">
        <w:t xml:space="preserve">such as </w:t>
      </w:r>
      <w:r w:rsidR="00EB5A30">
        <w:t xml:space="preserve">multilateral development banks and </w:t>
      </w:r>
      <w:r w:rsidR="00771BF3">
        <w:t>UN agenci</w:t>
      </w:r>
      <w:r w:rsidR="00C713B7">
        <w:t xml:space="preserve">es, to work on </w:t>
      </w:r>
      <w:r w:rsidR="00BB441E">
        <w:t xml:space="preserve">the following relevant </w:t>
      </w:r>
      <w:r w:rsidR="00771BF3">
        <w:t>issue</w:t>
      </w:r>
      <w:r w:rsidR="00D50F58">
        <w:t>s</w:t>
      </w:r>
      <w:r w:rsidR="00456B99">
        <w:t>:</w:t>
      </w:r>
    </w:p>
    <w:p w:rsidR="005C701F" w:rsidRDefault="00771BF3" w:rsidP="001E04FF">
      <w:pPr>
        <w:spacing w:before="120" w:after="0" w:line="240" w:lineRule="auto"/>
        <w:ind w:left="720" w:hanging="720"/>
      </w:pPr>
      <w:r>
        <w:tab/>
      </w:r>
      <w:proofErr w:type="spellStart"/>
      <w:r>
        <w:t>i</w:t>
      </w:r>
      <w:proofErr w:type="spellEnd"/>
      <w:r>
        <w:t>.</w:t>
      </w:r>
      <w:r>
        <w:tab/>
        <w:t>Process</w:t>
      </w:r>
      <w:r w:rsidR="00EB5A30">
        <w:t xml:space="preserve"> and criteria for selecting </w:t>
      </w:r>
      <w:r>
        <w:t xml:space="preserve">Other Delivery Partners by the </w:t>
      </w:r>
      <w:r w:rsidR="00456B99">
        <w:t>PC</w:t>
      </w:r>
      <w:r>
        <w:t xml:space="preserve">, including </w:t>
      </w:r>
      <w:r w:rsidR="00932C1B">
        <w:t xml:space="preserve">a </w:t>
      </w:r>
      <w:r w:rsidR="00456B99">
        <w:tab/>
      </w:r>
      <w:r w:rsidR="00932C1B">
        <w:t xml:space="preserve">recommendation to the PC </w:t>
      </w:r>
      <w:r w:rsidR="00456B99">
        <w:t>for consideration at its seventh meeting</w:t>
      </w:r>
      <w:r w:rsidR="00CB3F2E">
        <w:t xml:space="preserve"> (PC7)</w:t>
      </w:r>
      <w:r w:rsidR="00456B99">
        <w:t xml:space="preserve"> </w:t>
      </w:r>
      <w:r>
        <w:t xml:space="preserve">on </w:t>
      </w:r>
      <w:r w:rsidR="007F2410">
        <w:t xml:space="preserve">which </w:t>
      </w:r>
      <w:r w:rsidR="00CB3F2E">
        <w:tab/>
      </w:r>
      <w:proofErr w:type="gramStart"/>
      <w:r w:rsidR="007F2410">
        <w:t>agency</w:t>
      </w:r>
      <w:r w:rsidR="004D42AB">
        <w:t>(</w:t>
      </w:r>
      <w:proofErr w:type="spellStart"/>
      <w:proofErr w:type="gramEnd"/>
      <w:r w:rsidR="004D42AB">
        <w:t>ies</w:t>
      </w:r>
      <w:proofErr w:type="spellEnd"/>
      <w:r w:rsidR="004D42AB">
        <w:t>)</w:t>
      </w:r>
      <w:r>
        <w:t xml:space="preserve"> </w:t>
      </w:r>
      <w:r w:rsidR="00BB441E">
        <w:t>c</w:t>
      </w:r>
      <w:r w:rsidR="00BB441E">
        <w:t xml:space="preserve">ould </w:t>
      </w:r>
      <w:r>
        <w:t xml:space="preserve">be </w:t>
      </w:r>
      <w:r w:rsidR="007F2410">
        <w:t>eligible as</w:t>
      </w:r>
      <w:r>
        <w:t xml:space="preserve"> Other Delivery Partners</w:t>
      </w:r>
      <w:r w:rsidR="00EB5A30">
        <w:t xml:space="preserve">. To avoid </w:t>
      </w:r>
      <w:r w:rsidR="00BB441E">
        <w:t xml:space="preserve">a </w:t>
      </w:r>
      <w:r w:rsidR="00EB5A30">
        <w:t xml:space="preserve">conflict of interest, </w:t>
      </w:r>
      <w:r w:rsidR="00CB3F2E">
        <w:tab/>
      </w:r>
      <w:r w:rsidR="00EB5A30">
        <w:t xml:space="preserve">the </w:t>
      </w:r>
      <w:r w:rsidR="00456B99">
        <w:t xml:space="preserve">discussion on </w:t>
      </w:r>
      <w:r w:rsidR="00EB5A30">
        <w:t xml:space="preserve">which </w:t>
      </w:r>
      <w:proofErr w:type="gramStart"/>
      <w:r w:rsidR="00EB5A30">
        <w:t>agency(</w:t>
      </w:r>
      <w:proofErr w:type="spellStart"/>
      <w:proofErr w:type="gramEnd"/>
      <w:r w:rsidR="00EB5A30">
        <w:t>ies</w:t>
      </w:r>
      <w:proofErr w:type="spellEnd"/>
      <w:r w:rsidR="00EB5A30">
        <w:t xml:space="preserve">) </w:t>
      </w:r>
      <w:r w:rsidR="00BB441E">
        <w:t>c</w:t>
      </w:r>
      <w:r w:rsidR="00BB441E">
        <w:t xml:space="preserve">ould </w:t>
      </w:r>
      <w:r w:rsidR="00EB5A30">
        <w:t xml:space="preserve">serve as Other Delivery Partners should be </w:t>
      </w:r>
      <w:r w:rsidR="00456B99">
        <w:tab/>
        <w:t xml:space="preserve">limited to formal </w:t>
      </w:r>
      <w:r w:rsidR="00EB5A30">
        <w:t>PC members</w:t>
      </w:r>
      <w:r>
        <w:t>;</w:t>
      </w:r>
      <w:r w:rsidR="005C701F">
        <w:t xml:space="preserve"> </w:t>
      </w:r>
    </w:p>
    <w:p w:rsidR="00D50F58" w:rsidRDefault="00932C1B" w:rsidP="001E04FF">
      <w:pPr>
        <w:spacing w:before="120" w:after="0" w:line="240" w:lineRule="auto"/>
        <w:ind w:left="720" w:hanging="720"/>
      </w:pPr>
      <w:r>
        <w:tab/>
        <w:t>ii.</w:t>
      </w:r>
      <w:r>
        <w:tab/>
      </w:r>
      <w:r w:rsidR="00EB5A30">
        <w:t>Principles and c</w:t>
      </w:r>
      <w:r w:rsidR="00C957F2">
        <w:t>onditions under which Delivery P</w:t>
      </w:r>
      <w:r w:rsidR="00D50F58">
        <w:t xml:space="preserve">artners </w:t>
      </w:r>
      <w:r w:rsidR="00EB5A30">
        <w:t xml:space="preserve">would be considered </w:t>
      </w:r>
      <w:r w:rsidR="00E53242">
        <w:t xml:space="preserve">to provide </w:t>
      </w:r>
      <w:r w:rsidR="00E53242">
        <w:tab/>
        <w:t>service</w:t>
      </w:r>
      <w:r w:rsidR="00456B99">
        <w:t>s</w:t>
      </w:r>
      <w:r w:rsidR="00E53242">
        <w:t xml:space="preserve"> to REDD Country Participants;</w:t>
      </w:r>
    </w:p>
    <w:p w:rsidR="007F2410" w:rsidRDefault="00D50F58" w:rsidP="001E04FF">
      <w:pPr>
        <w:spacing w:before="120" w:after="0" w:line="240" w:lineRule="auto"/>
        <w:ind w:left="720" w:hanging="720"/>
      </w:pPr>
      <w:r>
        <w:tab/>
        <w:t>iii.</w:t>
      </w:r>
      <w:r>
        <w:tab/>
        <w:t xml:space="preserve">Clarification of </w:t>
      </w:r>
      <w:r w:rsidR="007F2410">
        <w:t>the acti</w:t>
      </w:r>
      <w:r w:rsidR="00EB5A30">
        <w:t xml:space="preserve">vities and responsibilities of </w:t>
      </w:r>
      <w:r w:rsidR="007F2410">
        <w:t>Other Delivery Partner</w:t>
      </w:r>
      <w:r w:rsidR="00EB5A30">
        <w:t>s</w:t>
      </w:r>
      <w:r w:rsidR="007F2410">
        <w:t>;</w:t>
      </w:r>
      <w:r w:rsidR="00E53242">
        <w:t xml:space="preserve"> and</w:t>
      </w:r>
    </w:p>
    <w:p w:rsidR="00E53242" w:rsidRDefault="007F2410" w:rsidP="00E53242">
      <w:pPr>
        <w:spacing w:before="120" w:after="0" w:line="240" w:lineRule="auto"/>
        <w:ind w:left="720" w:hanging="720"/>
      </w:pPr>
      <w:r>
        <w:tab/>
        <w:t>vi</w:t>
      </w:r>
      <w:r w:rsidR="00932C1B">
        <w:t>.</w:t>
      </w:r>
      <w:r w:rsidR="00932C1B">
        <w:tab/>
        <w:t xml:space="preserve">Elaboration of a common approach for </w:t>
      </w:r>
      <w:r w:rsidR="00BB441E">
        <w:t xml:space="preserve">the </w:t>
      </w:r>
      <w:r w:rsidR="00932C1B">
        <w:t>provision of readiness support for REDD</w:t>
      </w:r>
      <w:r w:rsidR="00456B99">
        <w:t xml:space="preserve"> </w:t>
      </w:r>
      <w:r w:rsidR="00456B99">
        <w:tab/>
        <w:t>countries</w:t>
      </w:r>
      <w:r w:rsidR="00DC7632">
        <w:t>,</w:t>
      </w:r>
      <w:r w:rsidR="00BF6B5F" w:rsidRPr="00BF6B5F">
        <w:t xml:space="preserve"> </w:t>
      </w:r>
      <w:r w:rsidR="00456B99">
        <w:t>drawing on the ongoing work</w:t>
      </w:r>
      <w:r w:rsidR="00BF6B5F">
        <w:t xml:space="preserve"> of the FCPF</w:t>
      </w:r>
      <w:r w:rsidR="00E53242">
        <w:t xml:space="preserve">, including strategic environmental </w:t>
      </w:r>
      <w:r w:rsidR="00456B99">
        <w:tab/>
        <w:t xml:space="preserve">and </w:t>
      </w:r>
      <w:r w:rsidR="00E53242">
        <w:t>social assessme</w:t>
      </w:r>
      <w:r w:rsidR="00456B99">
        <w:t>nts as well as good practice</w:t>
      </w:r>
      <w:r w:rsidR="00BB441E">
        <w:t>s</w:t>
      </w:r>
      <w:r w:rsidR="00456B99">
        <w:t xml:space="preserve"> on delivery </w:t>
      </w:r>
      <w:r w:rsidR="00E53242">
        <w:t xml:space="preserve">of REDD services to REDD </w:t>
      </w:r>
      <w:r w:rsidR="00E53242">
        <w:tab/>
      </w:r>
      <w:r w:rsidR="00DC7632">
        <w:t>countries</w:t>
      </w:r>
      <w:r w:rsidR="00E53242">
        <w:t>.</w:t>
      </w:r>
      <w:r w:rsidR="00BF6B5F">
        <w:t xml:space="preserve"> </w:t>
      </w:r>
    </w:p>
    <w:p w:rsidR="008075C1" w:rsidRDefault="00456B99" w:rsidP="00E53242">
      <w:pPr>
        <w:spacing w:before="120" w:after="0" w:line="240" w:lineRule="auto"/>
        <w:ind w:left="720" w:hanging="720"/>
      </w:pPr>
      <w:r>
        <w:lastRenderedPageBreak/>
        <w:tab/>
        <w:t>To facilitate the work of the W</w:t>
      </w:r>
      <w:r w:rsidR="008075C1">
        <w:t xml:space="preserve">orking </w:t>
      </w:r>
      <w:r>
        <w:t>G</w:t>
      </w:r>
      <w:r w:rsidR="008075C1">
        <w:t xml:space="preserve">roup, the FMT will provide </w:t>
      </w:r>
      <w:r w:rsidR="00BB441E">
        <w:t xml:space="preserve">background </w:t>
      </w:r>
      <w:r w:rsidR="008075C1">
        <w:t>information</w:t>
      </w:r>
      <w:r w:rsidR="00AB7762">
        <w:t>, including on</w:t>
      </w:r>
      <w:r>
        <w:t xml:space="preserve"> </w:t>
      </w:r>
      <w:r w:rsidR="00AB7762">
        <w:t xml:space="preserve">a comparative analysis of the fiduciary and operational policies of the potential Other Delivery Partners, and </w:t>
      </w:r>
      <w:r>
        <w:t xml:space="preserve">generic scenarios </w:t>
      </w:r>
      <w:r w:rsidR="00BB441E">
        <w:t>under which</w:t>
      </w:r>
      <w:r w:rsidR="00AB7762">
        <w:t xml:space="preserve"> REDD Country Participants </w:t>
      </w:r>
      <w:r w:rsidR="00BB441E">
        <w:t>may not receive</w:t>
      </w:r>
      <w:r w:rsidR="00AB7762">
        <w:t xml:space="preserve"> REDD services</w:t>
      </w:r>
      <w:r w:rsidR="00BB441E">
        <w:t xml:space="preserve"> under current arrangements</w:t>
      </w:r>
      <w:r w:rsidR="00AB7762">
        <w:t xml:space="preserve">.   </w:t>
      </w:r>
    </w:p>
    <w:p w:rsidR="00C713B7" w:rsidRDefault="00E53242" w:rsidP="004A0CC2">
      <w:pPr>
        <w:spacing w:before="120" w:after="0" w:line="240" w:lineRule="auto"/>
        <w:ind w:left="720" w:hanging="360"/>
      </w:pPr>
      <w:r>
        <w:t>4.</w:t>
      </w:r>
      <w:r w:rsidR="00C713B7">
        <w:tab/>
        <w:t xml:space="preserve">Requests the FMT to conduct necessary consultations with representatives from </w:t>
      </w:r>
      <w:r w:rsidR="002E2897">
        <w:t>R</w:t>
      </w:r>
      <w:r w:rsidR="00BB441E">
        <w:t xml:space="preserve">elevant </w:t>
      </w:r>
      <w:r w:rsidR="008075C1">
        <w:t>NGOs and Forest Dependent Indigenous Peoples and Forest Dwellers on the proposed amendment to the Charter</w:t>
      </w:r>
      <w:r w:rsidR="00456B99">
        <w:t xml:space="preserve"> Establishing the FCPF (Charter) referred to in paragraph 6 below</w:t>
      </w:r>
      <w:r w:rsidR="008075C1">
        <w:t>;</w:t>
      </w:r>
      <w:r w:rsidR="00C713B7">
        <w:t xml:space="preserve"> </w:t>
      </w:r>
      <w:r>
        <w:tab/>
      </w:r>
    </w:p>
    <w:p w:rsidR="00BF6B5F" w:rsidRDefault="00AB7762" w:rsidP="004A0CC2">
      <w:pPr>
        <w:spacing w:before="120" w:after="0" w:line="240" w:lineRule="auto"/>
        <w:ind w:left="720" w:hanging="360"/>
      </w:pPr>
      <w:r>
        <w:t>5</w:t>
      </w:r>
      <w:r>
        <w:tab/>
      </w:r>
      <w:r w:rsidR="00456B99">
        <w:t>Requests the Working G</w:t>
      </w:r>
      <w:r w:rsidR="00BF6B5F">
        <w:t xml:space="preserve">roup </w:t>
      </w:r>
      <w:r w:rsidR="00CB3F2E">
        <w:t>to report to PC7</w:t>
      </w:r>
      <w:r w:rsidR="00456B99">
        <w:t xml:space="preserve"> for a </w:t>
      </w:r>
      <w:r>
        <w:t xml:space="preserve">decision by the PC to </w:t>
      </w:r>
      <w:proofErr w:type="spellStart"/>
      <w:r>
        <w:t>operationalize</w:t>
      </w:r>
      <w:proofErr w:type="spellEnd"/>
      <w:r>
        <w:t xml:space="preserve"> </w:t>
      </w:r>
      <w:r w:rsidR="00456B99">
        <w:t xml:space="preserve">the arrangement for </w:t>
      </w:r>
      <w:r w:rsidR="00BF6B5F">
        <w:t>multiple delivery partners immediately after PC 7</w:t>
      </w:r>
      <w:r w:rsidR="00BB441E">
        <w:t>,</w:t>
      </w:r>
      <w:r w:rsidR="00BB441E">
        <w:t xml:space="preserve"> subject to paragraph 6 below,</w:t>
      </w:r>
      <w:r w:rsidR="00BF6B5F">
        <w:t>;</w:t>
      </w:r>
      <w:r w:rsidR="00DC7632">
        <w:t xml:space="preserve"> and </w:t>
      </w:r>
    </w:p>
    <w:p w:rsidR="006A6744" w:rsidRDefault="00AB7762" w:rsidP="004A0CC2">
      <w:pPr>
        <w:tabs>
          <w:tab w:val="left" w:pos="720"/>
        </w:tabs>
        <w:spacing w:before="120" w:after="0" w:line="240" w:lineRule="auto"/>
        <w:ind w:left="720" w:hanging="360"/>
      </w:pPr>
      <w:r>
        <w:t>6</w:t>
      </w:r>
      <w:r w:rsidR="00BF6B5F">
        <w:t>.</w:t>
      </w:r>
      <w:r w:rsidR="00CA3268">
        <w:tab/>
      </w:r>
      <w:r w:rsidR="006A6744" w:rsidRPr="00493C3C">
        <w:t>Requests the FMT</w:t>
      </w:r>
      <w:r w:rsidR="00BF6B5F">
        <w:t>, foll</w:t>
      </w:r>
      <w:r w:rsidR="00456B99">
        <w:t>owing the necessary World Bank</w:t>
      </w:r>
      <w:r w:rsidR="00BF6B5F">
        <w:t xml:space="preserve"> internal approval process, </w:t>
      </w:r>
      <w:r w:rsidR="006A6744" w:rsidRPr="00493C3C">
        <w:t>to circulate, at least thirty days prior to the third meeting of the</w:t>
      </w:r>
      <w:r w:rsidR="006A6744">
        <w:t xml:space="preserve"> </w:t>
      </w:r>
      <w:r w:rsidR="00CA3268">
        <w:t xml:space="preserve">Participants </w:t>
      </w:r>
      <w:r w:rsidR="006A6744" w:rsidRPr="00493C3C">
        <w:t>Assembly</w:t>
      </w:r>
      <w:r w:rsidR="00DC7632">
        <w:t xml:space="preserve"> (PA)</w:t>
      </w:r>
      <w:r w:rsidR="006A6744" w:rsidRPr="00493C3C">
        <w:t xml:space="preserve">, the </w:t>
      </w:r>
      <w:r w:rsidR="000045BF">
        <w:t xml:space="preserve">proposed </w:t>
      </w:r>
      <w:r w:rsidR="006A6744" w:rsidRPr="00493C3C">
        <w:t>draft amendments to the relevant provisions of the Charter</w:t>
      </w:r>
      <w:r w:rsidR="002E2897">
        <w:t xml:space="preserve"> </w:t>
      </w:r>
      <w:r w:rsidR="00CB3F2E">
        <w:t xml:space="preserve">as a result of the change </w:t>
      </w:r>
      <w:r w:rsidR="00DC7632">
        <w:t xml:space="preserve">to </w:t>
      </w:r>
      <w:r w:rsidR="00F57794">
        <w:t xml:space="preserve">multiple delivery </w:t>
      </w:r>
      <w:r w:rsidR="006A6744" w:rsidRPr="00493C3C">
        <w:t>partners under the</w:t>
      </w:r>
      <w:r w:rsidR="006A6744">
        <w:t xml:space="preserve"> </w:t>
      </w:r>
      <w:r w:rsidR="00DC7632">
        <w:t>Readiness Fund, for consideration by the PA and the PC</w:t>
      </w:r>
      <w:r w:rsidR="006A6744" w:rsidRPr="00493C3C">
        <w:t xml:space="preserve">. </w:t>
      </w:r>
    </w:p>
    <w:p w:rsidR="006A6744" w:rsidRDefault="006A6744" w:rsidP="006A6744">
      <w:pPr>
        <w:spacing w:before="120" w:after="0" w:line="240" w:lineRule="auto"/>
        <w:ind w:firstLine="720"/>
      </w:pPr>
    </w:p>
    <w:p w:rsidR="00EB4A14" w:rsidRDefault="006A6744" w:rsidP="006A6744">
      <w:pPr>
        <w:tabs>
          <w:tab w:val="left" w:pos="10890"/>
        </w:tabs>
        <w:jc w:val="center"/>
      </w:pPr>
      <w:r w:rsidRPr="00493C3C">
        <w:tab/>
      </w:r>
    </w:p>
    <w:sectPr w:rsidR="00EB4A14" w:rsidSect="001751E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6C" w:rsidRDefault="00D7796C" w:rsidP="00A50A74">
      <w:pPr>
        <w:spacing w:after="0" w:line="240" w:lineRule="auto"/>
      </w:pPr>
      <w:r>
        <w:separator/>
      </w:r>
    </w:p>
  </w:endnote>
  <w:endnote w:type="continuationSeparator" w:id="0">
    <w:p w:rsidR="00D7796C" w:rsidRDefault="00D7796C" w:rsidP="00A5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6C" w:rsidRDefault="00D7796C" w:rsidP="00A50A74">
      <w:pPr>
        <w:spacing w:after="0" w:line="240" w:lineRule="auto"/>
      </w:pPr>
      <w:r>
        <w:separator/>
      </w:r>
    </w:p>
  </w:footnote>
  <w:footnote w:type="continuationSeparator" w:id="0">
    <w:p w:rsidR="00D7796C" w:rsidRDefault="00D7796C" w:rsidP="00A50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C17"/>
    <w:multiLevelType w:val="hybridMultilevel"/>
    <w:tmpl w:val="7CC8AC46"/>
    <w:lvl w:ilvl="0" w:tplc="4CDC071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007F81"/>
    <w:multiLevelType w:val="hybridMultilevel"/>
    <w:tmpl w:val="18D86722"/>
    <w:lvl w:ilvl="0" w:tplc="2D043A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56242"/>
    <w:multiLevelType w:val="hybridMultilevel"/>
    <w:tmpl w:val="1F046260"/>
    <w:lvl w:ilvl="0" w:tplc="90521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A4E4B"/>
    <w:multiLevelType w:val="hybridMultilevel"/>
    <w:tmpl w:val="FE46497A"/>
    <w:lvl w:ilvl="0" w:tplc="4C245CF6">
      <w:start w:val="1"/>
      <w:numFmt w:val="decimal"/>
      <w:lvlText w:val="%1."/>
      <w:lvlJc w:val="left"/>
      <w:pPr>
        <w:ind w:left="720" w:hanging="720"/>
      </w:pPr>
      <w:rPr>
        <w:rFonts w:asciiTheme="minorHAnsi" w:eastAsiaTheme="minorHAnsi" w:hAnsiTheme="minorHAnsi" w:cstheme="minorHAnsi"/>
      </w:rPr>
    </w:lvl>
    <w:lvl w:ilvl="1" w:tplc="1394893A">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895F80"/>
    <w:multiLevelType w:val="hybridMultilevel"/>
    <w:tmpl w:val="A2867F38"/>
    <w:lvl w:ilvl="0" w:tplc="B784F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240764"/>
    <w:multiLevelType w:val="hybridMultilevel"/>
    <w:tmpl w:val="6C4A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2502D"/>
    <w:multiLevelType w:val="hybridMultilevel"/>
    <w:tmpl w:val="EA2895E8"/>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A0890"/>
    <w:multiLevelType w:val="hybridMultilevel"/>
    <w:tmpl w:val="090432F8"/>
    <w:lvl w:ilvl="0" w:tplc="AC04B90A">
      <w:start w:val="4"/>
      <w:numFmt w:val="decimal"/>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884EEE"/>
    <w:multiLevelType w:val="hybridMultilevel"/>
    <w:tmpl w:val="E708B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712B5"/>
    <w:multiLevelType w:val="hybridMultilevel"/>
    <w:tmpl w:val="C6B8037A"/>
    <w:lvl w:ilvl="0" w:tplc="BB1A50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5A65D7"/>
    <w:multiLevelType w:val="hybridMultilevel"/>
    <w:tmpl w:val="72F47306"/>
    <w:lvl w:ilvl="0" w:tplc="4DA4E9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8"/>
  </w:num>
  <w:num w:numId="5">
    <w:abstractNumId w:val="5"/>
  </w:num>
  <w:num w:numId="6">
    <w:abstractNumId w:val="3"/>
    <w:lvlOverride w:ilvl="0">
      <w:startOverride w:val="1"/>
    </w:lvlOverride>
    <w:lvlOverride w:ilvl="1">
      <w:startOverride w:val="9"/>
    </w:lvlOverride>
  </w:num>
  <w:num w:numId="7">
    <w:abstractNumId w:val="0"/>
  </w:num>
  <w:num w:numId="8">
    <w:abstractNumId w:val="4"/>
  </w:num>
  <w:num w:numId="9">
    <w:abstractNumId w:val="2"/>
  </w:num>
  <w:num w:numId="10">
    <w:abstractNumId w:val="10"/>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50A74"/>
    <w:rsid w:val="000045BF"/>
    <w:rsid w:val="0002261F"/>
    <w:rsid w:val="0002713E"/>
    <w:rsid w:val="00053A8B"/>
    <w:rsid w:val="000B30CD"/>
    <w:rsid w:val="000C4302"/>
    <w:rsid w:val="0015054F"/>
    <w:rsid w:val="00170FE9"/>
    <w:rsid w:val="001751EA"/>
    <w:rsid w:val="001A28D2"/>
    <w:rsid w:val="001A376C"/>
    <w:rsid w:val="001C62AC"/>
    <w:rsid w:val="001E04FF"/>
    <w:rsid w:val="0020315E"/>
    <w:rsid w:val="00211AF6"/>
    <w:rsid w:val="00213E30"/>
    <w:rsid w:val="00223792"/>
    <w:rsid w:val="002524AF"/>
    <w:rsid w:val="00297E32"/>
    <w:rsid w:val="002E2897"/>
    <w:rsid w:val="00367234"/>
    <w:rsid w:val="0039121E"/>
    <w:rsid w:val="003C2DA8"/>
    <w:rsid w:val="003D6192"/>
    <w:rsid w:val="003F443B"/>
    <w:rsid w:val="00403033"/>
    <w:rsid w:val="00456B99"/>
    <w:rsid w:val="004711F0"/>
    <w:rsid w:val="00472213"/>
    <w:rsid w:val="004A0CC2"/>
    <w:rsid w:val="004D17D2"/>
    <w:rsid w:val="004D3E63"/>
    <w:rsid w:val="004D42AB"/>
    <w:rsid w:val="00550ABC"/>
    <w:rsid w:val="0058731A"/>
    <w:rsid w:val="005C701F"/>
    <w:rsid w:val="005D18C9"/>
    <w:rsid w:val="00662055"/>
    <w:rsid w:val="00662A2E"/>
    <w:rsid w:val="00680463"/>
    <w:rsid w:val="006847F2"/>
    <w:rsid w:val="00694DEE"/>
    <w:rsid w:val="006A6744"/>
    <w:rsid w:val="006C2BA1"/>
    <w:rsid w:val="00717291"/>
    <w:rsid w:val="0075766D"/>
    <w:rsid w:val="00771BF3"/>
    <w:rsid w:val="00774C79"/>
    <w:rsid w:val="0077605F"/>
    <w:rsid w:val="007876DF"/>
    <w:rsid w:val="007A609B"/>
    <w:rsid w:val="007B0432"/>
    <w:rsid w:val="007F2410"/>
    <w:rsid w:val="007F3C5B"/>
    <w:rsid w:val="008075C1"/>
    <w:rsid w:val="00884203"/>
    <w:rsid w:val="008D578F"/>
    <w:rsid w:val="0092747E"/>
    <w:rsid w:val="00931FDE"/>
    <w:rsid w:val="00932C1B"/>
    <w:rsid w:val="00950088"/>
    <w:rsid w:val="009A5D53"/>
    <w:rsid w:val="009B2497"/>
    <w:rsid w:val="009D1A97"/>
    <w:rsid w:val="00A0751C"/>
    <w:rsid w:val="00A20236"/>
    <w:rsid w:val="00A41DE4"/>
    <w:rsid w:val="00A43A6E"/>
    <w:rsid w:val="00A50A74"/>
    <w:rsid w:val="00A57D4C"/>
    <w:rsid w:val="00AA7627"/>
    <w:rsid w:val="00AB7762"/>
    <w:rsid w:val="00AF0C5B"/>
    <w:rsid w:val="00AF10B6"/>
    <w:rsid w:val="00B86243"/>
    <w:rsid w:val="00BB441E"/>
    <w:rsid w:val="00BC27AB"/>
    <w:rsid w:val="00BD7347"/>
    <w:rsid w:val="00BF6B5F"/>
    <w:rsid w:val="00C15CA8"/>
    <w:rsid w:val="00C379E1"/>
    <w:rsid w:val="00C713B7"/>
    <w:rsid w:val="00C957F2"/>
    <w:rsid w:val="00CA3268"/>
    <w:rsid w:val="00CB3F2E"/>
    <w:rsid w:val="00CB55D0"/>
    <w:rsid w:val="00D00CDE"/>
    <w:rsid w:val="00D47AD6"/>
    <w:rsid w:val="00D50F58"/>
    <w:rsid w:val="00D7796C"/>
    <w:rsid w:val="00DB10E2"/>
    <w:rsid w:val="00DC7632"/>
    <w:rsid w:val="00E2051D"/>
    <w:rsid w:val="00E53242"/>
    <w:rsid w:val="00E9784F"/>
    <w:rsid w:val="00EB4A14"/>
    <w:rsid w:val="00EB5A30"/>
    <w:rsid w:val="00EE5CE6"/>
    <w:rsid w:val="00EF1E33"/>
    <w:rsid w:val="00EF509D"/>
    <w:rsid w:val="00EF746B"/>
    <w:rsid w:val="00F01FAC"/>
    <w:rsid w:val="00F1645D"/>
    <w:rsid w:val="00F57794"/>
    <w:rsid w:val="00F85C18"/>
    <w:rsid w:val="00F930C5"/>
    <w:rsid w:val="00F958A5"/>
    <w:rsid w:val="00FB0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74"/>
    <w:rPr>
      <w:rFonts w:eastAsiaTheme="minorHAnsi"/>
    </w:rPr>
  </w:style>
  <w:style w:type="paragraph" w:styleId="Heading1">
    <w:name w:val="heading 1"/>
    <w:basedOn w:val="Normal"/>
    <w:next w:val="Normal"/>
    <w:link w:val="Heading1Char"/>
    <w:uiPriority w:val="9"/>
    <w:qFormat/>
    <w:rsid w:val="00787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6D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876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76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99"/>
    <w:qFormat/>
    <w:rsid w:val="007876DF"/>
    <w:pPr>
      <w:spacing w:after="0" w:line="240" w:lineRule="auto"/>
    </w:pPr>
    <w:rPr>
      <w:rFonts w:ascii="Calibri" w:hAnsi="Calibri" w:cs="Times New Roman"/>
    </w:rPr>
  </w:style>
  <w:style w:type="paragraph" w:styleId="ListParagraph">
    <w:name w:val="List Paragraph"/>
    <w:basedOn w:val="Normal"/>
    <w:autoRedefine/>
    <w:uiPriority w:val="34"/>
    <w:qFormat/>
    <w:rsid w:val="00E53242"/>
    <w:pPr>
      <w:numPr>
        <w:numId w:val="11"/>
      </w:numPr>
      <w:tabs>
        <w:tab w:val="left" w:pos="0"/>
        <w:tab w:val="left" w:pos="10890"/>
      </w:tabs>
      <w:spacing w:before="120" w:after="0" w:line="240" w:lineRule="auto"/>
      <w:ind w:left="720" w:firstLine="360"/>
      <w:contextualSpacing/>
    </w:pPr>
    <w:rPr>
      <w:rFonts w:cstheme="minorHAnsi"/>
    </w:rPr>
  </w:style>
  <w:style w:type="paragraph" w:customStyle="1" w:styleId="Default">
    <w:name w:val="Default"/>
    <w:rsid w:val="00A50A7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50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A74"/>
    <w:rPr>
      <w:rFonts w:eastAsiaTheme="minorHAnsi"/>
      <w:sz w:val="20"/>
      <w:szCs w:val="20"/>
    </w:rPr>
  </w:style>
  <w:style w:type="character" w:styleId="FootnoteReference">
    <w:name w:val="footnote reference"/>
    <w:basedOn w:val="DefaultParagraphFont"/>
    <w:uiPriority w:val="99"/>
    <w:semiHidden/>
    <w:unhideWhenUsed/>
    <w:rsid w:val="00A50A74"/>
    <w:rPr>
      <w:vertAlign w:val="superscript"/>
    </w:rPr>
  </w:style>
  <w:style w:type="paragraph" w:styleId="BalloonText">
    <w:name w:val="Balloon Text"/>
    <w:basedOn w:val="Normal"/>
    <w:link w:val="BalloonTextChar"/>
    <w:uiPriority w:val="99"/>
    <w:semiHidden/>
    <w:unhideWhenUsed/>
    <w:rsid w:val="007B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432"/>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4711F0"/>
    <w:rPr>
      <w:sz w:val="16"/>
      <w:szCs w:val="16"/>
    </w:rPr>
  </w:style>
  <w:style w:type="paragraph" w:styleId="CommentText">
    <w:name w:val="annotation text"/>
    <w:basedOn w:val="Normal"/>
    <w:link w:val="CommentTextChar"/>
    <w:uiPriority w:val="99"/>
    <w:semiHidden/>
    <w:unhideWhenUsed/>
    <w:rsid w:val="004711F0"/>
    <w:pPr>
      <w:spacing w:line="240" w:lineRule="auto"/>
    </w:pPr>
    <w:rPr>
      <w:sz w:val="20"/>
      <w:szCs w:val="20"/>
    </w:rPr>
  </w:style>
  <w:style w:type="character" w:customStyle="1" w:styleId="CommentTextChar">
    <w:name w:val="Comment Text Char"/>
    <w:basedOn w:val="DefaultParagraphFont"/>
    <w:link w:val="CommentText"/>
    <w:uiPriority w:val="99"/>
    <w:semiHidden/>
    <w:rsid w:val="004711F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711F0"/>
    <w:rPr>
      <w:b/>
      <w:bCs/>
    </w:rPr>
  </w:style>
  <w:style w:type="character" w:customStyle="1" w:styleId="CommentSubjectChar">
    <w:name w:val="Comment Subject Char"/>
    <w:basedOn w:val="CommentTextChar"/>
    <w:link w:val="CommentSubject"/>
    <w:uiPriority w:val="99"/>
    <w:semiHidden/>
    <w:rsid w:val="004711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4F271-3EE5-4F12-AC8B-4511BFB2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WB268851</dc:creator>
  <cp:lastModifiedBy>WB268851</cp:lastModifiedBy>
  <cp:revision>2</cp:revision>
  <dcterms:created xsi:type="dcterms:W3CDTF">2010-06-30T13:47:00Z</dcterms:created>
  <dcterms:modified xsi:type="dcterms:W3CDTF">2010-06-30T13:47:00Z</dcterms:modified>
</cp:coreProperties>
</file>