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90" w:rsidRDefault="005A5F90" w:rsidP="005A5F90">
      <w:pPr>
        <w:spacing w:after="0"/>
        <w:rPr>
          <w:b/>
          <w:sz w:val="28"/>
          <w:szCs w:val="28"/>
          <w:lang w:val="en-GB"/>
        </w:rPr>
      </w:pPr>
    </w:p>
    <w:p w:rsidR="00F800BB" w:rsidRDefault="00F800BB" w:rsidP="005A5F90">
      <w:pPr>
        <w:spacing w:after="0"/>
        <w:rPr>
          <w:b/>
          <w:sz w:val="28"/>
          <w:szCs w:val="28"/>
          <w:lang w:val="en-GB"/>
        </w:rPr>
      </w:pPr>
      <w:r>
        <w:rPr>
          <w:rFonts w:ascii="FrutigerLT-Roman" w:hAnsi="FrutigerLT-Roman" w:cs="FrutigerLT-Roman"/>
          <w:noProof/>
          <w:sz w:val="42"/>
          <w:szCs w:val="40"/>
          <w:lang w:eastAsia="fr-CH"/>
        </w:rPr>
        <w:drawing>
          <wp:inline distT="0" distB="0" distL="0" distR="0">
            <wp:extent cx="1762125" cy="1323975"/>
            <wp:effectExtent l="19050" t="0" r="0" b="0"/>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8" cstate="print"/>
                    <a:srcRect/>
                    <a:stretch>
                      <a:fillRect/>
                    </a:stretch>
                  </pic:blipFill>
                  <pic:spPr bwMode="auto">
                    <a:xfrm>
                      <a:off x="0" y="0"/>
                      <a:ext cx="1762125" cy="1323975"/>
                    </a:xfrm>
                    <a:prstGeom prst="rect">
                      <a:avLst/>
                    </a:prstGeom>
                    <a:noFill/>
                    <a:ln w="9525">
                      <a:noFill/>
                      <a:miter lim="800000"/>
                      <a:headEnd/>
                      <a:tailEnd/>
                    </a:ln>
                  </pic:spPr>
                </pic:pic>
              </a:graphicData>
            </a:graphic>
          </wp:inline>
        </w:drawing>
      </w: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tbl>
      <w:tblPr>
        <w:tblpPr w:leftFromText="187" w:rightFromText="187" w:vertAnchor="page" w:horzAnchor="margin" w:tblpXSpec="right" w:tblpY="5851"/>
        <w:tblW w:w="2857" w:type="pct"/>
        <w:tblBorders>
          <w:insideH w:val="single" w:sz="8" w:space="0" w:color="4F81BD"/>
          <w:insideV w:val="single" w:sz="8" w:space="0" w:color="4F81BD"/>
        </w:tblBorders>
        <w:tblLook w:val="04A0"/>
      </w:tblPr>
      <w:tblGrid>
        <w:gridCol w:w="5307"/>
      </w:tblGrid>
      <w:tr w:rsidR="00F800BB" w:rsidRPr="00142C26" w:rsidTr="00F800BB">
        <w:trPr>
          <w:trHeight w:val="1418"/>
        </w:trPr>
        <w:tc>
          <w:tcPr>
            <w:tcW w:w="0" w:type="auto"/>
            <w:shd w:val="clear" w:color="auto" w:fill="FFFFFF"/>
          </w:tcPr>
          <w:p w:rsidR="00F800BB" w:rsidRPr="005847E0" w:rsidRDefault="00F800BB" w:rsidP="00F800BB">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UN-REDD Viet Nam National Programme Final Evaluation Terms of Reference</w:t>
            </w:r>
          </w:p>
        </w:tc>
      </w:tr>
      <w:tr w:rsidR="00F800BB" w:rsidRPr="00B2648D" w:rsidTr="00F800BB">
        <w:trPr>
          <w:trHeight w:val="390"/>
        </w:trPr>
        <w:tc>
          <w:tcPr>
            <w:tcW w:w="0" w:type="auto"/>
            <w:shd w:val="clear" w:color="auto" w:fill="FFFFFF"/>
          </w:tcPr>
          <w:p w:rsidR="00F800BB" w:rsidRPr="00B671C8" w:rsidRDefault="00F800BB" w:rsidP="00F800BB">
            <w:pPr>
              <w:pStyle w:val="NoSpacing"/>
              <w:rPr>
                <w:bCs/>
                <w:color w:val="0070C0"/>
                <w:sz w:val="32"/>
                <w:szCs w:val="32"/>
              </w:rPr>
            </w:pPr>
            <w:r>
              <w:rPr>
                <w:bCs/>
                <w:color w:val="548DD4"/>
                <w:sz w:val="32"/>
                <w:szCs w:val="32"/>
              </w:rPr>
              <w:t xml:space="preserve"> UN-REDD Programme</w:t>
            </w:r>
          </w:p>
        </w:tc>
      </w:tr>
      <w:tr w:rsidR="00F800BB" w:rsidRPr="00B2648D" w:rsidTr="00F800BB">
        <w:trPr>
          <w:trHeight w:val="345"/>
        </w:trPr>
        <w:tc>
          <w:tcPr>
            <w:tcW w:w="0" w:type="auto"/>
            <w:shd w:val="clear" w:color="auto" w:fill="FFFFFF"/>
          </w:tcPr>
          <w:p w:rsidR="00F800BB" w:rsidRPr="00832CBF" w:rsidRDefault="00F800BB" w:rsidP="00F800BB">
            <w:pPr>
              <w:pStyle w:val="NoSpacing"/>
              <w:rPr>
                <w:bCs/>
                <w:color w:val="000000"/>
                <w:sz w:val="28"/>
                <w:szCs w:val="28"/>
              </w:rPr>
            </w:pPr>
            <w:r>
              <w:rPr>
                <w:bCs/>
                <w:color w:val="000000"/>
                <w:sz w:val="28"/>
                <w:szCs w:val="28"/>
              </w:rPr>
              <w:t>12 June 2012</w:t>
            </w:r>
          </w:p>
        </w:tc>
      </w:tr>
    </w:tbl>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F800BB" w:rsidRDefault="00F800BB" w:rsidP="005A5F90">
      <w:pPr>
        <w:spacing w:after="0"/>
        <w:rPr>
          <w:b/>
          <w:sz w:val="28"/>
          <w:szCs w:val="28"/>
          <w:lang w:val="en-GB"/>
        </w:rPr>
      </w:pPr>
    </w:p>
    <w:p w:rsidR="005A5F90" w:rsidRDefault="005A5F90" w:rsidP="005A5F90">
      <w:pPr>
        <w:spacing w:after="0"/>
        <w:jc w:val="center"/>
        <w:rPr>
          <w:b/>
          <w:sz w:val="28"/>
          <w:szCs w:val="28"/>
          <w:lang w:val="en-GB"/>
        </w:rPr>
      </w:pPr>
    </w:p>
    <w:p w:rsidR="005A5F90" w:rsidRDefault="005A5F90" w:rsidP="005A5F90">
      <w:pPr>
        <w:spacing w:after="0"/>
        <w:jc w:val="center"/>
        <w:rPr>
          <w:b/>
          <w:sz w:val="28"/>
          <w:szCs w:val="28"/>
          <w:lang w:val="en-GB"/>
        </w:rPr>
      </w:pPr>
    </w:p>
    <w:p w:rsidR="005A5F90" w:rsidRDefault="005A5F90" w:rsidP="005A5F90">
      <w:pPr>
        <w:spacing w:after="0"/>
        <w:jc w:val="center"/>
        <w:rPr>
          <w:b/>
          <w:sz w:val="28"/>
          <w:szCs w:val="28"/>
          <w:lang w:val="en-GB"/>
        </w:rPr>
      </w:pPr>
    </w:p>
    <w:p w:rsidR="005A5F90" w:rsidRDefault="005A5F90" w:rsidP="005A5F90">
      <w:pPr>
        <w:spacing w:after="120"/>
        <w:rPr>
          <w:b/>
          <w:sz w:val="28"/>
          <w:szCs w:val="28"/>
          <w:lang w:val="en-GB"/>
        </w:rPr>
      </w:pPr>
    </w:p>
    <w:p w:rsidR="00F800BB" w:rsidRDefault="00F800BB" w:rsidP="005A5F90">
      <w:pPr>
        <w:spacing w:after="120"/>
        <w:rPr>
          <w:b/>
          <w:sz w:val="28"/>
          <w:szCs w:val="28"/>
          <w:lang w:val="en-GB"/>
        </w:rPr>
      </w:pPr>
    </w:p>
    <w:p w:rsidR="00F800BB" w:rsidRDefault="00F800BB" w:rsidP="005A5F90">
      <w:pPr>
        <w:spacing w:after="120"/>
        <w:rPr>
          <w:b/>
          <w:sz w:val="28"/>
          <w:szCs w:val="28"/>
          <w:lang w:val="en-GB"/>
        </w:rPr>
      </w:pPr>
    </w:p>
    <w:p w:rsidR="00F800BB" w:rsidRPr="005A5F90" w:rsidRDefault="00F800BB" w:rsidP="005A5F90">
      <w:pPr>
        <w:spacing w:after="120"/>
        <w:rPr>
          <w:b/>
          <w:lang w:val="en-GB"/>
        </w:rPr>
      </w:pPr>
    </w:p>
    <w:p w:rsidR="009B04E1" w:rsidRPr="005A5F90" w:rsidRDefault="008F132A" w:rsidP="00F800BB">
      <w:pPr>
        <w:pStyle w:val="ListParagraph"/>
        <w:numPr>
          <w:ilvl w:val="0"/>
          <w:numId w:val="23"/>
        </w:numPr>
        <w:spacing w:after="120"/>
        <w:rPr>
          <w:b/>
          <w:lang w:val="en-GB"/>
        </w:rPr>
      </w:pPr>
      <w:r w:rsidRPr="005A5F90">
        <w:rPr>
          <w:b/>
          <w:lang w:val="en-GB"/>
        </w:rPr>
        <w:lastRenderedPageBreak/>
        <w:t>Background and Context</w:t>
      </w:r>
    </w:p>
    <w:p w:rsidR="00C103C1" w:rsidRDefault="007A4874" w:rsidP="005A5F90">
      <w:pPr>
        <w:spacing w:after="120"/>
        <w:jc w:val="both"/>
        <w:rPr>
          <w:lang w:val="en-US"/>
        </w:rPr>
      </w:pPr>
      <w:r>
        <w:rPr>
          <w:lang w:val="en-US"/>
        </w:rPr>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r w:rsidR="006F6881">
        <w:rPr>
          <w:lang w:val="en-US"/>
        </w:rPr>
        <w:t>, referred to as the participating UN Organization</w:t>
      </w:r>
      <w:r>
        <w:rPr>
          <w:lang w:val="en-US"/>
        </w:rPr>
        <w:t>. The UN-REDD Programme supports nationally-led REDD+ processes and promotes the informed and meaningful involvement of all stakeholders, including Indigenous Peoples and other forest-dependent communities, in national and international REDD+ implementation.</w:t>
      </w:r>
    </w:p>
    <w:p w:rsidR="007A4874" w:rsidRPr="00F747D8" w:rsidRDefault="007A4874" w:rsidP="005A5F90">
      <w:pPr>
        <w:spacing w:after="120"/>
        <w:jc w:val="both"/>
        <w:rPr>
          <w:lang w:val="en-US"/>
        </w:rPr>
      </w:pPr>
      <w:r>
        <w:rPr>
          <w:lang w:val="en-US"/>
        </w:rPr>
        <w:t xml:space="preserve">The UN-REDD Programme supports national REDD+ readiness efforts in two ways: (i) direct support to the design and implementation of UN-REDD National Programmes; and (ii) complementary support to </w:t>
      </w:r>
      <w:r w:rsidRPr="00F747D8">
        <w:rPr>
          <w:lang w:val="en-US"/>
        </w:rPr>
        <w:t>national REDD+ action through common approaches, analyses, methodologies, tools, data and best practices developed through the UN-REDD Global Programme.</w:t>
      </w:r>
    </w:p>
    <w:p w:rsidR="007A4874" w:rsidRDefault="00D0476A" w:rsidP="00F800BB">
      <w:pPr>
        <w:pStyle w:val="ListParagraph"/>
        <w:numPr>
          <w:ilvl w:val="1"/>
          <w:numId w:val="2"/>
        </w:numPr>
        <w:spacing w:after="120"/>
        <w:rPr>
          <w:b/>
          <w:lang w:val="en-GB"/>
        </w:rPr>
      </w:pPr>
      <w:r w:rsidRPr="00F747D8">
        <w:rPr>
          <w:b/>
          <w:lang w:val="en-GB"/>
        </w:rPr>
        <w:t xml:space="preserve"> </w:t>
      </w:r>
      <w:r w:rsidR="00F747D8" w:rsidRPr="00F747D8">
        <w:rPr>
          <w:b/>
          <w:lang w:val="en-GB"/>
        </w:rPr>
        <w:t>Viet Nam</w:t>
      </w:r>
      <w:r w:rsidR="00117714">
        <w:rPr>
          <w:b/>
          <w:lang w:val="en-GB"/>
        </w:rPr>
        <w:t xml:space="preserve"> UN-REDD</w:t>
      </w:r>
      <w:r w:rsidR="00F747D8" w:rsidRPr="00F747D8">
        <w:rPr>
          <w:b/>
          <w:lang w:val="en-GB"/>
        </w:rPr>
        <w:t xml:space="preserve"> </w:t>
      </w:r>
      <w:r w:rsidR="00D406CB" w:rsidRPr="00F747D8">
        <w:rPr>
          <w:b/>
          <w:lang w:val="en-GB"/>
        </w:rPr>
        <w:t>National</w:t>
      </w:r>
      <w:r w:rsidR="00D406CB" w:rsidRPr="007A4874">
        <w:rPr>
          <w:b/>
          <w:lang w:val="en-GB"/>
        </w:rPr>
        <w:t xml:space="preserve"> Programme</w:t>
      </w:r>
    </w:p>
    <w:p w:rsidR="00FA5FE0" w:rsidRPr="000966CB" w:rsidRDefault="000966CB" w:rsidP="005A5F90">
      <w:pPr>
        <w:spacing w:after="0"/>
        <w:rPr>
          <w:b/>
          <w:sz w:val="20"/>
          <w:szCs w:val="20"/>
          <w:lang w:val="en-GB"/>
        </w:rPr>
      </w:pPr>
      <w:r w:rsidRPr="000966CB">
        <w:rPr>
          <w:b/>
          <w:sz w:val="20"/>
          <w:szCs w:val="20"/>
          <w:lang w:val="en-GB"/>
        </w:rPr>
        <w:t>Table 1:</w:t>
      </w:r>
      <w:r w:rsidR="00FA5FE0" w:rsidRPr="000966CB">
        <w:rPr>
          <w:b/>
          <w:sz w:val="20"/>
          <w:szCs w:val="20"/>
          <w:lang w:val="en-GB"/>
        </w:rPr>
        <w:t xml:space="preserve"> </w:t>
      </w:r>
      <w:r w:rsidRPr="000966CB">
        <w:rPr>
          <w:b/>
          <w:sz w:val="20"/>
          <w:szCs w:val="20"/>
          <w:lang w:val="en-GB"/>
        </w:rPr>
        <w:t>Programme information</w:t>
      </w:r>
    </w:p>
    <w:tbl>
      <w:tblPr>
        <w:tblStyle w:val="TableGrid"/>
        <w:tblW w:w="0" w:type="auto"/>
        <w:tblInd w:w="108" w:type="dxa"/>
        <w:tblLook w:val="04A0"/>
      </w:tblPr>
      <w:tblGrid>
        <w:gridCol w:w="2268"/>
        <w:gridCol w:w="2410"/>
        <w:gridCol w:w="2410"/>
        <w:gridCol w:w="2016"/>
      </w:tblGrid>
      <w:tr w:rsidR="00C103C1" w:rsidRPr="000966CB" w:rsidTr="003A201A">
        <w:tc>
          <w:tcPr>
            <w:tcW w:w="2268" w:type="dxa"/>
            <w:shd w:val="clear" w:color="auto" w:fill="D9D9D9" w:themeFill="background1" w:themeFillShade="D9"/>
          </w:tcPr>
          <w:p w:rsidR="00C103C1" w:rsidRPr="000966CB" w:rsidRDefault="00C103C1" w:rsidP="005A5F90">
            <w:pPr>
              <w:spacing w:line="276" w:lineRule="auto"/>
              <w:jc w:val="both"/>
              <w:rPr>
                <w:b/>
                <w:sz w:val="20"/>
                <w:szCs w:val="20"/>
                <w:lang w:val="en-GB"/>
              </w:rPr>
            </w:pPr>
            <w:r w:rsidRPr="000966CB">
              <w:rPr>
                <w:b/>
                <w:sz w:val="20"/>
                <w:szCs w:val="20"/>
                <w:lang w:val="en-GB"/>
              </w:rPr>
              <w:t>Programme title:</w:t>
            </w:r>
          </w:p>
        </w:tc>
        <w:tc>
          <w:tcPr>
            <w:tcW w:w="6836" w:type="dxa"/>
            <w:gridSpan w:val="3"/>
          </w:tcPr>
          <w:p w:rsidR="00C103C1" w:rsidRPr="00935AEB" w:rsidRDefault="00935AEB" w:rsidP="005A5F90">
            <w:pPr>
              <w:spacing w:line="276" w:lineRule="auto"/>
              <w:jc w:val="both"/>
              <w:rPr>
                <w:sz w:val="20"/>
                <w:szCs w:val="20"/>
              </w:rPr>
            </w:pPr>
            <w:r w:rsidRPr="00935AEB">
              <w:rPr>
                <w:sz w:val="20"/>
                <w:szCs w:val="20"/>
              </w:rPr>
              <w:t xml:space="preserve">UN-REDD </w:t>
            </w:r>
            <w:r w:rsidR="00115E6F" w:rsidRPr="00935AEB">
              <w:rPr>
                <w:sz w:val="20"/>
                <w:szCs w:val="20"/>
              </w:rPr>
              <w:t>Viet Nam Programme</w:t>
            </w:r>
            <w:r w:rsidRPr="00935AEB">
              <w:rPr>
                <w:sz w:val="20"/>
                <w:szCs w:val="20"/>
              </w:rPr>
              <w:t xml:space="preserve"> (Vie</w:t>
            </w:r>
            <w:r>
              <w:rPr>
                <w:sz w:val="20"/>
                <w:szCs w:val="20"/>
              </w:rPr>
              <w:t>t Nam National Programme)</w:t>
            </w:r>
          </w:p>
        </w:tc>
      </w:tr>
      <w:tr w:rsidR="00C103C1" w:rsidRPr="00142C26" w:rsidTr="003A201A">
        <w:tc>
          <w:tcPr>
            <w:tcW w:w="2268" w:type="dxa"/>
            <w:shd w:val="clear" w:color="auto" w:fill="D9D9D9" w:themeFill="background1" w:themeFillShade="D9"/>
          </w:tcPr>
          <w:p w:rsidR="00C103C1" w:rsidRPr="000966CB" w:rsidRDefault="00C103C1" w:rsidP="005A5F90">
            <w:pPr>
              <w:spacing w:line="276" w:lineRule="auto"/>
              <w:jc w:val="both"/>
              <w:rPr>
                <w:b/>
                <w:sz w:val="20"/>
                <w:szCs w:val="20"/>
                <w:lang w:val="en-GB"/>
              </w:rPr>
            </w:pPr>
            <w:r w:rsidRPr="000966CB">
              <w:rPr>
                <w:b/>
                <w:sz w:val="20"/>
                <w:szCs w:val="20"/>
                <w:lang w:val="en-GB"/>
              </w:rPr>
              <w:t xml:space="preserve">Programme </w:t>
            </w:r>
            <w:r w:rsidR="00935AEB">
              <w:rPr>
                <w:b/>
                <w:sz w:val="20"/>
                <w:szCs w:val="20"/>
                <w:lang w:val="en-GB"/>
              </w:rPr>
              <w:t>Objective</w:t>
            </w:r>
            <w:r w:rsidRPr="000966CB">
              <w:rPr>
                <w:b/>
                <w:sz w:val="20"/>
                <w:szCs w:val="20"/>
                <w:lang w:val="en-GB"/>
              </w:rPr>
              <w:t>:</w:t>
            </w:r>
          </w:p>
        </w:tc>
        <w:tc>
          <w:tcPr>
            <w:tcW w:w="6836" w:type="dxa"/>
            <w:gridSpan w:val="3"/>
          </w:tcPr>
          <w:p w:rsidR="00C103C1" w:rsidRPr="000966CB" w:rsidRDefault="000B3BFC" w:rsidP="005A5F90">
            <w:pPr>
              <w:spacing w:line="276" w:lineRule="auto"/>
              <w:jc w:val="both"/>
              <w:rPr>
                <w:sz w:val="20"/>
                <w:szCs w:val="20"/>
                <w:lang w:val="en-GB"/>
              </w:rPr>
            </w:pPr>
            <w:r w:rsidRPr="000B3BFC">
              <w:rPr>
                <w:sz w:val="20"/>
                <w:szCs w:val="20"/>
                <w:lang w:val="en-GB"/>
              </w:rPr>
              <w:t>To assist the Government of Vie</w:t>
            </w:r>
            <w:r>
              <w:rPr>
                <w:sz w:val="20"/>
                <w:szCs w:val="20"/>
                <w:lang w:val="en-GB"/>
              </w:rPr>
              <w:t xml:space="preserve">t Nam </w:t>
            </w:r>
            <w:r w:rsidRPr="000B3BFC">
              <w:rPr>
                <w:sz w:val="20"/>
                <w:szCs w:val="20"/>
                <w:lang w:val="en-GB"/>
              </w:rPr>
              <w:t>in developing an effective REDD</w:t>
            </w:r>
            <w:r w:rsidR="00223B8A">
              <w:rPr>
                <w:sz w:val="20"/>
                <w:szCs w:val="20"/>
                <w:lang w:val="en-GB"/>
              </w:rPr>
              <w:t>+</w:t>
            </w:r>
            <w:r w:rsidRPr="000B3BFC">
              <w:rPr>
                <w:sz w:val="20"/>
                <w:szCs w:val="20"/>
                <w:lang w:val="en-GB"/>
              </w:rPr>
              <w:t xml:space="preserve"> regime in Viet Nam and to contr</w:t>
            </w:r>
            <w:r>
              <w:rPr>
                <w:sz w:val="20"/>
                <w:szCs w:val="20"/>
                <w:lang w:val="en-GB"/>
              </w:rPr>
              <w:t xml:space="preserve">ibute to reduction of regional </w:t>
            </w:r>
            <w:r w:rsidRPr="000B3BFC">
              <w:rPr>
                <w:sz w:val="20"/>
                <w:szCs w:val="20"/>
                <w:lang w:val="en-GB"/>
              </w:rPr>
              <w:t>displacement of emissions.</w:t>
            </w:r>
          </w:p>
        </w:tc>
      </w:tr>
      <w:tr w:rsidR="003A201A" w:rsidRPr="000966CB" w:rsidTr="003A201A">
        <w:tc>
          <w:tcPr>
            <w:tcW w:w="2268" w:type="dxa"/>
            <w:shd w:val="clear" w:color="auto" w:fill="D9D9D9" w:themeFill="background1" w:themeFillShade="D9"/>
          </w:tcPr>
          <w:p w:rsidR="003A201A" w:rsidRPr="000966CB" w:rsidRDefault="003A201A" w:rsidP="005A5F90">
            <w:pPr>
              <w:spacing w:line="276" w:lineRule="auto"/>
              <w:jc w:val="both"/>
              <w:rPr>
                <w:b/>
                <w:sz w:val="20"/>
                <w:szCs w:val="20"/>
                <w:shd w:val="clear" w:color="auto" w:fill="D9D9D9" w:themeFill="background1" w:themeFillShade="D9"/>
                <w:lang w:val="en-GB"/>
              </w:rPr>
            </w:pPr>
            <w:r w:rsidRPr="000966CB">
              <w:rPr>
                <w:b/>
                <w:sz w:val="20"/>
                <w:szCs w:val="20"/>
                <w:lang w:val="en-GB"/>
              </w:rPr>
              <w:t>Approval date:</w:t>
            </w:r>
          </w:p>
        </w:tc>
        <w:tc>
          <w:tcPr>
            <w:tcW w:w="2410" w:type="dxa"/>
          </w:tcPr>
          <w:p w:rsidR="003A201A" w:rsidRPr="000966CB" w:rsidRDefault="00115E6F" w:rsidP="005A5F90">
            <w:pPr>
              <w:spacing w:line="276" w:lineRule="auto"/>
              <w:jc w:val="both"/>
              <w:rPr>
                <w:sz w:val="20"/>
                <w:szCs w:val="20"/>
                <w:lang w:val="en-GB"/>
              </w:rPr>
            </w:pPr>
            <w:r>
              <w:rPr>
                <w:sz w:val="20"/>
                <w:szCs w:val="20"/>
                <w:lang w:val="en-GB"/>
              </w:rPr>
              <w:t>10 March 2009</w:t>
            </w:r>
          </w:p>
        </w:tc>
        <w:tc>
          <w:tcPr>
            <w:tcW w:w="2410" w:type="dxa"/>
            <w:shd w:val="clear" w:color="auto" w:fill="D9D9D9" w:themeFill="background1" w:themeFillShade="D9"/>
          </w:tcPr>
          <w:p w:rsidR="003A201A" w:rsidRDefault="003A201A" w:rsidP="005A5F90">
            <w:pPr>
              <w:spacing w:line="276" w:lineRule="auto"/>
              <w:jc w:val="both"/>
              <w:rPr>
                <w:b/>
                <w:sz w:val="20"/>
                <w:szCs w:val="20"/>
                <w:shd w:val="clear" w:color="auto" w:fill="D9D9D9" w:themeFill="background1" w:themeFillShade="D9"/>
                <w:lang w:val="en-GB"/>
              </w:rPr>
            </w:pPr>
            <w:r>
              <w:rPr>
                <w:b/>
                <w:sz w:val="20"/>
                <w:szCs w:val="20"/>
                <w:shd w:val="clear" w:color="auto" w:fill="D9D9D9" w:themeFill="background1" w:themeFillShade="D9"/>
                <w:lang w:val="en-GB"/>
              </w:rPr>
              <w:t>Fund transfer date:</w:t>
            </w:r>
          </w:p>
        </w:tc>
        <w:tc>
          <w:tcPr>
            <w:tcW w:w="2016" w:type="dxa"/>
          </w:tcPr>
          <w:p w:rsidR="003A201A" w:rsidRPr="000966CB" w:rsidRDefault="00115E6F" w:rsidP="005A5F90">
            <w:pPr>
              <w:spacing w:line="276" w:lineRule="auto"/>
              <w:jc w:val="both"/>
              <w:rPr>
                <w:sz w:val="20"/>
                <w:szCs w:val="20"/>
                <w:lang w:val="en-GB"/>
              </w:rPr>
            </w:pPr>
            <w:r>
              <w:rPr>
                <w:sz w:val="20"/>
                <w:szCs w:val="20"/>
                <w:lang w:val="en-GB"/>
              </w:rPr>
              <w:t>5 October 2009</w:t>
            </w:r>
          </w:p>
        </w:tc>
      </w:tr>
      <w:tr w:rsidR="003A201A" w:rsidRPr="000966CB" w:rsidTr="003A201A">
        <w:tc>
          <w:tcPr>
            <w:tcW w:w="2268" w:type="dxa"/>
            <w:shd w:val="clear" w:color="auto" w:fill="D9D9D9" w:themeFill="background1" w:themeFillShade="D9"/>
          </w:tcPr>
          <w:p w:rsidR="003A201A" w:rsidRPr="000966CB" w:rsidRDefault="003A201A" w:rsidP="005A5F90">
            <w:pPr>
              <w:spacing w:line="276" w:lineRule="auto"/>
              <w:jc w:val="both"/>
              <w:rPr>
                <w:b/>
                <w:sz w:val="20"/>
                <w:szCs w:val="20"/>
                <w:lang w:val="en-GB"/>
              </w:rPr>
            </w:pPr>
            <w:r w:rsidRPr="000966CB">
              <w:rPr>
                <w:b/>
                <w:sz w:val="20"/>
                <w:szCs w:val="20"/>
                <w:shd w:val="clear" w:color="auto" w:fill="D9D9D9" w:themeFill="background1" w:themeFillShade="D9"/>
                <w:lang w:val="en-GB"/>
              </w:rPr>
              <w:t>Completion</w:t>
            </w:r>
            <w:r w:rsidRPr="000966CB">
              <w:rPr>
                <w:b/>
                <w:sz w:val="20"/>
                <w:szCs w:val="20"/>
                <w:lang w:val="en-GB"/>
              </w:rPr>
              <w:t xml:space="preserve"> date:</w:t>
            </w:r>
          </w:p>
        </w:tc>
        <w:tc>
          <w:tcPr>
            <w:tcW w:w="2410" w:type="dxa"/>
          </w:tcPr>
          <w:p w:rsidR="003A201A" w:rsidRPr="000966CB" w:rsidRDefault="00223B8A" w:rsidP="005A5F90">
            <w:pPr>
              <w:spacing w:line="276" w:lineRule="auto"/>
              <w:jc w:val="both"/>
              <w:rPr>
                <w:sz w:val="20"/>
                <w:szCs w:val="20"/>
                <w:lang w:val="en-GB"/>
              </w:rPr>
            </w:pPr>
            <w:r>
              <w:rPr>
                <w:sz w:val="20"/>
                <w:szCs w:val="20"/>
                <w:lang w:val="en-GB"/>
              </w:rPr>
              <w:t xml:space="preserve">March </w:t>
            </w:r>
            <w:r w:rsidR="00115E6F">
              <w:rPr>
                <w:sz w:val="20"/>
                <w:szCs w:val="20"/>
                <w:lang w:val="en-GB"/>
              </w:rPr>
              <w:t>2011</w:t>
            </w:r>
          </w:p>
        </w:tc>
        <w:tc>
          <w:tcPr>
            <w:tcW w:w="2410" w:type="dxa"/>
            <w:shd w:val="clear" w:color="auto" w:fill="D9D9D9" w:themeFill="background1" w:themeFillShade="D9"/>
          </w:tcPr>
          <w:p w:rsidR="003A201A" w:rsidRPr="000966CB" w:rsidRDefault="003A201A" w:rsidP="005A5F90">
            <w:pPr>
              <w:spacing w:line="276" w:lineRule="auto"/>
              <w:jc w:val="both"/>
              <w:rPr>
                <w:b/>
                <w:sz w:val="20"/>
                <w:szCs w:val="20"/>
                <w:shd w:val="clear" w:color="auto" w:fill="D9D9D9" w:themeFill="background1" w:themeFillShade="D9"/>
                <w:lang w:val="en-GB"/>
              </w:rPr>
            </w:pPr>
            <w:r>
              <w:rPr>
                <w:b/>
                <w:sz w:val="20"/>
                <w:szCs w:val="20"/>
                <w:shd w:val="clear" w:color="auto" w:fill="D9D9D9" w:themeFill="background1" w:themeFillShade="D9"/>
                <w:lang w:val="en-GB"/>
              </w:rPr>
              <w:t>Non cost extension date:</w:t>
            </w:r>
          </w:p>
        </w:tc>
        <w:tc>
          <w:tcPr>
            <w:tcW w:w="2016" w:type="dxa"/>
          </w:tcPr>
          <w:p w:rsidR="003A201A" w:rsidRPr="000966CB" w:rsidRDefault="00115E6F" w:rsidP="005A5F90">
            <w:pPr>
              <w:spacing w:line="276" w:lineRule="auto"/>
              <w:jc w:val="both"/>
              <w:rPr>
                <w:sz w:val="20"/>
                <w:szCs w:val="20"/>
                <w:lang w:val="en-GB"/>
              </w:rPr>
            </w:pPr>
            <w:r>
              <w:rPr>
                <w:sz w:val="20"/>
                <w:szCs w:val="20"/>
                <w:lang w:val="en-GB"/>
              </w:rPr>
              <w:t>30 June 2012</w:t>
            </w:r>
          </w:p>
        </w:tc>
      </w:tr>
    </w:tbl>
    <w:p w:rsidR="00F04284" w:rsidRDefault="00F04284" w:rsidP="005A5F90">
      <w:pPr>
        <w:spacing w:after="0"/>
        <w:jc w:val="both"/>
        <w:rPr>
          <w:color w:val="FF0000"/>
          <w:lang w:val="en-GB"/>
        </w:rPr>
      </w:pPr>
    </w:p>
    <w:p w:rsidR="00007E5E" w:rsidRPr="00007E5E" w:rsidRDefault="00D215B7" w:rsidP="005A5F90">
      <w:pPr>
        <w:spacing w:after="120"/>
        <w:jc w:val="both"/>
        <w:rPr>
          <w:lang w:val="en-GB"/>
        </w:rPr>
      </w:pPr>
      <w:r w:rsidRPr="00D215B7">
        <w:rPr>
          <w:lang w:val="en-GB"/>
        </w:rPr>
        <w:t xml:space="preserve">About 40 per cent of Viet Nam is covered by forests, making the country highly suitable for a national REDD+ Programme. Despite an overall increase in forest area, various regions of Viet Nam still have high rates of deforestation. In March 2009, US$4.4 million was approved by the UN-REDD Programme Policy Board for Viet Nam’s </w:t>
      </w:r>
      <w:r w:rsidR="00117714">
        <w:rPr>
          <w:lang w:val="en-GB"/>
        </w:rPr>
        <w:t xml:space="preserve">UN-REDD </w:t>
      </w:r>
      <w:r w:rsidRPr="00D215B7">
        <w:rPr>
          <w:lang w:val="en-GB"/>
        </w:rPr>
        <w:t>National Programme, and with the final approval of the National Programme document in September 2009, the country entered its inception and implementation phase.</w:t>
      </w:r>
      <w:r w:rsidRPr="00007E5E" w:rsidDel="00D215B7">
        <w:rPr>
          <w:lang w:val="en-GB"/>
        </w:rPr>
        <w:t xml:space="preserve"> </w:t>
      </w:r>
      <w:r w:rsidR="00007E5E" w:rsidRPr="00007E5E">
        <w:rPr>
          <w:lang w:val="en-GB"/>
        </w:rPr>
        <w:t>Viet  Nam  was one of the first  nine  countries identified  for  country  programming  under  the UN-REDD  Programme .</w:t>
      </w:r>
    </w:p>
    <w:p w:rsidR="00007E5E" w:rsidRPr="00007E5E" w:rsidRDefault="00007E5E" w:rsidP="005A5F90">
      <w:pPr>
        <w:spacing w:after="120"/>
        <w:jc w:val="both"/>
        <w:rPr>
          <w:lang w:val="en-GB"/>
        </w:rPr>
      </w:pPr>
      <w:r w:rsidRPr="00007E5E">
        <w:rPr>
          <w:lang w:val="en-GB"/>
        </w:rPr>
        <w:t xml:space="preserve"> Although not suffering from excessive levels of deforestation typical of some other countries in the region, deforestation is locally significant in Viet Nam, especially in the Central Highlands.  Furthermore, forest degradation is significant in natural forests. Over two-thirds of Viet Nam‘s natural  forests  are  considered  poor  or  regenerating,  while  rich  and  closed-canopy  forest constitutes only 4.6 p</w:t>
      </w:r>
      <w:r w:rsidR="00DB30C1">
        <w:rPr>
          <w:lang w:val="en-GB"/>
        </w:rPr>
        <w:t>ercent (in 2004) of the total.</w:t>
      </w:r>
    </w:p>
    <w:p w:rsidR="00007E5E" w:rsidRPr="00007E5E" w:rsidRDefault="00007E5E" w:rsidP="005A5F90">
      <w:pPr>
        <w:spacing w:after="120"/>
        <w:jc w:val="both"/>
        <w:rPr>
          <w:lang w:val="en-GB"/>
        </w:rPr>
      </w:pPr>
      <w:r w:rsidRPr="00007E5E">
        <w:rPr>
          <w:lang w:val="en-GB"/>
        </w:rPr>
        <w:t xml:space="preserve"> Fast economic growth within the country and the drive to export commodities is an underlying driver of the deforestation and forest degradation within Viet Nam. There has been little information on the opportunity costs for different resource use practices in any part of Vietnam.  Ultimately,  REDD</w:t>
      </w:r>
      <w:r w:rsidR="00223B8A">
        <w:rPr>
          <w:lang w:val="en-GB"/>
        </w:rPr>
        <w:t>+</w:t>
      </w:r>
      <w:r w:rsidRPr="00007E5E">
        <w:rPr>
          <w:lang w:val="en-GB"/>
        </w:rPr>
        <w:t xml:space="preserve">  will  work  only  if  the  benefits  outweigh  the  opportunity  costs  of  alternative land  uses,  and  an  efficient  REDD</w:t>
      </w:r>
      <w:r w:rsidR="00223B8A">
        <w:rPr>
          <w:lang w:val="en-GB"/>
        </w:rPr>
        <w:t>+</w:t>
      </w:r>
      <w:r w:rsidRPr="00007E5E">
        <w:rPr>
          <w:lang w:val="en-GB"/>
        </w:rPr>
        <w:t xml:space="preserve">  programme  needs  to know  where  this  is  possible.  The programme has aimed at addressing this knowledge gap.</w:t>
      </w:r>
      <w:r w:rsidR="00EB26ED">
        <w:rPr>
          <w:lang w:val="en-GB"/>
        </w:rPr>
        <w:t xml:space="preserve"> </w:t>
      </w:r>
      <w:r w:rsidRPr="00007E5E">
        <w:rPr>
          <w:lang w:val="en-GB"/>
        </w:rPr>
        <w:t>The UN-REDD programme for Viet Nam seeks to address deforestation and forest degradation</w:t>
      </w:r>
      <w:r w:rsidR="00EB26ED">
        <w:rPr>
          <w:lang w:val="en-GB"/>
        </w:rPr>
        <w:t>,</w:t>
      </w:r>
      <w:r w:rsidR="00EB26ED" w:rsidRPr="00EB26ED">
        <w:rPr>
          <w:lang w:val="en-GB"/>
        </w:rPr>
        <w:t xml:space="preserve"> </w:t>
      </w:r>
      <w:r w:rsidR="00086187">
        <w:rPr>
          <w:lang w:val="en-GB"/>
        </w:rPr>
        <w:t>including</w:t>
      </w:r>
      <w:r w:rsidR="00EB26ED" w:rsidRPr="00EB26ED">
        <w:rPr>
          <w:lang w:val="en-GB"/>
        </w:rPr>
        <w:t xml:space="preserve"> the role of conservation, sustainable management of forests and enhancement of forest carbon stocks</w:t>
      </w:r>
      <w:r w:rsidR="00086187">
        <w:rPr>
          <w:lang w:val="en-GB"/>
        </w:rPr>
        <w:t xml:space="preserve">, </w:t>
      </w:r>
      <w:r w:rsidRPr="00007E5E">
        <w:rPr>
          <w:lang w:val="en-GB"/>
        </w:rPr>
        <w:t xml:space="preserve">through capacity building at national and local levels. Firstly,  it  builds  capacity  at  the national level to permit the Government of Viet Nam, and </w:t>
      </w:r>
      <w:r w:rsidRPr="00007E5E">
        <w:rPr>
          <w:lang w:val="en-GB"/>
        </w:rPr>
        <w:lastRenderedPageBreak/>
        <w:t xml:space="preserve">especially the </w:t>
      </w:r>
      <w:r w:rsidR="00223B8A">
        <w:rPr>
          <w:lang w:val="en-GB"/>
        </w:rPr>
        <w:t>REDD+</w:t>
      </w:r>
      <w:r w:rsidRPr="00007E5E">
        <w:rPr>
          <w:lang w:val="en-GB"/>
        </w:rPr>
        <w:t xml:space="preserve"> focal point in the</w:t>
      </w:r>
      <w:r w:rsidR="00223B8A">
        <w:rPr>
          <w:lang w:val="en-GB"/>
        </w:rPr>
        <w:t xml:space="preserve"> Vietnam Forestry Administration (VNFOREST)</w:t>
      </w:r>
      <w:r w:rsidRPr="00007E5E">
        <w:rPr>
          <w:lang w:val="en-GB"/>
        </w:rPr>
        <w:t xml:space="preserve"> of the Ministry of Agriculture and Rural Development (MARD), to coordinate  and  manage  the  process  of  establishing  tools  to  implement  a  </w:t>
      </w:r>
      <w:r w:rsidR="00223B8A">
        <w:rPr>
          <w:lang w:val="en-GB"/>
        </w:rPr>
        <w:t>REDD+</w:t>
      </w:r>
      <w:r w:rsidRPr="00007E5E">
        <w:rPr>
          <w:lang w:val="en-GB"/>
        </w:rPr>
        <w:t xml:space="preserve">  programme.  Secondly, it builds capacity at local levels (provincial, district and commune) through pilots in  two  districts  in  Lam  Dong province that demonstrate effective approaches to planning and implementing measures  to reduce emissions from deforestation and forest degradation. Regional displacement of emissions is known to be a significant problem in the lower Mekong Basin. If </w:t>
      </w:r>
      <w:r w:rsidR="00223B8A">
        <w:rPr>
          <w:lang w:val="en-GB"/>
        </w:rPr>
        <w:t>REDD+</w:t>
      </w:r>
      <w:r w:rsidRPr="00007E5E">
        <w:rPr>
          <w:lang w:val="en-GB"/>
        </w:rPr>
        <w:t xml:space="preserve"> is to be implemented effectively so as to reduce emissions from deforestation and forest degradation within the Lower Mekong Basin, as a contribution to global efforts in this regard, there will be a need for coordinated regional action.</w:t>
      </w:r>
    </w:p>
    <w:p w:rsidR="00C103C1" w:rsidRPr="00FA5FE0" w:rsidRDefault="00FA5FE0" w:rsidP="00F800BB">
      <w:pPr>
        <w:pStyle w:val="ListParagraph"/>
        <w:numPr>
          <w:ilvl w:val="2"/>
          <w:numId w:val="2"/>
        </w:numPr>
        <w:spacing w:after="120"/>
        <w:jc w:val="both"/>
        <w:rPr>
          <w:b/>
          <w:lang w:val="en-GB"/>
        </w:rPr>
      </w:pPr>
      <w:r>
        <w:rPr>
          <w:b/>
          <w:lang w:val="en-GB"/>
        </w:rPr>
        <w:t>O</w:t>
      </w:r>
      <w:r w:rsidR="000B3BFC">
        <w:rPr>
          <w:b/>
          <w:lang w:val="en-GB"/>
        </w:rPr>
        <w:t>bjective</w:t>
      </w:r>
      <w:r w:rsidR="00D406CB">
        <w:rPr>
          <w:b/>
          <w:lang w:val="en-GB"/>
        </w:rPr>
        <w:t xml:space="preserve">, Expected Outcomes and </w:t>
      </w:r>
      <w:r w:rsidR="003A201A">
        <w:rPr>
          <w:b/>
          <w:lang w:val="en-GB"/>
        </w:rPr>
        <w:t>Outputs</w:t>
      </w:r>
    </w:p>
    <w:p w:rsidR="000B3BFC" w:rsidRPr="000B3BFC" w:rsidRDefault="000B3BFC" w:rsidP="005A5F90">
      <w:pPr>
        <w:spacing w:after="120"/>
        <w:jc w:val="both"/>
        <w:rPr>
          <w:lang w:val="en-GB"/>
        </w:rPr>
      </w:pPr>
      <w:r w:rsidRPr="000B3BFC">
        <w:rPr>
          <w:lang w:val="en-GB"/>
        </w:rPr>
        <w:t>The Objective of the</w:t>
      </w:r>
      <w:r>
        <w:rPr>
          <w:lang w:val="en-GB"/>
        </w:rPr>
        <w:t xml:space="preserve"> UN-REDD Viet Nam Programme is “</w:t>
      </w:r>
      <w:r w:rsidRPr="000B3BFC">
        <w:rPr>
          <w:lang w:val="en-GB"/>
        </w:rPr>
        <w:t xml:space="preserve">To assist the Government of Viet Nam in developing an effective </w:t>
      </w:r>
      <w:r w:rsidR="00223B8A">
        <w:rPr>
          <w:lang w:val="en-GB"/>
        </w:rPr>
        <w:t>REDD+</w:t>
      </w:r>
      <w:r w:rsidRPr="000B3BFC">
        <w:rPr>
          <w:lang w:val="en-GB"/>
        </w:rPr>
        <w:t xml:space="preserve"> regime in Viet Nam and to contribute to reduction of regional displacement of emissions.</w:t>
      </w:r>
      <w:r>
        <w:rPr>
          <w:rFonts w:ascii="Cambria Math" w:hAnsi="Cambria Math" w:cs="Cambria Math"/>
          <w:lang w:val="en-GB"/>
        </w:rPr>
        <w:t>”</w:t>
      </w:r>
      <w:r w:rsidRPr="000B3BFC">
        <w:rPr>
          <w:rFonts w:ascii="Calibri" w:hAnsi="Calibri" w:cs="Calibri"/>
          <w:lang w:val="en-GB"/>
        </w:rPr>
        <w:t xml:space="preserve">  This will contribute to the </w:t>
      </w:r>
      <w:r>
        <w:rPr>
          <w:rFonts w:ascii="Calibri" w:hAnsi="Calibri" w:cs="Calibri"/>
          <w:lang w:val="en-GB"/>
        </w:rPr>
        <w:t>broader  Goal of ensuring that “</w:t>
      </w:r>
      <w:r w:rsidRPr="000B3BFC">
        <w:rPr>
          <w:rFonts w:ascii="Calibri" w:hAnsi="Calibri" w:cs="Calibri"/>
          <w:lang w:val="en-GB"/>
        </w:rPr>
        <w:t xml:space="preserve">By the </w:t>
      </w:r>
      <w:r w:rsidRPr="000B3BFC">
        <w:rPr>
          <w:lang w:val="en-GB"/>
        </w:rPr>
        <w:t xml:space="preserve">end  of  2012  Viet  Nam  is  </w:t>
      </w:r>
      <w:r w:rsidR="00223B8A">
        <w:rPr>
          <w:lang w:val="en-GB"/>
        </w:rPr>
        <w:t>REDD+</w:t>
      </w:r>
      <w:r w:rsidRPr="000B3BFC">
        <w:rPr>
          <w:lang w:val="en-GB"/>
        </w:rPr>
        <w:t>-ready  and  able  to  contribute  to  reducing  emissions  from deforestation and forest degradation nationally and regionally.</w:t>
      </w:r>
      <w:r>
        <w:rPr>
          <w:lang w:val="en-GB"/>
        </w:rPr>
        <w:t>”</w:t>
      </w:r>
    </w:p>
    <w:p w:rsidR="000B3BFC" w:rsidRPr="000B3BFC" w:rsidRDefault="000B3BFC" w:rsidP="005A5F90">
      <w:pPr>
        <w:spacing w:after="120"/>
        <w:jc w:val="both"/>
        <w:rPr>
          <w:lang w:val="en-GB"/>
        </w:rPr>
      </w:pPr>
      <w:r w:rsidRPr="000B3BFC">
        <w:rPr>
          <w:lang w:val="en-GB"/>
        </w:rPr>
        <w:t xml:space="preserve">In order to secure this Objective, three Outcomes and associated Outputs </w:t>
      </w:r>
      <w:r w:rsidR="00223B8A">
        <w:rPr>
          <w:lang w:val="en-GB"/>
        </w:rPr>
        <w:t>has been</w:t>
      </w:r>
      <w:r w:rsidRPr="000B3BFC">
        <w:rPr>
          <w:lang w:val="en-GB"/>
        </w:rPr>
        <w:t xml:space="preserve"> pursued:</w:t>
      </w:r>
    </w:p>
    <w:p w:rsidR="000B3BFC" w:rsidRPr="000B3BFC" w:rsidRDefault="000B3BFC" w:rsidP="005A5F90">
      <w:pPr>
        <w:spacing w:after="0"/>
        <w:jc w:val="both"/>
        <w:rPr>
          <w:u w:val="single"/>
          <w:lang w:val="en-GB"/>
        </w:rPr>
      </w:pPr>
      <w:r w:rsidRPr="000B3BFC">
        <w:rPr>
          <w:u w:val="single"/>
          <w:lang w:val="en-GB"/>
        </w:rPr>
        <w:t>Outcome 1: Improved institutional and technical capacity for national coordination to manage REDD activities in Vie</w:t>
      </w:r>
      <w:r w:rsidR="00DB30C1">
        <w:rPr>
          <w:u w:val="single"/>
          <w:lang w:val="en-GB"/>
        </w:rPr>
        <w:t>t Nam</w:t>
      </w:r>
    </w:p>
    <w:p w:rsidR="000B3BFC" w:rsidRPr="000B3BFC" w:rsidRDefault="000B3BFC" w:rsidP="005A5F90">
      <w:pPr>
        <w:spacing w:after="0"/>
        <w:jc w:val="both"/>
        <w:rPr>
          <w:lang w:val="en-GB"/>
        </w:rPr>
      </w:pPr>
      <w:r w:rsidRPr="000B3BFC">
        <w:rPr>
          <w:lang w:val="en-GB"/>
        </w:rPr>
        <w:t xml:space="preserve"> Output 1.1: National coordination mecha</w:t>
      </w:r>
      <w:r w:rsidR="00DB30C1">
        <w:rPr>
          <w:lang w:val="en-GB"/>
        </w:rPr>
        <w:t xml:space="preserve">nism </w:t>
      </w:r>
      <w:r w:rsidR="00AA653E">
        <w:rPr>
          <w:lang w:val="en-GB"/>
        </w:rPr>
        <w:t>established</w:t>
      </w:r>
    </w:p>
    <w:p w:rsidR="000B3BFC" w:rsidRPr="000B3BFC" w:rsidRDefault="000B3BFC" w:rsidP="005A5F90">
      <w:pPr>
        <w:spacing w:after="0"/>
        <w:jc w:val="both"/>
        <w:rPr>
          <w:lang w:val="en-GB"/>
        </w:rPr>
      </w:pPr>
      <w:r w:rsidRPr="000B3BFC">
        <w:rPr>
          <w:lang w:val="en-GB"/>
        </w:rPr>
        <w:t xml:space="preserve">Output 1.2: </w:t>
      </w:r>
      <w:r w:rsidR="00AA653E">
        <w:rPr>
          <w:lang w:val="en-GB"/>
        </w:rPr>
        <w:t>Data and information for national REL/RL for REDD+ available</w:t>
      </w:r>
    </w:p>
    <w:p w:rsidR="000B3BFC" w:rsidRPr="000B3BFC" w:rsidRDefault="000B3BFC" w:rsidP="005A5F90">
      <w:pPr>
        <w:spacing w:after="0"/>
        <w:jc w:val="both"/>
        <w:rPr>
          <w:lang w:val="en-GB"/>
        </w:rPr>
      </w:pPr>
      <w:r w:rsidRPr="000B3BFC">
        <w:rPr>
          <w:lang w:val="en-GB"/>
        </w:rPr>
        <w:t>Output 1.3: Framework Na</w:t>
      </w:r>
      <w:r w:rsidR="00DB30C1">
        <w:rPr>
          <w:lang w:val="en-GB"/>
        </w:rPr>
        <w:t>tional REDD Program (Strategy)</w:t>
      </w:r>
    </w:p>
    <w:p w:rsidR="000B3BFC" w:rsidRPr="000B3BFC" w:rsidRDefault="000B3BFC" w:rsidP="005A5F90">
      <w:pPr>
        <w:spacing w:after="0"/>
        <w:jc w:val="both"/>
        <w:rPr>
          <w:lang w:val="en-GB"/>
        </w:rPr>
      </w:pPr>
      <w:r w:rsidRPr="000B3BFC">
        <w:rPr>
          <w:lang w:val="en-GB"/>
        </w:rPr>
        <w:t>Output 1.4: Performance-based, transparent benefit sharing payment syste</w:t>
      </w:r>
      <w:r w:rsidR="00DB30C1">
        <w:rPr>
          <w:lang w:val="en-GB"/>
        </w:rPr>
        <w:t>m from national to local levels</w:t>
      </w:r>
    </w:p>
    <w:p w:rsidR="000B3BFC" w:rsidRDefault="000B3BFC" w:rsidP="005A5F90">
      <w:pPr>
        <w:spacing w:after="120"/>
        <w:jc w:val="both"/>
        <w:rPr>
          <w:lang w:val="en-GB"/>
        </w:rPr>
      </w:pPr>
      <w:r w:rsidRPr="000B3BFC">
        <w:rPr>
          <w:lang w:val="en-GB"/>
        </w:rPr>
        <w:t xml:space="preserve">Output 1.5: Communications materials </w:t>
      </w:r>
      <w:r w:rsidR="00AA653E">
        <w:rPr>
          <w:lang w:val="en-GB"/>
        </w:rPr>
        <w:t>produced for sharing lessons nationally and internationally</w:t>
      </w:r>
    </w:p>
    <w:p w:rsidR="00AA653E" w:rsidRPr="000B3BFC" w:rsidRDefault="00AA653E" w:rsidP="005A5F90">
      <w:pPr>
        <w:spacing w:after="120"/>
        <w:jc w:val="both"/>
        <w:rPr>
          <w:lang w:val="en-GB"/>
        </w:rPr>
      </w:pPr>
      <w:r>
        <w:rPr>
          <w:lang w:val="en-GB"/>
        </w:rPr>
        <w:t>Output 1.6: National MRV system designed</w:t>
      </w:r>
    </w:p>
    <w:p w:rsidR="000B3BFC" w:rsidRPr="000B3BFC" w:rsidRDefault="000B3BFC" w:rsidP="005A5F90">
      <w:pPr>
        <w:spacing w:after="0"/>
        <w:jc w:val="both"/>
        <w:rPr>
          <w:u w:val="single"/>
          <w:lang w:val="en-GB"/>
        </w:rPr>
      </w:pPr>
      <w:r w:rsidRPr="000B3BFC">
        <w:rPr>
          <w:u w:val="single"/>
          <w:lang w:val="en-GB"/>
        </w:rPr>
        <w:t xml:space="preserve">Outcome  2:  Improved  capacity  to  manage  REDD  and  provide  other  Payment  for  Ecological Services at district level </w:t>
      </w:r>
      <w:r w:rsidR="00AA653E">
        <w:rPr>
          <w:u w:val="single"/>
          <w:lang w:val="en-GB"/>
        </w:rPr>
        <w:t xml:space="preserve">into </w:t>
      </w:r>
      <w:r w:rsidRPr="000B3BFC">
        <w:rPr>
          <w:u w:val="single"/>
          <w:lang w:val="en-GB"/>
        </w:rPr>
        <w:t>sustainable developm</w:t>
      </w:r>
      <w:r w:rsidR="00DB30C1">
        <w:rPr>
          <w:u w:val="single"/>
          <w:lang w:val="en-GB"/>
        </w:rPr>
        <w:t>ent planning and implementation</w:t>
      </w:r>
    </w:p>
    <w:p w:rsidR="000B3BFC" w:rsidRPr="000B3BFC" w:rsidRDefault="000B3BFC" w:rsidP="005A5F90">
      <w:pPr>
        <w:spacing w:after="0"/>
        <w:jc w:val="both"/>
        <w:rPr>
          <w:lang w:val="en-GB"/>
        </w:rPr>
      </w:pPr>
      <w:r w:rsidRPr="000B3BFC">
        <w:rPr>
          <w:lang w:val="en-GB"/>
        </w:rPr>
        <w:t xml:space="preserve"> Output 2.1: </w:t>
      </w:r>
      <w:r w:rsidR="00F800BB">
        <w:rPr>
          <w:lang w:val="en-GB"/>
        </w:rPr>
        <w:t>District-level forest</w:t>
      </w:r>
      <w:r w:rsidR="00DB30C1">
        <w:rPr>
          <w:lang w:val="en-GB"/>
        </w:rPr>
        <w:t xml:space="preserve"> land-use plan</w:t>
      </w:r>
      <w:r w:rsidR="00AA653E">
        <w:rPr>
          <w:lang w:val="en-GB"/>
        </w:rPr>
        <w:t xml:space="preserve"> mainstreaming REDD potential</w:t>
      </w:r>
    </w:p>
    <w:p w:rsidR="000B3BFC" w:rsidRPr="000B3BFC" w:rsidRDefault="000B3BFC" w:rsidP="005A5F90">
      <w:pPr>
        <w:spacing w:after="0"/>
        <w:jc w:val="both"/>
        <w:rPr>
          <w:lang w:val="en-GB"/>
        </w:rPr>
      </w:pPr>
      <w:r w:rsidRPr="000B3BFC">
        <w:rPr>
          <w:lang w:val="en-GB"/>
        </w:rPr>
        <w:t xml:space="preserve">Output 2.2: Participatory C-stock </w:t>
      </w:r>
      <w:r w:rsidR="00DB30C1">
        <w:rPr>
          <w:lang w:val="en-GB"/>
        </w:rPr>
        <w:t xml:space="preserve">monitoring </w:t>
      </w:r>
      <w:r w:rsidR="00AA653E">
        <w:rPr>
          <w:lang w:val="en-GB"/>
        </w:rPr>
        <w:t xml:space="preserve">(PCM) </w:t>
      </w:r>
      <w:r w:rsidR="00DB30C1">
        <w:rPr>
          <w:lang w:val="en-GB"/>
        </w:rPr>
        <w:t>system</w:t>
      </w:r>
      <w:r w:rsidR="00AA653E">
        <w:rPr>
          <w:lang w:val="en-GB"/>
        </w:rPr>
        <w:t xml:space="preserve"> operational</w:t>
      </w:r>
    </w:p>
    <w:p w:rsidR="000B3BFC" w:rsidRPr="000B3BFC" w:rsidRDefault="000B3BFC" w:rsidP="005A5F90">
      <w:pPr>
        <w:spacing w:after="0"/>
        <w:jc w:val="both"/>
        <w:rPr>
          <w:lang w:val="en-GB"/>
        </w:rPr>
      </w:pPr>
      <w:r w:rsidRPr="000B3BFC">
        <w:rPr>
          <w:lang w:val="en-GB"/>
        </w:rPr>
        <w:t>Output 2.3: Equitable and transparent b</w:t>
      </w:r>
      <w:r w:rsidR="00DB30C1">
        <w:rPr>
          <w:lang w:val="en-GB"/>
        </w:rPr>
        <w:t>enefit sharing payment systems</w:t>
      </w:r>
      <w:r w:rsidR="00AA653E">
        <w:rPr>
          <w:lang w:val="en-GB"/>
        </w:rPr>
        <w:t xml:space="preserve"> defined</w:t>
      </w:r>
    </w:p>
    <w:p w:rsidR="000B3BFC" w:rsidRPr="000B3BFC" w:rsidRDefault="000B3BFC" w:rsidP="005A5F90">
      <w:pPr>
        <w:spacing w:after="120"/>
        <w:jc w:val="both"/>
        <w:rPr>
          <w:lang w:val="en-GB"/>
        </w:rPr>
      </w:pPr>
      <w:r w:rsidRPr="000B3BFC">
        <w:rPr>
          <w:lang w:val="en-GB"/>
        </w:rPr>
        <w:t>Output 2.4: Awareness</w:t>
      </w:r>
      <w:r w:rsidR="00AA653E">
        <w:rPr>
          <w:lang w:val="en-GB"/>
        </w:rPr>
        <w:t xml:space="preserve"> on REDD+ created at </w:t>
      </w:r>
      <w:r w:rsidR="00DB30C1">
        <w:rPr>
          <w:lang w:val="en-GB"/>
        </w:rPr>
        <w:t>district and local levels</w:t>
      </w:r>
    </w:p>
    <w:p w:rsidR="000B3BFC" w:rsidRPr="000B3BFC" w:rsidRDefault="000B3BFC" w:rsidP="005A5F90">
      <w:pPr>
        <w:spacing w:after="0"/>
        <w:jc w:val="both"/>
        <w:rPr>
          <w:u w:val="single"/>
          <w:lang w:val="en-GB"/>
        </w:rPr>
      </w:pPr>
      <w:r w:rsidRPr="000B3BFC">
        <w:rPr>
          <w:u w:val="single"/>
          <w:lang w:val="en-GB"/>
        </w:rPr>
        <w:t>Outcome 3: Improved knowledge of approaches to reduce reg</w:t>
      </w:r>
      <w:r w:rsidR="00DB30C1">
        <w:rPr>
          <w:u w:val="single"/>
          <w:lang w:val="en-GB"/>
        </w:rPr>
        <w:t>ional displacement of emissions</w:t>
      </w:r>
    </w:p>
    <w:p w:rsidR="000B3BFC" w:rsidRPr="000B3BFC" w:rsidRDefault="000B3BFC" w:rsidP="005A5F90">
      <w:pPr>
        <w:spacing w:after="0"/>
        <w:jc w:val="both"/>
        <w:rPr>
          <w:lang w:val="en-GB"/>
        </w:rPr>
      </w:pPr>
      <w:r w:rsidRPr="000B3BFC">
        <w:rPr>
          <w:lang w:val="en-GB"/>
        </w:rPr>
        <w:t xml:space="preserve">Output 3.1: </w:t>
      </w:r>
      <w:r w:rsidR="00AA653E">
        <w:rPr>
          <w:lang w:val="en-GB"/>
        </w:rPr>
        <w:t xml:space="preserve">Drivers of </w:t>
      </w:r>
      <w:r w:rsidRPr="000B3BFC">
        <w:rPr>
          <w:lang w:val="en-GB"/>
        </w:rPr>
        <w:t>regional</w:t>
      </w:r>
      <w:r w:rsidR="00DB30C1">
        <w:rPr>
          <w:lang w:val="en-GB"/>
        </w:rPr>
        <w:t xml:space="preserve"> displacement </w:t>
      </w:r>
      <w:r w:rsidR="00AA653E">
        <w:rPr>
          <w:lang w:val="en-GB"/>
        </w:rPr>
        <w:t>and inter-sectoral leakage assessed</w:t>
      </w:r>
    </w:p>
    <w:p w:rsidR="000B3BFC" w:rsidRPr="000B3BFC" w:rsidRDefault="000B3BFC" w:rsidP="00F800BB">
      <w:pPr>
        <w:spacing w:after="120"/>
        <w:jc w:val="both"/>
        <w:rPr>
          <w:lang w:val="en-GB"/>
        </w:rPr>
      </w:pPr>
      <w:r w:rsidRPr="000B3BFC">
        <w:rPr>
          <w:lang w:val="en-GB"/>
        </w:rPr>
        <w:t xml:space="preserve">Output 3.2: Regional </w:t>
      </w:r>
      <w:r w:rsidR="00AA653E">
        <w:rPr>
          <w:lang w:val="en-GB"/>
        </w:rPr>
        <w:t>synergies and collaboration on REDD+ enhanced</w:t>
      </w:r>
    </w:p>
    <w:p w:rsidR="00FA5FE0" w:rsidRPr="00FA5FE0" w:rsidRDefault="00FA5FE0" w:rsidP="00F800BB">
      <w:pPr>
        <w:pStyle w:val="ListParagraph"/>
        <w:numPr>
          <w:ilvl w:val="2"/>
          <w:numId w:val="2"/>
        </w:numPr>
        <w:spacing w:after="120"/>
        <w:jc w:val="both"/>
        <w:rPr>
          <w:b/>
          <w:lang w:val="en-GB"/>
        </w:rPr>
      </w:pPr>
      <w:r>
        <w:rPr>
          <w:b/>
          <w:lang w:val="en-GB"/>
        </w:rPr>
        <w:t>E</w:t>
      </w:r>
      <w:r w:rsidR="00D406CB">
        <w:rPr>
          <w:b/>
          <w:lang w:val="en-GB"/>
        </w:rPr>
        <w:t>xecuting A</w:t>
      </w:r>
      <w:r w:rsidRPr="00FA5FE0">
        <w:rPr>
          <w:b/>
          <w:lang w:val="en-GB"/>
        </w:rPr>
        <w:t>rrangements</w:t>
      </w:r>
    </w:p>
    <w:p w:rsidR="000B3BFC" w:rsidRPr="0005512E" w:rsidRDefault="000B3BFC" w:rsidP="005A5F90">
      <w:pPr>
        <w:spacing w:after="120"/>
        <w:jc w:val="both"/>
        <w:rPr>
          <w:lang w:val="en-GB"/>
        </w:rPr>
      </w:pPr>
      <w:r w:rsidRPr="0005512E">
        <w:rPr>
          <w:lang w:val="en-GB"/>
        </w:rPr>
        <w:t xml:space="preserve">The </w:t>
      </w:r>
      <w:r w:rsidR="0005512E" w:rsidRPr="0005512E">
        <w:rPr>
          <w:lang w:val="en-GB"/>
        </w:rPr>
        <w:t>“</w:t>
      </w:r>
      <w:r w:rsidRPr="0005512E">
        <w:rPr>
          <w:lang w:val="en-GB"/>
        </w:rPr>
        <w:t>Implementing Partne</w:t>
      </w:r>
      <w:r w:rsidR="0005512E" w:rsidRPr="0005512E">
        <w:rPr>
          <w:lang w:val="en-GB"/>
        </w:rPr>
        <w:t>r”</w:t>
      </w:r>
      <w:r w:rsidRPr="0005512E">
        <w:rPr>
          <w:rFonts w:ascii="Calibri" w:hAnsi="Calibri" w:cs="Calibri"/>
          <w:lang w:val="en-GB"/>
        </w:rPr>
        <w:t xml:space="preserve"> (a.k.a.</w:t>
      </w:r>
      <w:r w:rsidR="0005512E" w:rsidRPr="0005512E">
        <w:rPr>
          <w:rFonts w:ascii="Calibri" w:hAnsi="Calibri" w:cs="Calibri"/>
          <w:lang w:val="en-GB"/>
        </w:rPr>
        <w:t xml:space="preserve"> “</w:t>
      </w:r>
      <w:r w:rsidRPr="0005512E">
        <w:rPr>
          <w:rFonts w:ascii="Calibri" w:hAnsi="Calibri" w:cs="Calibri"/>
          <w:lang w:val="en-GB"/>
        </w:rPr>
        <w:t>Designated Institution</w:t>
      </w:r>
      <w:r w:rsidR="0005512E" w:rsidRPr="0005512E">
        <w:rPr>
          <w:rFonts w:ascii="Cambria Math" w:hAnsi="Cambria Math" w:cs="Cambria Math"/>
          <w:lang w:val="en-GB"/>
        </w:rPr>
        <w:t>”</w:t>
      </w:r>
      <w:r w:rsidRPr="0005512E">
        <w:rPr>
          <w:rFonts w:ascii="Calibri" w:hAnsi="Calibri" w:cs="Calibri"/>
          <w:lang w:val="en-GB"/>
        </w:rPr>
        <w:t xml:space="preserve">) of this Programme </w:t>
      </w:r>
      <w:r w:rsidR="0005512E" w:rsidRPr="0005512E">
        <w:rPr>
          <w:rFonts w:ascii="Calibri" w:hAnsi="Calibri" w:cs="Calibri"/>
          <w:lang w:val="en-GB"/>
        </w:rPr>
        <w:t>is</w:t>
      </w:r>
      <w:r w:rsidRPr="0005512E">
        <w:rPr>
          <w:rFonts w:ascii="Calibri" w:hAnsi="Calibri" w:cs="Calibri"/>
          <w:lang w:val="en-GB"/>
        </w:rPr>
        <w:t xml:space="preserve"> M</w:t>
      </w:r>
      <w:r w:rsidR="00951BB4">
        <w:rPr>
          <w:rFonts w:ascii="Calibri" w:hAnsi="Calibri" w:cs="Calibri"/>
          <w:lang w:val="en-GB"/>
        </w:rPr>
        <w:t>inistry of Agriculture and Rural Development</w:t>
      </w:r>
      <w:r w:rsidRPr="0005512E">
        <w:rPr>
          <w:rFonts w:ascii="Calibri" w:hAnsi="Calibri" w:cs="Calibri"/>
          <w:lang w:val="en-GB"/>
        </w:rPr>
        <w:t xml:space="preserve">. </w:t>
      </w:r>
      <w:r w:rsidR="0005512E" w:rsidRPr="0005512E">
        <w:rPr>
          <w:lang w:val="en-GB"/>
        </w:rPr>
        <w:t>A National</w:t>
      </w:r>
      <w:r w:rsidRPr="0005512E">
        <w:rPr>
          <w:lang w:val="en-GB"/>
        </w:rPr>
        <w:t xml:space="preserve"> Progra</w:t>
      </w:r>
      <w:r w:rsidR="0005512E" w:rsidRPr="0005512E">
        <w:rPr>
          <w:lang w:val="en-GB"/>
        </w:rPr>
        <w:t>mme Director (NPD) directs the programme and</w:t>
      </w:r>
      <w:r w:rsidRPr="0005512E">
        <w:rPr>
          <w:lang w:val="en-GB"/>
        </w:rPr>
        <w:t xml:space="preserve"> </w:t>
      </w:r>
      <w:r w:rsidR="0005512E" w:rsidRPr="0005512E">
        <w:rPr>
          <w:lang w:val="en-GB"/>
        </w:rPr>
        <w:t>carries</w:t>
      </w:r>
      <w:r w:rsidRPr="0005512E">
        <w:rPr>
          <w:lang w:val="en-GB"/>
        </w:rPr>
        <w:t xml:space="preserve"> overall accountabili</w:t>
      </w:r>
      <w:r w:rsidR="0005512E" w:rsidRPr="0005512E">
        <w:rPr>
          <w:lang w:val="en-GB"/>
        </w:rPr>
        <w:t>ty for the programme to the Government of Viet Nam</w:t>
      </w:r>
      <w:r w:rsidRPr="0005512E">
        <w:rPr>
          <w:lang w:val="en-GB"/>
        </w:rPr>
        <w:t xml:space="preserve"> and to the UN agencies. The overall programme and each specific activity </w:t>
      </w:r>
      <w:r w:rsidR="00C52FB0">
        <w:rPr>
          <w:lang w:val="en-GB"/>
        </w:rPr>
        <w:t>are</w:t>
      </w:r>
      <w:r w:rsidRPr="0005512E">
        <w:rPr>
          <w:lang w:val="en-GB"/>
        </w:rPr>
        <w:t xml:space="preserve"> implemented under the leadership of the </w:t>
      </w:r>
      <w:r w:rsidR="0005512E" w:rsidRPr="0005512E">
        <w:rPr>
          <w:lang w:val="en-GB"/>
        </w:rPr>
        <w:t>Government</w:t>
      </w:r>
      <w:r w:rsidR="00DB30C1">
        <w:rPr>
          <w:lang w:val="en-GB"/>
        </w:rPr>
        <w:t>, represented by the NPD.</w:t>
      </w:r>
    </w:p>
    <w:p w:rsidR="000B3BFC" w:rsidRPr="00C52FB0" w:rsidRDefault="000B3BFC" w:rsidP="005A5F90">
      <w:pPr>
        <w:spacing w:after="120"/>
        <w:jc w:val="both"/>
        <w:rPr>
          <w:lang w:val="en-GB"/>
        </w:rPr>
      </w:pPr>
      <w:r w:rsidRPr="0005512E">
        <w:rPr>
          <w:lang w:val="en-GB"/>
        </w:rPr>
        <w:lastRenderedPageBreak/>
        <w:t xml:space="preserve">Fund management </w:t>
      </w:r>
      <w:r w:rsidR="00C52FB0">
        <w:rPr>
          <w:lang w:val="en-GB"/>
        </w:rPr>
        <w:t>is using</w:t>
      </w:r>
      <w:r w:rsidR="0005512E" w:rsidRPr="0005512E">
        <w:rPr>
          <w:lang w:val="en-GB"/>
        </w:rPr>
        <w:t xml:space="preserve"> the pass-through modality</w:t>
      </w:r>
      <w:r w:rsidR="00C52FB0">
        <w:rPr>
          <w:lang w:val="en-GB"/>
        </w:rPr>
        <w:t>.</w:t>
      </w:r>
      <w:r w:rsidRPr="0005512E">
        <w:rPr>
          <w:lang w:val="en-GB"/>
        </w:rPr>
        <w:t xml:space="preserve"> UNDP‘s</w:t>
      </w:r>
      <w:r w:rsidR="0005512E" w:rsidRPr="0005512E">
        <w:rPr>
          <w:lang w:val="en-GB"/>
        </w:rPr>
        <w:t xml:space="preserve"> Multi-donor Trust Fund Office </w:t>
      </w:r>
      <w:r w:rsidRPr="0005512E">
        <w:rPr>
          <w:lang w:val="en-GB"/>
        </w:rPr>
        <w:t>has been designated as Administrative Ag</w:t>
      </w:r>
      <w:r w:rsidR="00C52FB0">
        <w:rPr>
          <w:lang w:val="en-GB"/>
        </w:rPr>
        <w:t>ent for UN-REDD.</w:t>
      </w:r>
      <w:r w:rsidRPr="0005512E">
        <w:rPr>
          <w:lang w:val="en-GB"/>
        </w:rPr>
        <w:t xml:space="preserve"> </w:t>
      </w:r>
      <w:r w:rsidR="0005512E" w:rsidRPr="0005512E">
        <w:rPr>
          <w:lang w:val="en-GB"/>
        </w:rPr>
        <w:t xml:space="preserve">The funds from UN-REDD will be </w:t>
      </w:r>
      <w:r w:rsidRPr="0005512E">
        <w:rPr>
          <w:lang w:val="en-GB"/>
        </w:rPr>
        <w:t>passed  through  from  the  Administrative  Agent  to  the  Partic</w:t>
      </w:r>
      <w:r w:rsidR="0005512E" w:rsidRPr="0005512E">
        <w:rPr>
          <w:lang w:val="en-GB"/>
        </w:rPr>
        <w:t xml:space="preserve">ipating  UN  Organisations  in </w:t>
      </w:r>
      <w:r w:rsidRPr="0005512E">
        <w:rPr>
          <w:lang w:val="en-GB"/>
        </w:rPr>
        <w:t xml:space="preserve">accordance </w:t>
      </w:r>
      <w:r w:rsidRPr="00C52FB0">
        <w:rPr>
          <w:lang w:val="en-GB"/>
        </w:rPr>
        <w:t>with the MOU between UN-REDD and the Mu</w:t>
      </w:r>
      <w:r w:rsidR="00951BB4">
        <w:rPr>
          <w:lang w:val="en-GB"/>
        </w:rPr>
        <w:t>lti-donor Trust Fund Office.</w:t>
      </w:r>
    </w:p>
    <w:p w:rsidR="000B3BFC" w:rsidRPr="00223B8A" w:rsidRDefault="00C52FB0" w:rsidP="005A5F90">
      <w:pPr>
        <w:spacing w:after="120"/>
        <w:jc w:val="both"/>
        <w:rPr>
          <w:lang w:val="en-GB"/>
        </w:rPr>
      </w:pPr>
      <w:r>
        <w:rPr>
          <w:lang w:val="en-GB"/>
        </w:rPr>
        <w:t>The</w:t>
      </w:r>
      <w:r w:rsidRPr="00C52FB0">
        <w:rPr>
          <w:lang w:val="en-GB"/>
        </w:rPr>
        <w:t xml:space="preserve"> programme</w:t>
      </w:r>
      <w:r w:rsidR="000B3BFC" w:rsidRPr="00C52FB0">
        <w:rPr>
          <w:lang w:val="en-GB"/>
        </w:rPr>
        <w:t xml:space="preserve"> </w:t>
      </w:r>
      <w:r w:rsidRPr="00C52FB0">
        <w:rPr>
          <w:lang w:val="en-GB"/>
        </w:rPr>
        <w:t xml:space="preserve">is </w:t>
      </w:r>
      <w:r w:rsidR="000B3BFC" w:rsidRPr="00C52FB0">
        <w:rPr>
          <w:lang w:val="en-GB"/>
        </w:rPr>
        <w:t>mana</w:t>
      </w:r>
      <w:r w:rsidRPr="00C52FB0">
        <w:rPr>
          <w:lang w:val="en-GB"/>
        </w:rPr>
        <w:t>ged in</w:t>
      </w:r>
      <w:r w:rsidR="000B3BFC" w:rsidRPr="00C52FB0">
        <w:rPr>
          <w:lang w:val="en-GB"/>
        </w:rPr>
        <w:t xml:space="preserve"> accordance </w:t>
      </w:r>
      <w:r w:rsidRPr="00C52FB0">
        <w:rPr>
          <w:lang w:val="en-GB"/>
        </w:rPr>
        <w:t xml:space="preserve">with the 2003 UNDG Guidance Note on Joint </w:t>
      </w:r>
      <w:r w:rsidR="000B3BFC" w:rsidRPr="00C52FB0">
        <w:rPr>
          <w:lang w:val="en-GB"/>
        </w:rPr>
        <w:t>Programmin</w:t>
      </w:r>
      <w:r w:rsidRPr="00C52FB0">
        <w:rPr>
          <w:lang w:val="en-GB"/>
        </w:rPr>
        <w:t xml:space="preserve">g  and  executed  by  </w:t>
      </w:r>
      <w:r w:rsidR="009A7DA4">
        <w:rPr>
          <w:lang w:val="en-GB"/>
        </w:rPr>
        <w:t>the</w:t>
      </w:r>
      <w:r w:rsidR="009A7DA4" w:rsidRPr="00C52FB0">
        <w:rPr>
          <w:lang w:val="en-GB"/>
        </w:rPr>
        <w:t xml:space="preserve">  </w:t>
      </w:r>
      <w:r w:rsidRPr="00C52FB0">
        <w:rPr>
          <w:lang w:val="en-GB"/>
        </w:rPr>
        <w:t>“</w:t>
      </w:r>
      <w:r w:rsidR="000B3BFC" w:rsidRPr="00C52FB0">
        <w:rPr>
          <w:lang w:val="en-GB"/>
        </w:rPr>
        <w:t>National  Implementing  Partner</w:t>
      </w:r>
      <w:r w:rsidRPr="00C52FB0">
        <w:rPr>
          <w:lang w:val="en-GB"/>
        </w:rPr>
        <w:t>”</w:t>
      </w:r>
      <w:r w:rsidR="009A7DA4">
        <w:rPr>
          <w:rFonts w:ascii="Calibri" w:hAnsi="Calibri" w:cs="Calibri"/>
          <w:lang w:val="en-GB"/>
        </w:rPr>
        <w:t xml:space="preserve"> </w:t>
      </w:r>
      <w:r w:rsidR="000B3BFC" w:rsidRPr="00C52FB0">
        <w:rPr>
          <w:rFonts w:ascii="Calibri" w:hAnsi="Calibri" w:cs="Calibri"/>
          <w:lang w:val="en-GB"/>
        </w:rPr>
        <w:t xml:space="preserve">MARD, </w:t>
      </w:r>
      <w:r w:rsidR="009A7DA4">
        <w:rPr>
          <w:rFonts w:ascii="Calibri" w:hAnsi="Calibri" w:cs="Calibri"/>
          <w:lang w:val="en-GB"/>
        </w:rPr>
        <w:t>as well as other co-implementing partners such as DARD in Lam Dong Province</w:t>
      </w:r>
      <w:r w:rsidR="000B3BFC" w:rsidRPr="00C52FB0">
        <w:rPr>
          <w:lang w:val="en-GB"/>
        </w:rPr>
        <w:t xml:space="preserve">,  through  the  participating  UN  organizations,  </w:t>
      </w:r>
      <w:r w:rsidRPr="00C52FB0">
        <w:rPr>
          <w:lang w:val="en-GB"/>
        </w:rPr>
        <w:t>FAO, UNDP and UNEP.</w:t>
      </w:r>
      <w:r w:rsidR="000B3BFC" w:rsidRPr="00C52FB0">
        <w:rPr>
          <w:lang w:val="en-GB"/>
        </w:rPr>
        <w:t xml:space="preserve"> Each of those Implementing Agencies is accountable to the participating UN organization relating to the funds released for the delivery of a specific set of outputs and for management of inputs. Specialized service delivery costs for programme and project implementation may be charged  directly  to  the  joint  programme,  in  accordance  with  the  respective  Participating  UN Organizations‘ policies, but such costs will amount to no more than 7% of the Participating</w:t>
      </w:r>
      <w:r w:rsidRPr="00C52FB0">
        <w:rPr>
          <w:lang w:val="en-GB"/>
        </w:rPr>
        <w:t xml:space="preserve"> UN Agency‘s budget allocation.</w:t>
      </w:r>
      <w:r w:rsidR="00223B8A">
        <w:rPr>
          <w:lang w:val="en-GB"/>
        </w:rPr>
        <w:t xml:space="preserve"> </w:t>
      </w:r>
      <w:r w:rsidR="00223B8A" w:rsidRPr="00223B8A">
        <w:rPr>
          <w:lang w:val="en-GB"/>
        </w:rPr>
        <w:t>In addition, indirect costs are reflected in the Joint Programme submitted to the UN-REDD Secretariat. Indirect costs will not exceed 7 per cent of the Joint Programme budget. These costs cover general oversight, management, and quality control, in accordance with its financial regulations and rules.</w:t>
      </w:r>
    </w:p>
    <w:p w:rsidR="00C52FB0" w:rsidRDefault="000B3BFC" w:rsidP="005A5F90">
      <w:pPr>
        <w:spacing w:after="120"/>
        <w:jc w:val="both"/>
        <w:rPr>
          <w:lang w:val="en-GB"/>
        </w:rPr>
      </w:pPr>
      <w:r w:rsidRPr="00C52FB0">
        <w:rPr>
          <w:lang w:val="en-GB"/>
        </w:rPr>
        <w:t>The Participating UN Organizations may enter into a formal agr</w:t>
      </w:r>
      <w:r w:rsidR="0005512E" w:rsidRPr="00C52FB0">
        <w:rPr>
          <w:lang w:val="en-GB"/>
        </w:rPr>
        <w:t xml:space="preserve">eement with a national agency, </w:t>
      </w:r>
      <w:r w:rsidRPr="00C52FB0">
        <w:rPr>
          <w:lang w:val="en-GB"/>
        </w:rPr>
        <w:t xml:space="preserve">provincial  authorities,  or  a  Mass  Organisation,  or  procure  services  </w:t>
      </w:r>
      <w:r w:rsidR="0005512E" w:rsidRPr="00C52FB0">
        <w:rPr>
          <w:lang w:val="en-GB"/>
        </w:rPr>
        <w:t xml:space="preserve">from  other  parties  for  the </w:t>
      </w:r>
      <w:r w:rsidRPr="00C52FB0">
        <w:rPr>
          <w:lang w:val="en-GB"/>
        </w:rPr>
        <w:t>implementation of certain activities or  sub-activities, in accordanc</w:t>
      </w:r>
      <w:r w:rsidR="0005512E" w:rsidRPr="00C52FB0">
        <w:rPr>
          <w:lang w:val="en-GB"/>
        </w:rPr>
        <w:t xml:space="preserve">e to their regulations, rules, </w:t>
      </w:r>
      <w:r w:rsidRPr="00C52FB0">
        <w:rPr>
          <w:lang w:val="en-GB"/>
        </w:rPr>
        <w:t>policies and procedures.  They will retain the primary accountab</w:t>
      </w:r>
      <w:r w:rsidR="0005512E" w:rsidRPr="00C52FB0">
        <w:rPr>
          <w:lang w:val="en-GB"/>
        </w:rPr>
        <w:t xml:space="preserve">ility for management of inputs and the specifically agreed outputs. National partners </w:t>
      </w:r>
      <w:r w:rsidRPr="00C52FB0">
        <w:rPr>
          <w:lang w:val="en-GB"/>
        </w:rPr>
        <w:t>wil</w:t>
      </w:r>
      <w:r w:rsidR="0005512E" w:rsidRPr="00C52FB0">
        <w:rPr>
          <w:lang w:val="en-GB"/>
        </w:rPr>
        <w:t xml:space="preserve">l </w:t>
      </w:r>
      <w:r w:rsidRPr="00C52FB0">
        <w:rPr>
          <w:lang w:val="en-GB"/>
        </w:rPr>
        <w:t>us</w:t>
      </w:r>
      <w:r w:rsidR="0005512E" w:rsidRPr="00C52FB0">
        <w:rPr>
          <w:lang w:val="en-GB"/>
        </w:rPr>
        <w:t xml:space="preserve">e the UN-EU cost norms in accordance with the standard MoU between Participating UN </w:t>
      </w:r>
      <w:r w:rsidRPr="00C52FB0">
        <w:rPr>
          <w:lang w:val="en-GB"/>
        </w:rPr>
        <w:t>O</w:t>
      </w:r>
      <w:r w:rsidR="0005512E" w:rsidRPr="00C52FB0">
        <w:rPr>
          <w:lang w:val="en-GB"/>
        </w:rPr>
        <w:t xml:space="preserve">rganisations and the United </w:t>
      </w:r>
      <w:r w:rsidRPr="00C52FB0">
        <w:rPr>
          <w:lang w:val="en-GB"/>
        </w:rPr>
        <w:t>Nations Resident Coordinator.</w:t>
      </w:r>
    </w:p>
    <w:p w:rsidR="00FA5FE0" w:rsidRPr="00C52FB0" w:rsidRDefault="00C52FB0" w:rsidP="005A5F90">
      <w:pPr>
        <w:spacing w:after="120"/>
        <w:jc w:val="both"/>
        <w:rPr>
          <w:lang w:val="en-GB"/>
        </w:rPr>
      </w:pPr>
      <w:r>
        <w:rPr>
          <w:lang w:val="en-GB"/>
        </w:rPr>
        <w:t xml:space="preserve">Further information on the Viet Nam </w:t>
      </w:r>
      <w:r w:rsidR="00117714">
        <w:rPr>
          <w:lang w:val="en-GB"/>
        </w:rPr>
        <w:t xml:space="preserve">UN-REDD </w:t>
      </w:r>
      <w:r>
        <w:rPr>
          <w:lang w:val="en-GB"/>
        </w:rPr>
        <w:t>National Programme executing arrangements and institutional set-up is available in the National Programme Document</w:t>
      </w:r>
      <w:r>
        <w:rPr>
          <w:rStyle w:val="FootnoteReference"/>
          <w:lang w:val="en-GB"/>
        </w:rPr>
        <w:footnoteReference w:id="1"/>
      </w:r>
      <w:r>
        <w:rPr>
          <w:lang w:val="en-GB"/>
        </w:rPr>
        <w:t>.</w:t>
      </w:r>
    </w:p>
    <w:p w:rsidR="00FA5FE0" w:rsidRDefault="00FA5FE0" w:rsidP="00F800BB">
      <w:pPr>
        <w:pStyle w:val="ListParagraph"/>
        <w:numPr>
          <w:ilvl w:val="2"/>
          <w:numId w:val="2"/>
        </w:numPr>
        <w:spacing w:after="120"/>
        <w:jc w:val="both"/>
        <w:rPr>
          <w:b/>
          <w:lang w:val="en-GB"/>
        </w:rPr>
      </w:pPr>
      <w:r w:rsidRPr="00FA5FE0">
        <w:rPr>
          <w:b/>
          <w:lang w:val="en-GB"/>
        </w:rPr>
        <w:t xml:space="preserve">Cost and </w:t>
      </w:r>
      <w:r w:rsidR="00D406CB">
        <w:rPr>
          <w:b/>
          <w:lang w:val="en-GB"/>
        </w:rPr>
        <w:t>F</w:t>
      </w:r>
      <w:r w:rsidRPr="00FA5FE0">
        <w:rPr>
          <w:b/>
          <w:lang w:val="en-GB"/>
        </w:rPr>
        <w:t>inancing</w:t>
      </w:r>
    </w:p>
    <w:p w:rsidR="008B6918" w:rsidRPr="00944391" w:rsidRDefault="008B6918" w:rsidP="005A5F90">
      <w:pPr>
        <w:spacing w:before="120" w:after="120"/>
        <w:jc w:val="both"/>
        <w:rPr>
          <w:lang w:val="en-GB"/>
        </w:rPr>
      </w:pPr>
      <w:r w:rsidRPr="008B6918">
        <w:rPr>
          <w:lang w:val="en-GB"/>
        </w:rPr>
        <w:t xml:space="preserve">The total amount transferred to </w:t>
      </w:r>
      <w:r w:rsidRPr="00935AEB">
        <w:rPr>
          <w:lang w:val="en-GB"/>
        </w:rPr>
        <w:t xml:space="preserve">the </w:t>
      </w:r>
      <w:r w:rsidR="00935AEB" w:rsidRPr="00935AEB">
        <w:rPr>
          <w:lang w:val="en-GB"/>
        </w:rPr>
        <w:t xml:space="preserve">Viet Nam </w:t>
      </w:r>
      <w:r w:rsidR="00117714">
        <w:rPr>
          <w:lang w:val="en-GB"/>
        </w:rPr>
        <w:t xml:space="preserve">UN-REDD </w:t>
      </w:r>
      <w:r w:rsidRPr="00935AEB">
        <w:rPr>
          <w:lang w:val="en-GB"/>
        </w:rPr>
        <w:t xml:space="preserve">National Programme is </w:t>
      </w:r>
      <w:r w:rsidR="00935AEB" w:rsidRPr="00935AEB">
        <w:rPr>
          <w:lang w:val="en-GB"/>
        </w:rPr>
        <w:t xml:space="preserve">US$4,384,756 </w:t>
      </w:r>
      <w:r w:rsidRPr="00935AEB">
        <w:rPr>
          <w:lang w:val="en-GB"/>
        </w:rPr>
        <w:t>as</w:t>
      </w:r>
      <w:r>
        <w:rPr>
          <w:lang w:val="en-GB"/>
        </w:rPr>
        <w:t xml:space="preserve"> shown in Table 2.</w:t>
      </w:r>
      <w:r w:rsidR="00944391" w:rsidRPr="00944391">
        <w:rPr>
          <w:lang w:val="en-GB"/>
        </w:rPr>
        <w:t xml:space="preserve"> </w:t>
      </w:r>
      <w:r w:rsidR="00117714">
        <w:rPr>
          <w:lang w:val="en-GB"/>
        </w:rPr>
        <w:t>A</w:t>
      </w:r>
      <w:r w:rsidR="00054B4B">
        <w:rPr>
          <w:lang w:val="en-GB"/>
        </w:rPr>
        <w:t>ccord</w:t>
      </w:r>
      <w:r w:rsidR="00117714">
        <w:rPr>
          <w:lang w:val="en-GB"/>
        </w:rPr>
        <w:t>ing to the programme’s latest</w:t>
      </w:r>
      <w:r w:rsidR="00054B4B">
        <w:rPr>
          <w:lang w:val="en-GB"/>
        </w:rPr>
        <w:t xml:space="preserve"> annual report, in </w:t>
      </w:r>
      <w:r w:rsidR="00944391" w:rsidRPr="00935AEB">
        <w:rPr>
          <w:lang w:val="en-GB"/>
        </w:rPr>
        <w:t>addition  to  the  UN-REDD  Programme  funding,  additional  co-financing  (cash</w:t>
      </w:r>
      <w:r w:rsidR="00944391">
        <w:rPr>
          <w:lang w:val="en-GB"/>
        </w:rPr>
        <w:t xml:space="preserve">)  </w:t>
      </w:r>
      <w:r w:rsidR="00054B4B">
        <w:rPr>
          <w:lang w:val="en-GB"/>
        </w:rPr>
        <w:t xml:space="preserve">for UN-REDD supported activities </w:t>
      </w:r>
      <w:r w:rsidR="00944391">
        <w:rPr>
          <w:lang w:val="en-GB"/>
        </w:rPr>
        <w:t xml:space="preserve">was  provided  by: </w:t>
      </w:r>
      <w:r w:rsidR="00054B4B">
        <w:rPr>
          <w:lang w:val="en-GB"/>
        </w:rPr>
        <w:t>Germany (</w:t>
      </w:r>
      <w:r w:rsidR="00944391">
        <w:rPr>
          <w:lang w:val="en-GB"/>
        </w:rPr>
        <w:t xml:space="preserve">Deutsche </w:t>
      </w:r>
      <w:r w:rsidR="00E61D60" w:rsidRPr="00E61D60">
        <w:rPr>
          <w:lang w:val="en-GB"/>
        </w:rPr>
        <w:t>Gesellschaft für In</w:t>
      </w:r>
      <w:r w:rsidR="00054B4B">
        <w:rPr>
          <w:lang w:val="en-GB"/>
        </w:rPr>
        <w:t>ternationale Zusammenarbeit, GIZ)</w:t>
      </w:r>
      <w:r w:rsidR="00944391" w:rsidRPr="00935AEB">
        <w:rPr>
          <w:lang w:val="en-GB"/>
        </w:rPr>
        <w:t xml:space="preserve"> (US$33,000), </w:t>
      </w:r>
      <w:r w:rsidR="00944391">
        <w:rPr>
          <w:lang w:val="en-GB"/>
        </w:rPr>
        <w:t>SENSA (US$10,000)  and UNDP</w:t>
      </w:r>
      <w:r w:rsidR="00944391" w:rsidRPr="00935AEB">
        <w:rPr>
          <w:lang w:val="en-GB"/>
        </w:rPr>
        <w:t>(US$20,000).</w:t>
      </w:r>
    </w:p>
    <w:p w:rsidR="000966CB" w:rsidRPr="000966CB" w:rsidRDefault="000966CB" w:rsidP="005A5F90">
      <w:pPr>
        <w:spacing w:after="0"/>
        <w:jc w:val="both"/>
        <w:rPr>
          <w:b/>
          <w:sz w:val="20"/>
          <w:szCs w:val="20"/>
          <w:lang w:val="en-GB"/>
        </w:rPr>
      </w:pPr>
      <w:r w:rsidRPr="000966CB">
        <w:rPr>
          <w:b/>
          <w:sz w:val="20"/>
          <w:szCs w:val="20"/>
          <w:lang w:val="en-GB"/>
        </w:rPr>
        <w:t xml:space="preserve">Table </w:t>
      </w:r>
      <w:r w:rsidR="00473858">
        <w:rPr>
          <w:b/>
          <w:sz w:val="20"/>
          <w:szCs w:val="20"/>
          <w:lang w:val="en-GB"/>
        </w:rPr>
        <w:t>2</w:t>
      </w:r>
      <w:r w:rsidRPr="000966CB">
        <w:rPr>
          <w:b/>
          <w:sz w:val="20"/>
          <w:szCs w:val="20"/>
          <w:lang w:val="en-GB"/>
        </w:rPr>
        <w:t>: Programme</w:t>
      </w:r>
      <w:r w:rsidR="00473858">
        <w:rPr>
          <w:b/>
          <w:sz w:val="20"/>
          <w:szCs w:val="20"/>
          <w:lang w:val="en-GB"/>
        </w:rPr>
        <w:t xml:space="preserve"> Financing</w:t>
      </w:r>
      <w:r w:rsidRPr="000966CB">
        <w:rPr>
          <w:b/>
          <w:sz w:val="20"/>
          <w:szCs w:val="20"/>
          <w:lang w:val="en-GB"/>
        </w:rPr>
        <w:t xml:space="preserve"> (US$)</w:t>
      </w:r>
    </w:p>
    <w:tbl>
      <w:tblPr>
        <w:tblStyle w:val="TableGrid"/>
        <w:tblW w:w="0" w:type="auto"/>
        <w:tblInd w:w="108" w:type="dxa"/>
        <w:tblLook w:val="04A0"/>
      </w:tblPr>
      <w:tblGrid>
        <w:gridCol w:w="3261"/>
        <w:gridCol w:w="2835"/>
        <w:gridCol w:w="2976"/>
      </w:tblGrid>
      <w:tr w:rsidR="00473858" w:rsidRPr="00473858" w:rsidTr="00473858">
        <w:tc>
          <w:tcPr>
            <w:tcW w:w="3261" w:type="dxa"/>
            <w:shd w:val="clear" w:color="auto" w:fill="D9D9D9" w:themeFill="background1" w:themeFillShade="D9"/>
            <w:vAlign w:val="center"/>
          </w:tcPr>
          <w:p w:rsidR="00473858" w:rsidRDefault="00473858" w:rsidP="005A5F90">
            <w:pPr>
              <w:spacing w:line="276" w:lineRule="auto"/>
              <w:jc w:val="center"/>
              <w:rPr>
                <w:b/>
                <w:sz w:val="20"/>
                <w:szCs w:val="20"/>
                <w:lang w:val="en-GB"/>
              </w:rPr>
            </w:pPr>
            <w:r>
              <w:rPr>
                <w:b/>
                <w:sz w:val="20"/>
                <w:szCs w:val="20"/>
                <w:lang w:val="en-GB"/>
              </w:rPr>
              <w:t xml:space="preserve">Participating UN </w:t>
            </w:r>
          </w:p>
          <w:p w:rsidR="00473858" w:rsidRPr="000966CB" w:rsidRDefault="00473858" w:rsidP="005A5F90">
            <w:pPr>
              <w:spacing w:line="276" w:lineRule="auto"/>
              <w:jc w:val="center"/>
              <w:rPr>
                <w:b/>
                <w:sz w:val="20"/>
                <w:szCs w:val="20"/>
                <w:lang w:val="en-GB"/>
              </w:rPr>
            </w:pPr>
            <w:r>
              <w:rPr>
                <w:b/>
                <w:sz w:val="20"/>
                <w:szCs w:val="20"/>
                <w:lang w:val="en-GB"/>
              </w:rPr>
              <w:t>Organization</w:t>
            </w:r>
          </w:p>
        </w:tc>
        <w:tc>
          <w:tcPr>
            <w:tcW w:w="2835" w:type="dxa"/>
            <w:shd w:val="clear" w:color="auto" w:fill="D9D9D9" w:themeFill="background1" w:themeFillShade="D9"/>
            <w:vAlign w:val="center"/>
          </w:tcPr>
          <w:p w:rsidR="00473858" w:rsidRPr="000966CB" w:rsidRDefault="00473858" w:rsidP="005A5F90">
            <w:pPr>
              <w:spacing w:line="276" w:lineRule="auto"/>
              <w:jc w:val="center"/>
              <w:rPr>
                <w:b/>
                <w:sz w:val="20"/>
                <w:szCs w:val="20"/>
                <w:lang w:val="en-GB"/>
              </w:rPr>
            </w:pPr>
            <w:r>
              <w:rPr>
                <w:b/>
                <w:sz w:val="20"/>
                <w:szCs w:val="20"/>
                <w:lang w:val="en-GB"/>
              </w:rPr>
              <w:t>Amount allocated</w:t>
            </w:r>
          </w:p>
        </w:tc>
        <w:tc>
          <w:tcPr>
            <w:tcW w:w="2976" w:type="dxa"/>
            <w:shd w:val="clear" w:color="auto" w:fill="D9D9D9" w:themeFill="background1" w:themeFillShade="D9"/>
            <w:vAlign w:val="center"/>
          </w:tcPr>
          <w:p w:rsidR="00473858" w:rsidRDefault="00473858" w:rsidP="005A5F90">
            <w:pPr>
              <w:spacing w:line="276" w:lineRule="auto"/>
              <w:jc w:val="center"/>
              <w:rPr>
                <w:b/>
                <w:sz w:val="20"/>
                <w:szCs w:val="20"/>
                <w:lang w:val="en-GB"/>
              </w:rPr>
            </w:pPr>
            <w:r>
              <w:rPr>
                <w:b/>
                <w:sz w:val="20"/>
                <w:szCs w:val="20"/>
                <w:lang w:val="en-GB"/>
              </w:rPr>
              <w:t>Amount Transferred</w:t>
            </w:r>
          </w:p>
          <w:p w:rsidR="00473858" w:rsidRDefault="00473858" w:rsidP="005A5F90">
            <w:pPr>
              <w:spacing w:line="276" w:lineRule="auto"/>
              <w:jc w:val="center"/>
              <w:rPr>
                <w:b/>
                <w:sz w:val="20"/>
                <w:szCs w:val="20"/>
                <w:lang w:val="en-GB"/>
              </w:rPr>
            </w:pPr>
            <w:r>
              <w:rPr>
                <w:b/>
                <w:sz w:val="20"/>
                <w:szCs w:val="20"/>
                <w:lang w:val="en-GB"/>
              </w:rPr>
              <w:t xml:space="preserve">from the UN-REDD </w:t>
            </w:r>
          </w:p>
          <w:p w:rsidR="00473858" w:rsidRPr="000966CB" w:rsidRDefault="00473858" w:rsidP="005A5F90">
            <w:pPr>
              <w:spacing w:line="276" w:lineRule="auto"/>
              <w:jc w:val="center"/>
              <w:rPr>
                <w:b/>
                <w:sz w:val="20"/>
                <w:szCs w:val="20"/>
                <w:lang w:val="en-GB"/>
              </w:rPr>
            </w:pPr>
            <w:r>
              <w:rPr>
                <w:b/>
                <w:sz w:val="20"/>
                <w:szCs w:val="20"/>
                <w:lang w:val="en-GB"/>
              </w:rPr>
              <w:t>Multi-Partner Trust Fund</w:t>
            </w:r>
          </w:p>
        </w:tc>
      </w:tr>
      <w:tr w:rsidR="00473858" w:rsidRPr="000966CB" w:rsidTr="00473858">
        <w:tc>
          <w:tcPr>
            <w:tcW w:w="3261" w:type="dxa"/>
            <w:shd w:val="clear" w:color="auto" w:fill="D9D9D9" w:themeFill="background1" w:themeFillShade="D9"/>
            <w:vAlign w:val="center"/>
          </w:tcPr>
          <w:p w:rsidR="00473858" w:rsidRPr="000966CB" w:rsidRDefault="00473858" w:rsidP="005A5F90">
            <w:pPr>
              <w:spacing w:line="276" w:lineRule="auto"/>
              <w:jc w:val="center"/>
              <w:rPr>
                <w:b/>
                <w:sz w:val="20"/>
                <w:szCs w:val="20"/>
                <w:lang w:val="en-GB"/>
              </w:rPr>
            </w:pPr>
            <w:r>
              <w:rPr>
                <w:b/>
                <w:sz w:val="20"/>
                <w:szCs w:val="20"/>
                <w:lang w:val="en-GB"/>
              </w:rPr>
              <w:t>FAO</w:t>
            </w:r>
          </w:p>
        </w:tc>
        <w:tc>
          <w:tcPr>
            <w:tcW w:w="2835" w:type="dxa"/>
          </w:tcPr>
          <w:p w:rsidR="00473858" w:rsidRPr="000966CB" w:rsidRDefault="00115E6F" w:rsidP="005A5F90">
            <w:pPr>
              <w:spacing w:line="276" w:lineRule="auto"/>
              <w:jc w:val="right"/>
              <w:rPr>
                <w:sz w:val="20"/>
                <w:szCs w:val="20"/>
                <w:lang w:val="en-GB"/>
              </w:rPr>
            </w:pPr>
            <w:r>
              <w:rPr>
                <w:sz w:val="20"/>
                <w:szCs w:val="20"/>
                <w:lang w:val="en-GB"/>
              </w:rPr>
              <w:t>1,690,814</w:t>
            </w:r>
          </w:p>
        </w:tc>
        <w:tc>
          <w:tcPr>
            <w:tcW w:w="2976" w:type="dxa"/>
          </w:tcPr>
          <w:p w:rsidR="00473858" w:rsidRPr="000966CB" w:rsidRDefault="00115E6F" w:rsidP="005A5F90">
            <w:pPr>
              <w:spacing w:line="276" w:lineRule="auto"/>
              <w:jc w:val="right"/>
              <w:rPr>
                <w:sz w:val="20"/>
                <w:szCs w:val="20"/>
                <w:lang w:val="en-GB"/>
              </w:rPr>
            </w:pPr>
            <w:r>
              <w:rPr>
                <w:sz w:val="20"/>
                <w:szCs w:val="20"/>
                <w:lang w:val="en-GB"/>
              </w:rPr>
              <w:t>1,690,814</w:t>
            </w:r>
          </w:p>
        </w:tc>
      </w:tr>
      <w:tr w:rsidR="00473858" w:rsidRPr="000966CB" w:rsidTr="00473858">
        <w:tc>
          <w:tcPr>
            <w:tcW w:w="3261" w:type="dxa"/>
            <w:shd w:val="clear" w:color="auto" w:fill="D9D9D9" w:themeFill="background1" w:themeFillShade="D9"/>
            <w:vAlign w:val="center"/>
          </w:tcPr>
          <w:p w:rsidR="00473858" w:rsidRPr="000966CB" w:rsidRDefault="00473858" w:rsidP="005A5F90">
            <w:pPr>
              <w:spacing w:line="276" w:lineRule="auto"/>
              <w:jc w:val="center"/>
              <w:rPr>
                <w:b/>
                <w:sz w:val="20"/>
                <w:szCs w:val="20"/>
                <w:lang w:val="en-GB"/>
              </w:rPr>
            </w:pPr>
            <w:r>
              <w:rPr>
                <w:b/>
                <w:sz w:val="20"/>
                <w:szCs w:val="20"/>
                <w:lang w:val="en-GB"/>
              </w:rPr>
              <w:t>UNDP</w:t>
            </w:r>
          </w:p>
        </w:tc>
        <w:tc>
          <w:tcPr>
            <w:tcW w:w="2835" w:type="dxa"/>
          </w:tcPr>
          <w:p w:rsidR="00473858" w:rsidRPr="000966CB" w:rsidRDefault="00115E6F" w:rsidP="005A5F90">
            <w:pPr>
              <w:spacing w:line="276" w:lineRule="auto"/>
              <w:jc w:val="right"/>
              <w:rPr>
                <w:sz w:val="20"/>
                <w:szCs w:val="20"/>
                <w:lang w:val="en-GB"/>
              </w:rPr>
            </w:pPr>
            <w:r>
              <w:rPr>
                <w:sz w:val="20"/>
                <w:szCs w:val="20"/>
                <w:lang w:val="en-GB"/>
              </w:rPr>
              <w:t>2,501,128</w:t>
            </w:r>
          </w:p>
        </w:tc>
        <w:tc>
          <w:tcPr>
            <w:tcW w:w="2976" w:type="dxa"/>
          </w:tcPr>
          <w:p w:rsidR="00473858" w:rsidRPr="000966CB" w:rsidRDefault="00115E6F" w:rsidP="005A5F90">
            <w:pPr>
              <w:spacing w:line="276" w:lineRule="auto"/>
              <w:jc w:val="right"/>
              <w:rPr>
                <w:sz w:val="20"/>
                <w:szCs w:val="20"/>
                <w:lang w:val="en-GB"/>
              </w:rPr>
            </w:pPr>
            <w:r>
              <w:rPr>
                <w:sz w:val="20"/>
                <w:szCs w:val="20"/>
                <w:lang w:val="en-GB"/>
              </w:rPr>
              <w:t>2,501,128</w:t>
            </w:r>
          </w:p>
        </w:tc>
      </w:tr>
      <w:tr w:rsidR="00473858" w:rsidRPr="000966CB" w:rsidTr="00473858">
        <w:tc>
          <w:tcPr>
            <w:tcW w:w="3261" w:type="dxa"/>
            <w:shd w:val="clear" w:color="auto" w:fill="D9D9D9" w:themeFill="background1" w:themeFillShade="D9"/>
            <w:vAlign w:val="center"/>
          </w:tcPr>
          <w:p w:rsidR="00473858" w:rsidRPr="000966CB" w:rsidRDefault="00473858" w:rsidP="005A5F90">
            <w:pPr>
              <w:spacing w:line="276" w:lineRule="auto"/>
              <w:jc w:val="center"/>
              <w:rPr>
                <w:b/>
                <w:sz w:val="20"/>
                <w:szCs w:val="20"/>
                <w:lang w:val="en-GB"/>
              </w:rPr>
            </w:pPr>
            <w:r>
              <w:rPr>
                <w:b/>
                <w:sz w:val="20"/>
                <w:szCs w:val="20"/>
                <w:lang w:val="en-GB"/>
              </w:rPr>
              <w:t>UNEP</w:t>
            </w:r>
          </w:p>
        </w:tc>
        <w:tc>
          <w:tcPr>
            <w:tcW w:w="2835" w:type="dxa"/>
          </w:tcPr>
          <w:p w:rsidR="00473858" w:rsidRPr="000966CB" w:rsidRDefault="00115E6F" w:rsidP="005A5F90">
            <w:pPr>
              <w:spacing w:line="276" w:lineRule="auto"/>
              <w:jc w:val="right"/>
              <w:rPr>
                <w:sz w:val="20"/>
                <w:szCs w:val="20"/>
                <w:lang w:val="en-GB"/>
              </w:rPr>
            </w:pPr>
            <w:r>
              <w:rPr>
                <w:sz w:val="20"/>
                <w:szCs w:val="20"/>
                <w:lang w:val="en-GB"/>
              </w:rPr>
              <w:t>192,814</w:t>
            </w:r>
          </w:p>
        </w:tc>
        <w:tc>
          <w:tcPr>
            <w:tcW w:w="2976" w:type="dxa"/>
          </w:tcPr>
          <w:p w:rsidR="00473858" w:rsidRPr="000966CB" w:rsidRDefault="00115E6F" w:rsidP="005A5F90">
            <w:pPr>
              <w:spacing w:line="276" w:lineRule="auto"/>
              <w:jc w:val="right"/>
              <w:rPr>
                <w:sz w:val="20"/>
                <w:szCs w:val="20"/>
                <w:lang w:val="en-GB"/>
              </w:rPr>
            </w:pPr>
            <w:r>
              <w:rPr>
                <w:sz w:val="20"/>
                <w:szCs w:val="20"/>
                <w:lang w:val="en-GB"/>
              </w:rPr>
              <w:t>192,814</w:t>
            </w:r>
          </w:p>
        </w:tc>
      </w:tr>
      <w:tr w:rsidR="00473858" w:rsidRPr="00935AEB" w:rsidTr="00473858">
        <w:tc>
          <w:tcPr>
            <w:tcW w:w="3261" w:type="dxa"/>
            <w:shd w:val="clear" w:color="auto" w:fill="D9D9D9" w:themeFill="background1" w:themeFillShade="D9"/>
            <w:vAlign w:val="center"/>
          </w:tcPr>
          <w:p w:rsidR="00473858" w:rsidRPr="00935AEB" w:rsidRDefault="00473858" w:rsidP="005A5F90">
            <w:pPr>
              <w:spacing w:line="276" w:lineRule="auto"/>
              <w:jc w:val="right"/>
              <w:rPr>
                <w:b/>
                <w:sz w:val="20"/>
                <w:szCs w:val="20"/>
                <w:lang w:val="en-GB"/>
              </w:rPr>
            </w:pPr>
            <w:r w:rsidRPr="00935AEB">
              <w:rPr>
                <w:b/>
                <w:sz w:val="20"/>
                <w:szCs w:val="20"/>
                <w:lang w:val="en-GB"/>
              </w:rPr>
              <w:t>Total:</w:t>
            </w:r>
          </w:p>
        </w:tc>
        <w:tc>
          <w:tcPr>
            <w:tcW w:w="2835" w:type="dxa"/>
          </w:tcPr>
          <w:p w:rsidR="00473858" w:rsidRPr="00935AEB" w:rsidRDefault="00115E6F" w:rsidP="005A5F90">
            <w:pPr>
              <w:spacing w:line="276" w:lineRule="auto"/>
              <w:jc w:val="right"/>
              <w:rPr>
                <w:sz w:val="20"/>
                <w:szCs w:val="20"/>
                <w:lang w:val="en-GB"/>
              </w:rPr>
            </w:pPr>
            <w:r w:rsidRPr="00935AEB">
              <w:rPr>
                <w:sz w:val="20"/>
                <w:szCs w:val="20"/>
                <w:lang w:val="en-GB"/>
              </w:rPr>
              <w:t>4,384,756</w:t>
            </w:r>
          </w:p>
        </w:tc>
        <w:tc>
          <w:tcPr>
            <w:tcW w:w="2976" w:type="dxa"/>
          </w:tcPr>
          <w:p w:rsidR="00473858" w:rsidRPr="00935AEB" w:rsidRDefault="00115E6F" w:rsidP="005A5F90">
            <w:pPr>
              <w:spacing w:line="276" w:lineRule="auto"/>
              <w:jc w:val="right"/>
              <w:rPr>
                <w:sz w:val="20"/>
                <w:szCs w:val="20"/>
                <w:lang w:val="en-GB"/>
              </w:rPr>
            </w:pPr>
            <w:r w:rsidRPr="00935AEB">
              <w:rPr>
                <w:sz w:val="20"/>
                <w:szCs w:val="20"/>
                <w:lang w:val="en-GB"/>
              </w:rPr>
              <w:t>4,384,756</w:t>
            </w:r>
          </w:p>
        </w:tc>
      </w:tr>
    </w:tbl>
    <w:p w:rsidR="00944391" w:rsidRDefault="00944391" w:rsidP="005A5F90">
      <w:pPr>
        <w:spacing w:after="0"/>
        <w:jc w:val="both"/>
        <w:rPr>
          <w:b/>
          <w:lang w:val="en-GB"/>
        </w:rPr>
      </w:pPr>
    </w:p>
    <w:p w:rsidR="00F800BB" w:rsidRPr="00944391" w:rsidRDefault="00F800BB" w:rsidP="005A5F90">
      <w:pPr>
        <w:spacing w:after="0"/>
        <w:jc w:val="both"/>
        <w:rPr>
          <w:b/>
          <w:lang w:val="en-GB"/>
        </w:rPr>
      </w:pPr>
    </w:p>
    <w:p w:rsidR="000966CB" w:rsidRDefault="00D406CB" w:rsidP="00F800BB">
      <w:pPr>
        <w:pStyle w:val="ListParagraph"/>
        <w:numPr>
          <w:ilvl w:val="2"/>
          <w:numId w:val="2"/>
        </w:numPr>
        <w:spacing w:after="120"/>
        <w:jc w:val="both"/>
        <w:rPr>
          <w:b/>
          <w:lang w:val="en-GB"/>
        </w:rPr>
      </w:pPr>
      <w:r>
        <w:rPr>
          <w:b/>
          <w:lang w:val="en-GB"/>
        </w:rPr>
        <w:lastRenderedPageBreak/>
        <w:t>Programme I</w:t>
      </w:r>
      <w:r w:rsidR="000966CB" w:rsidRPr="000966CB">
        <w:rPr>
          <w:b/>
          <w:lang w:val="en-GB"/>
        </w:rPr>
        <w:t>mplementation</w:t>
      </w:r>
      <w:r w:rsidR="003355F6">
        <w:rPr>
          <w:b/>
          <w:lang w:val="en-GB"/>
        </w:rPr>
        <w:t xml:space="preserve"> Status</w:t>
      </w:r>
    </w:p>
    <w:p w:rsidR="00951BB4" w:rsidRPr="00951BB4" w:rsidRDefault="00B87DB7" w:rsidP="005A5F90">
      <w:pPr>
        <w:spacing w:after="120"/>
        <w:jc w:val="both"/>
        <w:rPr>
          <w:lang w:val="en-GB"/>
        </w:rPr>
      </w:pPr>
      <w:r>
        <w:rPr>
          <w:lang w:val="en-GB"/>
        </w:rPr>
        <w:t xml:space="preserve">In the last year of programme implementation </w:t>
      </w:r>
      <w:r w:rsidR="003355F6">
        <w:rPr>
          <w:lang w:val="en-GB"/>
        </w:rPr>
        <w:t>p</w:t>
      </w:r>
      <w:r w:rsidR="00951BB4" w:rsidRPr="00951BB4">
        <w:rPr>
          <w:lang w:val="en-GB"/>
        </w:rPr>
        <w:t xml:space="preserve">rogress </w:t>
      </w:r>
      <w:r w:rsidR="00827277">
        <w:rPr>
          <w:lang w:val="en-GB"/>
        </w:rPr>
        <w:t>was</w:t>
      </w:r>
      <w:r w:rsidR="00951BB4" w:rsidRPr="00951BB4">
        <w:rPr>
          <w:lang w:val="en-GB"/>
        </w:rPr>
        <w:t xml:space="preserve"> made on all Viet Nam’s </w:t>
      </w:r>
      <w:r w:rsidR="00117714">
        <w:rPr>
          <w:lang w:val="en-GB"/>
        </w:rPr>
        <w:t xml:space="preserve">UN-REDD </w:t>
      </w:r>
      <w:r w:rsidR="00951BB4" w:rsidRPr="00951BB4">
        <w:rPr>
          <w:lang w:val="en-GB"/>
        </w:rPr>
        <w:t xml:space="preserve">National Programme outcomes. Establishment of the National REDD+ Steering Committee and the National REDD+ Office at the national level is expected to significantly contribute to </w:t>
      </w:r>
      <w:r w:rsidR="00951BB4">
        <w:rPr>
          <w:lang w:val="en-GB"/>
        </w:rPr>
        <w:t xml:space="preserve">the sustainability of results in the long </w:t>
      </w:r>
      <w:r w:rsidR="00951BB4" w:rsidRPr="00951BB4">
        <w:rPr>
          <w:lang w:val="en-GB"/>
        </w:rPr>
        <w:t xml:space="preserve">term. Also, the National REDD+ Programme will provide guidance for implementing REDD+ beyond the </w:t>
      </w:r>
      <w:r w:rsidR="00951BB4">
        <w:rPr>
          <w:lang w:val="en-GB"/>
        </w:rPr>
        <w:t xml:space="preserve">UN-REDD Programme. </w:t>
      </w:r>
      <w:r w:rsidR="000478DE">
        <w:rPr>
          <w:lang w:val="en-GB"/>
        </w:rPr>
        <w:t xml:space="preserve">A MRV Framework Document was drafted with stakeholder consultation processes such as the Sub-technical Working Group on MRV, and endorsed by the National REDD+ Office. </w:t>
      </w:r>
      <w:r w:rsidR="00951BB4">
        <w:rPr>
          <w:lang w:val="en-GB"/>
        </w:rPr>
        <w:t xml:space="preserve">Although sustainable </w:t>
      </w:r>
      <w:r w:rsidR="00951BB4" w:rsidRPr="00951BB4">
        <w:rPr>
          <w:lang w:val="en-GB"/>
        </w:rPr>
        <w:t>structure</w:t>
      </w:r>
      <w:r w:rsidR="00951BB4">
        <w:rPr>
          <w:lang w:val="en-GB"/>
        </w:rPr>
        <w:t>s are in place or in</w:t>
      </w:r>
      <w:r w:rsidR="00951BB4" w:rsidRPr="00951BB4">
        <w:rPr>
          <w:lang w:val="en-GB"/>
        </w:rPr>
        <w:t xml:space="preserve"> the pipeline the speed of coming into operation is slow. The National </w:t>
      </w:r>
      <w:r w:rsidR="00223B8A">
        <w:rPr>
          <w:lang w:val="en-GB"/>
        </w:rPr>
        <w:t>REDD+</w:t>
      </w:r>
      <w:r w:rsidR="00951BB4" w:rsidRPr="00951BB4">
        <w:rPr>
          <w:lang w:val="en-GB"/>
        </w:rPr>
        <w:t xml:space="preserve"> Network and its sub-technical working groups at the national level provide forums for information sharing and discussions, which is important for continuity. To ensure knowledge on REDD+ at the local  level  is  sustained  and  enhanced,  the  Programme  has built  capacity  of  a  provincial  level  REDD+  working  group  in  Lam  Dong  consisting  of  representatives  from  key departments and district authorities. In addition, REDD+ capacity building for some MARD, VNFOREST and local DARD officials was conducted, as well as training of village facilitators for awareness raising among local people. FPIC  gives  support  to  Viet  Nam’s  own  legal  requirements  for  stakeholder  consultations,  most  importantly  the Grassroots  Democracy  Decree.  Weak  capacity  on  REDD+  in  line  ministries  such  as  MPI,  MOF  and  MONRE  will have to be addressed, if mainstreaming of REDD+ into development s</w:t>
      </w:r>
      <w:r w:rsidR="00DB30C1">
        <w:rPr>
          <w:lang w:val="en-GB"/>
        </w:rPr>
        <w:t>trategies is to be successful.</w:t>
      </w:r>
    </w:p>
    <w:p w:rsidR="00951BB4" w:rsidRDefault="00951BB4" w:rsidP="005A5F90">
      <w:pPr>
        <w:spacing w:after="120"/>
        <w:jc w:val="both"/>
        <w:rPr>
          <w:lang w:val="en-GB"/>
        </w:rPr>
      </w:pPr>
      <w:r w:rsidRPr="00951BB4">
        <w:rPr>
          <w:lang w:val="en-GB"/>
        </w:rPr>
        <w:t>Some difficulties encountered</w:t>
      </w:r>
      <w:r w:rsidR="00944391">
        <w:rPr>
          <w:lang w:val="en-GB"/>
        </w:rPr>
        <w:t xml:space="preserve"> </w:t>
      </w:r>
      <w:r w:rsidRPr="00951BB4">
        <w:rPr>
          <w:lang w:val="en-GB"/>
        </w:rPr>
        <w:t xml:space="preserve">include lack of harmonized procedures by the Participating UN Organizations, and these are being addressed through continuous harmonization.  In  addition,  internal  coordination  within  government  ministries  and  agencies  remain  a  challenge  as  well  </w:t>
      </w:r>
      <w:r w:rsidR="00E31686">
        <w:rPr>
          <w:lang w:val="en-GB"/>
        </w:rPr>
        <w:t xml:space="preserve">as </w:t>
      </w:r>
      <w:r w:rsidRPr="00951BB4">
        <w:rPr>
          <w:lang w:val="en-GB"/>
        </w:rPr>
        <w:t xml:space="preserve">weak capacity </w:t>
      </w:r>
      <w:r>
        <w:rPr>
          <w:lang w:val="en-GB"/>
        </w:rPr>
        <w:t xml:space="preserve"> in  VNFOREST.    Coordination issues have been addressed </w:t>
      </w:r>
      <w:r w:rsidRPr="00951BB4">
        <w:rPr>
          <w:lang w:val="en-GB"/>
        </w:rPr>
        <w:t>throug</w:t>
      </w:r>
      <w:r>
        <w:rPr>
          <w:lang w:val="en-GB"/>
        </w:rPr>
        <w:t>h Programme Executive</w:t>
      </w:r>
      <w:r w:rsidRPr="00951BB4">
        <w:rPr>
          <w:lang w:val="en-GB"/>
        </w:rPr>
        <w:t xml:space="preserve"> Board meetings.  Further, the </w:t>
      </w:r>
      <w:r w:rsidR="000478DE">
        <w:rPr>
          <w:lang w:val="en-GB"/>
        </w:rPr>
        <w:t>lack of substantive progress in the UNFCCC negotiations to provide</w:t>
      </w:r>
      <w:r w:rsidRPr="00951BB4">
        <w:rPr>
          <w:lang w:val="en-GB"/>
        </w:rPr>
        <w:t xml:space="preserve"> international guidance on REDD+ has also affected the Programme.</w:t>
      </w:r>
    </w:p>
    <w:p w:rsidR="00F800BB" w:rsidRPr="00951BB4" w:rsidRDefault="00827277" w:rsidP="005A5F90">
      <w:pPr>
        <w:spacing w:after="120"/>
        <w:jc w:val="both"/>
        <w:rPr>
          <w:lang w:val="en-GB"/>
        </w:rPr>
      </w:pPr>
      <w:r>
        <w:rPr>
          <w:lang w:val="en-GB"/>
        </w:rPr>
        <w:t>Further information on the implementation of the Viet Nam</w:t>
      </w:r>
      <w:r w:rsidR="00117714">
        <w:rPr>
          <w:lang w:val="en-GB"/>
        </w:rPr>
        <w:t xml:space="preserve"> UN-REDD</w:t>
      </w:r>
      <w:r>
        <w:rPr>
          <w:lang w:val="en-GB"/>
        </w:rPr>
        <w:t xml:space="preserve"> National Programme can be found in the Annual and Semi-Annual Programme Reports</w:t>
      </w:r>
      <w:r>
        <w:rPr>
          <w:rStyle w:val="FootnoteReference"/>
          <w:lang w:val="en-GB"/>
        </w:rPr>
        <w:footnoteReference w:id="2"/>
      </w:r>
      <w:r>
        <w:rPr>
          <w:lang w:val="en-GB"/>
        </w:rPr>
        <w:t>.</w:t>
      </w:r>
    </w:p>
    <w:p w:rsidR="009B04E1" w:rsidRPr="000B3BFC" w:rsidRDefault="008F132A" w:rsidP="00F800BB">
      <w:pPr>
        <w:pStyle w:val="ListParagraph"/>
        <w:numPr>
          <w:ilvl w:val="0"/>
          <w:numId w:val="11"/>
        </w:numPr>
        <w:spacing w:after="120"/>
        <w:rPr>
          <w:b/>
          <w:lang w:val="en-GB"/>
        </w:rPr>
      </w:pPr>
      <w:r>
        <w:rPr>
          <w:b/>
          <w:lang w:val="en-GB"/>
        </w:rPr>
        <w:t xml:space="preserve">Evaluation </w:t>
      </w:r>
      <w:r w:rsidR="006F6881">
        <w:rPr>
          <w:b/>
          <w:lang w:val="en-GB"/>
        </w:rPr>
        <w:t xml:space="preserve">Objective and </w:t>
      </w:r>
      <w:r w:rsidR="006F6881" w:rsidRPr="000B3BFC">
        <w:rPr>
          <w:b/>
          <w:lang w:val="en-GB"/>
        </w:rPr>
        <w:t>Scope</w:t>
      </w:r>
    </w:p>
    <w:p w:rsidR="006F6881" w:rsidRPr="000B3BFC" w:rsidRDefault="006F6881" w:rsidP="005A5F90">
      <w:pPr>
        <w:spacing w:after="120"/>
        <w:jc w:val="both"/>
        <w:rPr>
          <w:lang w:val="en-GB"/>
        </w:rPr>
      </w:pPr>
      <w:r w:rsidRPr="000B3BFC">
        <w:rPr>
          <w:lang w:val="en-GB"/>
        </w:rPr>
        <w:t xml:space="preserve">The scope of the evaluation is the </w:t>
      </w:r>
      <w:r w:rsidR="000B3BFC" w:rsidRPr="000B3BFC">
        <w:rPr>
          <w:lang w:val="en-GB"/>
        </w:rPr>
        <w:t xml:space="preserve">Viet Nam </w:t>
      </w:r>
      <w:r w:rsidR="00117714">
        <w:rPr>
          <w:lang w:val="en-GB"/>
        </w:rPr>
        <w:t xml:space="preserve">UN-REDD </w:t>
      </w:r>
      <w:r w:rsidR="000B3BFC" w:rsidRPr="000B3BFC">
        <w:rPr>
          <w:lang w:val="en-GB"/>
        </w:rPr>
        <w:t>National Programme</w:t>
      </w:r>
      <w:r w:rsidRPr="000B3BFC">
        <w:rPr>
          <w:lang w:val="en-GB"/>
        </w:rPr>
        <w:t xml:space="preserve"> from the time of inception</w:t>
      </w:r>
      <w:r w:rsidR="000B3BFC" w:rsidRPr="000B3BFC">
        <w:rPr>
          <w:lang w:val="en-GB"/>
        </w:rPr>
        <w:t>,</w:t>
      </w:r>
      <w:r w:rsidRPr="000B3BFC">
        <w:rPr>
          <w:lang w:val="en-GB"/>
        </w:rPr>
        <w:t xml:space="preserve"> </w:t>
      </w:r>
      <w:r w:rsidR="000B3BFC" w:rsidRPr="000B3BFC">
        <w:rPr>
          <w:lang w:val="en-GB"/>
        </w:rPr>
        <w:t xml:space="preserve">in </w:t>
      </w:r>
      <w:r w:rsidR="008325CE">
        <w:rPr>
          <w:lang w:val="en-GB"/>
        </w:rPr>
        <w:t>September</w:t>
      </w:r>
      <w:r w:rsidR="008325CE" w:rsidRPr="000B3BFC">
        <w:rPr>
          <w:lang w:val="en-GB"/>
        </w:rPr>
        <w:t xml:space="preserve"> </w:t>
      </w:r>
      <w:r w:rsidR="000B3BFC" w:rsidRPr="000B3BFC">
        <w:rPr>
          <w:lang w:val="en-GB"/>
        </w:rPr>
        <w:t xml:space="preserve">2009, </w:t>
      </w:r>
      <w:r w:rsidRPr="000B3BFC">
        <w:rPr>
          <w:lang w:val="en-GB"/>
        </w:rPr>
        <w:t>to closure</w:t>
      </w:r>
      <w:r w:rsidR="000B3BFC" w:rsidRPr="000B3BFC">
        <w:rPr>
          <w:lang w:val="en-GB"/>
        </w:rPr>
        <w:t>, in June 2012</w:t>
      </w:r>
      <w:r w:rsidRPr="000B3BFC">
        <w:rPr>
          <w:lang w:val="en-GB"/>
        </w:rPr>
        <w:t>.</w:t>
      </w:r>
    </w:p>
    <w:p w:rsidR="00EB26ED" w:rsidRDefault="0046197C" w:rsidP="005A5F90">
      <w:pPr>
        <w:spacing w:after="120"/>
        <w:jc w:val="both"/>
        <w:rPr>
          <w:color w:val="000000" w:themeColor="text1"/>
          <w:lang w:val="en-GB"/>
        </w:rPr>
      </w:pPr>
      <w:r w:rsidRPr="0046197C">
        <w:rPr>
          <w:color w:val="000000" w:themeColor="text1"/>
          <w:lang w:val="en-GB"/>
        </w:rPr>
        <w:t xml:space="preserve">The evaluation of the </w:t>
      </w:r>
      <w:r w:rsidR="00117714">
        <w:rPr>
          <w:color w:val="000000" w:themeColor="text1"/>
          <w:lang w:val="en-GB"/>
        </w:rPr>
        <w:t xml:space="preserve">UN-REDD </w:t>
      </w:r>
      <w:r w:rsidRPr="0046197C">
        <w:rPr>
          <w:color w:val="000000" w:themeColor="text1"/>
          <w:lang w:val="en-GB"/>
        </w:rPr>
        <w:t xml:space="preserve">National Programme </w:t>
      </w:r>
      <w:r w:rsidR="006F6881">
        <w:rPr>
          <w:color w:val="000000" w:themeColor="text1"/>
          <w:lang w:val="en-GB"/>
        </w:rPr>
        <w:t>is</w:t>
      </w:r>
      <w:r w:rsidRPr="0046197C">
        <w:rPr>
          <w:color w:val="000000" w:themeColor="text1"/>
          <w:lang w:val="en-GB"/>
        </w:rPr>
        <w:t xml:space="preserve"> undertaken to assess the programme performance in terms of relevance, effectiveness </w:t>
      </w:r>
      <w:r w:rsidR="009D57FD">
        <w:rPr>
          <w:color w:val="000000" w:themeColor="text1"/>
          <w:lang w:val="en-GB"/>
        </w:rPr>
        <w:t xml:space="preserve">(outputs and outcomes) </w:t>
      </w:r>
      <w:r w:rsidRPr="0046197C">
        <w:rPr>
          <w:color w:val="000000" w:themeColor="text1"/>
          <w:lang w:val="en-GB"/>
        </w:rPr>
        <w:t xml:space="preserve">and efficiency, and </w:t>
      </w:r>
      <w:r w:rsidR="009D57FD">
        <w:rPr>
          <w:color w:val="000000" w:themeColor="text1"/>
          <w:lang w:val="en-GB"/>
        </w:rPr>
        <w:t xml:space="preserve">to the extent possible </w:t>
      </w:r>
      <w:r w:rsidRPr="0046197C">
        <w:rPr>
          <w:color w:val="000000" w:themeColor="text1"/>
          <w:lang w:val="en-GB"/>
        </w:rPr>
        <w:t>determine impacts (actual and potential) stemming from the programme, including their sustainability.</w:t>
      </w:r>
      <w:r>
        <w:rPr>
          <w:color w:val="000000" w:themeColor="text1"/>
          <w:lang w:val="en-GB"/>
        </w:rPr>
        <w:t xml:space="preserve"> The evaluation has two primary </w:t>
      </w:r>
      <w:r w:rsidR="006F6881">
        <w:rPr>
          <w:color w:val="000000" w:themeColor="text1"/>
          <w:lang w:val="en-GB"/>
        </w:rPr>
        <w:t>objectives</w:t>
      </w:r>
      <w:r>
        <w:rPr>
          <w:color w:val="000000" w:themeColor="text1"/>
          <w:lang w:val="en-GB"/>
        </w:rPr>
        <w:t xml:space="preserve">: (i) to provide evidence of results to meet accountability requirements, and (ii) to promote learning, feedback and knowledge sharing through results and lessons learned among the participating UN Organizations and other partners. Therefore, the evaluation will identify lessons of operational </w:t>
      </w:r>
      <w:r w:rsidR="009D57FD">
        <w:rPr>
          <w:color w:val="000000" w:themeColor="text1"/>
          <w:lang w:val="en-GB"/>
        </w:rPr>
        <w:t xml:space="preserve">and technical </w:t>
      </w:r>
      <w:r>
        <w:rPr>
          <w:color w:val="000000" w:themeColor="text1"/>
          <w:lang w:val="en-GB"/>
        </w:rPr>
        <w:t>relevance for future programme formulation and implementation</w:t>
      </w:r>
      <w:r w:rsidR="009D57FD">
        <w:rPr>
          <w:color w:val="000000" w:themeColor="text1"/>
          <w:lang w:val="en-GB"/>
        </w:rPr>
        <w:t xml:space="preserve"> in the country</w:t>
      </w:r>
      <w:r w:rsidR="00343D73">
        <w:rPr>
          <w:color w:val="000000" w:themeColor="text1"/>
          <w:lang w:val="en-GB"/>
        </w:rPr>
        <w:t>, especially future UN-REDD Programmes,</w:t>
      </w:r>
      <w:r w:rsidR="009D57FD">
        <w:rPr>
          <w:color w:val="000000" w:themeColor="text1"/>
          <w:lang w:val="en-GB"/>
        </w:rPr>
        <w:t xml:space="preserve"> and/or for the UN-REDD Programme as a whole</w:t>
      </w:r>
      <w:r>
        <w:rPr>
          <w:color w:val="000000" w:themeColor="text1"/>
          <w:lang w:val="en-GB"/>
        </w:rPr>
        <w:t>.</w:t>
      </w:r>
    </w:p>
    <w:p w:rsidR="00EB26ED" w:rsidRDefault="00EB26ED" w:rsidP="005A5F90">
      <w:pPr>
        <w:spacing w:after="120"/>
        <w:jc w:val="both"/>
        <w:rPr>
          <w:color w:val="000000" w:themeColor="text1"/>
          <w:lang w:val="en-GB"/>
        </w:rPr>
      </w:pPr>
      <w:r>
        <w:rPr>
          <w:color w:val="000000" w:themeColor="text1"/>
          <w:lang w:val="en-GB"/>
        </w:rPr>
        <w:lastRenderedPageBreak/>
        <w:t xml:space="preserve">The primary audience for the evaluation will be the Government of Viet Nam, the three participating UN Organizations of the UN-REDD Programme and the programme </w:t>
      </w:r>
      <w:r w:rsidR="00A84DDB">
        <w:rPr>
          <w:color w:val="000000" w:themeColor="text1"/>
          <w:lang w:val="en-GB"/>
        </w:rPr>
        <w:t>resource partners</w:t>
      </w:r>
      <w:r>
        <w:rPr>
          <w:color w:val="000000" w:themeColor="text1"/>
          <w:lang w:val="en-GB"/>
        </w:rPr>
        <w:t>. The secondary audience for the evaluation will be the UN-REDD Policy Board and national stakeholders. The evaluation will also be made available to the public through the UN-REDD Programme website (</w:t>
      </w:r>
      <w:hyperlink r:id="rId9" w:history="1">
        <w:r w:rsidRPr="000D56DC">
          <w:rPr>
            <w:rStyle w:val="Hyperlink"/>
            <w:lang w:val="en-GB"/>
          </w:rPr>
          <w:t>www.un-redd.org</w:t>
        </w:r>
      </w:hyperlink>
      <w:r>
        <w:rPr>
          <w:color w:val="000000" w:themeColor="text1"/>
          <w:lang w:val="en-GB"/>
        </w:rPr>
        <w:t xml:space="preserve">). </w:t>
      </w:r>
    </w:p>
    <w:p w:rsidR="00567A6A" w:rsidRPr="00567A6A" w:rsidRDefault="00567A6A" w:rsidP="00F800BB">
      <w:pPr>
        <w:pStyle w:val="ListParagraph"/>
        <w:numPr>
          <w:ilvl w:val="1"/>
          <w:numId w:val="11"/>
        </w:numPr>
        <w:spacing w:after="120"/>
        <w:jc w:val="both"/>
        <w:rPr>
          <w:b/>
          <w:lang w:val="en-GB"/>
        </w:rPr>
      </w:pPr>
      <w:r w:rsidRPr="00567A6A">
        <w:rPr>
          <w:b/>
          <w:lang w:val="en-GB"/>
        </w:rPr>
        <w:t>Evaluation Criteria</w:t>
      </w:r>
    </w:p>
    <w:p w:rsidR="00CB5356" w:rsidRDefault="00161363" w:rsidP="005A5F90">
      <w:pPr>
        <w:spacing w:after="120"/>
        <w:jc w:val="both"/>
        <w:rPr>
          <w:lang w:val="en-GB"/>
        </w:rPr>
      </w:pPr>
      <w:r>
        <w:rPr>
          <w:lang w:val="en-GB"/>
        </w:rPr>
        <w:t>T</w:t>
      </w:r>
      <w:r w:rsidR="00581CB6">
        <w:rPr>
          <w:lang w:val="en-GB"/>
        </w:rPr>
        <w:t>o focus the evaluation objectives, by defining the standards against which the initiative will be assessed, t</w:t>
      </w:r>
      <w:r>
        <w:rPr>
          <w:lang w:val="en-GB"/>
        </w:rPr>
        <w:t>he following five evalu</w:t>
      </w:r>
      <w:r w:rsidR="00484AF5">
        <w:rPr>
          <w:lang w:val="en-GB"/>
        </w:rPr>
        <w:t>ation criteria will be applied:</w:t>
      </w:r>
    </w:p>
    <w:p w:rsidR="00CB5356" w:rsidRDefault="00CB5356" w:rsidP="00F800BB">
      <w:pPr>
        <w:pStyle w:val="ListParagraph"/>
        <w:numPr>
          <w:ilvl w:val="0"/>
          <w:numId w:val="18"/>
        </w:numPr>
        <w:spacing w:after="120"/>
        <w:jc w:val="both"/>
        <w:rPr>
          <w:lang w:val="en-GB"/>
        </w:rPr>
      </w:pPr>
      <w:r w:rsidRPr="00CB5356">
        <w:rPr>
          <w:b/>
          <w:lang w:val="en-GB"/>
        </w:rPr>
        <w:t>R</w:t>
      </w:r>
      <w:r w:rsidR="00161363" w:rsidRPr="00CB5356">
        <w:rPr>
          <w:b/>
          <w:lang w:val="en-GB"/>
        </w:rPr>
        <w:t>elevance</w:t>
      </w:r>
      <w:r w:rsidR="00161363" w:rsidRPr="00CB5356">
        <w:rPr>
          <w:lang w:val="en-GB"/>
        </w:rPr>
        <w:t xml:space="preserve">, </w:t>
      </w:r>
      <w:r>
        <w:rPr>
          <w:lang w:val="en-GB"/>
        </w:rPr>
        <w:t xml:space="preserve">concerning the extent of which the National Programme and its intended outcomes </w:t>
      </w:r>
      <w:r w:rsidR="009C4A76">
        <w:rPr>
          <w:lang w:val="en-GB"/>
        </w:rPr>
        <w:t>or</w:t>
      </w:r>
      <w:r>
        <w:rPr>
          <w:lang w:val="en-GB"/>
        </w:rPr>
        <w:t xml:space="preserve"> outputs are consistent with national and local policies and priorities and the needs of the intended beneficiaries. Relevance also considers the extent to which the initiative is responsive to the UN-REDD Programme Strategy 2011-2015</w:t>
      </w:r>
      <w:r w:rsidR="0043017F">
        <w:rPr>
          <w:rStyle w:val="FootnoteReference"/>
          <w:lang w:val="en-GB"/>
        </w:rPr>
        <w:footnoteReference w:id="3"/>
      </w:r>
      <w:r w:rsidR="003A201A">
        <w:rPr>
          <w:lang w:val="en-GB"/>
        </w:rPr>
        <w:t xml:space="preserve"> (or the UN-REDD </w:t>
      </w:r>
      <w:r w:rsidR="0043017F">
        <w:rPr>
          <w:lang w:val="en-GB"/>
        </w:rPr>
        <w:t xml:space="preserve">Programme </w:t>
      </w:r>
      <w:r w:rsidR="003A201A">
        <w:rPr>
          <w:lang w:val="en-GB"/>
        </w:rPr>
        <w:t>Framework Document</w:t>
      </w:r>
      <w:r w:rsidR="0043017F">
        <w:rPr>
          <w:rStyle w:val="FootnoteReference"/>
          <w:lang w:val="en-GB"/>
        </w:rPr>
        <w:footnoteReference w:id="4"/>
      </w:r>
      <w:r w:rsidR="003A201A">
        <w:rPr>
          <w:lang w:val="en-GB"/>
        </w:rPr>
        <w:t xml:space="preserve"> for Programmes approved before November 2010)</w:t>
      </w:r>
      <w:r>
        <w:rPr>
          <w:lang w:val="en-GB"/>
        </w:rPr>
        <w:t xml:space="preserve"> and the corporate plans of the three participating UN Organizations.</w:t>
      </w:r>
      <w:r w:rsidR="009D57FD">
        <w:rPr>
          <w:lang w:val="en-GB"/>
        </w:rPr>
        <w:t xml:space="preserve"> Relevance vis-a-vis other </w:t>
      </w:r>
      <w:r w:rsidR="00223B8A">
        <w:rPr>
          <w:lang w:val="en-GB"/>
        </w:rPr>
        <w:t>REDD+</w:t>
      </w:r>
      <w:r w:rsidR="009D57FD">
        <w:rPr>
          <w:lang w:val="en-GB"/>
        </w:rPr>
        <w:t xml:space="preserve"> or </w:t>
      </w:r>
      <w:r w:rsidR="00223B8A">
        <w:rPr>
          <w:lang w:val="en-GB"/>
        </w:rPr>
        <w:t>REDD+</w:t>
      </w:r>
      <w:r w:rsidR="009D57FD">
        <w:rPr>
          <w:lang w:val="en-GB"/>
        </w:rPr>
        <w:t>-related programmes implemented in the country should also be examined.</w:t>
      </w:r>
    </w:p>
    <w:p w:rsidR="00CB5356" w:rsidRDefault="00CB5356" w:rsidP="00F800BB">
      <w:pPr>
        <w:pStyle w:val="ListParagraph"/>
        <w:numPr>
          <w:ilvl w:val="0"/>
          <w:numId w:val="18"/>
        </w:numPr>
        <w:spacing w:after="0"/>
        <w:jc w:val="both"/>
        <w:rPr>
          <w:lang w:val="en-GB"/>
        </w:rPr>
      </w:pPr>
      <w:r w:rsidRPr="00A02E1E">
        <w:rPr>
          <w:b/>
          <w:lang w:val="en-GB"/>
        </w:rPr>
        <w:t>E</w:t>
      </w:r>
      <w:r w:rsidR="00161363" w:rsidRPr="00A02E1E">
        <w:rPr>
          <w:b/>
          <w:lang w:val="en-GB"/>
        </w:rPr>
        <w:t>ffectiveness</w:t>
      </w:r>
      <w:r w:rsidR="00161363" w:rsidRPr="00A02E1E">
        <w:rPr>
          <w:lang w:val="en-GB"/>
        </w:rPr>
        <w:t xml:space="preserve">, </w:t>
      </w:r>
      <w:r w:rsidR="009C4A76" w:rsidRPr="00A02E1E">
        <w:rPr>
          <w:lang w:val="en-GB"/>
        </w:rPr>
        <w:t>measure the extent of which the National Programme’s intended results (outputs or outcomes) have been achieved or the extent to which progress towards outputs</w:t>
      </w:r>
      <w:r w:rsidR="00484AF5" w:rsidRPr="00A02E1E">
        <w:rPr>
          <w:lang w:val="en-GB"/>
        </w:rPr>
        <w:t xml:space="preserve"> or outcomes has been achieved.</w:t>
      </w:r>
      <w:r w:rsidR="00A02E1E">
        <w:rPr>
          <w:lang w:val="en-GB"/>
        </w:rPr>
        <w:t xml:space="preserve"> Two components will be measured:</w:t>
      </w:r>
    </w:p>
    <w:p w:rsidR="00A02E1E" w:rsidRPr="00A02E1E" w:rsidRDefault="00A02E1E" w:rsidP="005A5F90">
      <w:pPr>
        <w:pStyle w:val="CommentText"/>
        <w:spacing w:after="0" w:line="276" w:lineRule="auto"/>
        <w:ind w:left="1080"/>
        <w:jc w:val="both"/>
        <w:rPr>
          <w:rFonts w:cs="Arial"/>
          <w:sz w:val="22"/>
          <w:szCs w:val="22"/>
          <w:lang w:val="en-GB"/>
        </w:rPr>
      </w:pPr>
      <w:r w:rsidRPr="00A02E1E">
        <w:rPr>
          <w:b/>
          <w:sz w:val="22"/>
          <w:szCs w:val="22"/>
          <w:lang w:val="en-GB"/>
        </w:rPr>
        <w:t>a)</w:t>
      </w:r>
      <w:r w:rsidRPr="00A02E1E">
        <w:rPr>
          <w:rFonts w:eastAsia="Times New Roman" w:cs="Arial"/>
          <w:b/>
          <w:sz w:val="22"/>
          <w:szCs w:val="22"/>
          <w:lang w:val="en-US"/>
        </w:rPr>
        <w:t xml:space="preserve"> </w:t>
      </w:r>
      <w:r w:rsidRPr="00A02E1E">
        <w:rPr>
          <w:b/>
          <w:sz w:val="22"/>
          <w:szCs w:val="22"/>
          <w:lang w:val="en-US"/>
        </w:rPr>
        <w:t>Assessment of processes that affected the attainment of project results</w:t>
      </w:r>
      <w:r w:rsidRPr="00A02E1E">
        <w:rPr>
          <w:b/>
          <w:sz w:val="22"/>
          <w:szCs w:val="22"/>
          <w:lang w:val="en-GB"/>
        </w:rPr>
        <w:t xml:space="preserve"> </w:t>
      </w:r>
      <w:r w:rsidRPr="00A02E1E">
        <w:rPr>
          <w:sz w:val="22"/>
          <w:szCs w:val="22"/>
          <w:lang w:val="en-GB"/>
        </w:rPr>
        <w:t xml:space="preserve">– which looks at </w:t>
      </w:r>
      <w:r w:rsidRPr="00A02E1E">
        <w:rPr>
          <w:rFonts w:cs="Arial"/>
          <w:sz w:val="22"/>
          <w:szCs w:val="22"/>
          <w:lang w:val="en-GB"/>
        </w:rPr>
        <w:t>examination of preparation and readiness of the project, country ownership, stakeholder involvement, financial planning, effectiveness of national and local implementing agencies and designated supervision agency, coordination mechanism with other relevant donors projects/programmes, and reasons for any bottlenecks and delays in delivery of project outputs, outcomes and the attainment of sustainability</w:t>
      </w:r>
      <w:r>
        <w:rPr>
          <w:rFonts w:cs="Arial"/>
          <w:sz w:val="22"/>
          <w:szCs w:val="22"/>
          <w:lang w:val="en-GB"/>
        </w:rPr>
        <w:t>.</w:t>
      </w:r>
    </w:p>
    <w:p w:rsidR="00A02E1E" w:rsidRPr="00A02E1E" w:rsidRDefault="00A02E1E" w:rsidP="005A5F90">
      <w:pPr>
        <w:pStyle w:val="CommentText"/>
        <w:spacing w:after="0" w:line="276" w:lineRule="auto"/>
        <w:ind w:left="1080"/>
        <w:jc w:val="both"/>
        <w:rPr>
          <w:sz w:val="22"/>
          <w:szCs w:val="22"/>
          <w:lang w:val="en-GB"/>
        </w:rPr>
      </w:pPr>
      <w:r w:rsidRPr="00A02E1E">
        <w:rPr>
          <w:b/>
          <w:sz w:val="22"/>
          <w:szCs w:val="22"/>
          <w:lang w:val="en-GB"/>
        </w:rPr>
        <w:t xml:space="preserve">b) </w:t>
      </w:r>
      <w:r w:rsidRPr="00A02E1E">
        <w:rPr>
          <w:rFonts w:cs="Arial"/>
          <w:b/>
          <w:sz w:val="22"/>
          <w:szCs w:val="22"/>
          <w:lang w:val="en-GB"/>
        </w:rPr>
        <w:t xml:space="preserve">Implementation approach - </w:t>
      </w:r>
      <w:r w:rsidRPr="00A02E1E">
        <w:rPr>
          <w:rFonts w:cs="Arial"/>
          <w:sz w:val="22"/>
          <w:szCs w:val="22"/>
          <w:lang w:val="en-GB"/>
        </w:rPr>
        <w:t>including an analysis of the project's result framework, performance indicators, adaptation to changing conditions, overall project management and mechanisms applied in project management in delivering project outcomes and outputs.</w:t>
      </w:r>
    </w:p>
    <w:p w:rsidR="00CB5356" w:rsidRPr="00DE7F63" w:rsidRDefault="00CB5356" w:rsidP="00F800BB">
      <w:pPr>
        <w:pStyle w:val="ListParagraph"/>
        <w:numPr>
          <w:ilvl w:val="0"/>
          <w:numId w:val="18"/>
        </w:numPr>
        <w:spacing w:after="120"/>
        <w:jc w:val="both"/>
        <w:rPr>
          <w:lang w:val="en-GB"/>
        </w:rPr>
      </w:pPr>
      <w:r w:rsidRPr="00CB5356">
        <w:rPr>
          <w:b/>
          <w:lang w:val="en-GB"/>
        </w:rPr>
        <w:t>E</w:t>
      </w:r>
      <w:r w:rsidR="00161363" w:rsidRPr="00CB5356">
        <w:rPr>
          <w:b/>
          <w:lang w:val="en-GB"/>
        </w:rPr>
        <w:t>fficiency</w:t>
      </w:r>
      <w:r w:rsidR="00161363" w:rsidRPr="00CB5356">
        <w:rPr>
          <w:lang w:val="en-GB"/>
        </w:rPr>
        <w:t xml:space="preserve">, </w:t>
      </w:r>
      <w:r w:rsidR="009C4A76">
        <w:rPr>
          <w:lang w:val="en-GB"/>
        </w:rPr>
        <w:t xml:space="preserve">measures how economically resources or inputs (such as funds, expertise and time) are </w:t>
      </w:r>
      <w:r w:rsidR="009C4A76" w:rsidRPr="00DE7F63">
        <w:rPr>
          <w:lang w:val="en-GB"/>
        </w:rPr>
        <w:t xml:space="preserve">converted to </w:t>
      </w:r>
      <w:r w:rsidR="00E61D60" w:rsidRPr="00DE7F63">
        <w:rPr>
          <w:lang w:val="en-GB"/>
        </w:rPr>
        <w:t>achieving stipulated outcomes and outputs</w:t>
      </w:r>
      <w:r w:rsidR="009C4A76" w:rsidRPr="00DE7F63">
        <w:rPr>
          <w:lang w:val="en-GB"/>
        </w:rPr>
        <w:t>.</w:t>
      </w:r>
    </w:p>
    <w:p w:rsidR="00CB5356" w:rsidRPr="00DE7F63" w:rsidRDefault="00CB5356" w:rsidP="00F800BB">
      <w:pPr>
        <w:pStyle w:val="ListParagraph"/>
        <w:numPr>
          <w:ilvl w:val="0"/>
          <w:numId w:val="18"/>
        </w:numPr>
        <w:spacing w:after="120"/>
        <w:jc w:val="both"/>
        <w:rPr>
          <w:lang w:val="en-GB"/>
        </w:rPr>
      </w:pPr>
      <w:r w:rsidRPr="00DE7F63">
        <w:rPr>
          <w:b/>
          <w:lang w:val="en-GB"/>
        </w:rPr>
        <w:t>S</w:t>
      </w:r>
      <w:r w:rsidR="00161363" w:rsidRPr="00DE7F63">
        <w:rPr>
          <w:b/>
          <w:lang w:val="en-GB"/>
        </w:rPr>
        <w:t>ustainability</w:t>
      </w:r>
      <w:r w:rsidRPr="00DE7F63">
        <w:rPr>
          <w:lang w:val="en-GB"/>
        </w:rPr>
        <w:t>,</w:t>
      </w:r>
      <w:r w:rsidR="009C4A76" w:rsidRPr="00DE7F63">
        <w:rPr>
          <w:lang w:val="en-GB"/>
        </w:rPr>
        <w:t xml:space="preserve"> </w:t>
      </w:r>
      <w:r w:rsidR="00FE2AE2" w:rsidRPr="00DE7F63">
        <w:rPr>
          <w:rFonts w:cs="Arial"/>
          <w:lang w:val="en-GB"/>
        </w:rPr>
        <w:t>analyse the likelihood of sustainable outcomes at programme termination, with attention to sustainability of financial resources, the socio-political environment, catalytic or replication effects of the project, institutional and governance factors, and environmental risks</w:t>
      </w:r>
      <w:r w:rsidR="00484AF5" w:rsidRPr="00DE7F63">
        <w:rPr>
          <w:lang w:val="en-GB"/>
        </w:rPr>
        <w:t>.</w:t>
      </w:r>
    </w:p>
    <w:p w:rsidR="009C4A76" w:rsidRDefault="00CB5356" w:rsidP="00F800BB">
      <w:pPr>
        <w:pStyle w:val="ListParagraph"/>
        <w:numPr>
          <w:ilvl w:val="0"/>
          <w:numId w:val="18"/>
        </w:numPr>
        <w:spacing w:after="0"/>
        <w:jc w:val="both"/>
        <w:rPr>
          <w:lang w:val="en-GB"/>
        </w:rPr>
      </w:pPr>
      <w:r w:rsidRPr="00DE7F63">
        <w:rPr>
          <w:b/>
          <w:lang w:val="en-GB"/>
        </w:rPr>
        <w:t>Impact</w:t>
      </w:r>
      <w:r w:rsidRPr="00DE7F63">
        <w:rPr>
          <w:lang w:val="en-GB"/>
        </w:rPr>
        <w:t>,</w:t>
      </w:r>
      <w:r w:rsidR="009C4A76" w:rsidRPr="00DE7F63">
        <w:rPr>
          <w:lang w:val="en-GB"/>
        </w:rPr>
        <w:t xml:space="preserve"> measures to what extent the National Programme</w:t>
      </w:r>
      <w:r w:rsidR="009C4A76">
        <w:rPr>
          <w:lang w:val="en-GB"/>
        </w:rPr>
        <w:t xml:space="preserve"> has contributed </w:t>
      </w:r>
      <w:r w:rsidR="009E5E22">
        <w:rPr>
          <w:lang w:val="en-GB"/>
        </w:rPr>
        <w:t xml:space="preserve">to, </w:t>
      </w:r>
      <w:r w:rsidR="009D57FD">
        <w:rPr>
          <w:lang w:val="en-GB"/>
        </w:rPr>
        <w:t>or is likely to contri</w:t>
      </w:r>
      <w:r w:rsidR="009E5E22">
        <w:rPr>
          <w:lang w:val="en-GB"/>
        </w:rPr>
        <w:t xml:space="preserve">bute to, changes in the governance systems, stakeholder behaviour and capacity and social </w:t>
      </w:r>
      <w:r w:rsidR="00944391">
        <w:rPr>
          <w:lang w:val="en-GB"/>
        </w:rPr>
        <w:t>and environmental improvements.</w:t>
      </w:r>
    </w:p>
    <w:p w:rsidR="00944391" w:rsidRDefault="00944391" w:rsidP="005A5F90">
      <w:pPr>
        <w:spacing w:after="0"/>
        <w:jc w:val="both"/>
        <w:rPr>
          <w:lang w:val="en-GB"/>
        </w:rPr>
      </w:pPr>
    </w:p>
    <w:p w:rsidR="00123630" w:rsidRPr="00944391" w:rsidRDefault="00123630" w:rsidP="005A5F90">
      <w:pPr>
        <w:spacing w:after="0"/>
        <w:jc w:val="both"/>
        <w:rPr>
          <w:lang w:val="en-GB"/>
        </w:rPr>
      </w:pPr>
    </w:p>
    <w:p w:rsidR="00161363" w:rsidRPr="008F132A" w:rsidRDefault="00161363" w:rsidP="00F800BB">
      <w:pPr>
        <w:pStyle w:val="ListParagraph"/>
        <w:numPr>
          <w:ilvl w:val="1"/>
          <w:numId w:val="11"/>
        </w:numPr>
        <w:spacing w:after="120"/>
        <w:jc w:val="both"/>
        <w:rPr>
          <w:b/>
          <w:lang w:val="en-GB"/>
        </w:rPr>
      </w:pPr>
      <w:r w:rsidRPr="008F132A">
        <w:rPr>
          <w:b/>
          <w:lang w:val="en-GB"/>
        </w:rPr>
        <w:lastRenderedPageBreak/>
        <w:t>Evaluation Questions</w:t>
      </w:r>
    </w:p>
    <w:p w:rsidR="00161363" w:rsidRDefault="004025AD" w:rsidP="005A5F90">
      <w:pPr>
        <w:spacing w:after="120"/>
        <w:jc w:val="both"/>
        <w:rPr>
          <w:lang w:val="en-GB"/>
        </w:rPr>
      </w:pPr>
      <w:r>
        <w:rPr>
          <w:lang w:val="en-GB"/>
        </w:rPr>
        <w:t xml:space="preserve">The following list </w:t>
      </w:r>
      <w:r w:rsidRPr="004025AD">
        <w:rPr>
          <w:lang w:val="en-GB"/>
        </w:rPr>
        <w:t xml:space="preserve">includes standard questions and issues that the </w:t>
      </w:r>
      <w:r w:rsidR="00117714">
        <w:rPr>
          <w:lang w:val="en-GB"/>
        </w:rPr>
        <w:t xml:space="preserve">UN-REDD </w:t>
      </w:r>
      <w:r w:rsidRPr="004025AD">
        <w:rPr>
          <w:lang w:val="en-GB"/>
        </w:rPr>
        <w:t>National Programme evaluation should address. It is based on</w:t>
      </w:r>
      <w:r w:rsidR="00567A6A">
        <w:rPr>
          <w:lang w:val="en-GB"/>
        </w:rPr>
        <w:t xml:space="preserve"> the</w:t>
      </w:r>
      <w:r w:rsidRPr="004025AD">
        <w:rPr>
          <w:lang w:val="en-GB"/>
        </w:rPr>
        <w:t xml:space="preserve"> internationally accepted evaluation criteria</w:t>
      </w:r>
      <w:r w:rsidR="00567A6A">
        <w:rPr>
          <w:lang w:val="en-GB"/>
        </w:rPr>
        <w:t xml:space="preserve"> mentioned above</w:t>
      </w:r>
      <w:r w:rsidRPr="004025AD">
        <w:rPr>
          <w:lang w:val="en-GB"/>
        </w:rPr>
        <w:t>, i.e. relevance, efficiency, effectiven</w:t>
      </w:r>
      <w:r w:rsidR="00B9733F">
        <w:rPr>
          <w:lang w:val="en-GB"/>
        </w:rPr>
        <w:t>ess, impact and sustainability</w:t>
      </w:r>
      <w:r w:rsidR="00061CFA">
        <w:rPr>
          <w:lang w:val="en-GB"/>
        </w:rPr>
        <w:t>, as well as a</w:t>
      </w:r>
      <w:r w:rsidR="00EE2E7A">
        <w:rPr>
          <w:lang w:val="en-GB"/>
        </w:rPr>
        <w:t>n addition</w:t>
      </w:r>
      <w:r w:rsidR="00061CFA">
        <w:rPr>
          <w:lang w:val="en-GB"/>
        </w:rPr>
        <w:t>al category of</w:t>
      </w:r>
      <w:r w:rsidR="00EE2E7A">
        <w:rPr>
          <w:lang w:val="en-GB"/>
        </w:rPr>
        <w:t xml:space="preserve"> questions regarding </w:t>
      </w:r>
      <w:r w:rsidR="00061CFA">
        <w:rPr>
          <w:lang w:val="en-GB"/>
        </w:rPr>
        <w:t xml:space="preserve">factors affecting programme performance. </w:t>
      </w:r>
      <w:r w:rsidR="00161363" w:rsidRPr="004025AD">
        <w:rPr>
          <w:lang w:val="en-GB"/>
        </w:rPr>
        <w:t>The</w:t>
      </w:r>
      <w:r w:rsidR="00161363">
        <w:rPr>
          <w:lang w:val="en-GB"/>
        </w:rPr>
        <w:t xml:space="preserve"> evaluation will assess the</w:t>
      </w:r>
      <w:r w:rsidR="00117714">
        <w:rPr>
          <w:lang w:val="en-GB"/>
        </w:rPr>
        <w:t xml:space="preserve"> Viet Nam UN-REDD</w:t>
      </w:r>
      <w:r w:rsidR="00161363">
        <w:rPr>
          <w:lang w:val="en-GB"/>
        </w:rPr>
        <w:t xml:space="preserve"> National Programme as follows:</w:t>
      </w:r>
    </w:p>
    <w:p w:rsidR="00426B09" w:rsidRPr="00426B09" w:rsidRDefault="00426B09" w:rsidP="00F800BB">
      <w:pPr>
        <w:pStyle w:val="ListParagraph"/>
        <w:numPr>
          <w:ilvl w:val="0"/>
          <w:numId w:val="19"/>
        </w:numPr>
        <w:spacing w:after="120"/>
        <w:ind w:left="720"/>
        <w:jc w:val="both"/>
        <w:rPr>
          <w:lang w:val="en-GB"/>
        </w:rPr>
      </w:pPr>
      <w:r w:rsidRPr="00426B09">
        <w:rPr>
          <w:b/>
          <w:lang w:val="en-GB"/>
        </w:rPr>
        <w:t>Relevance</w:t>
      </w:r>
    </w:p>
    <w:p w:rsidR="00263F2D" w:rsidRDefault="004379CC" w:rsidP="00F800BB">
      <w:pPr>
        <w:pStyle w:val="ListParagraph"/>
        <w:numPr>
          <w:ilvl w:val="0"/>
          <w:numId w:val="4"/>
        </w:numPr>
        <w:spacing w:after="120"/>
        <w:jc w:val="both"/>
        <w:rPr>
          <w:lang w:val="en-GB"/>
        </w:rPr>
      </w:pPr>
      <w:r>
        <w:rPr>
          <w:lang w:val="en-GB"/>
        </w:rPr>
        <w:t>The National Programme’s</w:t>
      </w:r>
      <w:r w:rsidR="00426B09">
        <w:rPr>
          <w:lang w:val="en-GB"/>
        </w:rPr>
        <w:t xml:space="preserve"> </w:t>
      </w:r>
      <w:r w:rsidR="00CD7208">
        <w:rPr>
          <w:lang w:val="en-GB"/>
        </w:rPr>
        <w:t>relevance</w:t>
      </w:r>
      <w:r w:rsidR="00426B09">
        <w:rPr>
          <w:lang w:val="en-GB"/>
        </w:rPr>
        <w:t xml:space="preserve"> to</w:t>
      </w:r>
      <w:r w:rsidR="00CD7208">
        <w:rPr>
          <w:lang w:val="en-GB"/>
        </w:rPr>
        <w:t>:</w:t>
      </w:r>
    </w:p>
    <w:p w:rsidR="00263F2D" w:rsidRDefault="00263F2D" w:rsidP="00F800BB">
      <w:pPr>
        <w:pStyle w:val="ListParagraph"/>
        <w:numPr>
          <w:ilvl w:val="0"/>
          <w:numId w:val="20"/>
        </w:numPr>
        <w:spacing w:after="120"/>
        <w:jc w:val="both"/>
        <w:rPr>
          <w:lang w:val="en-GB"/>
        </w:rPr>
      </w:pPr>
      <w:r>
        <w:rPr>
          <w:lang w:val="en-GB"/>
        </w:rPr>
        <w:t>C</w:t>
      </w:r>
      <w:r w:rsidR="00AC388B">
        <w:rPr>
          <w:lang w:val="en-GB"/>
        </w:rPr>
        <w:t>ountry needs;</w:t>
      </w:r>
    </w:p>
    <w:p w:rsidR="00263F2D" w:rsidRDefault="00263F2D" w:rsidP="00F800BB">
      <w:pPr>
        <w:pStyle w:val="ListParagraph"/>
        <w:numPr>
          <w:ilvl w:val="0"/>
          <w:numId w:val="20"/>
        </w:numPr>
        <w:spacing w:after="120"/>
        <w:jc w:val="both"/>
        <w:rPr>
          <w:lang w:val="en-GB"/>
        </w:rPr>
      </w:pPr>
      <w:r>
        <w:rPr>
          <w:lang w:val="en-GB"/>
        </w:rPr>
        <w:t>N</w:t>
      </w:r>
      <w:r w:rsidRPr="00263F2D">
        <w:rPr>
          <w:lang w:val="en-GB"/>
        </w:rPr>
        <w:t>ational</w:t>
      </w:r>
      <w:r w:rsidR="00CD7208" w:rsidRPr="00263F2D">
        <w:rPr>
          <w:lang w:val="en-GB"/>
        </w:rPr>
        <w:t xml:space="preserve"> development</w:t>
      </w:r>
      <w:r w:rsidR="00AC388B">
        <w:rPr>
          <w:lang w:val="en-GB"/>
        </w:rPr>
        <w:t xml:space="preserve"> priorities</w:t>
      </w:r>
      <w:r w:rsidR="009E5E22">
        <w:rPr>
          <w:lang w:val="en-GB"/>
        </w:rPr>
        <w:t xml:space="preserve"> as expressed in national policies and plans as well as in sector development frameworks</w:t>
      </w:r>
      <w:r w:rsidR="00AC388B">
        <w:rPr>
          <w:lang w:val="en-GB"/>
        </w:rPr>
        <w:t>;</w:t>
      </w:r>
    </w:p>
    <w:p w:rsidR="00263F2D" w:rsidRDefault="00263F2D" w:rsidP="00F800BB">
      <w:pPr>
        <w:pStyle w:val="ListParagraph"/>
        <w:numPr>
          <w:ilvl w:val="0"/>
          <w:numId w:val="20"/>
        </w:numPr>
        <w:spacing w:after="120"/>
        <w:jc w:val="both"/>
        <w:rPr>
          <w:lang w:val="en-GB"/>
        </w:rPr>
      </w:pPr>
      <w:r w:rsidRPr="00263F2D">
        <w:rPr>
          <w:lang w:val="en-GB"/>
        </w:rPr>
        <w:t>UN Country Programme or other donor assistance framework approved by the government</w:t>
      </w:r>
      <w:r>
        <w:rPr>
          <w:lang w:val="en-GB"/>
        </w:rPr>
        <w:t>;</w:t>
      </w:r>
    </w:p>
    <w:p w:rsidR="002160C4" w:rsidRPr="002160C4" w:rsidRDefault="002160C4" w:rsidP="00F800BB">
      <w:pPr>
        <w:pStyle w:val="ListParagraph"/>
        <w:numPr>
          <w:ilvl w:val="0"/>
          <w:numId w:val="20"/>
        </w:numPr>
        <w:spacing w:after="120"/>
        <w:jc w:val="both"/>
        <w:rPr>
          <w:lang w:val="en-GB"/>
        </w:rPr>
      </w:pPr>
      <w:r>
        <w:rPr>
          <w:lang w:val="en-GB"/>
        </w:rPr>
        <w:t>The One Plan 2006-2010 and 2012-2016 between the Government of Vietnam and the UN Organizations</w:t>
      </w:r>
      <w:r>
        <w:rPr>
          <w:rStyle w:val="FootnoteReference"/>
          <w:lang w:val="en-GB"/>
        </w:rPr>
        <w:footnoteReference w:id="5"/>
      </w:r>
      <w:r>
        <w:rPr>
          <w:lang w:val="en-GB"/>
        </w:rPr>
        <w:t>;</w:t>
      </w:r>
    </w:p>
    <w:p w:rsidR="00DC03EB" w:rsidRDefault="00DC03EB" w:rsidP="00F800BB">
      <w:pPr>
        <w:pStyle w:val="ListParagraph"/>
        <w:numPr>
          <w:ilvl w:val="0"/>
          <w:numId w:val="20"/>
        </w:numPr>
        <w:spacing w:after="120"/>
        <w:jc w:val="both"/>
        <w:rPr>
          <w:lang w:val="en-GB"/>
        </w:rPr>
      </w:pPr>
      <w:r>
        <w:rPr>
          <w:lang w:val="en-GB"/>
        </w:rPr>
        <w:t>The UN-REDD Programme Framework Document</w:t>
      </w:r>
      <w:r>
        <w:rPr>
          <w:rStyle w:val="FootnoteReference"/>
          <w:lang w:val="en-GB"/>
        </w:rPr>
        <w:footnoteReference w:id="6"/>
      </w:r>
      <w:r>
        <w:rPr>
          <w:lang w:val="en-GB"/>
        </w:rPr>
        <w:t>;</w:t>
      </w:r>
    </w:p>
    <w:p w:rsidR="00161363" w:rsidRPr="00263F2D" w:rsidRDefault="00263F2D" w:rsidP="00F800BB">
      <w:pPr>
        <w:pStyle w:val="ListParagraph"/>
        <w:numPr>
          <w:ilvl w:val="0"/>
          <w:numId w:val="20"/>
        </w:numPr>
        <w:spacing w:after="120"/>
        <w:jc w:val="both"/>
        <w:rPr>
          <w:lang w:val="en-GB"/>
        </w:rPr>
      </w:pPr>
      <w:r>
        <w:rPr>
          <w:lang w:val="en-GB"/>
        </w:rPr>
        <w:t xml:space="preserve">Other REDD+ </w:t>
      </w:r>
      <w:r w:rsidR="009E5E22">
        <w:rPr>
          <w:lang w:val="en-GB"/>
        </w:rPr>
        <w:t xml:space="preserve">related </w:t>
      </w:r>
      <w:r>
        <w:rPr>
          <w:lang w:val="en-GB"/>
        </w:rPr>
        <w:t>programmes in the country</w:t>
      </w:r>
      <w:r w:rsidR="00AC388B">
        <w:rPr>
          <w:lang w:val="en-GB"/>
        </w:rPr>
        <w:t>.</w:t>
      </w:r>
    </w:p>
    <w:p w:rsidR="00161363" w:rsidRDefault="00161363" w:rsidP="00F800BB">
      <w:pPr>
        <w:pStyle w:val="ListParagraph"/>
        <w:numPr>
          <w:ilvl w:val="0"/>
          <w:numId w:val="4"/>
        </w:numPr>
        <w:spacing w:after="0"/>
        <w:jc w:val="both"/>
        <w:rPr>
          <w:lang w:val="en-GB"/>
        </w:rPr>
      </w:pPr>
      <w:r w:rsidRPr="00C062C3">
        <w:rPr>
          <w:lang w:val="en-GB"/>
        </w:rPr>
        <w:t xml:space="preserve">Robustness and realism of the theory of change underpinning the </w:t>
      </w:r>
      <w:r>
        <w:rPr>
          <w:lang w:val="en-GB"/>
        </w:rPr>
        <w:t>National P</w:t>
      </w:r>
      <w:r w:rsidR="00371439">
        <w:rPr>
          <w:lang w:val="en-GB"/>
        </w:rPr>
        <w:t>rogramme, including</w:t>
      </w:r>
      <w:r w:rsidRPr="00C062C3">
        <w:rPr>
          <w:lang w:val="en-GB"/>
        </w:rPr>
        <w:t xml:space="preserve"> </w:t>
      </w:r>
      <w:r w:rsidR="00371439">
        <w:rPr>
          <w:lang w:val="en-GB"/>
        </w:rPr>
        <w:t>logic</w:t>
      </w:r>
      <w:r w:rsidRPr="00C062C3">
        <w:rPr>
          <w:lang w:val="en-GB"/>
        </w:rPr>
        <w:t xml:space="preserve"> of</w:t>
      </w:r>
      <w:r w:rsidR="00371439">
        <w:rPr>
          <w:lang w:val="en-GB"/>
        </w:rPr>
        <w:t xml:space="preserve"> causal relationship between inputs, activities, expected outputs, outcomes  and impacts against the specific and development objectives and validity </w:t>
      </w:r>
      <w:r w:rsidRPr="00C062C3">
        <w:rPr>
          <w:lang w:val="en-GB"/>
        </w:rPr>
        <w:t>of in</w:t>
      </w:r>
      <w:r w:rsidR="00DA1D0E">
        <w:rPr>
          <w:lang w:val="en-GB"/>
        </w:rPr>
        <w:t>dicators, assumptions and risks.</w:t>
      </w:r>
    </w:p>
    <w:p w:rsidR="00DA1D0E" w:rsidRPr="00C062C3" w:rsidRDefault="00DA1D0E" w:rsidP="00F800BB">
      <w:pPr>
        <w:pStyle w:val="ListParagraph"/>
        <w:numPr>
          <w:ilvl w:val="0"/>
          <w:numId w:val="4"/>
        </w:numPr>
        <w:spacing w:after="0"/>
        <w:jc w:val="both"/>
        <w:rPr>
          <w:lang w:val="en-GB"/>
        </w:rPr>
      </w:pPr>
      <w:r w:rsidRPr="00C062C3">
        <w:rPr>
          <w:lang w:val="en-GB"/>
        </w:rPr>
        <w:t xml:space="preserve">Quality and realism of the </w:t>
      </w:r>
      <w:r>
        <w:rPr>
          <w:lang w:val="en-GB"/>
        </w:rPr>
        <w:t>National P</w:t>
      </w:r>
      <w:r w:rsidRPr="00C062C3">
        <w:rPr>
          <w:lang w:val="en-GB"/>
        </w:rPr>
        <w:t>rogramme design, including:</w:t>
      </w:r>
    </w:p>
    <w:p w:rsidR="00DA1D0E" w:rsidRDefault="00DA1D0E" w:rsidP="00F800BB">
      <w:pPr>
        <w:pStyle w:val="ListParagraph"/>
        <w:numPr>
          <w:ilvl w:val="0"/>
          <w:numId w:val="3"/>
        </w:numPr>
        <w:spacing w:after="0"/>
        <w:jc w:val="both"/>
        <w:rPr>
          <w:lang w:val="en-GB"/>
        </w:rPr>
      </w:pPr>
      <w:r w:rsidRPr="00C062C3">
        <w:rPr>
          <w:lang w:val="en-GB"/>
        </w:rPr>
        <w:t>Duration;</w:t>
      </w:r>
    </w:p>
    <w:p w:rsidR="00DA1D0E" w:rsidRDefault="00DA1D0E" w:rsidP="00F800BB">
      <w:pPr>
        <w:pStyle w:val="ListParagraph"/>
        <w:numPr>
          <w:ilvl w:val="0"/>
          <w:numId w:val="3"/>
        </w:numPr>
        <w:spacing w:after="0"/>
        <w:jc w:val="both"/>
        <w:rPr>
          <w:lang w:val="en-GB"/>
        </w:rPr>
      </w:pPr>
      <w:r w:rsidRPr="00C062C3">
        <w:rPr>
          <w:lang w:val="en-GB"/>
        </w:rPr>
        <w:t>Stakeholder and beneficiary identification;</w:t>
      </w:r>
    </w:p>
    <w:p w:rsidR="00DA1D0E" w:rsidRDefault="00DA1D0E" w:rsidP="00F800BB">
      <w:pPr>
        <w:pStyle w:val="ListParagraph"/>
        <w:numPr>
          <w:ilvl w:val="0"/>
          <w:numId w:val="3"/>
        </w:numPr>
        <w:spacing w:after="0"/>
        <w:jc w:val="both"/>
        <w:rPr>
          <w:lang w:val="en-GB"/>
        </w:rPr>
      </w:pPr>
      <w:r w:rsidRPr="00C062C3">
        <w:rPr>
          <w:lang w:val="en-GB"/>
        </w:rPr>
        <w:t>Institutional set-up and management arrangements;</w:t>
      </w:r>
    </w:p>
    <w:p w:rsidR="00A84DDB" w:rsidRDefault="00A84DDB" w:rsidP="00F800BB">
      <w:pPr>
        <w:pStyle w:val="ListParagraph"/>
        <w:numPr>
          <w:ilvl w:val="0"/>
          <w:numId w:val="3"/>
        </w:numPr>
        <w:spacing w:after="0"/>
        <w:jc w:val="both"/>
        <w:rPr>
          <w:lang w:val="en-GB"/>
        </w:rPr>
      </w:pPr>
      <w:r>
        <w:rPr>
          <w:lang w:val="en-GB"/>
        </w:rPr>
        <w:t>Overall programme results’ framework</w:t>
      </w:r>
    </w:p>
    <w:p w:rsidR="00DA1D0E" w:rsidRDefault="00DA1D0E" w:rsidP="00F800BB">
      <w:pPr>
        <w:pStyle w:val="ListParagraph"/>
        <w:numPr>
          <w:ilvl w:val="0"/>
          <w:numId w:val="3"/>
        </w:numPr>
        <w:spacing w:after="0"/>
        <w:jc w:val="both"/>
        <w:rPr>
          <w:lang w:val="en-GB"/>
        </w:rPr>
      </w:pPr>
      <w:r>
        <w:rPr>
          <w:lang w:val="en-GB"/>
        </w:rPr>
        <w:t>Approach and methodology.</w:t>
      </w:r>
    </w:p>
    <w:p w:rsidR="00BC4B61" w:rsidRPr="00BC4B61" w:rsidRDefault="009E5E22" w:rsidP="00F800BB">
      <w:pPr>
        <w:pStyle w:val="ListParagraph"/>
        <w:numPr>
          <w:ilvl w:val="0"/>
          <w:numId w:val="4"/>
        </w:numPr>
        <w:spacing w:after="0"/>
        <w:jc w:val="both"/>
        <w:rPr>
          <w:lang w:val="en-GB"/>
        </w:rPr>
      </w:pPr>
      <w:r>
        <w:rPr>
          <w:lang w:val="en-GB"/>
        </w:rPr>
        <w:t xml:space="preserve">Evolution </w:t>
      </w:r>
      <w:r w:rsidR="00BC4B61">
        <w:rPr>
          <w:lang w:val="en-GB"/>
        </w:rPr>
        <w:t>of National Programme objectives since programme formulation.</w:t>
      </w:r>
    </w:p>
    <w:p w:rsidR="00426B09" w:rsidRPr="00426B09" w:rsidRDefault="00426B09" w:rsidP="00F800BB">
      <w:pPr>
        <w:pStyle w:val="ListParagraph"/>
        <w:numPr>
          <w:ilvl w:val="0"/>
          <w:numId w:val="19"/>
        </w:numPr>
        <w:spacing w:after="0"/>
        <w:ind w:left="720"/>
        <w:jc w:val="both"/>
        <w:rPr>
          <w:lang w:val="en-GB"/>
        </w:rPr>
      </w:pPr>
      <w:r w:rsidRPr="00CB5356">
        <w:rPr>
          <w:b/>
          <w:lang w:val="en-GB"/>
        </w:rPr>
        <w:t>Effectiveness</w:t>
      </w:r>
    </w:p>
    <w:p w:rsidR="004025AD" w:rsidRDefault="004025AD" w:rsidP="00F800BB">
      <w:pPr>
        <w:pStyle w:val="ListParagraph"/>
        <w:numPr>
          <w:ilvl w:val="0"/>
          <w:numId w:val="4"/>
        </w:numPr>
        <w:spacing w:after="0"/>
        <w:jc w:val="both"/>
        <w:rPr>
          <w:lang w:val="en-GB"/>
        </w:rPr>
      </w:pPr>
      <w:r>
        <w:rPr>
          <w:lang w:val="en-GB"/>
        </w:rPr>
        <w:t>Extent</w:t>
      </w:r>
      <w:r w:rsidRPr="00DB0344">
        <w:rPr>
          <w:lang w:val="en-GB"/>
        </w:rPr>
        <w:t xml:space="preserve"> to which the expected outputs have been produced, their quality and timeliness.</w:t>
      </w:r>
    </w:p>
    <w:p w:rsidR="004025AD" w:rsidRDefault="004025AD" w:rsidP="00F800BB">
      <w:pPr>
        <w:pStyle w:val="ListParagraph"/>
        <w:numPr>
          <w:ilvl w:val="0"/>
          <w:numId w:val="4"/>
        </w:numPr>
        <w:spacing w:after="0"/>
        <w:jc w:val="both"/>
        <w:rPr>
          <w:lang w:val="en-GB"/>
        </w:rPr>
      </w:pPr>
      <w:r w:rsidRPr="00DB0344">
        <w:rPr>
          <w:lang w:val="en-GB"/>
        </w:rPr>
        <w:t>Extent to which the expected outcomes have been achieved.</w:t>
      </w:r>
    </w:p>
    <w:p w:rsidR="00D75554" w:rsidRPr="00DB0344" w:rsidRDefault="00D75554" w:rsidP="00F800BB">
      <w:pPr>
        <w:pStyle w:val="ListParagraph"/>
        <w:numPr>
          <w:ilvl w:val="0"/>
          <w:numId w:val="4"/>
        </w:numPr>
        <w:spacing w:after="0"/>
        <w:jc w:val="both"/>
        <w:rPr>
          <w:lang w:val="en-GB"/>
        </w:rPr>
      </w:pPr>
      <w:r w:rsidRPr="00DB0344">
        <w:rPr>
          <w:lang w:val="en-GB"/>
        </w:rPr>
        <w:t xml:space="preserve">Assessment of gender mainstreaming in the </w:t>
      </w:r>
      <w:r>
        <w:rPr>
          <w:lang w:val="en-GB"/>
        </w:rPr>
        <w:t>National Programme</w:t>
      </w:r>
      <w:r w:rsidRPr="00DB0344">
        <w:rPr>
          <w:lang w:val="en-GB"/>
        </w:rPr>
        <w:t>. This will cover:</w:t>
      </w:r>
    </w:p>
    <w:p w:rsidR="00D75554" w:rsidRDefault="00D75554" w:rsidP="00F800BB">
      <w:pPr>
        <w:pStyle w:val="ListParagraph"/>
        <w:numPr>
          <w:ilvl w:val="0"/>
          <w:numId w:val="7"/>
        </w:numPr>
        <w:spacing w:after="0"/>
        <w:jc w:val="both"/>
        <w:rPr>
          <w:lang w:val="en-GB"/>
        </w:rPr>
      </w:pPr>
      <w:r w:rsidRPr="00DB0344">
        <w:rPr>
          <w:lang w:val="en-GB"/>
        </w:rPr>
        <w:t xml:space="preserve">Analysis of how gender issues were reflected in </w:t>
      </w:r>
      <w:r>
        <w:rPr>
          <w:lang w:val="en-GB"/>
        </w:rPr>
        <w:t>P</w:t>
      </w:r>
      <w:r w:rsidRPr="00DB0344">
        <w:rPr>
          <w:lang w:val="en-GB"/>
        </w:rPr>
        <w:t>rogramme objectives, design, identification of beneficiaries and implementation;</w:t>
      </w:r>
    </w:p>
    <w:p w:rsidR="00D75554" w:rsidRDefault="00D75554" w:rsidP="00F800BB">
      <w:pPr>
        <w:pStyle w:val="ListParagraph"/>
        <w:numPr>
          <w:ilvl w:val="0"/>
          <w:numId w:val="7"/>
        </w:numPr>
        <w:spacing w:after="0"/>
        <w:jc w:val="both"/>
        <w:rPr>
          <w:lang w:val="en-GB"/>
        </w:rPr>
      </w:pPr>
      <w:r w:rsidRPr="00DB0344">
        <w:rPr>
          <w:lang w:val="en-GB"/>
        </w:rPr>
        <w:t>Analysis of how gender relations and</w:t>
      </w:r>
      <w:r w:rsidR="00A422B8">
        <w:rPr>
          <w:lang w:val="en-GB"/>
        </w:rPr>
        <w:t xml:space="preserve"> equality are likely to </w:t>
      </w:r>
      <w:r w:rsidRPr="00DB0344">
        <w:rPr>
          <w:lang w:val="en-GB"/>
        </w:rPr>
        <w:t>be affected by the</w:t>
      </w:r>
      <w:r w:rsidR="00A422B8">
        <w:rPr>
          <w:lang w:val="en-GB"/>
        </w:rPr>
        <w:t xml:space="preserve"> </w:t>
      </w:r>
      <w:r w:rsidRPr="00DB0344">
        <w:rPr>
          <w:lang w:val="en-GB"/>
        </w:rPr>
        <w:t>initiative;</w:t>
      </w:r>
    </w:p>
    <w:p w:rsidR="004025AD" w:rsidRDefault="00D75554" w:rsidP="00F800BB">
      <w:pPr>
        <w:pStyle w:val="ListParagraph"/>
        <w:numPr>
          <w:ilvl w:val="0"/>
          <w:numId w:val="7"/>
        </w:numPr>
        <w:spacing w:after="0"/>
        <w:jc w:val="both"/>
        <w:rPr>
          <w:lang w:val="en-GB"/>
        </w:rPr>
      </w:pPr>
      <w:r w:rsidRPr="00DB0344">
        <w:rPr>
          <w:lang w:val="en-GB"/>
        </w:rPr>
        <w:t xml:space="preserve">Extent  to  which  gender  issues  were  taken  into  account  in  </w:t>
      </w:r>
      <w:r>
        <w:rPr>
          <w:lang w:val="en-GB"/>
        </w:rPr>
        <w:t>P</w:t>
      </w:r>
      <w:r w:rsidRPr="00DB0344">
        <w:rPr>
          <w:lang w:val="en-GB"/>
        </w:rPr>
        <w:t>rogramme management</w:t>
      </w:r>
      <w:r>
        <w:rPr>
          <w:lang w:val="en-GB"/>
        </w:rPr>
        <w:t>.</w:t>
      </w:r>
    </w:p>
    <w:p w:rsidR="009E5E22" w:rsidRDefault="009E5E22" w:rsidP="00F800BB">
      <w:pPr>
        <w:pStyle w:val="ListParagraph"/>
        <w:numPr>
          <w:ilvl w:val="0"/>
          <w:numId w:val="7"/>
        </w:numPr>
        <w:spacing w:after="0"/>
        <w:jc w:val="both"/>
        <w:rPr>
          <w:lang w:val="en-GB"/>
        </w:rPr>
      </w:pPr>
      <w:r>
        <w:rPr>
          <w:lang w:val="en-GB"/>
        </w:rPr>
        <w:t>Assessment of likely distribution of benefits and costs between stakeholders.</w:t>
      </w:r>
    </w:p>
    <w:p w:rsidR="00061CFA" w:rsidRPr="00061CFA" w:rsidRDefault="00061CFA" w:rsidP="00F800BB">
      <w:pPr>
        <w:pStyle w:val="ListParagraph"/>
        <w:numPr>
          <w:ilvl w:val="0"/>
          <w:numId w:val="4"/>
        </w:numPr>
        <w:spacing w:after="0"/>
        <w:jc w:val="both"/>
        <w:rPr>
          <w:lang w:val="en-GB"/>
        </w:rPr>
      </w:pPr>
      <w:r w:rsidRPr="00061CFA">
        <w:rPr>
          <w:lang w:val="en-GB"/>
        </w:rPr>
        <w:t>Actual and potential contribution of the National Programme to the normative work of the three participating UN Organizations, e.g. contribution towards the “Delivering as One” initiative and lessons learned incorporated into broader organizational strategies.</w:t>
      </w:r>
    </w:p>
    <w:p w:rsidR="00EC0E05" w:rsidRPr="00EC0E05" w:rsidRDefault="00EC0E05" w:rsidP="00F800BB">
      <w:pPr>
        <w:pStyle w:val="ListParagraph"/>
        <w:numPr>
          <w:ilvl w:val="0"/>
          <w:numId w:val="19"/>
        </w:numPr>
        <w:spacing w:after="0"/>
        <w:ind w:left="720"/>
        <w:jc w:val="both"/>
        <w:rPr>
          <w:b/>
          <w:lang w:val="en-GB"/>
        </w:rPr>
      </w:pPr>
      <w:r w:rsidRPr="00EC0E05">
        <w:rPr>
          <w:b/>
          <w:lang w:val="en-GB"/>
        </w:rPr>
        <w:t>Efficiency</w:t>
      </w:r>
    </w:p>
    <w:p w:rsidR="00A84DDB" w:rsidRPr="005A5F90" w:rsidRDefault="00A84DDB" w:rsidP="00F800BB">
      <w:pPr>
        <w:pStyle w:val="ListParagraph"/>
        <w:numPr>
          <w:ilvl w:val="0"/>
          <w:numId w:val="4"/>
        </w:numPr>
        <w:spacing w:after="0"/>
        <w:jc w:val="both"/>
        <w:rPr>
          <w:lang w:val="en-GB"/>
        </w:rPr>
      </w:pPr>
      <w:r w:rsidRPr="005A5F90">
        <w:rPr>
          <w:lang w:val="en-GB"/>
        </w:rPr>
        <w:lastRenderedPageBreak/>
        <w:t xml:space="preserve">The evaluation will assess factors and processes that affected project results with particular attention to preparation and readiness of the project, country ownership, stakeholder involvement, effectiveness of national and local implementing agencies, financial planning and management and coordination mechanisms. </w:t>
      </w:r>
    </w:p>
    <w:p w:rsidR="00DA1D0E" w:rsidRDefault="00DA1D0E" w:rsidP="00F800BB">
      <w:pPr>
        <w:pStyle w:val="ListParagraph"/>
        <w:numPr>
          <w:ilvl w:val="0"/>
          <w:numId w:val="4"/>
        </w:numPr>
        <w:spacing w:after="0"/>
        <w:jc w:val="both"/>
        <w:rPr>
          <w:lang w:val="en-GB"/>
        </w:rPr>
      </w:pPr>
      <w:r w:rsidRPr="00C062C3">
        <w:rPr>
          <w:lang w:val="en-GB"/>
        </w:rPr>
        <w:t>Financial r</w:t>
      </w:r>
      <w:r>
        <w:rPr>
          <w:lang w:val="en-GB"/>
        </w:rPr>
        <w:t>esources management of the National Programme, including:</w:t>
      </w:r>
    </w:p>
    <w:p w:rsidR="00DA1D0E" w:rsidRDefault="00DA1D0E" w:rsidP="00F800BB">
      <w:pPr>
        <w:pStyle w:val="ListParagraph"/>
        <w:numPr>
          <w:ilvl w:val="0"/>
          <w:numId w:val="5"/>
        </w:numPr>
        <w:spacing w:after="0"/>
        <w:jc w:val="both"/>
        <w:rPr>
          <w:lang w:val="en-GB"/>
        </w:rPr>
      </w:pPr>
      <w:r w:rsidRPr="00C062C3">
        <w:rPr>
          <w:lang w:val="en-GB"/>
        </w:rPr>
        <w:t xml:space="preserve">Adequacy of budget </w:t>
      </w:r>
      <w:r>
        <w:rPr>
          <w:lang w:val="en-GB"/>
        </w:rPr>
        <w:t>allocations to achieve outputs;</w:t>
      </w:r>
    </w:p>
    <w:p w:rsidR="00DA1D0E" w:rsidRDefault="00DA1D0E" w:rsidP="00F800BB">
      <w:pPr>
        <w:pStyle w:val="ListParagraph"/>
        <w:numPr>
          <w:ilvl w:val="0"/>
          <w:numId w:val="5"/>
        </w:numPr>
        <w:spacing w:after="0"/>
        <w:jc w:val="both"/>
        <w:rPr>
          <w:lang w:val="en-GB"/>
        </w:rPr>
      </w:pPr>
      <w:r w:rsidRPr="00C062C3">
        <w:rPr>
          <w:lang w:val="en-GB"/>
        </w:rPr>
        <w:t xml:space="preserve">Coherence and soundness </w:t>
      </w:r>
      <w:r>
        <w:rPr>
          <w:lang w:val="en-GB"/>
        </w:rPr>
        <w:t>of budget r</w:t>
      </w:r>
      <w:r w:rsidRPr="00C062C3">
        <w:rPr>
          <w:lang w:val="en-GB"/>
        </w:rPr>
        <w:t>evisions in matching implementation needs and programme objectives;</w:t>
      </w:r>
    </w:p>
    <w:p w:rsidR="00DA1D0E" w:rsidRDefault="00DA1D0E" w:rsidP="00F800BB">
      <w:pPr>
        <w:pStyle w:val="ListParagraph"/>
        <w:numPr>
          <w:ilvl w:val="0"/>
          <w:numId w:val="5"/>
        </w:numPr>
        <w:spacing w:after="0"/>
        <w:jc w:val="both"/>
        <w:rPr>
          <w:lang w:val="en-GB"/>
        </w:rPr>
      </w:pPr>
      <w:r w:rsidRPr="00DB0344">
        <w:rPr>
          <w:lang w:val="en-GB"/>
        </w:rPr>
        <w:t>Rate of delivery and budget balance</w:t>
      </w:r>
      <w:r>
        <w:rPr>
          <w:lang w:val="en-GB"/>
        </w:rPr>
        <w:t xml:space="preserve"> at the time of the evaluation.</w:t>
      </w:r>
    </w:p>
    <w:p w:rsidR="009E5E22" w:rsidRDefault="009E5E22" w:rsidP="00F800BB">
      <w:pPr>
        <w:pStyle w:val="ListParagraph"/>
        <w:numPr>
          <w:ilvl w:val="0"/>
          <w:numId w:val="5"/>
        </w:numPr>
        <w:spacing w:after="0"/>
        <w:jc w:val="both"/>
        <w:rPr>
          <w:lang w:val="en-GB"/>
        </w:rPr>
      </w:pPr>
      <w:r w:rsidRPr="00DB0344">
        <w:rPr>
          <w:lang w:val="en-GB"/>
        </w:rPr>
        <w:t>Gaps and delays if any between planned and achieved outputs, the causes and consequences of delays and assessment of any remedial measures taken;</w:t>
      </w:r>
    </w:p>
    <w:p w:rsidR="00161363" w:rsidRDefault="00161363" w:rsidP="00F800BB">
      <w:pPr>
        <w:pStyle w:val="ListParagraph"/>
        <w:numPr>
          <w:ilvl w:val="0"/>
          <w:numId w:val="4"/>
        </w:numPr>
        <w:spacing w:after="0"/>
        <w:jc w:val="both"/>
        <w:rPr>
          <w:lang w:val="en-GB"/>
        </w:rPr>
      </w:pPr>
      <w:r w:rsidRPr="00DB0344">
        <w:rPr>
          <w:lang w:val="en-GB"/>
        </w:rPr>
        <w:t>Management and implementation</w:t>
      </w:r>
      <w:r>
        <w:rPr>
          <w:lang w:val="en-GB"/>
        </w:rPr>
        <w:t xml:space="preserve"> of the National Programme, including</w:t>
      </w:r>
      <w:r w:rsidRPr="00DB0344">
        <w:rPr>
          <w:lang w:val="en-GB"/>
        </w:rPr>
        <w:t>:</w:t>
      </w:r>
    </w:p>
    <w:p w:rsidR="00161363" w:rsidRDefault="00161363" w:rsidP="00F800BB">
      <w:pPr>
        <w:pStyle w:val="ListParagraph"/>
        <w:numPr>
          <w:ilvl w:val="0"/>
          <w:numId w:val="6"/>
        </w:numPr>
        <w:spacing w:after="0"/>
        <w:jc w:val="both"/>
        <w:rPr>
          <w:lang w:val="en-GB"/>
        </w:rPr>
      </w:pPr>
      <w:r w:rsidRPr="00DB0344">
        <w:rPr>
          <w:lang w:val="en-GB"/>
        </w:rPr>
        <w:t>Efficiency in producing outputs;</w:t>
      </w:r>
    </w:p>
    <w:p w:rsidR="00A422B8" w:rsidRDefault="00A422B8" w:rsidP="00F800BB">
      <w:pPr>
        <w:pStyle w:val="ListParagraph"/>
        <w:numPr>
          <w:ilvl w:val="0"/>
          <w:numId w:val="6"/>
        </w:numPr>
        <w:spacing w:after="0"/>
        <w:jc w:val="both"/>
        <w:rPr>
          <w:lang w:val="en-GB"/>
        </w:rPr>
      </w:pPr>
      <w:r>
        <w:rPr>
          <w:lang w:val="en-GB"/>
        </w:rPr>
        <w:t xml:space="preserve">Efficiency </w:t>
      </w:r>
      <w:r w:rsidR="00061CFA">
        <w:rPr>
          <w:lang w:val="en-GB"/>
        </w:rPr>
        <w:t>of fund-management arrangements.</w:t>
      </w:r>
    </w:p>
    <w:p w:rsidR="00BC4B61" w:rsidRPr="00BC4B61" w:rsidRDefault="00BC4B61" w:rsidP="00F800BB">
      <w:pPr>
        <w:pStyle w:val="ListParagraph"/>
        <w:numPr>
          <w:ilvl w:val="0"/>
          <w:numId w:val="19"/>
        </w:numPr>
        <w:spacing w:after="0"/>
        <w:ind w:left="720"/>
        <w:jc w:val="both"/>
        <w:rPr>
          <w:b/>
          <w:lang w:val="en-GB"/>
        </w:rPr>
      </w:pPr>
      <w:r w:rsidRPr="00BC4B61">
        <w:rPr>
          <w:b/>
          <w:lang w:val="en-GB"/>
        </w:rPr>
        <w:t>Sustainability</w:t>
      </w:r>
    </w:p>
    <w:p w:rsidR="009A7DA4" w:rsidRDefault="009A7DA4" w:rsidP="00F800BB">
      <w:pPr>
        <w:pStyle w:val="ListParagraph"/>
        <w:numPr>
          <w:ilvl w:val="0"/>
          <w:numId w:val="4"/>
        </w:numPr>
        <w:spacing w:after="0"/>
        <w:jc w:val="both"/>
        <w:rPr>
          <w:lang w:val="en-GB"/>
        </w:rPr>
      </w:pPr>
      <w:r>
        <w:rPr>
          <w:lang w:val="en-GB"/>
        </w:rPr>
        <w:t>Major factors influencing the achievement or non-achievement of sustainability of the programme.</w:t>
      </w:r>
    </w:p>
    <w:p w:rsidR="00161363" w:rsidRDefault="00161363" w:rsidP="00F800BB">
      <w:pPr>
        <w:pStyle w:val="ListParagraph"/>
        <w:numPr>
          <w:ilvl w:val="0"/>
          <w:numId w:val="4"/>
        </w:numPr>
        <w:spacing w:after="0"/>
        <w:jc w:val="both"/>
        <w:rPr>
          <w:lang w:val="en-GB"/>
        </w:rPr>
      </w:pPr>
      <w:r w:rsidRPr="00DB0344">
        <w:rPr>
          <w:lang w:val="en-GB"/>
        </w:rPr>
        <w:t xml:space="preserve">The prospects for sustaining and up-scaling the </w:t>
      </w:r>
      <w:r>
        <w:rPr>
          <w:lang w:val="en-GB"/>
        </w:rPr>
        <w:t>National Programme’s</w:t>
      </w:r>
      <w:r w:rsidR="00D75554">
        <w:rPr>
          <w:lang w:val="en-GB"/>
        </w:rPr>
        <w:t xml:space="preserve"> </w:t>
      </w:r>
      <w:r w:rsidRPr="00DB0344">
        <w:rPr>
          <w:lang w:val="en-GB"/>
        </w:rPr>
        <w:t xml:space="preserve">results by the beneficiaries </w:t>
      </w:r>
      <w:r w:rsidR="00D75554">
        <w:rPr>
          <w:lang w:val="en-GB"/>
        </w:rPr>
        <w:t xml:space="preserve">after the termination of the initiative. The assessment of </w:t>
      </w:r>
      <w:r w:rsidRPr="00DB0344">
        <w:rPr>
          <w:lang w:val="en-GB"/>
        </w:rPr>
        <w:t>sustainability will include, as appropriate:</w:t>
      </w:r>
    </w:p>
    <w:p w:rsidR="00161363" w:rsidRDefault="00161363" w:rsidP="00F800BB">
      <w:pPr>
        <w:pStyle w:val="ListParagraph"/>
        <w:numPr>
          <w:ilvl w:val="0"/>
          <w:numId w:val="8"/>
        </w:numPr>
        <w:spacing w:after="0"/>
        <w:ind w:left="720"/>
        <w:jc w:val="both"/>
        <w:rPr>
          <w:lang w:val="en-GB"/>
        </w:rPr>
      </w:pPr>
      <w:r w:rsidRPr="00DB0344">
        <w:rPr>
          <w:lang w:val="en-GB"/>
        </w:rPr>
        <w:t>Institu</w:t>
      </w:r>
      <w:r w:rsidR="00D75554">
        <w:rPr>
          <w:lang w:val="en-GB"/>
        </w:rPr>
        <w:t xml:space="preserve">tional, technical, economic and social sustainability of proposed </w:t>
      </w:r>
      <w:r w:rsidRPr="00DB0344">
        <w:rPr>
          <w:lang w:val="en-GB"/>
        </w:rPr>
        <w:t>technologies, innovations and/or processes;</w:t>
      </w:r>
    </w:p>
    <w:p w:rsidR="00263F2D" w:rsidRDefault="00D75554" w:rsidP="00F800BB">
      <w:pPr>
        <w:pStyle w:val="ListParagraph"/>
        <w:numPr>
          <w:ilvl w:val="0"/>
          <w:numId w:val="8"/>
        </w:numPr>
        <w:spacing w:after="0"/>
        <w:ind w:left="720"/>
        <w:jc w:val="both"/>
        <w:rPr>
          <w:lang w:val="en-GB"/>
        </w:rPr>
      </w:pPr>
      <w:r>
        <w:rPr>
          <w:lang w:val="en-GB"/>
        </w:rPr>
        <w:t xml:space="preserve">Perspectives for institutional uptake and mainstreaming of the newly acquired </w:t>
      </w:r>
      <w:r w:rsidR="00161363" w:rsidRPr="00DB0344">
        <w:rPr>
          <w:lang w:val="en-GB"/>
        </w:rPr>
        <w:t>capacities, or diffusion beyond the benefici</w:t>
      </w:r>
      <w:r w:rsidR="004379CC">
        <w:rPr>
          <w:lang w:val="en-GB"/>
        </w:rPr>
        <w:t>aries or the National Programme.</w:t>
      </w:r>
    </w:p>
    <w:p w:rsidR="00426B09" w:rsidRPr="00426B09" w:rsidRDefault="00426B09" w:rsidP="00F800BB">
      <w:pPr>
        <w:pStyle w:val="ListParagraph"/>
        <w:numPr>
          <w:ilvl w:val="0"/>
          <w:numId w:val="19"/>
        </w:numPr>
        <w:spacing w:after="0"/>
        <w:ind w:left="720"/>
        <w:jc w:val="both"/>
        <w:rPr>
          <w:lang w:val="en-GB"/>
        </w:rPr>
      </w:pPr>
      <w:r w:rsidRPr="00CB5356">
        <w:rPr>
          <w:b/>
          <w:lang w:val="en-GB"/>
        </w:rPr>
        <w:t>Impact</w:t>
      </w:r>
    </w:p>
    <w:p w:rsidR="00061CFA" w:rsidRDefault="00B9733F" w:rsidP="00F800BB">
      <w:pPr>
        <w:pStyle w:val="ListParagraph"/>
        <w:numPr>
          <w:ilvl w:val="0"/>
          <w:numId w:val="4"/>
        </w:numPr>
        <w:spacing w:after="0"/>
        <w:jc w:val="both"/>
        <w:rPr>
          <w:lang w:val="en-GB"/>
        </w:rPr>
      </w:pPr>
      <w:r>
        <w:rPr>
          <w:lang w:val="en-GB"/>
        </w:rPr>
        <w:t xml:space="preserve">Overall performance of the </w:t>
      </w:r>
      <w:r w:rsidR="00161363">
        <w:rPr>
          <w:lang w:val="en-GB"/>
        </w:rPr>
        <w:t>National P</w:t>
      </w:r>
      <w:r>
        <w:rPr>
          <w:lang w:val="en-GB"/>
        </w:rPr>
        <w:t>rogramme: extent to which the initiative has attained, or is expected to attain, its intermediate/specific objectives; this will also include the identification of actual and potential positive and negative impacts produced by the</w:t>
      </w:r>
      <w:r w:rsidR="00161363" w:rsidRPr="00DB0344">
        <w:rPr>
          <w:lang w:val="en-GB"/>
        </w:rPr>
        <w:t xml:space="preserve"> initiative, directly or indi</w:t>
      </w:r>
      <w:r w:rsidR="00161363">
        <w:rPr>
          <w:lang w:val="en-GB"/>
        </w:rPr>
        <w:t>rectly, intended or unintended.</w:t>
      </w:r>
      <w:r w:rsidR="003355F6">
        <w:rPr>
          <w:rStyle w:val="FootnoteReference"/>
          <w:lang w:val="en-GB"/>
        </w:rPr>
        <w:footnoteReference w:id="7"/>
      </w:r>
    </w:p>
    <w:p w:rsidR="00061CFA" w:rsidRPr="00061CFA" w:rsidRDefault="00061CFA" w:rsidP="00F800BB">
      <w:pPr>
        <w:pStyle w:val="ListParagraph"/>
        <w:numPr>
          <w:ilvl w:val="0"/>
          <w:numId w:val="4"/>
        </w:numPr>
        <w:spacing w:after="0"/>
        <w:jc w:val="both"/>
        <w:rPr>
          <w:lang w:val="en-GB"/>
        </w:rPr>
      </w:pPr>
      <w:r w:rsidRPr="00DB0344">
        <w:rPr>
          <w:lang w:val="en-GB"/>
        </w:rPr>
        <w:t>Use</w:t>
      </w:r>
      <w:r>
        <w:rPr>
          <w:lang w:val="en-GB"/>
        </w:rPr>
        <w:t xml:space="preserve"> made by the National Programme of the UN-REDD Programme’s   normative products, guidelines and safeguards, e.g. the UN-REDD Programme Guidelines on Free, Prior and Informed Consent (FPIC) and Guidelines on Stakeholder Engagement in REDD+ Readiness, and the extent of which they have contributed towards national safeguards</w:t>
      </w:r>
      <w:r>
        <w:rPr>
          <w:rStyle w:val="FootnoteReference"/>
          <w:lang w:val="en-GB"/>
        </w:rPr>
        <w:footnoteReference w:id="8"/>
      </w:r>
      <w:r>
        <w:rPr>
          <w:lang w:val="en-GB"/>
        </w:rPr>
        <w:t>.</w:t>
      </w:r>
    </w:p>
    <w:p w:rsidR="00161363" w:rsidRPr="00061CFA" w:rsidRDefault="00061CFA" w:rsidP="00F800BB">
      <w:pPr>
        <w:pStyle w:val="ListParagraph"/>
        <w:numPr>
          <w:ilvl w:val="0"/>
          <w:numId w:val="19"/>
        </w:numPr>
        <w:spacing w:after="0"/>
        <w:ind w:left="720"/>
        <w:jc w:val="both"/>
        <w:rPr>
          <w:b/>
          <w:lang w:val="en-GB"/>
        </w:rPr>
      </w:pPr>
      <w:r w:rsidRPr="00061CFA">
        <w:rPr>
          <w:b/>
          <w:lang w:val="en-GB"/>
        </w:rPr>
        <w:t>Factors affecting performance</w:t>
      </w:r>
    </w:p>
    <w:p w:rsidR="00061CFA" w:rsidRDefault="00061CFA" w:rsidP="00F800BB">
      <w:pPr>
        <w:pStyle w:val="ListParagraph"/>
        <w:numPr>
          <w:ilvl w:val="0"/>
          <w:numId w:val="4"/>
        </w:numPr>
        <w:spacing w:after="0"/>
        <w:jc w:val="both"/>
        <w:rPr>
          <w:lang w:val="en-GB"/>
        </w:rPr>
      </w:pPr>
      <w:r>
        <w:rPr>
          <w:lang w:val="en-GB"/>
        </w:rPr>
        <w:t>Assessment of coordination mechanisms and decisions taken between the three participating UN organizations to ensure joint delivery.</w:t>
      </w:r>
    </w:p>
    <w:p w:rsidR="00061CFA" w:rsidRDefault="00061CFA" w:rsidP="00F800BB">
      <w:pPr>
        <w:pStyle w:val="ListParagraph"/>
        <w:numPr>
          <w:ilvl w:val="0"/>
          <w:numId w:val="4"/>
        </w:numPr>
        <w:spacing w:after="0"/>
        <w:jc w:val="both"/>
        <w:rPr>
          <w:lang w:val="en-GB"/>
        </w:rPr>
      </w:pPr>
      <w:r>
        <w:rPr>
          <w:lang w:val="en-GB"/>
        </w:rPr>
        <w:t>Assessment of coordination mechanisms and decisions taken between the Government and the three participating UN organizations to ensure programme outcomes are achieved.</w:t>
      </w:r>
    </w:p>
    <w:p w:rsidR="00061CFA" w:rsidRDefault="00061CFA" w:rsidP="00F800BB">
      <w:pPr>
        <w:pStyle w:val="ListParagraph"/>
        <w:numPr>
          <w:ilvl w:val="0"/>
          <w:numId w:val="4"/>
        </w:numPr>
        <w:spacing w:after="0"/>
        <w:jc w:val="both"/>
        <w:rPr>
          <w:lang w:val="en-GB"/>
        </w:rPr>
      </w:pPr>
      <w:r>
        <w:rPr>
          <w:lang w:val="en-GB"/>
        </w:rPr>
        <w:t>Assessment of coordination within and between Government ministries in order to ensure programme outcomes is achieved.</w:t>
      </w:r>
    </w:p>
    <w:p w:rsidR="00061CFA" w:rsidRDefault="00061CFA" w:rsidP="00F800BB">
      <w:pPr>
        <w:pStyle w:val="ListParagraph"/>
        <w:numPr>
          <w:ilvl w:val="0"/>
          <w:numId w:val="4"/>
        </w:numPr>
        <w:spacing w:after="0"/>
        <w:jc w:val="both"/>
        <w:rPr>
          <w:lang w:val="en-GB"/>
        </w:rPr>
      </w:pPr>
      <w:r>
        <w:rPr>
          <w:lang w:val="en-GB"/>
        </w:rPr>
        <w:t>Assessment of coordination mechanisms between the National Programme and other bilateral and multilateral REDD+ initiatives.</w:t>
      </w:r>
    </w:p>
    <w:p w:rsidR="00061CFA" w:rsidRDefault="00061CFA" w:rsidP="00F800BB">
      <w:pPr>
        <w:pStyle w:val="ListParagraph"/>
        <w:numPr>
          <w:ilvl w:val="0"/>
          <w:numId w:val="4"/>
        </w:numPr>
        <w:spacing w:after="0"/>
        <w:jc w:val="both"/>
        <w:rPr>
          <w:lang w:val="en-GB"/>
        </w:rPr>
      </w:pPr>
      <w:r w:rsidRPr="00DB0344">
        <w:rPr>
          <w:lang w:val="en-GB"/>
        </w:rPr>
        <w:lastRenderedPageBreak/>
        <w:t>Management and implementation</w:t>
      </w:r>
      <w:r>
        <w:rPr>
          <w:lang w:val="en-GB"/>
        </w:rPr>
        <w:t xml:space="preserve"> of the National Programme, including</w:t>
      </w:r>
      <w:r w:rsidRPr="00DB0344">
        <w:rPr>
          <w:lang w:val="en-GB"/>
        </w:rPr>
        <w:t>:</w:t>
      </w:r>
    </w:p>
    <w:p w:rsidR="00061CFA" w:rsidRDefault="00061CFA" w:rsidP="00F800BB">
      <w:pPr>
        <w:pStyle w:val="ListParagraph"/>
        <w:numPr>
          <w:ilvl w:val="0"/>
          <w:numId w:val="6"/>
        </w:numPr>
        <w:spacing w:after="0"/>
        <w:jc w:val="both"/>
        <w:rPr>
          <w:lang w:val="en-GB"/>
        </w:rPr>
      </w:pPr>
      <w:r>
        <w:rPr>
          <w:lang w:val="en-GB"/>
        </w:rPr>
        <w:t>Efficiency</w:t>
      </w:r>
      <w:r w:rsidRPr="00DB0344">
        <w:rPr>
          <w:lang w:val="en-GB"/>
        </w:rPr>
        <w:t xml:space="preserve"> of management, including qua</w:t>
      </w:r>
      <w:r>
        <w:rPr>
          <w:lang w:val="en-GB"/>
        </w:rPr>
        <w:t>lity and realism of work plans;</w:t>
      </w:r>
    </w:p>
    <w:p w:rsidR="00061CFA" w:rsidRDefault="00061CFA" w:rsidP="00F800BB">
      <w:pPr>
        <w:pStyle w:val="ListParagraph"/>
        <w:numPr>
          <w:ilvl w:val="0"/>
          <w:numId w:val="6"/>
        </w:numPr>
        <w:spacing w:after="0"/>
        <w:jc w:val="both"/>
        <w:rPr>
          <w:lang w:val="en-GB"/>
        </w:rPr>
      </w:pPr>
      <w:r w:rsidRPr="00DB0344">
        <w:rPr>
          <w:lang w:val="en-GB"/>
        </w:rPr>
        <w:t xml:space="preserve">Efficiency and </w:t>
      </w:r>
      <w:r>
        <w:rPr>
          <w:lang w:val="en-GB"/>
        </w:rPr>
        <w:t>of operations management;</w:t>
      </w:r>
    </w:p>
    <w:p w:rsidR="00061CFA" w:rsidRDefault="00061CFA" w:rsidP="00F800BB">
      <w:pPr>
        <w:pStyle w:val="ListParagraph"/>
        <w:numPr>
          <w:ilvl w:val="0"/>
          <w:numId w:val="6"/>
        </w:numPr>
        <w:spacing w:after="0"/>
        <w:jc w:val="both"/>
        <w:rPr>
          <w:lang w:val="en-GB"/>
        </w:rPr>
      </w:pPr>
      <w:r>
        <w:rPr>
          <w:lang w:val="en-GB"/>
        </w:rPr>
        <w:t xml:space="preserve">Efficiency </w:t>
      </w:r>
      <w:r w:rsidRPr="00DB0344">
        <w:rPr>
          <w:lang w:val="en-GB"/>
        </w:rPr>
        <w:t>of coordinatio</w:t>
      </w:r>
      <w:r>
        <w:rPr>
          <w:lang w:val="en-GB"/>
        </w:rPr>
        <w:t>n and steering bodies (if any);</w:t>
      </w:r>
    </w:p>
    <w:p w:rsidR="00061CFA" w:rsidRDefault="00061CFA" w:rsidP="00F800BB">
      <w:pPr>
        <w:pStyle w:val="ListParagraph"/>
        <w:numPr>
          <w:ilvl w:val="0"/>
          <w:numId w:val="6"/>
        </w:numPr>
        <w:spacing w:after="0"/>
        <w:jc w:val="both"/>
        <w:rPr>
          <w:lang w:val="en-GB"/>
        </w:rPr>
      </w:pPr>
      <w:r w:rsidRPr="00DB0344">
        <w:rPr>
          <w:lang w:val="en-GB"/>
        </w:rPr>
        <w:t xml:space="preserve">Quality and quantity of administrative and technical support by </w:t>
      </w:r>
      <w:r>
        <w:rPr>
          <w:lang w:val="en-GB"/>
        </w:rPr>
        <w:t>the three participating UN Organizations</w:t>
      </w:r>
      <w:r w:rsidRPr="00DB0344">
        <w:rPr>
          <w:lang w:val="en-GB"/>
        </w:rPr>
        <w:t>; and</w:t>
      </w:r>
    </w:p>
    <w:p w:rsidR="00061CFA" w:rsidRDefault="00061CFA" w:rsidP="003E3A43">
      <w:pPr>
        <w:pStyle w:val="ListParagraph"/>
        <w:numPr>
          <w:ilvl w:val="0"/>
          <w:numId w:val="6"/>
        </w:numPr>
        <w:spacing w:after="0"/>
        <w:jc w:val="both"/>
        <w:rPr>
          <w:lang w:val="en-GB"/>
        </w:rPr>
      </w:pPr>
      <w:r w:rsidRPr="00DB0344">
        <w:rPr>
          <w:lang w:val="en-GB"/>
        </w:rPr>
        <w:t>Timeliness, quality and quantity of inputs and support by the Government and partner</w:t>
      </w:r>
      <w:r>
        <w:rPr>
          <w:lang w:val="en-GB"/>
        </w:rPr>
        <w:t>s</w:t>
      </w:r>
      <w:r w:rsidRPr="00DB0344">
        <w:rPr>
          <w:lang w:val="en-GB"/>
        </w:rPr>
        <w:t>.</w:t>
      </w:r>
    </w:p>
    <w:p w:rsidR="00F800BB" w:rsidRDefault="00F800BB" w:rsidP="00F800BB">
      <w:pPr>
        <w:pStyle w:val="ListParagraph"/>
        <w:spacing w:after="120"/>
        <w:jc w:val="both"/>
        <w:rPr>
          <w:lang w:val="en-GB"/>
        </w:rPr>
      </w:pPr>
    </w:p>
    <w:p w:rsidR="009B04E1" w:rsidRPr="006B69D4" w:rsidRDefault="00F16A67" w:rsidP="00F800BB">
      <w:pPr>
        <w:pStyle w:val="ListParagraph"/>
        <w:numPr>
          <w:ilvl w:val="0"/>
          <w:numId w:val="11"/>
        </w:numPr>
        <w:spacing w:after="120"/>
        <w:rPr>
          <w:b/>
          <w:lang w:val="en-GB"/>
        </w:rPr>
      </w:pPr>
      <w:r w:rsidRPr="006B69D4">
        <w:rPr>
          <w:b/>
          <w:lang w:val="en-GB"/>
        </w:rPr>
        <w:t xml:space="preserve"> </w:t>
      </w:r>
      <w:r w:rsidR="00D406CB">
        <w:rPr>
          <w:b/>
          <w:lang w:val="en-GB"/>
        </w:rPr>
        <w:t>Evaluation M</w:t>
      </w:r>
      <w:r w:rsidR="00AB29BF" w:rsidRPr="006B69D4">
        <w:rPr>
          <w:b/>
          <w:lang w:val="en-GB"/>
        </w:rPr>
        <w:t>ethodology</w:t>
      </w:r>
    </w:p>
    <w:p w:rsidR="00F3132B" w:rsidRDefault="009B04E1" w:rsidP="005A5F90">
      <w:pPr>
        <w:spacing w:after="120"/>
        <w:jc w:val="both"/>
        <w:rPr>
          <w:lang w:val="en-GB"/>
        </w:rPr>
      </w:pPr>
      <w:r w:rsidRPr="009B04E1">
        <w:rPr>
          <w:lang w:val="en-GB"/>
        </w:rPr>
        <w:t xml:space="preserve">The </w:t>
      </w:r>
      <w:r w:rsidR="00117714">
        <w:rPr>
          <w:lang w:val="en-GB"/>
        </w:rPr>
        <w:t xml:space="preserve">UN-REDD </w:t>
      </w:r>
      <w:r w:rsidR="00543360">
        <w:rPr>
          <w:lang w:val="en-GB"/>
        </w:rPr>
        <w:t xml:space="preserve">National Programme </w:t>
      </w:r>
      <w:r w:rsidR="00145E8E">
        <w:rPr>
          <w:lang w:val="en-GB"/>
        </w:rPr>
        <w:t xml:space="preserve">final </w:t>
      </w:r>
      <w:r w:rsidRPr="009B04E1">
        <w:rPr>
          <w:lang w:val="en-GB"/>
        </w:rPr>
        <w:t>evaluation will adher</w:t>
      </w:r>
      <w:r w:rsidR="007451FF">
        <w:rPr>
          <w:lang w:val="en-GB"/>
        </w:rPr>
        <w:t>e to the UNEG Norms &amp; Standards</w:t>
      </w:r>
      <w:r w:rsidR="00145E8E">
        <w:rPr>
          <w:rStyle w:val="FootnoteReference"/>
          <w:lang w:val="en-GB"/>
        </w:rPr>
        <w:footnoteReference w:id="9"/>
      </w:r>
      <w:r w:rsidR="00145E8E">
        <w:rPr>
          <w:lang w:val="en-GB"/>
        </w:rPr>
        <w:t xml:space="preserve">. </w:t>
      </w:r>
      <w:r w:rsidR="00F3132B">
        <w:rPr>
          <w:lang w:val="en-GB"/>
        </w:rPr>
        <w:t>It will be conducted by</w:t>
      </w:r>
      <w:r w:rsidR="00B246E3">
        <w:rPr>
          <w:lang w:val="en-GB"/>
        </w:rPr>
        <w:t xml:space="preserve"> two</w:t>
      </w:r>
      <w:r w:rsidR="00F3132B">
        <w:rPr>
          <w:lang w:val="en-GB"/>
        </w:rPr>
        <w:t xml:space="preserve"> independent consultants under the overall responsibility and management of the three participating UN Organizations’ Evaluation Departments through their participation in the Evaluation Management Group, in consultation with relevant hea</w:t>
      </w:r>
      <w:r w:rsidR="00A72364">
        <w:rPr>
          <w:lang w:val="en-GB"/>
        </w:rPr>
        <w:t>dquarter, regional and country staff of the participating UN Organizations.</w:t>
      </w:r>
    </w:p>
    <w:p w:rsidR="00A72364" w:rsidRDefault="00A72364" w:rsidP="005A5F90">
      <w:pPr>
        <w:spacing w:after="120"/>
        <w:jc w:val="both"/>
        <w:rPr>
          <w:lang w:val="en-GB"/>
        </w:rPr>
      </w:pPr>
      <w:r>
        <w:rPr>
          <w:lang w:val="en-GB"/>
        </w:rPr>
        <w:t>Evaluation</w:t>
      </w:r>
      <w:r w:rsidR="001054DD">
        <w:rPr>
          <w:lang w:val="en-GB"/>
        </w:rPr>
        <w:t xml:space="preserve"> </w:t>
      </w:r>
      <w:r>
        <w:rPr>
          <w:lang w:val="en-GB"/>
        </w:rPr>
        <w:t xml:space="preserve">findings and judgements should be based on sound evidence and analysis, clearly documented in the evaluation </w:t>
      </w:r>
      <w:r w:rsidRPr="00A72364">
        <w:rPr>
          <w:lang w:val="en-GB"/>
        </w:rPr>
        <w:t>report. Information will be triangulated (i.e. verified from different sources) to the extent possible, and when verification is not possible, the single source will be mentioned</w:t>
      </w:r>
      <w:r w:rsidR="001054DD">
        <w:rPr>
          <w:rStyle w:val="FootnoteReference"/>
          <w:lang w:val="en-GB"/>
        </w:rPr>
        <w:footnoteReference w:id="10"/>
      </w:r>
      <w:r w:rsidRPr="00A72364">
        <w:rPr>
          <w:lang w:val="en-GB"/>
        </w:rPr>
        <w:t>. Analysis leading to evaluative judgements should always be clearly spelled out.</w:t>
      </w:r>
      <w:r w:rsidR="00A84DDB">
        <w:rPr>
          <w:lang w:val="en-GB"/>
        </w:rPr>
        <w:t xml:space="preserve"> </w:t>
      </w:r>
      <w:r w:rsidR="00954191">
        <w:rPr>
          <w:lang w:val="en-GB"/>
        </w:rPr>
        <w:t>The limitations of the methodological framework should also be spelled out in the evaluation reports.</w:t>
      </w:r>
    </w:p>
    <w:p w:rsidR="006F6881" w:rsidRDefault="006F6881" w:rsidP="005A5F90">
      <w:pPr>
        <w:pStyle w:val="TableCaption"/>
        <w:numPr>
          <w:ilvl w:val="0"/>
          <w:numId w:val="0"/>
        </w:numPr>
        <w:spacing w:line="276" w:lineRule="auto"/>
        <w:jc w:val="both"/>
        <w:rPr>
          <w:rFonts w:asciiTheme="minorHAnsi" w:hAnsiTheme="minorHAnsi"/>
          <w:b w:val="0"/>
          <w:szCs w:val="22"/>
        </w:rPr>
      </w:pPr>
      <w:r>
        <w:rPr>
          <w:rFonts w:asciiTheme="minorHAnsi" w:hAnsiTheme="minorHAnsi"/>
          <w:b w:val="0"/>
          <w:szCs w:val="22"/>
        </w:rPr>
        <w:t xml:space="preserve">The evaluation will assess the programme with respect to a minimum set of evaluation criteria </w:t>
      </w:r>
      <w:r w:rsidR="00B246E3">
        <w:rPr>
          <w:rFonts w:asciiTheme="minorHAnsi" w:hAnsiTheme="minorHAnsi"/>
          <w:b w:val="0"/>
          <w:szCs w:val="22"/>
        </w:rPr>
        <w:t xml:space="preserve">using </w:t>
      </w:r>
      <w:r w:rsidR="00E479F3">
        <w:rPr>
          <w:rFonts w:asciiTheme="minorHAnsi" w:hAnsiTheme="minorHAnsi"/>
          <w:b w:val="0"/>
          <w:szCs w:val="22"/>
        </w:rPr>
        <w:t>a</w:t>
      </w:r>
      <w:r w:rsidR="00B246E3">
        <w:rPr>
          <w:rFonts w:asciiTheme="minorHAnsi" w:hAnsiTheme="minorHAnsi"/>
          <w:b w:val="0"/>
          <w:szCs w:val="22"/>
        </w:rPr>
        <w:t xml:space="preserve"> </w:t>
      </w:r>
      <w:r w:rsidR="003D0A6D">
        <w:rPr>
          <w:rFonts w:asciiTheme="minorHAnsi" w:hAnsiTheme="minorHAnsi"/>
          <w:b w:val="0"/>
          <w:szCs w:val="22"/>
        </w:rPr>
        <w:t>table f</w:t>
      </w:r>
      <w:r w:rsidR="00954191">
        <w:rPr>
          <w:rFonts w:asciiTheme="minorHAnsi" w:hAnsiTheme="minorHAnsi"/>
          <w:b w:val="0"/>
          <w:szCs w:val="22"/>
        </w:rPr>
        <w:t>or rating performance</w:t>
      </w:r>
      <w:r w:rsidR="003D0A6D">
        <w:rPr>
          <w:rFonts w:asciiTheme="minorHAnsi" w:hAnsiTheme="minorHAnsi"/>
          <w:b w:val="0"/>
          <w:szCs w:val="22"/>
        </w:rPr>
        <w:t>.</w:t>
      </w:r>
    </w:p>
    <w:p w:rsidR="00264606" w:rsidRPr="00550953" w:rsidRDefault="00264606" w:rsidP="005A5F90">
      <w:pPr>
        <w:pStyle w:val="TableCaption"/>
        <w:numPr>
          <w:ilvl w:val="0"/>
          <w:numId w:val="0"/>
        </w:numPr>
        <w:spacing w:line="276" w:lineRule="auto"/>
        <w:jc w:val="both"/>
        <w:rPr>
          <w:rFonts w:asciiTheme="minorHAnsi" w:hAnsiTheme="minorHAnsi"/>
          <w:b w:val="0"/>
          <w:szCs w:val="22"/>
        </w:rPr>
      </w:pPr>
      <w:r w:rsidRPr="00550953">
        <w:rPr>
          <w:rFonts w:asciiTheme="minorHAnsi" w:hAnsiTheme="minorHAnsi"/>
          <w:b w:val="0"/>
          <w:szCs w:val="22"/>
        </w:rPr>
        <w:t xml:space="preserve">In attempting to </w:t>
      </w:r>
      <w:r w:rsidRPr="00550953">
        <w:rPr>
          <w:rFonts w:asciiTheme="minorHAnsi" w:hAnsiTheme="minorHAnsi"/>
          <w:b w:val="0"/>
        </w:rPr>
        <w:t>attribute</w:t>
      </w:r>
      <w:r w:rsidRPr="00550953">
        <w:rPr>
          <w:rFonts w:asciiTheme="minorHAnsi" w:hAnsiTheme="minorHAnsi"/>
          <w:b w:val="0"/>
          <w:szCs w:val="22"/>
        </w:rPr>
        <w:t xml:space="preserve"> </w:t>
      </w:r>
      <w:r w:rsidRPr="00550953">
        <w:rPr>
          <w:rFonts w:asciiTheme="minorHAnsi" w:hAnsiTheme="minorHAnsi"/>
          <w:b w:val="0"/>
          <w:bCs/>
          <w:szCs w:val="22"/>
        </w:rPr>
        <w:t>any</w:t>
      </w:r>
      <w:r w:rsidRPr="00550953">
        <w:rPr>
          <w:rFonts w:asciiTheme="minorHAnsi" w:hAnsiTheme="minorHAnsi"/>
          <w:b w:val="0"/>
          <w:szCs w:val="22"/>
        </w:rPr>
        <w:t xml:space="preserve"> outcomes and impacts to the </w:t>
      </w:r>
      <w:r w:rsidR="00550953">
        <w:rPr>
          <w:rFonts w:asciiTheme="minorHAnsi" w:hAnsiTheme="minorHAnsi"/>
          <w:b w:val="0"/>
          <w:szCs w:val="22"/>
        </w:rPr>
        <w:t>programme</w:t>
      </w:r>
      <w:r w:rsidRPr="00550953">
        <w:rPr>
          <w:rFonts w:asciiTheme="minorHAnsi" w:hAnsiTheme="minorHAnsi"/>
          <w:b w:val="0"/>
          <w:szCs w:val="22"/>
        </w:rPr>
        <w:t xml:space="preserve">, the evaluators should consider the difference between what has happened with and what would have happened without the </w:t>
      </w:r>
      <w:r w:rsidR="00550953">
        <w:rPr>
          <w:rFonts w:asciiTheme="minorHAnsi" w:hAnsiTheme="minorHAnsi"/>
          <w:b w:val="0"/>
          <w:szCs w:val="22"/>
        </w:rPr>
        <w:t>programme</w:t>
      </w:r>
      <w:r w:rsidRPr="00550953">
        <w:rPr>
          <w:rFonts w:asciiTheme="minorHAnsi" w:hAnsiTheme="minorHAnsi"/>
          <w:b w:val="0"/>
          <w:szCs w:val="22"/>
        </w:rPr>
        <w:t xml:space="preserve">. This implies that there should be consideration of the baseline conditions and trends in relation to the intended </w:t>
      </w:r>
      <w:r w:rsidR="00550953">
        <w:rPr>
          <w:rFonts w:asciiTheme="minorHAnsi" w:hAnsiTheme="minorHAnsi"/>
          <w:b w:val="0"/>
          <w:szCs w:val="22"/>
        </w:rPr>
        <w:t>programme</w:t>
      </w:r>
      <w:r w:rsidRPr="00550953">
        <w:rPr>
          <w:rFonts w:asciiTheme="minorHAnsi" w:hAnsiTheme="minorHAnsi"/>
          <w:b w:val="0"/>
          <w:szCs w:val="22"/>
        </w:rPr>
        <w:t xml:space="preserve"> outcomes and impacts. This also means that there should be plausible evidence to attribute such outcomes and impacts to the actions of the project. Sometimes, adequate information on baseline conditions and trends is lacking. In such cases this should be clearly highlighted by the evaluators, along with any simplifying assumptions that were taken to enable the evaluator to make informed judgem</w:t>
      </w:r>
      <w:r w:rsidR="007472FF">
        <w:rPr>
          <w:rFonts w:asciiTheme="minorHAnsi" w:hAnsiTheme="minorHAnsi"/>
          <w:b w:val="0"/>
          <w:szCs w:val="22"/>
        </w:rPr>
        <w:t>ents about project performance.</w:t>
      </w:r>
    </w:p>
    <w:p w:rsidR="00264606" w:rsidRPr="00D406CB" w:rsidRDefault="00264606" w:rsidP="005A5F90">
      <w:pPr>
        <w:pStyle w:val="TableCaption"/>
        <w:numPr>
          <w:ilvl w:val="0"/>
          <w:numId w:val="0"/>
        </w:numPr>
        <w:spacing w:line="276" w:lineRule="auto"/>
        <w:jc w:val="both"/>
        <w:rPr>
          <w:rFonts w:asciiTheme="minorHAnsi" w:hAnsiTheme="minorHAnsi"/>
          <w:b w:val="0"/>
          <w:szCs w:val="22"/>
        </w:rPr>
      </w:pPr>
      <w:r w:rsidRPr="00550953">
        <w:rPr>
          <w:rFonts w:asciiTheme="minorHAnsi" w:hAnsiTheme="minorHAnsi"/>
          <w:b w:val="0"/>
          <w:szCs w:val="22"/>
        </w:rPr>
        <w:t xml:space="preserve">As this is </w:t>
      </w:r>
      <w:r w:rsidRPr="00550953">
        <w:rPr>
          <w:rFonts w:asciiTheme="minorHAnsi" w:hAnsiTheme="minorHAnsi"/>
          <w:b w:val="0"/>
        </w:rPr>
        <w:t xml:space="preserve">a </w:t>
      </w:r>
      <w:r w:rsidR="00550953">
        <w:rPr>
          <w:rFonts w:asciiTheme="minorHAnsi" w:hAnsiTheme="minorHAnsi"/>
          <w:b w:val="0"/>
        </w:rPr>
        <w:t>final</w:t>
      </w:r>
      <w:r w:rsidRPr="00550953">
        <w:rPr>
          <w:rFonts w:asciiTheme="minorHAnsi" w:hAnsiTheme="minorHAnsi"/>
          <w:b w:val="0"/>
        </w:rPr>
        <w:t xml:space="preserve"> evaluation, particular attention should be given to learning from the experience. </w:t>
      </w:r>
      <w:r w:rsidRPr="00550953">
        <w:rPr>
          <w:rFonts w:asciiTheme="minorHAnsi" w:hAnsiTheme="minorHAnsi"/>
          <w:b w:val="0"/>
          <w:szCs w:val="22"/>
        </w:rPr>
        <w:t xml:space="preserve"> Therefore, the “why?” question should be at </w:t>
      </w:r>
      <w:r w:rsidR="002E0DA9">
        <w:rPr>
          <w:rFonts w:asciiTheme="minorHAnsi" w:hAnsiTheme="minorHAnsi"/>
          <w:b w:val="0"/>
          <w:szCs w:val="22"/>
        </w:rPr>
        <w:t xml:space="preserve">the </w:t>
      </w:r>
      <w:r w:rsidRPr="00550953">
        <w:rPr>
          <w:rFonts w:asciiTheme="minorHAnsi" w:hAnsiTheme="minorHAnsi"/>
          <w:b w:val="0"/>
          <w:szCs w:val="22"/>
        </w:rPr>
        <w:t>front of the consultants’ minds through</w:t>
      </w:r>
      <w:r w:rsidR="002E0DA9">
        <w:rPr>
          <w:rFonts w:asciiTheme="minorHAnsi" w:hAnsiTheme="minorHAnsi"/>
          <w:b w:val="0"/>
          <w:szCs w:val="22"/>
        </w:rPr>
        <w:t>out</w:t>
      </w:r>
      <w:r w:rsidRPr="00550953">
        <w:rPr>
          <w:rFonts w:asciiTheme="minorHAnsi" w:hAnsiTheme="minorHAnsi"/>
          <w:b w:val="0"/>
          <w:szCs w:val="22"/>
        </w:rPr>
        <w:t xml:space="preserve"> the evaluation exercise. This means that the consultants need to go beyond the assessment of “what” the </w:t>
      </w:r>
      <w:r w:rsidR="00550953">
        <w:rPr>
          <w:rFonts w:asciiTheme="minorHAnsi" w:hAnsiTheme="minorHAnsi"/>
          <w:b w:val="0"/>
          <w:szCs w:val="22"/>
        </w:rPr>
        <w:t>programme</w:t>
      </w:r>
      <w:r w:rsidRPr="00550953">
        <w:rPr>
          <w:rFonts w:asciiTheme="minorHAnsi" w:hAnsiTheme="minorHAnsi"/>
          <w:b w:val="0"/>
          <w:szCs w:val="22"/>
        </w:rPr>
        <w:t xml:space="preserve"> performance was, and make a serious effort to provide a deeper understanding of “why” the performance turned out the way it did, i.e. of processes affecting attainment of </w:t>
      </w:r>
      <w:r w:rsidR="00550953">
        <w:rPr>
          <w:rFonts w:asciiTheme="minorHAnsi" w:hAnsiTheme="minorHAnsi"/>
          <w:b w:val="0"/>
          <w:szCs w:val="22"/>
        </w:rPr>
        <w:t>programme</w:t>
      </w:r>
      <w:r w:rsidRPr="00550953">
        <w:rPr>
          <w:rFonts w:asciiTheme="minorHAnsi" w:hAnsiTheme="minorHAnsi"/>
          <w:b w:val="0"/>
          <w:szCs w:val="22"/>
        </w:rPr>
        <w:t xml:space="preserve"> results. This should provide the basis for the lessons that can be drawn from the </w:t>
      </w:r>
      <w:r w:rsidR="00550953">
        <w:rPr>
          <w:rFonts w:asciiTheme="minorHAnsi" w:hAnsiTheme="minorHAnsi"/>
          <w:b w:val="0"/>
          <w:szCs w:val="22"/>
        </w:rPr>
        <w:t>programme</w:t>
      </w:r>
      <w:r w:rsidRPr="00550953">
        <w:rPr>
          <w:rFonts w:asciiTheme="minorHAnsi" w:hAnsiTheme="minorHAnsi"/>
          <w:b w:val="0"/>
          <w:szCs w:val="22"/>
        </w:rPr>
        <w:t>. In fact, the usefulness of the evaluation will be determined to a large extent by the capacity of the consultant to explain “why things happened” as they happened and are likely to evolve in this or that direction, which goes well beyond the mere assessment of “where things stand” today. The consultant could also provide recommendations for the way forward.</w:t>
      </w:r>
    </w:p>
    <w:p w:rsidR="00264606" w:rsidRPr="00264606" w:rsidRDefault="00264606" w:rsidP="00F800BB">
      <w:pPr>
        <w:pStyle w:val="ListParagraph"/>
        <w:numPr>
          <w:ilvl w:val="1"/>
          <w:numId w:val="14"/>
        </w:numPr>
        <w:spacing w:after="120"/>
        <w:jc w:val="both"/>
        <w:rPr>
          <w:b/>
          <w:lang w:val="en-GB"/>
        </w:rPr>
      </w:pPr>
      <w:r w:rsidRPr="00264606">
        <w:rPr>
          <w:b/>
          <w:lang w:val="en-GB"/>
        </w:rPr>
        <w:lastRenderedPageBreak/>
        <w:t>Tools</w:t>
      </w:r>
    </w:p>
    <w:p w:rsidR="00F3132B" w:rsidRDefault="009B04E1" w:rsidP="005A5F90">
      <w:pPr>
        <w:spacing w:after="120"/>
        <w:jc w:val="both"/>
        <w:rPr>
          <w:lang w:val="en-GB"/>
        </w:rPr>
      </w:pPr>
      <w:r w:rsidRPr="009B04E1">
        <w:rPr>
          <w:lang w:val="en-GB"/>
        </w:rPr>
        <w:t>The</w:t>
      </w:r>
      <w:r w:rsidR="00117714">
        <w:rPr>
          <w:lang w:val="en-GB"/>
        </w:rPr>
        <w:t xml:space="preserve"> Viet Nam</w:t>
      </w:r>
      <w:r w:rsidRPr="009B04E1">
        <w:rPr>
          <w:lang w:val="en-GB"/>
        </w:rPr>
        <w:t xml:space="preserve"> </w:t>
      </w:r>
      <w:r w:rsidR="00117714">
        <w:rPr>
          <w:lang w:val="en-GB"/>
        </w:rPr>
        <w:t xml:space="preserve">UN-REDD </w:t>
      </w:r>
      <w:r w:rsidR="00D406CB">
        <w:rPr>
          <w:lang w:val="en-GB"/>
        </w:rPr>
        <w:t xml:space="preserve">National Programme </w:t>
      </w:r>
      <w:r w:rsidR="00E61D60">
        <w:rPr>
          <w:lang w:val="en-GB"/>
        </w:rPr>
        <w:t xml:space="preserve">final </w:t>
      </w:r>
      <w:r w:rsidRPr="009B04E1">
        <w:rPr>
          <w:lang w:val="en-GB"/>
        </w:rPr>
        <w:t>evaluation will make use of the following tools</w:t>
      </w:r>
      <w:r w:rsidR="00F3132B">
        <w:rPr>
          <w:lang w:val="en-GB"/>
        </w:rPr>
        <w:t>:</w:t>
      </w:r>
    </w:p>
    <w:p w:rsidR="00F3132B" w:rsidRDefault="00F3132B" w:rsidP="00F800BB">
      <w:pPr>
        <w:pStyle w:val="ListParagraph"/>
        <w:numPr>
          <w:ilvl w:val="0"/>
          <w:numId w:val="12"/>
        </w:numPr>
        <w:spacing w:after="120"/>
        <w:jc w:val="both"/>
        <w:rPr>
          <w:lang w:val="en-GB"/>
        </w:rPr>
      </w:pPr>
      <w:r>
        <w:rPr>
          <w:lang w:val="en-GB"/>
        </w:rPr>
        <w:t xml:space="preserve">A desk </w:t>
      </w:r>
      <w:r w:rsidR="007451FF" w:rsidRPr="00F3132B">
        <w:rPr>
          <w:lang w:val="en-GB"/>
        </w:rPr>
        <w:t xml:space="preserve">review of </w:t>
      </w:r>
      <w:r>
        <w:rPr>
          <w:lang w:val="en-GB"/>
        </w:rPr>
        <w:t>project documents</w:t>
      </w:r>
      <w:r w:rsidR="00403BEF">
        <w:rPr>
          <w:lang w:val="en-GB"/>
        </w:rPr>
        <w:t xml:space="preserve"> </w:t>
      </w:r>
      <w:r>
        <w:rPr>
          <w:lang w:val="en-GB"/>
        </w:rPr>
        <w:t>including, but not limited to:</w:t>
      </w:r>
    </w:p>
    <w:p w:rsidR="00F3132B" w:rsidRDefault="00F3132B" w:rsidP="00F800BB">
      <w:pPr>
        <w:pStyle w:val="ListParagraph"/>
        <w:numPr>
          <w:ilvl w:val="0"/>
          <w:numId w:val="13"/>
        </w:numPr>
        <w:spacing w:after="120"/>
        <w:jc w:val="both"/>
        <w:rPr>
          <w:lang w:val="en-GB"/>
        </w:rPr>
      </w:pPr>
      <w:r>
        <w:rPr>
          <w:lang w:val="en-GB"/>
        </w:rPr>
        <w:t xml:space="preserve">Relevant background documentation, </w:t>
      </w:r>
      <w:r w:rsidR="00B67BD0">
        <w:rPr>
          <w:lang w:val="en-GB"/>
        </w:rPr>
        <w:t xml:space="preserve">including </w:t>
      </w:r>
      <w:r>
        <w:rPr>
          <w:lang w:val="en-GB"/>
        </w:rPr>
        <w:t xml:space="preserve">the </w:t>
      </w:r>
      <w:r w:rsidR="00B67BD0">
        <w:rPr>
          <w:lang w:val="en-GB"/>
        </w:rPr>
        <w:t>UN-REDD Programme Framework Document</w:t>
      </w:r>
      <w:r w:rsidR="00B67BD0">
        <w:rPr>
          <w:rStyle w:val="FootnoteReference"/>
          <w:lang w:val="en-GB"/>
        </w:rPr>
        <w:footnoteReference w:id="11"/>
      </w:r>
      <w:r w:rsidR="008A52E9">
        <w:rPr>
          <w:lang w:val="en-GB"/>
        </w:rPr>
        <w:t>;</w:t>
      </w:r>
    </w:p>
    <w:p w:rsidR="00F3132B" w:rsidRDefault="00F3132B" w:rsidP="00F800BB">
      <w:pPr>
        <w:pStyle w:val="ListParagraph"/>
        <w:numPr>
          <w:ilvl w:val="0"/>
          <w:numId w:val="13"/>
        </w:numPr>
        <w:spacing w:after="120"/>
        <w:jc w:val="both"/>
        <w:rPr>
          <w:lang w:val="en-GB"/>
        </w:rPr>
      </w:pPr>
      <w:r>
        <w:rPr>
          <w:lang w:val="en-GB"/>
        </w:rPr>
        <w:t>Relevant</w:t>
      </w:r>
      <w:r w:rsidR="009B04E1" w:rsidRPr="00F3132B">
        <w:rPr>
          <w:lang w:val="en-GB"/>
        </w:rPr>
        <w:t xml:space="preserve"> reports</w:t>
      </w:r>
      <w:r>
        <w:rPr>
          <w:lang w:val="en-GB"/>
        </w:rPr>
        <w:t xml:space="preserve">, such as </w:t>
      </w:r>
      <w:r w:rsidR="004D7E93" w:rsidRPr="00F3132B">
        <w:rPr>
          <w:lang w:val="en-GB"/>
        </w:rPr>
        <w:t>National Programme Annual</w:t>
      </w:r>
      <w:r w:rsidR="008325CE">
        <w:rPr>
          <w:lang w:val="en-GB"/>
        </w:rPr>
        <w:t xml:space="preserve">, </w:t>
      </w:r>
      <w:r w:rsidR="004D7E93" w:rsidRPr="00F3132B">
        <w:rPr>
          <w:lang w:val="en-GB"/>
        </w:rPr>
        <w:t xml:space="preserve">Semi-Annual </w:t>
      </w:r>
      <w:r w:rsidR="008325CE">
        <w:rPr>
          <w:lang w:val="en-GB"/>
        </w:rPr>
        <w:t xml:space="preserve">and quarterly </w:t>
      </w:r>
      <w:r w:rsidR="004D7E93" w:rsidRPr="00F3132B">
        <w:rPr>
          <w:lang w:val="en-GB"/>
        </w:rPr>
        <w:t>Reports</w:t>
      </w:r>
      <w:r>
        <w:rPr>
          <w:lang w:val="en-GB"/>
        </w:rPr>
        <w:t xml:space="preserve">, </w:t>
      </w:r>
      <w:r w:rsidR="002E0DA9">
        <w:rPr>
          <w:lang w:val="en-GB"/>
        </w:rPr>
        <w:t xml:space="preserve">Year in Review publication, </w:t>
      </w:r>
      <w:r>
        <w:rPr>
          <w:lang w:val="en-GB"/>
        </w:rPr>
        <w:t>external evaluations</w:t>
      </w:r>
      <w:r w:rsidR="001054DD">
        <w:rPr>
          <w:lang w:val="en-GB"/>
        </w:rPr>
        <w:t xml:space="preserve"> by donors, partners etc.</w:t>
      </w:r>
      <w:r>
        <w:rPr>
          <w:lang w:val="en-GB"/>
        </w:rPr>
        <w:t>;</w:t>
      </w:r>
    </w:p>
    <w:p w:rsidR="00F3132B" w:rsidRDefault="00F3132B" w:rsidP="00F800BB">
      <w:pPr>
        <w:pStyle w:val="ListParagraph"/>
        <w:numPr>
          <w:ilvl w:val="0"/>
          <w:numId w:val="13"/>
        </w:numPr>
        <w:spacing w:after="120"/>
        <w:jc w:val="both"/>
        <w:rPr>
          <w:lang w:val="en-GB"/>
        </w:rPr>
      </w:pPr>
      <w:r>
        <w:rPr>
          <w:lang w:val="en-GB"/>
        </w:rPr>
        <w:t xml:space="preserve">Project design documents, such as the </w:t>
      </w:r>
      <w:r w:rsidR="008958DE" w:rsidRPr="00F3132B">
        <w:rPr>
          <w:lang w:val="en-GB"/>
        </w:rPr>
        <w:t>National Programme Document</w:t>
      </w:r>
      <w:r>
        <w:rPr>
          <w:lang w:val="en-GB"/>
        </w:rPr>
        <w:t>, annual work plans and budgets, revisions to the logical framework and project financing;</w:t>
      </w:r>
    </w:p>
    <w:p w:rsidR="00A50712" w:rsidRDefault="00F3132B" w:rsidP="00F800BB">
      <w:pPr>
        <w:pStyle w:val="ListParagraph"/>
        <w:numPr>
          <w:ilvl w:val="0"/>
          <w:numId w:val="13"/>
        </w:numPr>
        <w:spacing w:after="120"/>
        <w:jc w:val="both"/>
        <w:rPr>
          <w:lang w:val="en-GB"/>
        </w:rPr>
      </w:pPr>
      <w:r>
        <w:rPr>
          <w:lang w:val="en-GB"/>
        </w:rPr>
        <w:t>Documentation related to National Programme outputs and relevant materials published on the Programme website</w:t>
      </w:r>
      <w:r w:rsidR="00A50712">
        <w:rPr>
          <w:lang w:val="en-GB"/>
        </w:rPr>
        <w:t>;</w:t>
      </w:r>
    </w:p>
    <w:p w:rsidR="00F3132B" w:rsidRDefault="00A50712" w:rsidP="00F800BB">
      <w:pPr>
        <w:pStyle w:val="ListParagraph"/>
        <w:numPr>
          <w:ilvl w:val="0"/>
          <w:numId w:val="13"/>
        </w:numPr>
        <w:spacing w:after="120"/>
        <w:jc w:val="both"/>
        <w:rPr>
          <w:lang w:val="en-GB"/>
        </w:rPr>
      </w:pPr>
      <w:r>
        <w:rPr>
          <w:lang w:val="en-GB"/>
        </w:rPr>
        <w:t>Other relevant documents, such as possible new national policy documents, sector plans and available evaluations bearing relevance for UN-REDD</w:t>
      </w:r>
      <w:r w:rsidR="00F3132B">
        <w:rPr>
          <w:lang w:val="en-GB"/>
        </w:rPr>
        <w:t>.</w:t>
      </w:r>
    </w:p>
    <w:p w:rsidR="00F3132B" w:rsidRDefault="00F3132B" w:rsidP="00F800BB">
      <w:pPr>
        <w:pStyle w:val="ListParagraph"/>
        <w:numPr>
          <w:ilvl w:val="0"/>
          <w:numId w:val="12"/>
        </w:numPr>
        <w:spacing w:after="120"/>
        <w:jc w:val="both"/>
        <w:rPr>
          <w:lang w:val="en-GB"/>
        </w:rPr>
      </w:pPr>
      <w:r>
        <w:rPr>
          <w:lang w:val="en-GB"/>
        </w:rPr>
        <w:t>S</w:t>
      </w:r>
      <w:r w:rsidR="004D7E93" w:rsidRPr="00F3132B">
        <w:rPr>
          <w:lang w:val="en-GB"/>
        </w:rPr>
        <w:t>emi-structured</w:t>
      </w:r>
      <w:r w:rsidR="009B04E1" w:rsidRPr="00F3132B">
        <w:rPr>
          <w:lang w:val="en-GB"/>
        </w:rPr>
        <w:t xml:space="preserve"> interviews</w:t>
      </w:r>
      <w:r w:rsidR="006F6881">
        <w:rPr>
          <w:rStyle w:val="FootnoteReference"/>
          <w:lang w:val="en-GB"/>
        </w:rPr>
        <w:footnoteReference w:id="12"/>
      </w:r>
      <w:r w:rsidR="004D7E93" w:rsidRPr="00F3132B">
        <w:rPr>
          <w:lang w:val="en-GB"/>
        </w:rPr>
        <w:t xml:space="preserve"> with key </w:t>
      </w:r>
      <w:r w:rsidR="009B04E1" w:rsidRPr="00F3132B">
        <w:rPr>
          <w:lang w:val="en-GB"/>
        </w:rPr>
        <w:t>in</w:t>
      </w:r>
      <w:r w:rsidR="007451FF" w:rsidRPr="00F3132B">
        <w:rPr>
          <w:lang w:val="en-GB"/>
        </w:rPr>
        <w:t>formants,</w:t>
      </w:r>
      <w:r w:rsidR="004D7E93" w:rsidRPr="00F3132B">
        <w:rPr>
          <w:lang w:val="en-GB"/>
        </w:rPr>
        <w:t xml:space="preserve"> </w:t>
      </w:r>
      <w:r w:rsidR="007451FF" w:rsidRPr="00F3132B">
        <w:rPr>
          <w:lang w:val="en-GB"/>
        </w:rPr>
        <w:t>stakeholders</w:t>
      </w:r>
      <w:r w:rsidR="004D7E93" w:rsidRPr="00F3132B">
        <w:rPr>
          <w:lang w:val="en-GB"/>
        </w:rPr>
        <w:t xml:space="preserve"> </w:t>
      </w:r>
      <w:r w:rsidR="007451FF" w:rsidRPr="00F3132B">
        <w:rPr>
          <w:lang w:val="en-GB"/>
        </w:rPr>
        <w:t>and</w:t>
      </w:r>
      <w:r w:rsidR="004D7E93" w:rsidRPr="00F3132B">
        <w:rPr>
          <w:lang w:val="en-GB"/>
        </w:rPr>
        <w:t xml:space="preserve"> </w:t>
      </w:r>
      <w:r w:rsidR="009B04E1" w:rsidRPr="00F3132B">
        <w:rPr>
          <w:lang w:val="en-GB"/>
        </w:rPr>
        <w:t>participants,</w:t>
      </w:r>
      <w:r w:rsidR="004D7E93" w:rsidRPr="00F3132B">
        <w:rPr>
          <w:lang w:val="en-GB"/>
        </w:rPr>
        <w:t xml:space="preserve"> </w:t>
      </w:r>
      <w:r>
        <w:rPr>
          <w:lang w:val="en-GB"/>
        </w:rPr>
        <w:t>including:</w:t>
      </w:r>
    </w:p>
    <w:p w:rsidR="00F3132B" w:rsidRDefault="00F250F0" w:rsidP="00F800BB">
      <w:pPr>
        <w:pStyle w:val="ListParagraph"/>
        <w:numPr>
          <w:ilvl w:val="0"/>
          <w:numId w:val="13"/>
        </w:numPr>
        <w:spacing w:after="120"/>
        <w:jc w:val="both"/>
        <w:rPr>
          <w:lang w:val="en-GB"/>
        </w:rPr>
      </w:pPr>
      <w:r>
        <w:rPr>
          <w:lang w:val="en-GB"/>
        </w:rPr>
        <w:t>Government counterpart</w:t>
      </w:r>
      <w:r w:rsidR="007472FF">
        <w:rPr>
          <w:lang w:val="en-GB"/>
        </w:rPr>
        <w:t>;</w:t>
      </w:r>
    </w:p>
    <w:p w:rsidR="00B67BD0" w:rsidRDefault="00B67BD0" w:rsidP="00F800BB">
      <w:pPr>
        <w:pStyle w:val="ListParagraph"/>
        <w:numPr>
          <w:ilvl w:val="0"/>
          <w:numId w:val="13"/>
        </w:numPr>
        <w:spacing w:after="120"/>
        <w:jc w:val="both"/>
        <w:rPr>
          <w:lang w:val="en-GB"/>
        </w:rPr>
      </w:pPr>
      <w:r>
        <w:rPr>
          <w:lang w:val="en-GB"/>
        </w:rPr>
        <w:t>Government stakeholders including all ministries participating from coordinating bodies or steering committees</w:t>
      </w:r>
      <w:r w:rsidR="007472FF">
        <w:rPr>
          <w:lang w:val="en-GB"/>
        </w:rPr>
        <w:t>;</w:t>
      </w:r>
    </w:p>
    <w:p w:rsidR="001054DD" w:rsidRDefault="001054DD" w:rsidP="00F800BB">
      <w:pPr>
        <w:pStyle w:val="ListParagraph"/>
        <w:numPr>
          <w:ilvl w:val="0"/>
          <w:numId w:val="13"/>
        </w:numPr>
        <w:spacing w:after="120"/>
        <w:jc w:val="both"/>
        <w:rPr>
          <w:lang w:val="en-GB"/>
        </w:rPr>
      </w:pPr>
      <w:r>
        <w:rPr>
          <w:lang w:val="en-GB"/>
        </w:rPr>
        <w:t>Civil Society Organizations</w:t>
      </w:r>
      <w:r w:rsidR="007472FF">
        <w:rPr>
          <w:lang w:val="en-GB"/>
        </w:rPr>
        <w:t>;</w:t>
      </w:r>
    </w:p>
    <w:p w:rsidR="001054DD" w:rsidRDefault="001054DD" w:rsidP="00F800BB">
      <w:pPr>
        <w:pStyle w:val="ListParagraph"/>
        <w:numPr>
          <w:ilvl w:val="0"/>
          <w:numId w:val="13"/>
        </w:numPr>
        <w:spacing w:after="120"/>
        <w:jc w:val="both"/>
        <w:rPr>
          <w:lang w:val="en-GB"/>
        </w:rPr>
      </w:pPr>
      <w:r>
        <w:rPr>
          <w:lang w:val="en-GB"/>
        </w:rPr>
        <w:t>Indigenous Peoples Organizations</w:t>
      </w:r>
      <w:r w:rsidR="007472FF">
        <w:rPr>
          <w:lang w:val="en-GB"/>
        </w:rPr>
        <w:t>;</w:t>
      </w:r>
    </w:p>
    <w:p w:rsidR="00B67BD0" w:rsidRDefault="00B67BD0" w:rsidP="00F800BB">
      <w:pPr>
        <w:pStyle w:val="ListParagraph"/>
        <w:numPr>
          <w:ilvl w:val="0"/>
          <w:numId w:val="13"/>
        </w:numPr>
        <w:spacing w:after="120"/>
        <w:jc w:val="both"/>
        <w:rPr>
          <w:lang w:val="en-GB"/>
        </w:rPr>
      </w:pPr>
      <w:r>
        <w:rPr>
          <w:lang w:val="en-GB"/>
        </w:rPr>
        <w:t>Country , regional and headquarter personnel from the three UN-Agencies involved in the National Programme</w:t>
      </w:r>
      <w:r w:rsidR="005763BB">
        <w:rPr>
          <w:lang w:val="en-GB"/>
        </w:rPr>
        <w:t>, e.g. the Programme Management Unit, Resident Coordination and Regional Technical Advisers</w:t>
      </w:r>
      <w:r w:rsidR="007472FF">
        <w:rPr>
          <w:lang w:val="en-GB"/>
        </w:rPr>
        <w:t>;</w:t>
      </w:r>
    </w:p>
    <w:p w:rsidR="00B67BD0" w:rsidRDefault="00B67BD0" w:rsidP="00F800BB">
      <w:pPr>
        <w:pStyle w:val="ListParagraph"/>
        <w:numPr>
          <w:ilvl w:val="0"/>
          <w:numId w:val="13"/>
        </w:numPr>
        <w:spacing w:after="120"/>
        <w:jc w:val="both"/>
        <w:rPr>
          <w:lang w:val="en-GB"/>
        </w:rPr>
      </w:pPr>
      <w:r>
        <w:rPr>
          <w:lang w:val="en-GB"/>
        </w:rPr>
        <w:t>Representatives from other bi-lateral or multi-lateral initiatives co-financing the NP if applicable</w:t>
      </w:r>
      <w:r w:rsidR="007472FF">
        <w:rPr>
          <w:lang w:val="en-GB"/>
        </w:rPr>
        <w:t>.</w:t>
      </w:r>
    </w:p>
    <w:p w:rsidR="001269AD" w:rsidRPr="001269AD" w:rsidRDefault="000E072D" w:rsidP="00F800BB">
      <w:pPr>
        <w:pStyle w:val="ListParagraph"/>
        <w:numPr>
          <w:ilvl w:val="0"/>
          <w:numId w:val="12"/>
        </w:numPr>
        <w:spacing w:after="120"/>
        <w:jc w:val="both"/>
        <w:rPr>
          <w:lang w:val="en-GB"/>
        </w:rPr>
      </w:pPr>
      <w:r>
        <w:rPr>
          <w:lang w:val="en-GB"/>
        </w:rPr>
        <w:t>The Theory of Change and subsequent application of the ROtI approach on progress towards impact</w:t>
      </w:r>
      <w:r w:rsidR="00954191">
        <w:rPr>
          <w:rStyle w:val="FootnoteReference"/>
          <w:lang w:val="en-GB"/>
        </w:rPr>
        <w:footnoteReference w:id="13"/>
      </w:r>
      <w:r>
        <w:rPr>
          <w:lang w:val="en-GB"/>
        </w:rPr>
        <w:t>.</w:t>
      </w:r>
    </w:p>
    <w:p w:rsidR="008A52E9" w:rsidRPr="008A52E9" w:rsidRDefault="008A52E9" w:rsidP="005A5F90">
      <w:pPr>
        <w:spacing w:after="120"/>
        <w:jc w:val="both"/>
        <w:rPr>
          <w:lang w:val="en-GB"/>
        </w:rPr>
      </w:pPr>
      <w:r>
        <w:rPr>
          <w:lang w:val="en-GB"/>
        </w:rPr>
        <w:t xml:space="preserve">A list of key stakeholders and other individuals who should be consulted </w:t>
      </w:r>
      <w:r w:rsidR="00E479F3">
        <w:rPr>
          <w:lang w:val="en-GB"/>
        </w:rPr>
        <w:t>will be shared with the consultants</w:t>
      </w:r>
      <w:r>
        <w:rPr>
          <w:lang w:val="en-GB"/>
        </w:rPr>
        <w:t>.</w:t>
      </w:r>
    </w:p>
    <w:p w:rsidR="007451FF" w:rsidRPr="006B69D4" w:rsidRDefault="009201AC" w:rsidP="00F800BB">
      <w:pPr>
        <w:pStyle w:val="ListParagraph"/>
        <w:numPr>
          <w:ilvl w:val="0"/>
          <w:numId w:val="14"/>
        </w:numPr>
        <w:spacing w:after="120"/>
        <w:rPr>
          <w:b/>
          <w:lang w:val="en-GB"/>
        </w:rPr>
      </w:pPr>
      <w:r w:rsidRPr="006B69D4">
        <w:rPr>
          <w:b/>
          <w:lang w:val="en-GB"/>
        </w:rPr>
        <w:t>Consultation process</w:t>
      </w:r>
    </w:p>
    <w:p w:rsidR="007451FF" w:rsidRPr="00201075" w:rsidRDefault="008B216A" w:rsidP="005A5F90">
      <w:pPr>
        <w:shd w:val="clear" w:color="auto" w:fill="FFFFFF" w:themeFill="background1"/>
        <w:spacing w:after="120"/>
        <w:jc w:val="both"/>
        <w:rPr>
          <w:lang w:val="en-GB"/>
        </w:rPr>
      </w:pPr>
      <w:r>
        <w:rPr>
          <w:lang w:val="en-GB"/>
        </w:rPr>
        <w:t>The E</w:t>
      </w:r>
      <w:r w:rsidR="00A72364" w:rsidRPr="00A72364">
        <w:rPr>
          <w:lang w:val="en-GB"/>
        </w:rPr>
        <w:t>valuation</w:t>
      </w:r>
      <w:r>
        <w:rPr>
          <w:lang w:val="en-GB"/>
        </w:rPr>
        <w:t xml:space="preserve"> Team</w:t>
      </w:r>
      <w:r w:rsidR="00A72364" w:rsidRPr="00A72364">
        <w:rPr>
          <w:lang w:val="en-GB"/>
        </w:rPr>
        <w:t xml:space="preserve"> will adopt a consultative and transparent approach with internal and external stakeholders</w:t>
      </w:r>
      <w:r w:rsidR="007472FF">
        <w:rPr>
          <w:lang w:val="en-GB"/>
        </w:rPr>
        <w:t xml:space="preserve">. </w:t>
      </w:r>
      <w:r w:rsidR="004D7E93" w:rsidRPr="00A72364">
        <w:rPr>
          <w:lang w:val="en-GB"/>
        </w:rPr>
        <w:t>Th</w:t>
      </w:r>
      <w:r w:rsidR="006D7155" w:rsidRPr="00A72364">
        <w:rPr>
          <w:lang w:val="en-GB"/>
        </w:rPr>
        <w:t>roughout the</w:t>
      </w:r>
      <w:r w:rsidR="006D7155" w:rsidRPr="00201075">
        <w:rPr>
          <w:lang w:val="en-GB"/>
        </w:rPr>
        <w:t xml:space="preserve"> process the</w:t>
      </w:r>
      <w:r w:rsidR="004D7E93" w:rsidRPr="00201075">
        <w:rPr>
          <w:lang w:val="en-GB"/>
        </w:rPr>
        <w:t xml:space="preserve"> evaluation team will maintain close liaison </w:t>
      </w:r>
      <w:r w:rsidR="007451FF" w:rsidRPr="00201075">
        <w:rPr>
          <w:lang w:val="en-GB"/>
        </w:rPr>
        <w:t>with</w:t>
      </w:r>
      <w:r w:rsidR="004D7E93" w:rsidRPr="00201075">
        <w:rPr>
          <w:lang w:val="en-GB"/>
        </w:rPr>
        <w:t>: the</w:t>
      </w:r>
      <w:r w:rsidR="007451FF" w:rsidRPr="00201075">
        <w:rPr>
          <w:lang w:val="en-GB"/>
        </w:rPr>
        <w:t xml:space="preserve"> </w:t>
      </w:r>
      <w:r w:rsidR="004D7E93" w:rsidRPr="00201075">
        <w:rPr>
          <w:lang w:val="en-GB"/>
        </w:rPr>
        <w:t>Evaluation Management Group (Consisting of representatives of the evaluation departments of the three participating UN Organizations</w:t>
      </w:r>
      <w:r w:rsidR="00201075" w:rsidRPr="00201075">
        <w:rPr>
          <w:lang w:val="en-GB"/>
        </w:rPr>
        <w:t xml:space="preserve"> and the UN-REDD Secretariat)</w:t>
      </w:r>
      <w:r w:rsidR="004D7E93" w:rsidRPr="00201075">
        <w:rPr>
          <w:lang w:val="en-GB"/>
        </w:rPr>
        <w:t xml:space="preserve">, the </w:t>
      </w:r>
      <w:r w:rsidR="00201075" w:rsidRPr="00201075">
        <w:rPr>
          <w:lang w:val="en-GB"/>
        </w:rPr>
        <w:t>Programme M</w:t>
      </w:r>
      <w:r w:rsidR="007451FF" w:rsidRPr="00201075">
        <w:rPr>
          <w:lang w:val="en-GB"/>
        </w:rPr>
        <w:t>anagement</w:t>
      </w:r>
      <w:r w:rsidR="00201075" w:rsidRPr="00201075">
        <w:rPr>
          <w:lang w:val="en-GB"/>
        </w:rPr>
        <w:t xml:space="preserve"> Unit</w:t>
      </w:r>
      <w:r w:rsidR="007451FF" w:rsidRPr="00201075">
        <w:rPr>
          <w:lang w:val="en-GB"/>
        </w:rPr>
        <w:t>,</w:t>
      </w:r>
      <w:r w:rsidR="004D7E93" w:rsidRPr="00201075">
        <w:rPr>
          <w:lang w:val="en-GB"/>
        </w:rPr>
        <w:t xml:space="preserve"> </w:t>
      </w:r>
      <w:r w:rsidR="002E0DA9">
        <w:rPr>
          <w:lang w:val="en-GB"/>
        </w:rPr>
        <w:t xml:space="preserve">UN </w:t>
      </w:r>
      <w:r w:rsidR="004D7E93" w:rsidRPr="00201075">
        <w:rPr>
          <w:lang w:val="en-GB"/>
        </w:rPr>
        <w:t>headquarter</w:t>
      </w:r>
      <w:r w:rsidR="002E0DA9">
        <w:rPr>
          <w:lang w:val="en-GB"/>
        </w:rPr>
        <w:t>s</w:t>
      </w:r>
      <w:r w:rsidR="004D7E93" w:rsidRPr="00201075">
        <w:rPr>
          <w:lang w:val="en-GB"/>
        </w:rPr>
        <w:t>,</w:t>
      </w:r>
      <w:r w:rsidR="007451FF" w:rsidRPr="00201075">
        <w:rPr>
          <w:lang w:val="en-GB"/>
        </w:rPr>
        <w:t xml:space="preserve"> regional,</w:t>
      </w:r>
      <w:r w:rsidR="004D7E93" w:rsidRPr="00201075">
        <w:rPr>
          <w:lang w:val="en-GB"/>
        </w:rPr>
        <w:t xml:space="preserve"> sub-regional and country level staff members, and </w:t>
      </w:r>
      <w:r>
        <w:rPr>
          <w:lang w:val="en-GB"/>
        </w:rPr>
        <w:t>other</w:t>
      </w:r>
      <w:r w:rsidR="004D7E93" w:rsidRPr="00201075">
        <w:rPr>
          <w:lang w:val="en-GB"/>
        </w:rPr>
        <w:t xml:space="preserve"> key </w:t>
      </w:r>
      <w:r w:rsidR="007451FF" w:rsidRPr="00201075">
        <w:rPr>
          <w:lang w:val="en-GB"/>
        </w:rPr>
        <w:t xml:space="preserve">stakeholders. </w:t>
      </w:r>
      <w:r w:rsidR="004D7E93" w:rsidRPr="00201075">
        <w:rPr>
          <w:lang w:val="en-GB"/>
        </w:rPr>
        <w:t>Although the mission is free to discuss with the authorities</w:t>
      </w:r>
      <w:r w:rsidR="007451FF" w:rsidRPr="00201075">
        <w:rPr>
          <w:lang w:val="en-GB"/>
        </w:rPr>
        <w:t xml:space="preserve"> concerne</w:t>
      </w:r>
      <w:r w:rsidR="004D7E93" w:rsidRPr="00201075">
        <w:rPr>
          <w:lang w:val="en-GB"/>
        </w:rPr>
        <w:t>d anything relevant to</w:t>
      </w:r>
      <w:r w:rsidR="007451FF" w:rsidRPr="00201075">
        <w:rPr>
          <w:lang w:val="en-GB"/>
        </w:rPr>
        <w:t xml:space="preserve"> its</w:t>
      </w:r>
      <w:r w:rsidR="004D7E93" w:rsidRPr="00201075">
        <w:rPr>
          <w:lang w:val="en-GB"/>
        </w:rPr>
        <w:t xml:space="preserve"> </w:t>
      </w:r>
      <w:r w:rsidR="007451FF" w:rsidRPr="00201075">
        <w:rPr>
          <w:lang w:val="en-GB"/>
        </w:rPr>
        <w:t>assignment, it is not authorized to make any commitment on behalf</w:t>
      </w:r>
      <w:r w:rsidR="004D7E93" w:rsidRPr="00201075">
        <w:rPr>
          <w:lang w:val="en-GB"/>
        </w:rPr>
        <w:t xml:space="preserve"> </w:t>
      </w:r>
      <w:r w:rsidR="007451FF" w:rsidRPr="00201075">
        <w:rPr>
          <w:lang w:val="en-GB"/>
        </w:rPr>
        <w:t xml:space="preserve">of </w:t>
      </w:r>
      <w:r w:rsidR="004D7E93" w:rsidRPr="00201075">
        <w:rPr>
          <w:lang w:val="en-GB"/>
        </w:rPr>
        <w:t xml:space="preserve">the Government, </w:t>
      </w:r>
      <w:r w:rsidR="007451FF" w:rsidRPr="00201075">
        <w:rPr>
          <w:lang w:val="en-GB"/>
        </w:rPr>
        <w:t xml:space="preserve">the donor or </w:t>
      </w:r>
      <w:r w:rsidR="004D7E93" w:rsidRPr="00201075">
        <w:rPr>
          <w:lang w:val="en-GB"/>
        </w:rPr>
        <w:t>the participating UN Organizations</w:t>
      </w:r>
      <w:r w:rsidR="009201AC" w:rsidRPr="00201075">
        <w:rPr>
          <w:lang w:val="en-GB"/>
        </w:rPr>
        <w:t>.</w:t>
      </w:r>
    </w:p>
    <w:p w:rsidR="006B697F" w:rsidRDefault="006B697F" w:rsidP="005A5F90">
      <w:pPr>
        <w:spacing w:after="120"/>
        <w:jc w:val="both"/>
        <w:rPr>
          <w:lang w:val="en-GB"/>
        </w:rPr>
      </w:pPr>
      <w:r w:rsidRPr="00201075">
        <w:rPr>
          <w:lang w:val="en-GB"/>
        </w:rPr>
        <w:lastRenderedPageBreak/>
        <w:t xml:space="preserve">The draft evaluation report will be circulated among </w:t>
      </w:r>
      <w:r>
        <w:rPr>
          <w:lang w:val="en-GB"/>
        </w:rPr>
        <w:t xml:space="preserve">the three participating UN Organizations, including the Evaluation Management Group, and </w:t>
      </w:r>
      <w:r w:rsidR="006D4C52">
        <w:rPr>
          <w:lang w:val="en-GB"/>
        </w:rPr>
        <w:t xml:space="preserve">other </w:t>
      </w:r>
      <w:r w:rsidRPr="00201075">
        <w:rPr>
          <w:lang w:val="en-GB"/>
        </w:rPr>
        <w:t>key stakeholders for comment before finalisation; suggestions will be incorporated as deemed appropriate by the evaluation team.</w:t>
      </w:r>
    </w:p>
    <w:p w:rsidR="007451FF" w:rsidRPr="006B69D4" w:rsidRDefault="00F16A67" w:rsidP="00F800BB">
      <w:pPr>
        <w:pStyle w:val="ListParagraph"/>
        <w:numPr>
          <w:ilvl w:val="0"/>
          <w:numId w:val="14"/>
        </w:numPr>
        <w:spacing w:after="120"/>
        <w:jc w:val="both"/>
        <w:rPr>
          <w:b/>
          <w:lang w:val="en-GB"/>
        </w:rPr>
      </w:pPr>
      <w:r w:rsidRPr="006B69D4">
        <w:rPr>
          <w:b/>
          <w:lang w:val="en-GB"/>
        </w:rPr>
        <w:t>The Evaluation T</w:t>
      </w:r>
      <w:r w:rsidR="006D7155" w:rsidRPr="006B69D4">
        <w:rPr>
          <w:b/>
          <w:lang w:val="en-GB"/>
        </w:rPr>
        <w:t>eam</w:t>
      </w:r>
    </w:p>
    <w:p w:rsidR="007451FF" w:rsidRPr="00201075" w:rsidRDefault="000776DE" w:rsidP="005A5F90">
      <w:pPr>
        <w:spacing w:after="120"/>
        <w:jc w:val="both"/>
        <w:rPr>
          <w:lang w:val="en-GB"/>
        </w:rPr>
      </w:pPr>
      <w:r>
        <w:rPr>
          <w:lang w:val="en-GB"/>
        </w:rPr>
        <w:t>The E</w:t>
      </w:r>
      <w:r w:rsidRPr="00201075">
        <w:rPr>
          <w:lang w:val="en-GB"/>
        </w:rPr>
        <w:t>valuation</w:t>
      </w:r>
      <w:r w:rsidR="00201075" w:rsidRPr="00201075">
        <w:rPr>
          <w:lang w:val="en-GB"/>
        </w:rPr>
        <w:t xml:space="preserve"> </w:t>
      </w:r>
      <w:r>
        <w:rPr>
          <w:lang w:val="en-GB"/>
        </w:rPr>
        <w:t>T</w:t>
      </w:r>
      <w:r w:rsidR="00201075" w:rsidRPr="00201075">
        <w:rPr>
          <w:lang w:val="en-GB"/>
        </w:rPr>
        <w:t xml:space="preserve">eam should consist of two evaluators, including one team leader. </w:t>
      </w:r>
      <w:r w:rsidR="00A50712">
        <w:rPr>
          <w:lang w:val="en-GB"/>
        </w:rPr>
        <w:t>T</w:t>
      </w:r>
      <w:r w:rsidR="006D7155" w:rsidRPr="00201075">
        <w:rPr>
          <w:lang w:val="en-GB"/>
        </w:rPr>
        <w:t xml:space="preserve">he Team Leader will have sound </w:t>
      </w:r>
      <w:r w:rsidR="007451FF" w:rsidRPr="00201075">
        <w:rPr>
          <w:lang w:val="en-GB"/>
        </w:rPr>
        <w:t>evaluation</w:t>
      </w:r>
      <w:r w:rsidR="006D7155" w:rsidRPr="00201075">
        <w:rPr>
          <w:lang w:val="en-GB"/>
        </w:rPr>
        <w:t xml:space="preserve"> experience. The</w:t>
      </w:r>
      <w:r w:rsidR="007451FF" w:rsidRPr="00201075">
        <w:rPr>
          <w:lang w:val="en-GB"/>
        </w:rPr>
        <w:t xml:space="preserve"> evaluation </w:t>
      </w:r>
      <w:r w:rsidR="00201075">
        <w:rPr>
          <w:lang w:val="en-GB"/>
        </w:rPr>
        <w:t>team should</w:t>
      </w:r>
      <w:r w:rsidR="006D7155" w:rsidRPr="00201075">
        <w:rPr>
          <w:lang w:val="en-GB"/>
        </w:rPr>
        <w:t xml:space="preserve"> comprise the best available mix of skills that </w:t>
      </w:r>
      <w:r w:rsidR="007451FF" w:rsidRPr="00201075">
        <w:rPr>
          <w:lang w:val="en-GB"/>
        </w:rPr>
        <w:t>are requ</w:t>
      </w:r>
      <w:r w:rsidR="006D7155" w:rsidRPr="00201075">
        <w:rPr>
          <w:lang w:val="en-GB"/>
        </w:rPr>
        <w:t xml:space="preserve">ired to assess the </w:t>
      </w:r>
      <w:r w:rsidR="00117714">
        <w:rPr>
          <w:lang w:val="en-GB"/>
        </w:rPr>
        <w:t xml:space="preserve">Viet Nam UN-REDD </w:t>
      </w:r>
      <w:r w:rsidR="00201075">
        <w:rPr>
          <w:lang w:val="en-GB"/>
        </w:rPr>
        <w:t>National Programme</w:t>
      </w:r>
      <w:r w:rsidR="007472FF">
        <w:rPr>
          <w:lang w:val="en-GB"/>
        </w:rPr>
        <w:t>. K</w:t>
      </w:r>
      <w:r w:rsidR="00201075">
        <w:rPr>
          <w:lang w:val="en-GB"/>
        </w:rPr>
        <w:t xml:space="preserve">nowledge of the </w:t>
      </w:r>
      <w:r>
        <w:rPr>
          <w:lang w:val="en-GB"/>
        </w:rPr>
        <w:t xml:space="preserve">country in question, </w:t>
      </w:r>
      <w:r w:rsidR="00201075">
        <w:rPr>
          <w:lang w:val="en-GB"/>
        </w:rPr>
        <w:t>good</w:t>
      </w:r>
      <w:r>
        <w:rPr>
          <w:lang w:val="en-GB"/>
        </w:rPr>
        <w:t xml:space="preserve"> technical</w:t>
      </w:r>
      <w:r w:rsidR="00201075">
        <w:rPr>
          <w:lang w:val="en-GB"/>
        </w:rPr>
        <w:t xml:space="preserve"> u</w:t>
      </w:r>
      <w:r>
        <w:rPr>
          <w:lang w:val="en-GB"/>
        </w:rPr>
        <w:t>nderstanding of the REDD+ field, as well as</w:t>
      </w:r>
      <w:r w:rsidR="006D7155" w:rsidRPr="00201075">
        <w:rPr>
          <w:lang w:val="en-GB"/>
        </w:rPr>
        <w:t xml:space="preserve"> competence and skills in</w:t>
      </w:r>
      <w:r w:rsidR="007451FF" w:rsidRPr="00201075">
        <w:rPr>
          <w:lang w:val="en-GB"/>
        </w:rPr>
        <w:t xml:space="preserve"> evalua</w:t>
      </w:r>
      <w:r w:rsidR="006D7155" w:rsidRPr="00201075">
        <w:rPr>
          <w:lang w:val="en-GB"/>
        </w:rPr>
        <w:t>tion</w:t>
      </w:r>
      <w:r w:rsidR="007472FF">
        <w:rPr>
          <w:lang w:val="en-GB"/>
        </w:rPr>
        <w:t xml:space="preserve"> will be required.</w:t>
      </w:r>
      <w:r>
        <w:rPr>
          <w:lang w:val="en-GB"/>
        </w:rPr>
        <w:t xml:space="preserve"> To the</w:t>
      </w:r>
      <w:r w:rsidR="006D7155" w:rsidRPr="00201075">
        <w:rPr>
          <w:lang w:val="en-GB"/>
        </w:rPr>
        <w:t xml:space="preserve"> extent possible </w:t>
      </w:r>
      <w:r>
        <w:rPr>
          <w:lang w:val="en-GB"/>
        </w:rPr>
        <w:t>the Evaluation Team</w:t>
      </w:r>
      <w:r w:rsidR="006D7155" w:rsidRPr="00201075">
        <w:rPr>
          <w:lang w:val="en-GB"/>
        </w:rPr>
        <w:t xml:space="preserve"> will be balanced in terms of</w:t>
      </w:r>
      <w:r w:rsidR="007451FF" w:rsidRPr="00201075">
        <w:rPr>
          <w:lang w:val="en-GB"/>
        </w:rPr>
        <w:t xml:space="preserve"> </w:t>
      </w:r>
      <w:r w:rsidR="006D7155" w:rsidRPr="00201075">
        <w:rPr>
          <w:lang w:val="en-GB"/>
        </w:rPr>
        <w:t xml:space="preserve">geographical and </w:t>
      </w:r>
      <w:r w:rsidR="007451FF" w:rsidRPr="00201075">
        <w:rPr>
          <w:lang w:val="en-GB"/>
        </w:rPr>
        <w:t>gender representatio</w:t>
      </w:r>
      <w:r w:rsidR="006D7155" w:rsidRPr="00201075">
        <w:rPr>
          <w:lang w:val="en-GB"/>
        </w:rPr>
        <w:t xml:space="preserve">n to ensure </w:t>
      </w:r>
      <w:r w:rsidR="007451FF" w:rsidRPr="00201075">
        <w:rPr>
          <w:lang w:val="en-GB"/>
        </w:rPr>
        <w:t>diversity and c</w:t>
      </w:r>
      <w:r w:rsidR="006D7155" w:rsidRPr="00201075">
        <w:rPr>
          <w:lang w:val="en-GB"/>
        </w:rPr>
        <w:t>omplementarity of perspectives.</w:t>
      </w:r>
    </w:p>
    <w:p w:rsidR="007451FF" w:rsidRPr="000776DE" w:rsidRDefault="000776DE" w:rsidP="005A5F90">
      <w:pPr>
        <w:spacing w:after="120"/>
        <w:jc w:val="both"/>
        <w:rPr>
          <w:lang w:val="en-GB"/>
        </w:rPr>
      </w:pPr>
      <w:r>
        <w:rPr>
          <w:lang w:val="en-GB"/>
        </w:rPr>
        <w:t xml:space="preserve">The Evaluation Team </w:t>
      </w:r>
      <w:r w:rsidRPr="000776DE">
        <w:rPr>
          <w:lang w:val="en-GB"/>
        </w:rPr>
        <w:t xml:space="preserve">members will have had no previous direct involvement in the formulation, </w:t>
      </w:r>
      <w:r w:rsidR="007451FF" w:rsidRPr="000776DE">
        <w:rPr>
          <w:lang w:val="en-GB"/>
        </w:rPr>
        <w:t>implementation or</w:t>
      </w:r>
      <w:r w:rsidRPr="000776DE">
        <w:rPr>
          <w:lang w:val="en-GB"/>
        </w:rPr>
        <w:t xml:space="preserve"> </w:t>
      </w:r>
      <w:r w:rsidR="007451FF" w:rsidRPr="000776DE">
        <w:rPr>
          <w:lang w:val="en-GB"/>
        </w:rPr>
        <w:t xml:space="preserve">backstopping of the initiative. All </w:t>
      </w:r>
      <w:r w:rsidR="00EB78B4">
        <w:rPr>
          <w:lang w:val="en-GB"/>
        </w:rPr>
        <w:t>members of the Evaluation Team will sign the Evaluation Consultant Code of Conduct</w:t>
      </w:r>
      <w:r w:rsidR="00EB78B4">
        <w:rPr>
          <w:rStyle w:val="FootnoteReference"/>
          <w:lang w:val="en-GB"/>
        </w:rPr>
        <w:footnoteReference w:id="14"/>
      </w:r>
      <w:r w:rsidR="00E479F3">
        <w:rPr>
          <w:lang w:val="en-GB"/>
        </w:rPr>
        <w:t xml:space="preserve"> Agreement Form</w:t>
      </w:r>
      <w:r w:rsidRPr="000776DE">
        <w:rPr>
          <w:lang w:val="en-GB"/>
        </w:rPr>
        <w:t>.</w:t>
      </w:r>
    </w:p>
    <w:p w:rsidR="007451FF" w:rsidRPr="000776DE" w:rsidRDefault="008B216A" w:rsidP="005A5F90">
      <w:pPr>
        <w:spacing w:after="120"/>
        <w:jc w:val="both"/>
        <w:rPr>
          <w:lang w:val="en-GB"/>
        </w:rPr>
      </w:pPr>
      <w:r>
        <w:rPr>
          <w:lang w:val="en-GB"/>
        </w:rPr>
        <w:t xml:space="preserve">The Evaluation Team is responsible for conducting the evaluation and applying the </w:t>
      </w:r>
      <w:r w:rsidR="007451FF" w:rsidRPr="000776DE">
        <w:rPr>
          <w:lang w:val="en-GB"/>
        </w:rPr>
        <w:t>methodology. All team memb</w:t>
      </w:r>
      <w:r w:rsidR="006D4C52">
        <w:rPr>
          <w:lang w:val="en-GB"/>
        </w:rPr>
        <w:t xml:space="preserve">ers, including the </w:t>
      </w:r>
      <w:r>
        <w:rPr>
          <w:lang w:val="en-GB"/>
        </w:rPr>
        <w:t xml:space="preserve">Team Leader, </w:t>
      </w:r>
      <w:r w:rsidR="007451FF" w:rsidRPr="000776DE">
        <w:rPr>
          <w:lang w:val="en-GB"/>
        </w:rPr>
        <w:t>will partici</w:t>
      </w:r>
      <w:r>
        <w:rPr>
          <w:lang w:val="en-GB"/>
        </w:rPr>
        <w:t>pate in briefing and debriefing meetings, discussions, field</w:t>
      </w:r>
      <w:r w:rsidR="007451FF" w:rsidRPr="000776DE">
        <w:rPr>
          <w:lang w:val="en-GB"/>
        </w:rPr>
        <w:t xml:space="preserve"> visits, </w:t>
      </w:r>
      <w:r>
        <w:rPr>
          <w:lang w:val="en-GB"/>
        </w:rPr>
        <w:t>and will contribute to the</w:t>
      </w:r>
      <w:r w:rsidR="007451FF" w:rsidRPr="000776DE">
        <w:rPr>
          <w:lang w:val="en-GB"/>
        </w:rPr>
        <w:t xml:space="preserve"> evalua</w:t>
      </w:r>
      <w:r>
        <w:rPr>
          <w:lang w:val="en-GB"/>
        </w:rPr>
        <w:t>tion</w:t>
      </w:r>
      <w:r w:rsidR="000776DE" w:rsidRPr="000776DE">
        <w:rPr>
          <w:lang w:val="en-GB"/>
        </w:rPr>
        <w:t xml:space="preserve"> with written inputs.</w:t>
      </w:r>
    </w:p>
    <w:p w:rsidR="007451FF" w:rsidRPr="006B69D4" w:rsidRDefault="000C2CEA" w:rsidP="00F800BB">
      <w:pPr>
        <w:pStyle w:val="ListParagraph"/>
        <w:numPr>
          <w:ilvl w:val="0"/>
          <w:numId w:val="14"/>
        </w:numPr>
        <w:spacing w:after="120"/>
        <w:rPr>
          <w:b/>
          <w:lang w:val="en-GB"/>
        </w:rPr>
      </w:pPr>
      <w:r w:rsidRPr="006B69D4">
        <w:rPr>
          <w:b/>
          <w:lang w:val="en-GB"/>
        </w:rPr>
        <w:t xml:space="preserve">Evaluation </w:t>
      </w:r>
      <w:r w:rsidR="00F16A67" w:rsidRPr="006B69D4">
        <w:rPr>
          <w:b/>
          <w:lang w:val="en-GB"/>
        </w:rPr>
        <w:t>Team Deliverables</w:t>
      </w:r>
    </w:p>
    <w:p w:rsidR="00F16A67" w:rsidRPr="006B69D4" w:rsidRDefault="00F16A67" w:rsidP="00F800BB">
      <w:pPr>
        <w:pStyle w:val="ListParagraph"/>
        <w:numPr>
          <w:ilvl w:val="1"/>
          <w:numId w:val="14"/>
        </w:numPr>
        <w:spacing w:after="120"/>
        <w:jc w:val="both"/>
        <w:rPr>
          <w:b/>
          <w:lang w:val="en-GB"/>
        </w:rPr>
      </w:pPr>
      <w:r w:rsidRPr="006B69D4">
        <w:rPr>
          <w:b/>
          <w:lang w:val="en-GB"/>
        </w:rPr>
        <w:t>Inception Report</w:t>
      </w:r>
    </w:p>
    <w:p w:rsidR="001A65CF" w:rsidRPr="00C44008" w:rsidRDefault="00F16A67" w:rsidP="005A5F90">
      <w:pPr>
        <w:spacing w:after="120"/>
        <w:jc w:val="both"/>
        <w:rPr>
          <w:lang w:val="en-GB"/>
        </w:rPr>
      </w:pPr>
      <w:r w:rsidRPr="00F16A67">
        <w:rPr>
          <w:lang w:val="en-GB"/>
        </w:rPr>
        <w:t xml:space="preserve">Before going into data collection the </w:t>
      </w:r>
      <w:r w:rsidR="00EC3EF0">
        <w:rPr>
          <w:lang w:val="en-GB"/>
        </w:rPr>
        <w:t>Evaluation Team</w:t>
      </w:r>
      <w:r w:rsidRPr="00F16A67">
        <w:rPr>
          <w:lang w:val="en-GB"/>
        </w:rPr>
        <w:t xml:space="preserve"> shall prepare an </w:t>
      </w:r>
      <w:r w:rsidRPr="00F16A67">
        <w:rPr>
          <w:i/>
          <w:lang w:val="en-GB"/>
        </w:rPr>
        <w:t>inception report</w:t>
      </w:r>
      <w:r w:rsidR="00C44008" w:rsidRPr="00C44008">
        <w:rPr>
          <w:lang w:val="en-GB"/>
        </w:rPr>
        <w:t xml:space="preserve"> containing a thorough review of the project design quality and the evaluation framework</w:t>
      </w:r>
      <w:r w:rsidRPr="00F16A67">
        <w:rPr>
          <w:lang w:val="en-GB"/>
        </w:rPr>
        <w:t xml:space="preserve">. The </w:t>
      </w:r>
      <w:r w:rsidRPr="00F16A67">
        <w:rPr>
          <w:i/>
          <w:lang w:val="en-GB"/>
        </w:rPr>
        <w:t>inception report</w:t>
      </w:r>
      <w:r w:rsidRPr="00F16A67">
        <w:rPr>
          <w:lang w:val="en-GB"/>
        </w:rPr>
        <w:t xml:space="preserve"> should detail the </w:t>
      </w:r>
      <w:r w:rsidR="00EC3EF0">
        <w:rPr>
          <w:lang w:val="en-GB"/>
        </w:rPr>
        <w:t>evaluators’</w:t>
      </w:r>
      <w:r w:rsidRPr="00F16A67">
        <w:rPr>
          <w:lang w:val="en-GB"/>
        </w:rPr>
        <w:t xml:space="preserve"> understanding of what is being </w:t>
      </w:r>
      <w:r w:rsidR="00EC3EF0">
        <w:rPr>
          <w:lang w:val="en-GB"/>
        </w:rPr>
        <w:t>evaluated</w:t>
      </w:r>
      <w:r w:rsidRPr="00F16A67">
        <w:rPr>
          <w:lang w:val="en-GB"/>
        </w:rPr>
        <w:t xml:space="preserve"> and why, showing how the </w:t>
      </w:r>
      <w:r w:rsidR="00EC3EF0">
        <w:rPr>
          <w:lang w:val="en-GB"/>
        </w:rPr>
        <w:t>evaluation</w:t>
      </w:r>
      <w:r w:rsidRPr="00F16A67">
        <w:rPr>
          <w:lang w:val="en-GB"/>
        </w:rPr>
        <w:t xml:space="preserve"> questions can be answered by way of: proposed methods and sources of data, as well as data collection procedures</w:t>
      </w:r>
      <w:r w:rsidR="00BA546C">
        <w:rPr>
          <w:lang w:val="en-GB"/>
        </w:rPr>
        <w:t xml:space="preserve">. </w:t>
      </w:r>
      <w:r w:rsidRPr="00F16A67">
        <w:rPr>
          <w:lang w:val="en-GB"/>
        </w:rPr>
        <w:t xml:space="preserve">The </w:t>
      </w:r>
      <w:r w:rsidRPr="00F16A67">
        <w:rPr>
          <w:i/>
          <w:lang w:val="en-GB"/>
        </w:rPr>
        <w:t>inception report</w:t>
      </w:r>
      <w:r w:rsidR="003808C4">
        <w:rPr>
          <w:i/>
          <w:lang w:val="en-GB"/>
        </w:rPr>
        <w:t xml:space="preserve"> </w:t>
      </w:r>
      <w:r w:rsidRPr="00F16A67">
        <w:rPr>
          <w:lang w:val="en-GB"/>
        </w:rPr>
        <w:t>should also include a proposed schedule of tasks, activities and deliverables</w:t>
      </w:r>
      <w:r w:rsidR="00BA546C">
        <w:rPr>
          <w:lang w:val="en-GB"/>
        </w:rPr>
        <w:t>, as well as a desk based Theory of Change of the programme</w:t>
      </w:r>
      <w:r w:rsidR="00954191">
        <w:rPr>
          <w:rStyle w:val="FootnoteReference"/>
          <w:lang w:val="en-GB"/>
        </w:rPr>
        <w:footnoteReference w:id="15"/>
      </w:r>
      <w:r w:rsidR="00BA546C">
        <w:rPr>
          <w:lang w:val="en-GB"/>
        </w:rPr>
        <w:t xml:space="preserve">. </w:t>
      </w:r>
      <w:r w:rsidR="00BA546C" w:rsidRPr="00A50712">
        <w:rPr>
          <w:lang w:val="en-GB"/>
        </w:rPr>
        <w:t xml:space="preserve">The evaluation framework should summarize the information available from </w:t>
      </w:r>
      <w:r w:rsidR="00C44008">
        <w:rPr>
          <w:lang w:val="en-GB"/>
        </w:rPr>
        <w:t>programme</w:t>
      </w:r>
      <w:r w:rsidR="00BA546C" w:rsidRPr="00A50712">
        <w:rPr>
          <w:lang w:val="en-GB"/>
        </w:rPr>
        <w:t xml:space="preserve"> documentation against each of the main evaluation parameters. Any gaps in information should be identified and methods for additional data collection, verification and analysis should be specified</w:t>
      </w:r>
      <w:r w:rsidR="00C44008">
        <w:rPr>
          <w:lang w:val="en-GB"/>
        </w:rPr>
        <w:t xml:space="preserve">. </w:t>
      </w:r>
      <w:r w:rsidR="00F529AC" w:rsidRPr="00A50712">
        <w:rPr>
          <w:lang w:val="en-GB"/>
        </w:rPr>
        <w:t>The evaluation framework will present in further detail the evaluation questions under each criterion with their respective indicators and data sources.</w:t>
      </w:r>
      <w:r w:rsidR="00F529AC">
        <w:rPr>
          <w:lang w:val="en-GB"/>
        </w:rPr>
        <w:t xml:space="preserve"> </w:t>
      </w:r>
      <w:r w:rsidRPr="00F16A67">
        <w:rPr>
          <w:lang w:val="en-GB"/>
        </w:rPr>
        <w:t xml:space="preserve">This will allow the three </w:t>
      </w:r>
      <w:r w:rsidR="00EC3EF0">
        <w:rPr>
          <w:lang w:val="en-GB"/>
        </w:rPr>
        <w:t xml:space="preserve">participating UN Organizations </w:t>
      </w:r>
      <w:r w:rsidRPr="00F16A67">
        <w:rPr>
          <w:lang w:val="en-GB"/>
        </w:rPr>
        <w:t>to verify that there is a shared understanding about the evaluation and clarify any misunderstandings at the outset.</w:t>
      </w:r>
      <w:r w:rsidR="00CD59CC">
        <w:rPr>
          <w:lang w:val="en-GB"/>
        </w:rPr>
        <w:t xml:space="preserve"> A list of important documents and web pages that the evaluators should read at the outset of the evaluation and before finalizing the evaluation design and the </w:t>
      </w:r>
      <w:r w:rsidR="00E479F3">
        <w:rPr>
          <w:lang w:val="en-GB"/>
        </w:rPr>
        <w:t>inception report will be shared with the consultants</w:t>
      </w:r>
      <w:r w:rsidR="00CD59CC">
        <w:rPr>
          <w:lang w:val="en-GB"/>
        </w:rPr>
        <w:t xml:space="preserve">. </w:t>
      </w:r>
      <w:r w:rsidR="006D4C52">
        <w:rPr>
          <w:lang w:val="en-GB"/>
        </w:rPr>
        <w:t xml:space="preserve">The Inception Report will be </w:t>
      </w:r>
      <w:r w:rsidR="00CD59CC">
        <w:rPr>
          <w:lang w:val="en-GB"/>
        </w:rPr>
        <w:t xml:space="preserve">shared with the three participating UN Organizations and other relevant stakeholders and </w:t>
      </w:r>
      <w:r w:rsidR="007472FF">
        <w:rPr>
          <w:lang w:val="en-GB"/>
        </w:rPr>
        <w:t>reviewed</w:t>
      </w:r>
      <w:r w:rsidR="006D4C52">
        <w:rPr>
          <w:lang w:val="en-GB"/>
        </w:rPr>
        <w:t xml:space="preserve"> by the Evaluation Management Group.</w:t>
      </w:r>
    </w:p>
    <w:p w:rsidR="00EC3EF0" w:rsidRPr="006B69D4" w:rsidRDefault="00EC3EF0" w:rsidP="00F800BB">
      <w:pPr>
        <w:pStyle w:val="ListParagraph"/>
        <w:numPr>
          <w:ilvl w:val="1"/>
          <w:numId w:val="14"/>
        </w:numPr>
        <w:spacing w:after="120"/>
        <w:jc w:val="both"/>
        <w:rPr>
          <w:b/>
          <w:lang w:val="en-GB"/>
        </w:rPr>
      </w:pPr>
      <w:r w:rsidRPr="006B69D4">
        <w:rPr>
          <w:b/>
          <w:lang w:val="en-GB"/>
        </w:rPr>
        <w:t>Evaluation Report</w:t>
      </w:r>
    </w:p>
    <w:p w:rsidR="006D4C52" w:rsidRDefault="00EC3EF0" w:rsidP="005A5F90">
      <w:pPr>
        <w:spacing w:after="120"/>
        <w:jc w:val="both"/>
        <w:rPr>
          <w:lang w:val="en-GB"/>
        </w:rPr>
      </w:pPr>
      <w:r w:rsidRPr="00EC3EF0">
        <w:rPr>
          <w:lang w:val="en-GB"/>
        </w:rPr>
        <w:t xml:space="preserve">The reviewers shall prepare a </w:t>
      </w:r>
      <w:r w:rsidRPr="00EC3EF0">
        <w:rPr>
          <w:i/>
          <w:lang w:val="en-GB"/>
        </w:rPr>
        <w:t xml:space="preserve">draft </w:t>
      </w:r>
      <w:r>
        <w:rPr>
          <w:i/>
          <w:lang w:val="en-GB"/>
        </w:rPr>
        <w:t>evaluation</w:t>
      </w:r>
      <w:r w:rsidRPr="00EC3EF0">
        <w:rPr>
          <w:i/>
          <w:lang w:val="en-GB"/>
        </w:rPr>
        <w:t xml:space="preserve"> report</w:t>
      </w:r>
      <w:r w:rsidRPr="00EC3EF0">
        <w:rPr>
          <w:lang w:val="en-GB"/>
        </w:rPr>
        <w:t xml:space="preserve"> to ensure that the evaluation meets the required criteria as described in the Terms of Reference.</w:t>
      </w:r>
      <w:r w:rsidR="006D4C52">
        <w:rPr>
          <w:lang w:val="en-GB"/>
        </w:rPr>
        <w:t xml:space="preserve"> </w:t>
      </w:r>
      <w:r w:rsidR="00F830F6" w:rsidRPr="000C2CEA">
        <w:rPr>
          <w:lang w:val="en-GB"/>
        </w:rPr>
        <w:t xml:space="preserve">The Team Leader bears responsibility for submitting the draft report to the three participating UN </w:t>
      </w:r>
      <w:r w:rsidR="00F830F6" w:rsidRPr="00F16A67">
        <w:rPr>
          <w:lang w:val="en-GB"/>
        </w:rPr>
        <w:t xml:space="preserve">Organizations within </w:t>
      </w:r>
      <w:r w:rsidR="008B0680">
        <w:rPr>
          <w:lang w:val="en-GB"/>
        </w:rPr>
        <w:t>three weeks</w:t>
      </w:r>
      <w:r w:rsidR="00AC388B">
        <w:rPr>
          <w:lang w:val="en-GB"/>
        </w:rPr>
        <w:t xml:space="preserve"> from </w:t>
      </w:r>
      <w:r w:rsidR="00F830F6" w:rsidRPr="00F16A67">
        <w:rPr>
          <w:lang w:val="en-GB"/>
        </w:rPr>
        <w:t xml:space="preserve">the </w:t>
      </w:r>
      <w:r w:rsidR="00F830F6" w:rsidRPr="00F16A67">
        <w:rPr>
          <w:lang w:val="en-GB"/>
        </w:rPr>
        <w:lastRenderedPageBreak/>
        <w:t>concl</w:t>
      </w:r>
      <w:r w:rsidR="00AC388B">
        <w:rPr>
          <w:lang w:val="en-GB"/>
        </w:rPr>
        <w:t>usion of</w:t>
      </w:r>
      <w:r w:rsidR="00F830F6">
        <w:rPr>
          <w:lang w:val="en-GB"/>
        </w:rPr>
        <w:t xml:space="preserve"> the mission. </w:t>
      </w:r>
      <w:r w:rsidR="006D4C52" w:rsidRPr="00201075">
        <w:rPr>
          <w:lang w:val="en-GB"/>
        </w:rPr>
        <w:t xml:space="preserve">The draft evaluation report will be circulated among </w:t>
      </w:r>
      <w:r w:rsidR="006D4C52">
        <w:rPr>
          <w:lang w:val="en-GB"/>
        </w:rPr>
        <w:t xml:space="preserve">the three participating UN Organizations, including the Evaluation Management Group, and other </w:t>
      </w:r>
      <w:r w:rsidR="006D4C52" w:rsidRPr="00201075">
        <w:rPr>
          <w:lang w:val="en-GB"/>
        </w:rPr>
        <w:t>key stakeholders for comment</w:t>
      </w:r>
      <w:r w:rsidR="003808C4">
        <w:rPr>
          <w:lang w:val="en-GB"/>
        </w:rPr>
        <w:t>s. S</w:t>
      </w:r>
      <w:r w:rsidR="006D4C52" w:rsidRPr="00201075">
        <w:rPr>
          <w:lang w:val="en-GB"/>
        </w:rPr>
        <w:t>uggestions will be incorporated as deemed appropriate by the evaluation team.</w:t>
      </w:r>
    </w:p>
    <w:p w:rsidR="007451FF" w:rsidRPr="00F16A67" w:rsidRDefault="00F16A67" w:rsidP="005A5F90">
      <w:pPr>
        <w:spacing w:after="120"/>
        <w:jc w:val="both"/>
        <w:rPr>
          <w:lang w:val="en-GB"/>
        </w:rPr>
      </w:pPr>
      <w:r w:rsidRPr="00F16A67">
        <w:rPr>
          <w:lang w:val="en-GB"/>
        </w:rPr>
        <w:t xml:space="preserve">The </w:t>
      </w:r>
      <w:r w:rsidR="00EC3EF0" w:rsidRPr="00CB5356">
        <w:rPr>
          <w:i/>
          <w:lang w:val="en-GB"/>
        </w:rPr>
        <w:t xml:space="preserve">final </w:t>
      </w:r>
      <w:r w:rsidRPr="00CB5356">
        <w:rPr>
          <w:i/>
          <w:lang w:val="en-GB"/>
        </w:rPr>
        <w:t>evaluation</w:t>
      </w:r>
      <w:r w:rsidR="00465525" w:rsidRPr="00CB5356">
        <w:rPr>
          <w:i/>
          <w:lang w:val="en-GB"/>
        </w:rPr>
        <w:t xml:space="preserve"> report</w:t>
      </w:r>
      <w:r w:rsidR="00465525" w:rsidRPr="00F16A67">
        <w:rPr>
          <w:lang w:val="en-GB"/>
        </w:rPr>
        <w:t xml:space="preserve"> </w:t>
      </w:r>
      <w:r w:rsidRPr="00F16A67">
        <w:rPr>
          <w:lang w:val="en-GB"/>
        </w:rPr>
        <w:t xml:space="preserve">will illustrate the evidence found that </w:t>
      </w:r>
      <w:r w:rsidR="007451FF" w:rsidRPr="00F16A67">
        <w:rPr>
          <w:lang w:val="en-GB"/>
        </w:rPr>
        <w:t>resp</w:t>
      </w:r>
      <w:r w:rsidRPr="00F16A67">
        <w:rPr>
          <w:lang w:val="en-GB"/>
        </w:rPr>
        <w:t xml:space="preserve">onds to the evaluation issues, </w:t>
      </w:r>
      <w:r w:rsidR="007451FF" w:rsidRPr="00F16A67">
        <w:rPr>
          <w:lang w:val="en-GB"/>
        </w:rPr>
        <w:t>questions and crite</w:t>
      </w:r>
      <w:r w:rsidR="00465525" w:rsidRPr="00F16A67">
        <w:rPr>
          <w:lang w:val="en-GB"/>
        </w:rPr>
        <w:t xml:space="preserve">ria listed in the </w:t>
      </w:r>
      <w:r w:rsidR="00EC3EF0">
        <w:rPr>
          <w:lang w:val="en-GB"/>
        </w:rPr>
        <w:t xml:space="preserve">Terms of </w:t>
      </w:r>
      <w:r w:rsidR="00EC3EF0" w:rsidRPr="007A0438">
        <w:rPr>
          <w:lang w:val="en-GB"/>
        </w:rPr>
        <w:t>Reference</w:t>
      </w:r>
      <w:r w:rsidR="00465525" w:rsidRPr="007A0438">
        <w:rPr>
          <w:lang w:val="en-GB"/>
        </w:rPr>
        <w:t xml:space="preserve">. </w:t>
      </w:r>
      <w:r w:rsidR="007A0438" w:rsidRPr="007A0438">
        <w:rPr>
          <w:lang w:val="en-GB"/>
        </w:rPr>
        <w:t>The length of</w:t>
      </w:r>
      <w:r w:rsidR="007A0438">
        <w:rPr>
          <w:lang w:val="en-GB"/>
        </w:rPr>
        <w:t xml:space="preserve"> the </w:t>
      </w:r>
      <w:r w:rsidR="007A0438" w:rsidRPr="007A0438">
        <w:rPr>
          <w:lang w:val="en-GB"/>
        </w:rPr>
        <w:t xml:space="preserve">final evaluation report should be 15-18,000 words, excluding executive summary and annexes. </w:t>
      </w:r>
      <w:r w:rsidR="00465525" w:rsidRPr="007A0438">
        <w:rPr>
          <w:lang w:val="en-GB"/>
        </w:rPr>
        <w:t>Supporting data</w:t>
      </w:r>
      <w:r w:rsidR="00465525" w:rsidRPr="00F16A67">
        <w:rPr>
          <w:lang w:val="en-GB"/>
        </w:rPr>
        <w:t xml:space="preserve"> and analysis should be annexed to the report when </w:t>
      </w:r>
      <w:r w:rsidR="007451FF" w:rsidRPr="00F16A67">
        <w:rPr>
          <w:lang w:val="en-GB"/>
        </w:rPr>
        <w:t xml:space="preserve">considered important </w:t>
      </w:r>
      <w:r>
        <w:rPr>
          <w:lang w:val="en-GB"/>
        </w:rPr>
        <w:t xml:space="preserve">to complement the main report. </w:t>
      </w:r>
      <w:r w:rsidR="007451FF" w:rsidRPr="00F16A67">
        <w:rPr>
          <w:lang w:val="en-GB"/>
        </w:rPr>
        <w:t>The recommendations will be addressed to the different stakeholders and prioritized: they will be evidence-based, relevant, focused, cle</w:t>
      </w:r>
      <w:r>
        <w:rPr>
          <w:lang w:val="en-GB"/>
        </w:rPr>
        <w:t>arly formulated and actionable.</w:t>
      </w:r>
    </w:p>
    <w:p w:rsidR="00EC3EF0" w:rsidRDefault="00F16A67" w:rsidP="005A5F90">
      <w:pPr>
        <w:spacing w:after="120"/>
        <w:jc w:val="both"/>
        <w:rPr>
          <w:lang w:val="en-GB"/>
        </w:rPr>
      </w:pPr>
      <w:r>
        <w:rPr>
          <w:lang w:val="en-GB"/>
        </w:rPr>
        <w:t>The  Evaluation  T</w:t>
      </w:r>
      <w:r w:rsidR="007451FF" w:rsidRPr="00F16A67">
        <w:rPr>
          <w:lang w:val="en-GB"/>
        </w:rPr>
        <w:t xml:space="preserve">eam  </w:t>
      </w:r>
      <w:r w:rsidR="007472FF">
        <w:rPr>
          <w:lang w:val="en-GB"/>
        </w:rPr>
        <w:t>shall</w:t>
      </w:r>
      <w:r w:rsidR="007451FF" w:rsidRPr="00F16A67">
        <w:rPr>
          <w:lang w:val="en-GB"/>
        </w:rPr>
        <w:t xml:space="preserve">  agree  on  the  outline  of  the  report  early  in  the  evaluation process, based on </w:t>
      </w:r>
      <w:r w:rsidR="00E479F3">
        <w:rPr>
          <w:lang w:val="en-GB"/>
        </w:rPr>
        <w:t>a template provided to the consultants</w:t>
      </w:r>
      <w:r w:rsidR="007451FF" w:rsidRPr="00F16A67">
        <w:rPr>
          <w:lang w:val="en-GB"/>
        </w:rPr>
        <w:t>.</w:t>
      </w:r>
      <w:r>
        <w:rPr>
          <w:lang w:val="en-GB"/>
        </w:rPr>
        <w:t xml:space="preserve"> </w:t>
      </w:r>
      <w:r w:rsidR="007451FF" w:rsidRPr="00F16A67">
        <w:rPr>
          <w:lang w:val="en-GB"/>
        </w:rPr>
        <w:t xml:space="preserve">The report </w:t>
      </w:r>
      <w:r w:rsidR="007472FF">
        <w:rPr>
          <w:lang w:val="en-GB"/>
        </w:rPr>
        <w:t>shall</w:t>
      </w:r>
      <w:r w:rsidR="007451FF" w:rsidRPr="00F16A67">
        <w:rPr>
          <w:lang w:val="en-GB"/>
        </w:rPr>
        <w:t xml:space="preserve"> be prepared in</w:t>
      </w:r>
      <w:r w:rsidRPr="00F16A67">
        <w:rPr>
          <w:lang w:val="en-GB"/>
        </w:rPr>
        <w:t xml:space="preserve"> English</w:t>
      </w:r>
      <w:r w:rsidR="00C43812">
        <w:rPr>
          <w:lang w:val="en-GB"/>
        </w:rPr>
        <w:t>,</w:t>
      </w:r>
      <w:r w:rsidR="007472FF">
        <w:rPr>
          <w:lang w:val="en-GB"/>
        </w:rPr>
        <w:t xml:space="preserve"> and translated into</w:t>
      </w:r>
      <w:r w:rsidR="00C43812">
        <w:rPr>
          <w:lang w:val="en-GB"/>
        </w:rPr>
        <w:t xml:space="preserve"> French and Spanish</w:t>
      </w:r>
      <w:r w:rsidRPr="00F16A67">
        <w:rPr>
          <w:lang w:val="en-GB"/>
        </w:rPr>
        <w:t>.</w:t>
      </w:r>
    </w:p>
    <w:p w:rsidR="000C2CEA" w:rsidRDefault="007451FF" w:rsidP="005A5F90">
      <w:pPr>
        <w:spacing w:after="120"/>
        <w:rPr>
          <w:lang w:val="en-GB"/>
        </w:rPr>
      </w:pPr>
      <w:r w:rsidRPr="000C2CEA">
        <w:rPr>
          <w:lang w:val="en-GB"/>
        </w:rPr>
        <w:t>Annexes to the evaluation report will include, though not limited to, the following as relevant:</w:t>
      </w:r>
    </w:p>
    <w:p w:rsidR="000C2CEA" w:rsidRDefault="007451FF" w:rsidP="00F800BB">
      <w:pPr>
        <w:pStyle w:val="ListParagraph"/>
        <w:numPr>
          <w:ilvl w:val="0"/>
          <w:numId w:val="10"/>
        </w:numPr>
        <w:spacing w:after="120"/>
        <w:rPr>
          <w:lang w:val="en-GB"/>
        </w:rPr>
      </w:pPr>
      <w:r w:rsidRPr="000C2CEA">
        <w:rPr>
          <w:lang w:val="en-GB"/>
        </w:rPr>
        <w:t>Terms of reference for the evaluation;</w:t>
      </w:r>
    </w:p>
    <w:p w:rsidR="008479D1" w:rsidRDefault="008479D1" w:rsidP="00F800BB">
      <w:pPr>
        <w:pStyle w:val="ListParagraph"/>
        <w:numPr>
          <w:ilvl w:val="0"/>
          <w:numId w:val="10"/>
        </w:numPr>
        <w:spacing w:after="120"/>
        <w:rPr>
          <w:lang w:val="en-GB"/>
        </w:rPr>
      </w:pPr>
      <w:r>
        <w:rPr>
          <w:lang w:val="en-GB"/>
        </w:rPr>
        <w:t>Additional methodology-related documentation;</w:t>
      </w:r>
    </w:p>
    <w:p w:rsidR="000C2CEA" w:rsidRDefault="000C2CEA" w:rsidP="00F800BB">
      <w:pPr>
        <w:pStyle w:val="ListParagraph"/>
        <w:numPr>
          <w:ilvl w:val="0"/>
          <w:numId w:val="10"/>
        </w:numPr>
        <w:spacing w:after="120"/>
        <w:rPr>
          <w:lang w:val="en-GB"/>
        </w:rPr>
      </w:pPr>
      <w:r>
        <w:rPr>
          <w:lang w:val="en-GB"/>
        </w:rPr>
        <w:t>Profile of team members;</w:t>
      </w:r>
    </w:p>
    <w:p w:rsidR="000C2CEA" w:rsidRDefault="000C2CEA" w:rsidP="00F800BB">
      <w:pPr>
        <w:pStyle w:val="ListParagraph"/>
        <w:numPr>
          <w:ilvl w:val="0"/>
          <w:numId w:val="10"/>
        </w:numPr>
        <w:spacing w:after="120"/>
        <w:rPr>
          <w:lang w:val="en-GB"/>
        </w:rPr>
      </w:pPr>
      <w:r>
        <w:rPr>
          <w:lang w:val="en-GB"/>
        </w:rPr>
        <w:t>List of documents reviewed;</w:t>
      </w:r>
    </w:p>
    <w:p w:rsidR="000C2CEA" w:rsidRDefault="007451FF" w:rsidP="00F800BB">
      <w:pPr>
        <w:pStyle w:val="ListParagraph"/>
        <w:numPr>
          <w:ilvl w:val="0"/>
          <w:numId w:val="10"/>
        </w:numPr>
        <w:spacing w:after="120"/>
        <w:rPr>
          <w:lang w:val="en-GB"/>
        </w:rPr>
      </w:pPr>
      <w:r w:rsidRPr="000C2CEA">
        <w:rPr>
          <w:lang w:val="en-GB"/>
        </w:rPr>
        <w:t>List of institutions and stakeholders interviewed by the evaluation team;</w:t>
      </w:r>
    </w:p>
    <w:p w:rsidR="000C2CEA" w:rsidRDefault="000C2CEA" w:rsidP="00F800BB">
      <w:pPr>
        <w:pStyle w:val="ListParagraph"/>
        <w:numPr>
          <w:ilvl w:val="0"/>
          <w:numId w:val="10"/>
        </w:numPr>
        <w:spacing w:after="120"/>
        <w:rPr>
          <w:lang w:val="en-GB"/>
        </w:rPr>
      </w:pPr>
      <w:r>
        <w:rPr>
          <w:lang w:val="en-GB"/>
        </w:rPr>
        <w:t xml:space="preserve">List of </w:t>
      </w:r>
      <w:r w:rsidR="006D4C52">
        <w:rPr>
          <w:lang w:val="en-GB"/>
        </w:rPr>
        <w:t>programme</w:t>
      </w:r>
      <w:r>
        <w:rPr>
          <w:lang w:val="en-GB"/>
        </w:rPr>
        <w:t xml:space="preserve"> outputs</w:t>
      </w:r>
      <w:r w:rsidR="008479D1">
        <w:rPr>
          <w:lang w:val="en-GB"/>
        </w:rPr>
        <w:t>/Programme results framework</w:t>
      </w:r>
      <w:r>
        <w:rPr>
          <w:lang w:val="en-GB"/>
        </w:rPr>
        <w:t>;</w:t>
      </w:r>
    </w:p>
    <w:p w:rsidR="007451FF" w:rsidRDefault="007451FF" w:rsidP="00F800BB">
      <w:pPr>
        <w:pStyle w:val="ListParagraph"/>
        <w:numPr>
          <w:ilvl w:val="0"/>
          <w:numId w:val="10"/>
        </w:numPr>
        <w:spacing w:after="120"/>
        <w:rPr>
          <w:lang w:val="en-GB"/>
        </w:rPr>
      </w:pPr>
      <w:r w:rsidRPr="000C2CEA">
        <w:rPr>
          <w:lang w:val="en-GB"/>
        </w:rPr>
        <w:t>Evaluation tools</w:t>
      </w:r>
      <w:r w:rsidR="000C2CEA">
        <w:rPr>
          <w:lang w:val="en-GB"/>
        </w:rPr>
        <w:t>.</w:t>
      </w:r>
    </w:p>
    <w:p w:rsidR="00F800BB" w:rsidRPr="00F16A67" w:rsidRDefault="00EC3EF0" w:rsidP="005A5F90">
      <w:pPr>
        <w:spacing w:after="120"/>
        <w:jc w:val="both"/>
        <w:rPr>
          <w:lang w:val="en-GB"/>
        </w:rPr>
      </w:pPr>
      <w:r w:rsidRPr="00EC3EF0">
        <w:rPr>
          <w:lang w:val="en-GB"/>
        </w:rPr>
        <w:t>The Evaluation Team is fully responsible for its independent report which may not necessarily reflect the views of the Government or the three participating UN Organizations. An evaluation report is not subject to technical clearance by the evaluation departments of the three participating UN Organizations, although they are responsible for ensuring conformity of the evaluation report with standards for programme evaluation in the three Organizations.</w:t>
      </w:r>
      <w:r w:rsidR="00F830F6">
        <w:rPr>
          <w:lang w:val="en-GB"/>
        </w:rPr>
        <w:t xml:space="preserve"> The final report will be published on the UN-REDD Programme web site (</w:t>
      </w:r>
      <w:hyperlink r:id="rId10" w:history="1">
        <w:r w:rsidR="00F830F6" w:rsidRPr="00F504C2">
          <w:rPr>
            <w:rStyle w:val="Hyperlink"/>
            <w:lang w:val="en-GB"/>
          </w:rPr>
          <w:t>www.un-redd.org</w:t>
        </w:r>
      </w:hyperlink>
      <w:r w:rsidR="00F830F6">
        <w:rPr>
          <w:lang w:val="en-GB"/>
        </w:rPr>
        <w:t>).</w:t>
      </w:r>
    </w:p>
    <w:p w:rsidR="00F830F6" w:rsidRPr="00F830F6" w:rsidRDefault="007451FF" w:rsidP="00F800BB">
      <w:pPr>
        <w:pStyle w:val="ListParagraph"/>
        <w:numPr>
          <w:ilvl w:val="0"/>
          <w:numId w:val="21"/>
        </w:numPr>
        <w:spacing w:after="120"/>
        <w:rPr>
          <w:b/>
          <w:lang w:val="en-GB"/>
        </w:rPr>
      </w:pPr>
      <w:r w:rsidRPr="00F830F6">
        <w:rPr>
          <w:b/>
          <w:lang w:val="en-GB"/>
        </w:rPr>
        <w:t xml:space="preserve">Evaluation timetable </w:t>
      </w:r>
      <w:r w:rsidR="009201AC" w:rsidRPr="00F830F6">
        <w:rPr>
          <w:b/>
          <w:lang w:val="en-GB"/>
        </w:rPr>
        <w:t>and budget</w:t>
      </w:r>
    </w:p>
    <w:p w:rsidR="00F800BB" w:rsidRPr="00403BEF" w:rsidRDefault="00403BEF" w:rsidP="005A5F90">
      <w:pPr>
        <w:spacing w:after="120"/>
        <w:rPr>
          <w:lang w:val="en-GB"/>
        </w:rPr>
      </w:pPr>
      <w:r w:rsidRPr="00403BEF">
        <w:rPr>
          <w:lang w:val="en-GB"/>
        </w:rPr>
        <w:t xml:space="preserve">Table </w:t>
      </w:r>
      <w:r w:rsidR="00E07D01">
        <w:rPr>
          <w:lang w:val="en-GB"/>
        </w:rPr>
        <w:t xml:space="preserve">3 </w:t>
      </w:r>
      <w:r>
        <w:rPr>
          <w:lang w:val="en-GB"/>
        </w:rPr>
        <w:t>outlines the tentative timetable and responsibility of the evaluation process.</w:t>
      </w:r>
      <w:r w:rsidR="00123630">
        <w:rPr>
          <w:lang w:val="en-GB"/>
        </w:rPr>
        <w:t xml:space="preserve"> The timetable will be adjusted according to the availability of the selected consultant.</w:t>
      </w:r>
    </w:p>
    <w:p w:rsidR="00BC4852" w:rsidRPr="009E1268" w:rsidRDefault="00403BEF" w:rsidP="005A5F90">
      <w:pPr>
        <w:spacing w:after="0"/>
        <w:rPr>
          <w:b/>
          <w:sz w:val="20"/>
          <w:szCs w:val="20"/>
          <w:lang w:val="en-GB"/>
        </w:rPr>
      </w:pPr>
      <w:r>
        <w:rPr>
          <w:b/>
          <w:sz w:val="20"/>
          <w:szCs w:val="20"/>
          <w:lang w:val="en-GB"/>
        </w:rPr>
        <w:t>Table 3</w:t>
      </w:r>
      <w:r w:rsidR="00BC4852" w:rsidRPr="009E1268">
        <w:rPr>
          <w:b/>
          <w:sz w:val="20"/>
          <w:szCs w:val="20"/>
          <w:lang w:val="en-GB"/>
        </w:rPr>
        <w:t xml:space="preserve">: </w:t>
      </w:r>
      <w:r w:rsidR="00117714">
        <w:rPr>
          <w:b/>
          <w:sz w:val="20"/>
          <w:szCs w:val="20"/>
          <w:lang w:val="en-GB"/>
        </w:rPr>
        <w:t xml:space="preserve">Viet Nam UN-REDD </w:t>
      </w:r>
      <w:r w:rsidR="00BC4852" w:rsidRPr="009E1268">
        <w:rPr>
          <w:b/>
          <w:sz w:val="20"/>
          <w:szCs w:val="20"/>
          <w:lang w:val="en-GB"/>
        </w:rPr>
        <w:t>National Programme Evaluation Timeline</w:t>
      </w:r>
    </w:p>
    <w:tbl>
      <w:tblPr>
        <w:tblStyle w:val="TableGrid"/>
        <w:tblW w:w="0" w:type="auto"/>
        <w:tblInd w:w="108" w:type="dxa"/>
        <w:tblLook w:val="04A0"/>
      </w:tblPr>
      <w:tblGrid>
        <w:gridCol w:w="1276"/>
        <w:gridCol w:w="2552"/>
        <w:gridCol w:w="5352"/>
      </w:tblGrid>
      <w:tr w:rsidR="00F830F6" w:rsidRPr="009E1268" w:rsidTr="00F830F6">
        <w:tc>
          <w:tcPr>
            <w:tcW w:w="1276" w:type="dxa"/>
            <w:shd w:val="clear" w:color="auto" w:fill="D9D9D9" w:themeFill="background1" w:themeFillShade="D9"/>
          </w:tcPr>
          <w:p w:rsidR="00F830F6" w:rsidRPr="009E1268" w:rsidRDefault="00F830F6" w:rsidP="005A5F90">
            <w:pPr>
              <w:spacing w:line="276" w:lineRule="auto"/>
              <w:jc w:val="center"/>
              <w:rPr>
                <w:b/>
                <w:sz w:val="20"/>
                <w:szCs w:val="20"/>
                <w:lang w:val="en-GB"/>
              </w:rPr>
            </w:pPr>
            <w:r>
              <w:rPr>
                <w:b/>
                <w:sz w:val="20"/>
                <w:szCs w:val="20"/>
                <w:lang w:val="en-GB"/>
              </w:rPr>
              <w:t>Date:</w:t>
            </w:r>
          </w:p>
        </w:tc>
        <w:tc>
          <w:tcPr>
            <w:tcW w:w="2552" w:type="dxa"/>
            <w:shd w:val="clear" w:color="auto" w:fill="D9D9D9" w:themeFill="background1" w:themeFillShade="D9"/>
          </w:tcPr>
          <w:p w:rsidR="00F830F6" w:rsidRPr="009E1268" w:rsidRDefault="00F830F6" w:rsidP="005A5F90">
            <w:pPr>
              <w:spacing w:line="276" w:lineRule="auto"/>
              <w:jc w:val="center"/>
              <w:rPr>
                <w:b/>
                <w:sz w:val="20"/>
                <w:szCs w:val="20"/>
                <w:lang w:val="en-GB"/>
              </w:rPr>
            </w:pPr>
            <w:r w:rsidRPr="009E1268">
              <w:rPr>
                <w:b/>
                <w:sz w:val="20"/>
                <w:szCs w:val="20"/>
                <w:lang w:val="en-GB"/>
              </w:rPr>
              <w:t>Activity</w:t>
            </w:r>
          </w:p>
        </w:tc>
        <w:tc>
          <w:tcPr>
            <w:tcW w:w="5352" w:type="dxa"/>
            <w:shd w:val="clear" w:color="auto" w:fill="D9D9D9" w:themeFill="background1" w:themeFillShade="D9"/>
          </w:tcPr>
          <w:p w:rsidR="00F830F6" w:rsidRPr="009E1268" w:rsidRDefault="00F830F6" w:rsidP="005A5F90">
            <w:pPr>
              <w:spacing w:line="276" w:lineRule="auto"/>
              <w:jc w:val="center"/>
              <w:rPr>
                <w:b/>
                <w:sz w:val="20"/>
                <w:szCs w:val="20"/>
                <w:lang w:val="en-GB"/>
              </w:rPr>
            </w:pPr>
            <w:r w:rsidRPr="009E1268">
              <w:rPr>
                <w:b/>
                <w:sz w:val="20"/>
                <w:szCs w:val="20"/>
                <w:lang w:val="en-GB"/>
              </w:rPr>
              <w:t>Responsibility</w:t>
            </w:r>
          </w:p>
        </w:tc>
      </w:tr>
      <w:tr w:rsidR="00F830F6" w:rsidRPr="00142C26" w:rsidTr="00F830F6">
        <w:tc>
          <w:tcPr>
            <w:tcW w:w="1276" w:type="dxa"/>
          </w:tcPr>
          <w:p w:rsidR="00F830F6" w:rsidRPr="009E1268" w:rsidRDefault="00944391" w:rsidP="005A5F90">
            <w:pPr>
              <w:spacing w:line="276" w:lineRule="auto"/>
              <w:rPr>
                <w:sz w:val="20"/>
                <w:szCs w:val="20"/>
                <w:lang w:val="en-GB"/>
              </w:rPr>
            </w:pPr>
            <w:r>
              <w:rPr>
                <w:sz w:val="20"/>
                <w:szCs w:val="20"/>
                <w:lang w:val="en-GB"/>
              </w:rPr>
              <w:t>May 2012</w:t>
            </w:r>
          </w:p>
        </w:tc>
        <w:tc>
          <w:tcPr>
            <w:tcW w:w="2552" w:type="dxa"/>
          </w:tcPr>
          <w:p w:rsidR="00F830F6" w:rsidRDefault="00F830F6" w:rsidP="005A5F90">
            <w:pPr>
              <w:spacing w:line="276" w:lineRule="auto"/>
              <w:jc w:val="both"/>
              <w:rPr>
                <w:sz w:val="20"/>
                <w:szCs w:val="20"/>
                <w:lang w:val="en-GB"/>
              </w:rPr>
            </w:pPr>
            <w:r w:rsidRPr="009E1268">
              <w:rPr>
                <w:sz w:val="20"/>
                <w:szCs w:val="20"/>
                <w:lang w:val="en-GB"/>
              </w:rPr>
              <w:t>Draft National Programme Final Evaluation Terms of Reference</w:t>
            </w:r>
            <w:r>
              <w:rPr>
                <w:sz w:val="20"/>
                <w:szCs w:val="20"/>
                <w:lang w:val="en-GB"/>
              </w:rPr>
              <w:t xml:space="preserve"> </w:t>
            </w:r>
          </w:p>
          <w:p w:rsidR="00F830F6" w:rsidRPr="009E1268" w:rsidRDefault="00F830F6" w:rsidP="005A5F90">
            <w:pPr>
              <w:spacing w:line="276" w:lineRule="auto"/>
              <w:jc w:val="both"/>
              <w:rPr>
                <w:sz w:val="20"/>
                <w:szCs w:val="20"/>
                <w:lang w:val="en-GB"/>
              </w:rPr>
            </w:pPr>
            <w:r>
              <w:rPr>
                <w:sz w:val="20"/>
                <w:szCs w:val="20"/>
                <w:lang w:val="en-GB"/>
              </w:rPr>
              <w:t>(draft to be based on the “National Programme Final Evaluation Template”)</w:t>
            </w:r>
          </w:p>
        </w:tc>
        <w:tc>
          <w:tcPr>
            <w:tcW w:w="5352" w:type="dxa"/>
          </w:tcPr>
          <w:p w:rsidR="00F830F6" w:rsidRDefault="00F830F6" w:rsidP="005A5F90">
            <w:pPr>
              <w:spacing w:after="120" w:line="276" w:lineRule="auto"/>
              <w:jc w:val="both"/>
              <w:rPr>
                <w:sz w:val="20"/>
                <w:szCs w:val="20"/>
                <w:lang w:val="en-GB"/>
              </w:rPr>
            </w:pPr>
            <w:r>
              <w:rPr>
                <w:sz w:val="20"/>
                <w:szCs w:val="20"/>
                <w:lang w:val="en-GB"/>
              </w:rPr>
              <w:t>The UN-REDD Secretariat prepares the first draft of the Evaluation ToR, and shares it with the three participating UN Organizations for comments.</w:t>
            </w:r>
          </w:p>
          <w:p w:rsidR="00F830F6" w:rsidRPr="009E1268" w:rsidRDefault="00F830F6" w:rsidP="005A5F90">
            <w:pPr>
              <w:spacing w:line="276" w:lineRule="auto"/>
              <w:jc w:val="both"/>
              <w:rPr>
                <w:sz w:val="20"/>
                <w:szCs w:val="20"/>
                <w:lang w:val="en-GB"/>
              </w:rPr>
            </w:pPr>
            <w:r>
              <w:rPr>
                <w:sz w:val="20"/>
                <w:szCs w:val="20"/>
                <w:lang w:val="en-GB"/>
              </w:rPr>
              <w:t>The National Programme staff should ensure the draft Terms of Reference is shared with the Government counterpart and other relevant key stakeholders for information and their comments.</w:t>
            </w:r>
          </w:p>
        </w:tc>
      </w:tr>
      <w:tr w:rsidR="00F830F6" w:rsidRPr="00142C26" w:rsidTr="00F830F6">
        <w:tc>
          <w:tcPr>
            <w:tcW w:w="1276" w:type="dxa"/>
          </w:tcPr>
          <w:p w:rsidR="00F830F6" w:rsidRDefault="00944391" w:rsidP="005A5F90">
            <w:pPr>
              <w:spacing w:line="276" w:lineRule="auto"/>
              <w:rPr>
                <w:sz w:val="20"/>
                <w:szCs w:val="20"/>
                <w:lang w:val="en-GB"/>
              </w:rPr>
            </w:pPr>
            <w:r>
              <w:rPr>
                <w:sz w:val="20"/>
                <w:szCs w:val="20"/>
                <w:lang w:val="en-GB"/>
              </w:rPr>
              <w:t>May/June 2012</w:t>
            </w:r>
          </w:p>
        </w:tc>
        <w:tc>
          <w:tcPr>
            <w:tcW w:w="2552" w:type="dxa"/>
          </w:tcPr>
          <w:p w:rsidR="00F830F6" w:rsidRPr="009E1268" w:rsidRDefault="00F830F6" w:rsidP="005A5F90">
            <w:pPr>
              <w:spacing w:line="276" w:lineRule="auto"/>
              <w:jc w:val="both"/>
              <w:rPr>
                <w:sz w:val="20"/>
                <w:szCs w:val="20"/>
                <w:lang w:val="en-GB"/>
              </w:rPr>
            </w:pPr>
            <w:r>
              <w:rPr>
                <w:sz w:val="20"/>
                <w:szCs w:val="20"/>
                <w:lang w:val="en-GB"/>
              </w:rPr>
              <w:t>Review</w:t>
            </w:r>
            <w:r w:rsidRPr="009E1268">
              <w:rPr>
                <w:sz w:val="20"/>
                <w:szCs w:val="20"/>
                <w:lang w:val="en-GB"/>
              </w:rPr>
              <w:t xml:space="preserve"> National Programme Final Evaluation Terms of Reference</w:t>
            </w:r>
          </w:p>
        </w:tc>
        <w:tc>
          <w:tcPr>
            <w:tcW w:w="5352" w:type="dxa"/>
          </w:tcPr>
          <w:p w:rsidR="00F830F6" w:rsidRPr="009E1268" w:rsidRDefault="00F830F6" w:rsidP="005A5F90">
            <w:pPr>
              <w:spacing w:line="276" w:lineRule="auto"/>
              <w:jc w:val="both"/>
              <w:rPr>
                <w:sz w:val="20"/>
                <w:szCs w:val="20"/>
                <w:lang w:val="en-GB"/>
              </w:rPr>
            </w:pPr>
            <w:r>
              <w:rPr>
                <w:sz w:val="20"/>
                <w:szCs w:val="20"/>
                <w:lang w:val="en-GB"/>
              </w:rPr>
              <w:t>Evaluation Management Group (Evaluation D</w:t>
            </w:r>
            <w:r w:rsidRPr="009E1268">
              <w:rPr>
                <w:sz w:val="20"/>
                <w:szCs w:val="20"/>
                <w:lang w:val="en-GB"/>
              </w:rPr>
              <w:t>epartments of the three participating UN Organizations and the UN-REDD Secretariat)</w:t>
            </w:r>
          </w:p>
        </w:tc>
      </w:tr>
      <w:tr w:rsidR="00F830F6" w:rsidRPr="00142C26" w:rsidTr="00F830F6">
        <w:tc>
          <w:tcPr>
            <w:tcW w:w="1276" w:type="dxa"/>
          </w:tcPr>
          <w:p w:rsidR="00F830F6" w:rsidRPr="009E1268" w:rsidRDefault="00944391" w:rsidP="005A5F90">
            <w:pPr>
              <w:spacing w:line="276" w:lineRule="auto"/>
              <w:rPr>
                <w:sz w:val="20"/>
                <w:szCs w:val="20"/>
                <w:lang w:val="en-GB"/>
              </w:rPr>
            </w:pPr>
            <w:r>
              <w:rPr>
                <w:sz w:val="20"/>
                <w:szCs w:val="20"/>
                <w:lang w:val="en-GB"/>
              </w:rPr>
              <w:lastRenderedPageBreak/>
              <w:t>June</w:t>
            </w:r>
            <w:r w:rsidR="00142C26">
              <w:rPr>
                <w:sz w:val="20"/>
                <w:szCs w:val="20"/>
                <w:lang w:val="en-GB"/>
              </w:rPr>
              <w:t>/July</w:t>
            </w:r>
            <w:r>
              <w:rPr>
                <w:sz w:val="20"/>
                <w:szCs w:val="20"/>
                <w:lang w:val="en-GB"/>
              </w:rPr>
              <w:t xml:space="preserve"> 2012</w:t>
            </w:r>
          </w:p>
        </w:tc>
        <w:tc>
          <w:tcPr>
            <w:tcW w:w="2552" w:type="dxa"/>
          </w:tcPr>
          <w:p w:rsidR="00F830F6" w:rsidRPr="009E1268" w:rsidRDefault="00F830F6" w:rsidP="005A5F90">
            <w:pPr>
              <w:spacing w:line="276" w:lineRule="auto"/>
              <w:jc w:val="both"/>
              <w:rPr>
                <w:sz w:val="20"/>
                <w:szCs w:val="20"/>
                <w:lang w:val="en-GB"/>
              </w:rPr>
            </w:pPr>
            <w:r w:rsidRPr="009E1268">
              <w:rPr>
                <w:sz w:val="20"/>
                <w:szCs w:val="20"/>
                <w:lang w:val="en-GB"/>
              </w:rPr>
              <w:t>Recruit consultants</w:t>
            </w:r>
          </w:p>
        </w:tc>
        <w:tc>
          <w:tcPr>
            <w:tcW w:w="5352" w:type="dxa"/>
          </w:tcPr>
          <w:p w:rsidR="00F830F6" w:rsidRPr="009E1268" w:rsidRDefault="00F830F6" w:rsidP="005A5F90">
            <w:pPr>
              <w:spacing w:line="276" w:lineRule="auto"/>
              <w:jc w:val="both"/>
              <w:rPr>
                <w:sz w:val="20"/>
                <w:szCs w:val="20"/>
                <w:lang w:val="en-GB"/>
              </w:rPr>
            </w:pPr>
            <w:r>
              <w:rPr>
                <w:sz w:val="20"/>
                <w:szCs w:val="20"/>
                <w:lang w:val="en-GB"/>
              </w:rPr>
              <w:t>National Programme Evaluation bu</w:t>
            </w:r>
            <w:r w:rsidRPr="009E1268">
              <w:rPr>
                <w:sz w:val="20"/>
                <w:szCs w:val="20"/>
                <w:lang w:val="en-GB"/>
              </w:rPr>
              <w:t>dget holder</w:t>
            </w:r>
            <w:r>
              <w:rPr>
                <w:sz w:val="20"/>
                <w:szCs w:val="20"/>
                <w:lang w:val="en-GB"/>
              </w:rPr>
              <w:t xml:space="preserve"> </w:t>
            </w:r>
            <w:r w:rsidRPr="009E1268">
              <w:rPr>
                <w:sz w:val="20"/>
                <w:szCs w:val="20"/>
                <w:lang w:val="en-GB"/>
              </w:rPr>
              <w:t>in consultation with the Evaluati</w:t>
            </w:r>
            <w:r>
              <w:rPr>
                <w:sz w:val="20"/>
                <w:szCs w:val="20"/>
                <w:lang w:val="en-GB"/>
              </w:rPr>
              <w:t xml:space="preserve">on Management Group (Evaluation </w:t>
            </w:r>
            <w:r w:rsidRPr="009E1268">
              <w:rPr>
                <w:sz w:val="20"/>
                <w:szCs w:val="20"/>
                <w:lang w:val="en-GB"/>
              </w:rPr>
              <w:t>departments of the three participating UN Organizations and the UN-REDD Secretariat)</w:t>
            </w:r>
          </w:p>
        </w:tc>
      </w:tr>
      <w:tr w:rsidR="00F830F6" w:rsidRPr="00142C26" w:rsidTr="00F830F6">
        <w:tc>
          <w:tcPr>
            <w:tcW w:w="1276" w:type="dxa"/>
          </w:tcPr>
          <w:p w:rsidR="00F830F6" w:rsidRPr="009E1268" w:rsidRDefault="00944391" w:rsidP="00142C26">
            <w:pPr>
              <w:spacing w:line="276" w:lineRule="auto"/>
              <w:rPr>
                <w:rFonts w:cs="Arial"/>
                <w:sz w:val="20"/>
                <w:szCs w:val="20"/>
                <w:lang w:val="en-GB"/>
              </w:rPr>
            </w:pPr>
            <w:r>
              <w:rPr>
                <w:rFonts w:cs="Arial"/>
                <w:sz w:val="20"/>
                <w:szCs w:val="20"/>
                <w:lang w:val="en-GB"/>
              </w:rPr>
              <w:t xml:space="preserve">9-13 </w:t>
            </w:r>
            <w:r w:rsidR="00142C26">
              <w:rPr>
                <w:rFonts w:cs="Arial"/>
                <w:sz w:val="20"/>
                <w:szCs w:val="20"/>
                <w:lang w:val="en-GB"/>
              </w:rPr>
              <w:t>August</w:t>
            </w:r>
            <w:r>
              <w:rPr>
                <w:rFonts w:cs="Arial"/>
                <w:sz w:val="20"/>
                <w:szCs w:val="20"/>
                <w:lang w:val="en-GB"/>
              </w:rPr>
              <w:t xml:space="preserve"> 2012 (TBC)</w:t>
            </w:r>
          </w:p>
        </w:tc>
        <w:tc>
          <w:tcPr>
            <w:tcW w:w="2552" w:type="dxa"/>
          </w:tcPr>
          <w:p w:rsidR="00F830F6" w:rsidRPr="009E1268" w:rsidRDefault="00F830F6" w:rsidP="005A5F90">
            <w:pPr>
              <w:spacing w:line="276" w:lineRule="auto"/>
              <w:jc w:val="both"/>
              <w:rPr>
                <w:sz w:val="20"/>
                <w:szCs w:val="20"/>
                <w:lang w:val="en-GB"/>
              </w:rPr>
            </w:pPr>
            <w:r w:rsidRPr="009E1268">
              <w:rPr>
                <w:rFonts w:cs="Arial"/>
                <w:sz w:val="20"/>
                <w:szCs w:val="20"/>
                <w:lang w:val="en-GB"/>
              </w:rPr>
              <w:t>Preparation of Inception Report (5 days)</w:t>
            </w:r>
          </w:p>
        </w:tc>
        <w:tc>
          <w:tcPr>
            <w:tcW w:w="5352" w:type="dxa"/>
          </w:tcPr>
          <w:p w:rsidR="00F830F6" w:rsidRDefault="00F830F6" w:rsidP="005A5F90">
            <w:pPr>
              <w:spacing w:after="120" w:line="276" w:lineRule="auto"/>
              <w:jc w:val="both"/>
              <w:rPr>
                <w:sz w:val="20"/>
                <w:szCs w:val="20"/>
                <w:lang w:val="en-GB"/>
              </w:rPr>
            </w:pPr>
            <w:r>
              <w:rPr>
                <w:sz w:val="20"/>
                <w:szCs w:val="20"/>
                <w:lang w:val="en-GB"/>
              </w:rPr>
              <w:t>Evaluation T</w:t>
            </w:r>
            <w:r w:rsidRPr="009E1268">
              <w:rPr>
                <w:sz w:val="20"/>
                <w:szCs w:val="20"/>
                <w:lang w:val="en-GB"/>
              </w:rPr>
              <w:t>eam</w:t>
            </w:r>
            <w:r>
              <w:rPr>
                <w:sz w:val="20"/>
                <w:szCs w:val="20"/>
                <w:lang w:val="en-GB"/>
              </w:rPr>
              <w:t xml:space="preserve"> (consultants)</w:t>
            </w:r>
          </w:p>
          <w:p w:rsidR="00F830F6" w:rsidRPr="009E1268" w:rsidRDefault="00F830F6" w:rsidP="005A5F90">
            <w:pPr>
              <w:spacing w:line="276" w:lineRule="auto"/>
              <w:jc w:val="both"/>
              <w:rPr>
                <w:sz w:val="20"/>
                <w:szCs w:val="20"/>
                <w:lang w:val="en-GB"/>
              </w:rPr>
            </w:pPr>
            <w:r>
              <w:rPr>
                <w:sz w:val="20"/>
                <w:szCs w:val="20"/>
                <w:lang w:val="en-GB"/>
              </w:rPr>
              <w:t>Logistical support provided by the participating UN Organizations National Programme staff</w:t>
            </w:r>
          </w:p>
        </w:tc>
      </w:tr>
      <w:tr w:rsidR="00F830F6" w:rsidRPr="00142C26" w:rsidTr="00F830F6">
        <w:tc>
          <w:tcPr>
            <w:tcW w:w="1276" w:type="dxa"/>
          </w:tcPr>
          <w:p w:rsidR="00F830F6" w:rsidRPr="00F830F6" w:rsidRDefault="00944391" w:rsidP="00142C26">
            <w:pPr>
              <w:spacing w:line="276" w:lineRule="auto"/>
              <w:rPr>
                <w:rFonts w:cs="Arial"/>
                <w:sz w:val="20"/>
                <w:szCs w:val="20"/>
                <w:lang w:val="en-GB"/>
              </w:rPr>
            </w:pPr>
            <w:r>
              <w:rPr>
                <w:rFonts w:cs="Arial"/>
                <w:sz w:val="20"/>
                <w:szCs w:val="20"/>
                <w:lang w:val="en-GB"/>
              </w:rPr>
              <w:t xml:space="preserve">16-23 </w:t>
            </w:r>
            <w:r w:rsidR="00142C26">
              <w:rPr>
                <w:rFonts w:cs="Arial"/>
                <w:sz w:val="20"/>
                <w:szCs w:val="20"/>
                <w:lang w:val="en-GB"/>
              </w:rPr>
              <w:t>August</w:t>
            </w:r>
            <w:r>
              <w:rPr>
                <w:rFonts w:cs="Arial"/>
                <w:sz w:val="20"/>
                <w:szCs w:val="20"/>
                <w:lang w:val="en-GB"/>
              </w:rPr>
              <w:t xml:space="preserve"> 2012 (TBC)</w:t>
            </w:r>
          </w:p>
        </w:tc>
        <w:tc>
          <w:tcPr>
            <w:tcW w:w="2552" w:type="dxa"/>
          </w:tcPr>
          <w:p w:rsidR="00F830F6" w:rsidRPr="00BC0E95" w:rsidRDefault="00F830F6" w:rsidP="005A5F90">
            <w:pPr>
              <w:spacing w:line="276" w:lineRule="auto"/>
              <w:jc w:val="both"/>
              <w:rPr>
                <w:rFonts w:cs="Arial"/>
                <w:sz w:val="20"/>
                <w:szCs w:val="20"/>
                <w:lang w:val="en-GB"/>
              </w:rPr>
            </w:pPr>
            <w:r w:rsidRPr="00BC0E95">
              <w:rPr>
                <w:rFonts w:cs="Arial"/>
                <w:sz w:val="20"/>
                <w:szCs w:val="20"/>
                <w:lang w:val="en-GB"/>
              </w:rPr>
              <w:t>Review inception report</w:t>
            </w:r>
            <w:r w:rsidR="00BC0E95" w:rsidRPr="00BC0E95">
              <w:rPr>
                <w:rFonts w:cs="Arial"/>
                <w:sz w:val="20"/>
                <w:szCs w:val="20"/>
                <w:lang w:val="en-GB"/>
              </w:rPr>
              <w:t xml:space="preserve"> (two w</w:t>
            </w:r>
            <w:r w:rsidR="00BC0E95">
              <w:rPr>
                <w:rFonts w:cs="Arial"/>
                <w:sz w:val="20"/>
                <w:szCs w:val="20"/>
                <w:lang w:val="en-GB"/>
              </w:rPr>
              <w:t>eeks)</w:t>
            </w:r>
          </w:p>
        </w:tc>
        <w:tc>
          <w:tcPr>
            <w:tcW w:w="5352" w:type="dxa"/>
          </w:tcPr>
          <w:p w:rsidR="00F830F6" w:rsidRDefault="00F830F6" w:rsidP="005A5F90">
            <w:pPr>
              <w:spacing w:line="276" w:lineRule="auto"/>
              <w:jc w:val="both"/>
              <w:rPr>
                <w:sz w:val="20"/>
                <w:szCs w:val="20"/>
                <w:lang w:val="en-GB"/>
              </w:rPr>
            </w:pPr>
            <w:r>
              <w:rPr>
                <w:sz w:val="20"/>
                <w:szCs w:val="20"/>
                <w:lang w:val="en-GB"/>
              </w:rPr>
              <w:t xml:space="preserve">The three participating UN Organizations and the Evaluation Management Group (Evaluation </w:t>
            </w:r>
            <w:r w:rsidRPr="009E1268">
              <w:rPr>
                <w:sz w:val="20"/>
                <w:szCs w:val="20"/>
                <w:lang w:val="en-GB"/>
              </w:rPr>
              <w:t>departments of the three participating UN Organizations and the UN-REDD Secretariat)</w:t>
            </w:r>
          </w:p>
        </w:tc>
      </w:tr>
      <w:tr w:rsidR="00F830F6" w:rsidRPr="00142C26" w:rsidTr="00F830F6">
        <w:tc>
          <w:tcPr>
            <w:tcW w:w="1276" w:type="dxa"/>
          </w:tcPr>
          <w:p w:rsidR="00F830F6" w:rsidRPr="00BB43DA" w:rsidRDefault="00944391" w:rsidP="00142C26">
            <w:pPr>
              <w:spacing w:after="200" w:line="276" w:lineRule="auto"/>
              <w:rPr>
                <w:rFonts w:cs="Arial"/>
                <w:sz w:val="20"/>
                <w:szCs w:val="20"/>
                <w:lang w:val="en-GB"/>
              </w:rPr>
            </w:pPr>
            <w:r>
              <w:rPr>
                <w:rFonts w:cs="Arial"/>
                <w:sz w:val="20"/>
                <w:szCs w:val="20"/>
                <w:lang w:val="en-GB"/>
              </w:rPr>
              <w:t>30</w:t>
            </w:r>
            <w:r w:rsidR="007B7506">
              <w:rPr>
                <w:rFonts w:cs="Arial"/>
                <w:sz w:val="20"/>
                <w:szCs w:val="20"/>
                <w:lang w:val="en-GB"/>
              </w:rPr>
              <w:t xml:space="preserve"> </w:t>
            </w:r>
            <w:r w:rsidR="00142C26">
              <w:rPr>
                <w:rFonts w:cs="Arial"/>
                <w:sz w:val="20"/>
                <w:szCs w:val="20"/>
                <w:lang w:val="en-GB"/>
              </w:rPr>
              <w:t>August</w:t>
            </w:r>
            <w:r w:rsidR="007B7506">
              <w:rPr>
                <w:rFonts w:cs="Arial"/>
                <w:sz w:val="20"/>
                <w:szCs w:val="20"/>
                <w:lang w:val="en-GB"/>
              </w:rPr>
              <w:t xml:space="preserve">-27 </w:t>
            </w:r>
            <w:r w:rsidR="00142C26">
              <w:rPr>
                <w:rFonts w:cs="Arial"/>
                <w:sz w:val="20"/>
                <w:szCs w:val="20"/>
                <w:lang w:val="en-GB"/>
              </w:rPr>
              <w:t>September</w:t>
            </w:r>
            <w:r w:rsidR="007B7506">
              <w:rPr>
                <w:rFonts w:cs="Arial"/>
                <w:sz w:val="20"/>
                <w:szCs w:val="20"/>
                <w:lang w:val="en-GB"/>
              </w:rPr>
              <w:t xml:space="preserve"> 2012 (TBC)</w:t>
            </w:r>
          </w:p>
        </w:tc>
        <w:tc>
          <w:tcPr>
            <w:tcW w:w="2552" w:type="dxa"/>
          </w:tcPr>
          <w:p w:rsidR="00F830F6" w:rsidRPr="009E1268" w:rsidRDefault="00F830F6" w:rsidP="005A5F90">
            <w:pPr>
              <w:spacing w:line="276" w:lineRule="auto"/>
              <w:jc w:val="both"/>
              <w:rPr>
                <w:sz w:val="20"/>
                <w:szCs w:val="20"/>
              </w:rPr>
            </w:pPr>
            <w:r w:rsidRPr="009E1268">
              <w:rPr>
                <w:rFonts w:cs="Arial"/>
                <w:sz w:val="20"/>
                <w:szCs w:val="20"/>
              </w:rPr>
              <w:t>Evaluation Mission (21 days)</w:t>
            </w:r>
          </w:p>
        </w:tc>
        <w:tc>
          <w:tcPr>
            <w:tcW w:w="5352" w:type="dxa"/>
          </w:tcPr>
          <w:p w:rsidR="00F830F6" w:rsidRDefault="00F830F6" w:rsidP="005A5F90">
            <w:pPr>
              <w:spacing w:after="120" w:line="276" w:lineRule="auto"/>
              <w:jc w:val="both"/>
              <w:rPr>
                <w:sz w:val="20"/>
                <w:szCs w:val="20"/>
                <w:lang w:val="en-GB"/>
              </w:rPr>
            </w:pPr>
            <w:r>
              <w:rPr>
                <w:sz w:val="20"/>
                <w:szCs w:val="20"/>
                <w:lang w:val="en-GB"/>
              </w:rPr>
              <w:t>Evaluation T</w:t>
            </w:r>
            <w:r w:rsidRPr="009E1268">
              <w:rPr>
                <w:sz w:val="20"/>
                <w:szCs w:val="20"/>
                <w:lang w:val="en-GB"/>
              </w:rPr>
              <w:t>eam</w:t>
            </w:r>
            <w:r>
              <w:rPr>
                <w:sz w:val="20"/>
                <w:szCs w:val="20"/>
                <w:lang w:val="en-GB"/>
              </w:rPr>
              <w:t xml:space="preserve"> (consultants)</w:t>
            </w:r>
          </w:p>
          <w:p w:rsidR="00F830F6" w:rsidRPr="009E1268" w:rsidRDefault="00F830F6" w:rsidP="005A5F90">
            <w:pPr>
              <w:spacing w:line="276" w:lineRule="auto"/>
              <w:jc w:val="both"/>
              <w:rPr>
                <w:sz w:val="20"/>
                <w:szCs w:val="20"/>
                <w:lang w:val="en-GB"/>
              </w:rPr>
            </w:pPr>
            <w:r>
              <w:rPr>
                <w:sz w:val="20"/>
                <w:szCs w:val="20"/>
                <w:lang w:val="en-GB"/>
              </w:rPr>
              <w:t>Logistical support provided by the participating UN Organizations’ National Programme staff</w:t>
            </w:r>
            <w:r w:rsidR="00F529AC">
              <w:rPr>
                <w:sz w:val="20"/>
                <w:szCs w:val="20"/>
                <w:lang w:val="en-GB"/>
              </w:rPr>
              <w:t xml:space="preserve">. Also, a one day debriefing workshop with stakeholders should be held at the end of the Evaluation Mission. </w:t>
            </w:r>
          </w:p>
        </w:tc>
      </w:tr>
      <w:tr w:rsidR="00F830F6" w:rsidRPr="00142C26" w:rsidTr="00F830F6">
        <w:tc>
          <w:tcPr>
            <w:tcW w:w="1276" w:type="dxa"/>
          </w:tcPr>
          <w:p w:rsidR="00F830F6" w:rsidRPr="009E1268" w:rsidRDefault="007B7506" w:rsidP="00142C26">
            <w:pPr>
              <w:spacing w:line="276" w:lineRule="auto"/>
              <w:jc w:val="both"/>
              <w:rPr>
                <w:rFonts w:cs="Arial"/>
                <w:sz w:val="20"/>
                <w:szCs w:val="20"/>
                <w:lang w:val="en-GB"/>
              </w:rPr>
            </w:pPr>
            <w:r>
              <w:rPr>
                <w:rFonts w:cs="Arial"/>
                <w:sz w:val="20"/>
                <w:szCs w:val="20"/>
                <w:lang w:val="en-GB"/>
              </w:rPr>
              <w:t xml:space="preserve">3-14 </w:t>
            </w:r>
            <w:r w:rsidR="00142C26">
              <w:rPr>
                <w:rFonts w:cs="Arial"/>
                <w:sz w:val="20"/>
                <w:szCs w:val="20"/>
                <w:lang w:val="en-GB"/>
              </w:rPr>
              <w:t>October</w:t>
            </w:r>
            <w:r>
              <w:rPr>
                <w:rFonts w:cs="Arial"/>
                <w:sz w:val="20"/>
                <w:szCs w:val="20"/>
                <w:lang w:val="en-GB"/>
              </w:rPr>
              <w:t xml:space="preserve"> 2012 (TBC)</w:t>
            </w:r>
          </w:p>
        </w:tc>
        <w:tc>
          <w:tcPr>
            <w:tcW w:w="2552" w:type="dxa"/>
          </w:tcPr>
          <w:p w:rsidR="00F830F6" w:rsidRPr="009E1268" w:rsidRDefault="00F830F6" w:rsidP="005A5F90">
            <w:pPr>
              <w:spacing w:line="276" w:lineRule="auto"/>
              <w:jc w:val="both"/>
              <w:rPr>
                <w:sz w:val="20"/>
                <w:szCs w:val="20"/>
                <w:lang w:val="en-GB"/>
              </w:rPr>
            </w:pPr>
            <w:r w:rsidRPr="009E1268">
              <w:rPr>
                <w:rFonts w:cs="Arial"/>
                <w:sz w:val="20"/>
                <w:szCs w:val="20"/>
                <w:lang w:val="en-GB"/>
              </w:rPr>
              <w:t>Draft Evaluation Report (8</w:t>
            </w:r>
            <w:r>
              <w:rPr>
                <w:rFonts w:cs="Arial"/>
                <w:sz w:val="20"/>
                <w:szCs w:val="20"/>
                <w:lang w:val="en-GB"/>
              </w:rPr>
              <w:t>/10</w:t>
            </w:r>
            <w:r w:rsidRPr="009E1268">
              <w:rPr>
                <w:rFonts w:cs="Arial"/>
                <w:sz w:val="20"/>
                <w:szCs w:val="20"/>
                <w:lang w:val="en-GB"/>
              </w:rPr>
              <w:t xml:space="preserve"> days)</w:t>
            </w:r>
          </w:p>
        </w:tc>
        <w:tc>
          <w:tcPr>
            <w:tcW w:w="5352" w:type="dxa"/>
          </w:tcPr>
          <w:p w:rsidR="00F830F6" w:rsidRDefault="00F830F6" w:rsidP="005A5F90">
            <w:pPr>
              <w:spacing w:after="120" w:line="276" w:lineRule="auto"/>
              <w:jc w:val="both"/>
              <w:rPr>
                <w:sz w:val="20"/>
                <w:szCs w:val="20"/>
                <w:lang w:val="en-GB"/>
              </w:rPr>
            </w:pPr>
            <w:r>
              <w:rPr>
                <w:sz w:val="20"/>
                <w:szCs w:val="20"/>
                <w:lang w:val="en-GB"/>
              </w:rPr>
              <w:t>Evaluation T</w:t>
            </w:r>
            <w:r w:rsidRPr="009E1268">
              <w:rPr>
                <w:sz w:val="20"/>
                <w:szCs w:val="20"/>
                <w:lang w:val="en-GB"/>
              </w:rPr>
              <w:t>eam</w:t>
            </w:r>
            <w:r>
              <w:rPr>
                <w:sz w:val="20"/>
                <w:szCs w:val="20"/>
                <w:lang w:val="en-GB"/>
              </w:rPr>
              <w:t xml:space="preserve"> (consultants)</w:t>
            </w:r>
          </w:p>
          <w:p w:rsidR="00F830F6" w:rsidRPr="009E1268" w:rsidRDefault="00F830F6" w:rsidP="005A5F90">
            <w:pPr>
              <w:spacing w:line="276" w:lineRule="auto"/>
              <w:jc w:val="both"/>
              <w:rPr>
                <w:sz w:val="20"/>
                <w:szCs w:val="20"/>
                <w:lang w:val="en-GB"/>
              </w:rPr>
            </w:pPr>
            <w:r>
              <w:rPr>
                <w:sz w:val="20"/>
                <w:szCs w:val="20"/>
                <w:lang w:val="en-GB"/>
              </w:rPr>
              <w:t>Logistical support provided by the participating UN Organizations National Programme staff</w:t>
            </w:r>
          </w:p>
        </w:tc>
      </w:tr>
      <w:tr w:rsidR="00F830F6" w:rsidRPr="00142C26" w:rsidTr="00F830F6">
        <w:tc>
          <w:tcPr>
            <w:tcW w:w="1276" w:type="dxa"/>
          </w:tcPr>
          <w:p w:rsidR="00F830F6" w:rsidRDefault="007B7506" w:rsidP="00142C26">
            <w:pPr>
              <w:spacing w:line="276" w:lineRule="auto"/>
              <w:rPr>
                <w:rFonts w:cs="Arial"/>
                <w:sz w:val="20"/>
                <w:szCs w:val="20"/>
                <w:lang w:val="en-GB"/>
              </w:rPr>
            </w:pPr>
            <w:r>
              <w:rPr>
                <w:rFonts w:cs="Arial"/>
                <w:sz w:val="20"/>
                <w:szCs w:val="20"/>
                <w:lang w:val="en-GB"/>
              </w:rPr>
              <w:t xml:space="preserve">17 </w:t>
            </w:r>
            <w:r w:rsidR="00142C26">
              <w:rPr>
                <w:rFonts w:cs="Arial"/>
                <w:sz w:val="20"/>
                <w:szCs w:val="20"/>
                <w:lang w:val="en-GB"/>
              </w:rPr>
              <w:t>October</w:t>
            </w:r>
            <w:r>
              <w:rPr>
                <w:rFonts w:cs="Arial"/>
                <w:sz w:val="20"/>
                <w:szCs w:val="20"/>
                <w:lang w:val="en-GB"/>
              </w:rPr>
              <w:t xml:space="preserve">- 5 </w:t>
            </w:r>
            <w:r w:rsidR="00142C26">
              <w:rPr>
                <w:rFonts w:cs="Arial"/>
                <w:sz w:val="20"/>
                <w:szCs w:val="20"/>
                <w:lang w:val="en-GB"/>
              </w:rPr>
              <w:t>November</w:t>
            </w:r>
            <w:r>
              <w:rPr>
                <w:rFonts w:cs="Arial"/>
                <w:sz w:val="20"/>
                <w:szCs w:val="20"/>
                <w:lang w:val="en-GB"/>
              </w:rPr>
              <w:t xml:space="preserve"> 2012 (TBC)</w:t>
            </w:r>
          </w:p>
        </w:tc>
        <w:tc>
          <w:tcPr>
            <w:tcW w:w="2552" w:type="dxa"/>
          </w:tcPr>
          <w:p w:rsidR="00F830F6" w:rsidRPr="009E1268" w:rsidRDefault="00F830F6" w:rsidP="005A5F90">
            <w:pPr>
              <w:spacing w:line="276" w:lineRule="auto"/>
              <w:jc w:val="both"/>
              <w:rPr>
                <w:rFonts w:cs="Arial"/>
                <w:sz w:val="20"/>
                <w:szCs w:val="20"/>
                <w:lang w:val="en-GB"/>
              </w:rPr>
            </w:pPr>
            <w:r>
              <w:rPr>
                <w:rFonts w:cs="Arial"/>
                <w:sz w:val="20"/>
                <w:szCs w:val="20"/>
                <w:lang w:val="en-GB"/>
              </w:rPr>
              <w:t>Review Draft Evaluation Report</w:t>
            </w:r>
            <w:r w:rsidR="00BC0E95">
              <w:rPr>
                <w:rFonts w:cs="Arial"/>
                <w:sz w:val="20"/>
                <w:szCs w:val="20"/>
                <w:lang w:val="en-GB"/>
              </w:rPr>
              <w:t xml:space="preserve"> by participating UN Organizations</w:t>
            </w:r>
            <w:r w:rsidR="00A50712">
              <w:rPr>
                <w:rFonts w:cs="Arial"/>
                <w:sz w:val="20"/>
                <w:szCs w:val="20"/>
                <w:lang w:val="en-GB"/>
              </w:rPr>
              <w:t xml:space="preserve"> (</w:t>
            </w:r>
            <w:r w:rsidR="00BC0E95">
              <w:rPr>
                <w:rFonts w:cs="Arial"/>
                <w:sz w:val="20"/>
                <w:szCs w:val="20"/>
                <w:lang w:val="en-GB"/>
              </w:rPr>
              <w:t>two</w:t>
            </w:r>
            <w:r w:rsidR="00A50712">
              <w:rPr>
                <w:rFonts w:cs="Arial"/>
                <w:sz w:val="20"/>
                <w:szCs w:val="20"/>
                <w:lang w:val="en-GB"/>
              </w:rPr>
              <w:t xml:space="preserve"> weeks)</w:t>
            </w:r>
          </w:p>
        </w:tc>
        <w:tc>
          <w:tcPr>
            <w:tcW w:w="5352" w:type="dxa"/>
          </w:tcPr>
          <w:p w:rsidR="00F830F6" w:rsidRDefault="00F830F6" w:rsidP="005A5F90">
            <w:pPr>
              <w:spacing w:after="120" w:line="276" w:lineRule="auto"/>
              <w:jc w:val="both"/>
              <w:rPr>
                <w:sz w:val="20"/>
                <w:szCs w:val="20"/>
                <w:lang w:val="en-GB"/>
              </w:rPr>
            </w:pPr>
            <w:r>
              <w:rPr>
                <w:sz w:val="20"/>
                <w:szCs w:val="20"/>
                <w:lang w:val="en-GB"/>
              </w:rPr>
              <w:t xml:space="preserve">The three participating UN Organizations and the Evaluation Management </w:t>
            </w:r>
            <w:r w:rsidRPr="00BC0E95">
              <w:rPr>
                <w:sz w:val="20"/>
                <w:szCs w:val="20"/>
                <w:lang w:val="en-GB"/>
              </w:rPr>
              <w:t>Group (Evaluation departments of the three participating UN Organizations and the UN-REDD Secretariat)</w:t>
            </w:r>
            <w:r w:rsidR="00BC0E95" w:rsidRPr="00BC0E95">
              <w:rPr>
                <w:sz w:val="20"/>
                <w:szCs w:val="20"/>
                <w:lang w:val="en-GB"/>
              </w:rPr>
              <w:t xml:space="preserve"> reviews the draft from the point of view of its evaluation quality and make comments to the </w:t>
            </w:r>
            <w:r w:rsidR="00BC0E95">
              <w:rPr>
                <w:sz w:val="20"/>
                <w:szCs w:val="20"/>
                <w:lang w:val="en-GB"/>
              </w:rPr>
              <w:t>Ev</w:t>
            </w:r>
            <w:r w:rsidR="00BC0E95" w:rsidRPr="00BC0E95">
              <w:rPr>
                <w:sz w:val="20"/>
                <w:szCs w:val="20"/>
                <w:lang w:val="en-GB"/>
              </w:rPr>
              <w:t xml:space="preserve">aluation </w:t>
            </w:r>
            <w:r w:rsidR="00BC0E95">
              <w:rPr>
                <w:sz w:val="20"/>
                <w:szCs w:val="20"/>
                <w:lang w:val="en-GB"/>
              </w:rPr>
              <w:t>T</w:t>
            </w:r>
            <w:r w:rsidR="00BC0E95" w:rsidRPr="00BC0E95">
              <w:rPr>
                <w:sz w:val="20"/>
                <w:szCs w:val="20"/>
                <w:lang w:val="en-GB"/>
              </w:rPr>
              <w:t>eam in that respect. If need be, the evaluation te</w:t>
            </w:r>
            <w:r w:rsidR="00BC0E95">
              <w:rPr>
                <w:sz w:val="20"/>
                <w:szCs w:val="20"/>
                <w:lang w:val="en-GB"/>
              </w:rPr>
              <w:t>am will revise the draft report</w:t>
            </w:r>
            <w:r w:rsidR="00BC0E95" w:rsidRPr="00BC0E95">
              <w:rPr>
                <w:sz w:val="20"/>
                <w:szCs w:val="20"/>
                <w:lang w:val="en-GB"/>
              </w:rPr>
              <w:t xml:space="preserve">. The latter will be then circulated to </w:t>
            </w:r>
            <w:r w:rsidR="00BC0E95">
              <w:rPr>
                <w:sz w:val="20"/>
                <w:szCs w:val="20"/>
                <w:lang w:val="en-GB"/>
              </w:rPr>
              <w:t xml:space="preserve">other </w:t>
            </w:r>
            <w:r w:rsidR="00BC0E95" w:rsidRPr="00BC0E95">
              <w:rPr>
                <w:sz w:val="20"/>
                <w:szCs w:val="20"/>
                <w:lang w:val="en-GB"/>
              </w:rPr>
              <w:t>stakeholders for comment.</w:t>
            </w:r>
          </w:p>
        </w:tc>
      </w:tr>
      <w:tr w:rsidR="00BC0E95" w:rsidRPr="00142C26" w:rsidTr="00F830F6">
        <w:tc>
          <w:tcPr>
            <w:tcW w:w="1276" w:type="dxa"/>
          </w:tcPr>
          <w:p w:rsidR="00BC0E95" w:rsidRDefault="007B7506" w:rsidP="00142C26">
            <w:pPr>
              <w:spacing w:line="276" w:lineRule="auto"/>
              <w:rPr>
                <w:rFonts w:cs="Arial"/>
                <w:sz w:val="20"/>
                <w:szCs w:val="20"/>
                <w:lang w:val="en-GB"/>
              </w:rPr>
            </w:pPr>
            <w:r>
              <w:rPr>
                <w:rFonts w:cs="Arial"/>
                <w:sz w:val="20"/>
                <w:szCs w:val="20"/>
                <w:lang w:val="en-GB"/>
              </w:rPr>
              <w:t xml:space="preserve">8-19 </w:t>
            </w:r>
            <w:r w:rsidR="00142C26">
              <w:rPr>
                <w:rFonts w:cs="Arial"/>
                <w:sz w:val="20"/>
                <w:szCs w:val="20"/>
                <w:lang w:val="en-GB"/>
              </w:rPr>
              <w:t>November</w:t>
            </w:r>
            <w:r>
              <w:rPr>
                <w:rFonts w:cs="Arial"/>
                <w:sz w:val="20"/>
                <w:szCs w:val="20"/>
                <w:lang w:val="en-GB"/>
              </w:rPr>
              <w:t xml:space="preserve"> 2012 (TBC)</w:t>
            </w:r>
          </w:p>
        </w:tc>
        <w:tc>
          <w:tcPr>
            <w:tcW w:w="2552" w:type="dxa"/>
          </w:tcPr>
          <w:p w:rsidR="00BC0E95" w:rsidRDefault="00BC0E95" w:rsidP="005A5F90">
            <w:pPr>
              <w:spacing w:line="276" w:lineRule="auto"/>
              <w:jc w:val="both"/>
              <w:rPr>
                <w:rFonts w:cs="Arial"/>
                <w:sz w:val="20"/>
                <w:szCs w:val="20"/>
                <w:lang w:val="en-GB"/>
              </w:rPr>
            </w:pPr>
            <w:r>
              <w:rPr>
                <w:rFonts w:cs="Arial"/>
                <w:sz w:val="20"/>
                <w:szCs w:val="20"/>
                <w:lang w:val="en-GB"/>
              </w:rPr>
              <w:t>Review Draft Evaluation Report by Government Counterpart and other stakeholders (two weeks)</w:t>
            </w:r>
          </w:p>
        </w:tc>
        <w:tc>
          <w:tcPr>
            <w:tcW w:w="5352" w:type="dxa"/>
          </w:tcPr>
          <w:p w:rsidR="00BC0E95" w:rsidRDefault="00BC0E95" w:rsidP="005A5F90">
            <w:pPr>
              <w:spacing w:after="120" w:line="276" w:lineRule="auto"/>
              <w:jc w:val="both"/>
              <w:rPr>
                <w:sz w:val="20"/>
                <w:szCs w:val="20"/>
                <w:lang w:val="en-GB"/>
              </w:rPr>
            </w:pPr>
            <w:r>
              <w:rPr>
                <w:sz w:val="20"/>
                <w:szCs w:val="20"/>
                <w:lang w:val="en-GB"/>
              </w:rPr>
              <w:t>The National Programme staff should ensure the Draft Evaluation Report is shared with the Government Counterpart and other relevant key stakeholders for information and their comments.</w:t>
            </w:r>
          </w:p>
        </w:tc>
      </w:tr>
      <w:tr w:rsidR="00F830F6" w:rsidRPr="00142C26" w:rsidTr="00F830F6">
        <w:tc>
          <w:tcPr>
            <w:tcW w:w="1276" w:type="dxa"/>
          </w:tcPr>
          <w:p w:rsidR="00F830F6" w:rsidRPr="009E1268" w:rsidRDefault="008B0680" w:rsidP="00142C26">
            <w:pPr>
              <w:spacing w:line="276" w:lineRule="auto"/>
              <w:rPr>
                <w:rFonts w:cs="Arial"/>
                <w:sz w:val="20"/>
                <w:szCs w:val="20"/>
                <w:lang w:val="en-GB"/>
              </w:rPr>
            </w:pPr>
            <w:r>
              <w:rPr>
                <w:rFonts w:cs="Arial"/>
                <w:sz w:val="20"/>
                <w:szCs w:val="20"/>
                <w:lang w:val="en-GB"/>
              </w:rPr>
              <w:t xml:space="preserve">22-26 </w:t>
            </w:r>
            <w:r w:rsidR="00142C26">
              <w:rPr>
                <w:rFonts w:cs="Arial"/>
                <w:sz w:val="20"/>
                <w:szCs w:val="20"/>
                <w:lang w:val="en-GB"/>
              </w:rPr>
              <w:t>November</w:t>
            </w:r>
            <w:r>
              <w:rPr>
                <w:rFonts w:cs="Arial"/>
                <w:sz w:val="20"/>
                <w:szCs w:val="20"/>
                <w:lang w:val="en-GB"/>
              </w:rPr>
              <w:t xml:space="preserve"> 2012 (TBC)</w:t>
            </w:r>
          </w:p>
        </w:tc>
        <w:tc>
          <w:tcPr>
            <w:tcW w:w="2552" w:type="dxa"/>
          </w:tcPr>
          <w:p w:rsidR="00F830F6" w:rsidRPr="009E1268" w:rsidRDefault="00F830F6" w:rsidP="005A5F90">
            <w:pPr>
              <w:spacing w:line="276" w:lineRule="auto"/>
              <w:jc w:val="both"/>
              <w:rPr>
                <w:sz w:val="20"/>
                <w:szCs w:val="20"/>
                <w:lang w:val="en-GB"/>
              </w:rPr>
            </w:pPr>
            <w:r w:rsidRPr="009E1268">
              <w:rPr>
                <w:rFonts w:cs="Arial"/>
                <w:sz w:val="20"/>
                <w:szCs w:val="20"/>
                <w:lang w:val="en-GB"/>
              </w:rPr>
              <w:t>Final Report (2</w:t>
            </w:r>
            <w:r>
              <w:rPr>
                <w:rFonts w:cs="Arial"/>
                <w:sz w:val="20"/>
                <w:szCs w:val="20"/>
                <w:lang w:val="en-GB"/>
              </w:rPr>
              <w:t>/4</w:t>
            </w:r>
            <w:r w:rsidRPr="009E1268">
              <w:rPr>
                <w:rFonts w:cs="Arial"/>
                <w:sz w:val="20"/>
                <w:szCs w:val="20"/>
                <w:lang w:val="en-GB"/>
              </w:rPr>
              <w:t xml:space="preserve"> days)</w:t>
            </w:r>
          </w:p>
        </w:tc>
        <w:tc>
          <w:tcPr>
            <w:tcW w:w="5352" w:type="dxa"/>
          </w:tcPr>
          <w:p w:rsidR="00F830F6" w:rsidRDefault="00F830F6" w:rsidP="005A5F90">
            <w:pPr>
              <w:spacing w:after="120" w:line="276" w:lineRule="auto"/>
              <w:jc w:val="both"/>
              <w:rPr>
                <w:sz w:val="20"/>
                <w:szCs w:val="20"/>
                <w:lang w:val="en-GB"/>
              </w:rPr>
            </w:pPr>
            <w:r>
              <w:rPr>
                <w:sz w:val="20"/>
                <w:szCs w:val="20"/>
                <w:lang w:val="en-GB"/>
              </w:rPr>
              <w:t>Evaluation T</w:t>
            </w:r>
            <w:r w:rsidRPr="009E1268">
              <w:rPr>
                <w:sz w:val="20"/>
                <w:szCs w:val="20"/>
                <w:lang w:val="en-GB"/>
              </w:rPr>
              <w:t>eam</w:t>
            </w:r>
            <w:r>
              <w:rPr>
                <w:sz w:val="20"/>
                <w:szCs w:val="20"/>
                <w:lang w:val="en-GB"/>
              </w:rPr>
              <w:t xml:space="preserve"> (consultants)</w:t>
            </w:r>
          </w:p>
          <w:p w:rsidR="00F830F6" w:rsidRPr="009E1268" w:rsidRDefault="00F830F6" w:rsidP="005A5F90">
            <w:pPr>
              <w:spacing w:line="276" w:lineRule="auto"/>
              <w:jc w:val="both"/>
              <w:rPr>
                <w:sz w:val="20"/>
                <w:szCs w:val="20"/>
                <w:lang w:val="en-GB"/>
              </w:rPr>
            </w:pPr>
            <w:r>
              <w:rPr>
                <w:sz w:val="20"/>
                <w:szCs w:val="20"/>
                <w:lang w:val="en-GB"/>
              </w:rPr>
              <w:t>Logistical support provided by the participating UN Organizations National Programme staff</w:t>
            </w:r>
          </w:p>
        </w:tc>
      </w:tr>
      <w:tr w:rsidR="00F830F6" w:rsidRPr="00B246E3" w:rsidTr="00F830F6">
        <w:tc>
          <w:tcPr>
            <w:tcW w:w="1276" w:type="dxa"/>
          </w:tcPr>
          <w:p w:rsidR="00F830F6" w:rsidRPr="009E1268" w:rsidRDefault="008B0680" w:rsidP="005A5F90">
            <w:pPr>
              <w:spacing w:line="276" w:lineRule="auto"/>
              <w:rPr>
                <w:sz w:val="20"/>
                <w:szCs w:val="20"/>
                <w:lang w:val="en-GB"/>
              </w:rPr>
            </w:pPr>
            <w:r>
              <w:rPr>
                <w:sz w:val="20"/>
                <w:szCs w:val="20"/>
                <w:lang w:val="en-GB"/>
              </w:rPr>
              <w:t>December 2012 (TBC)</w:t>
            </w:r>
          </w:p>
        </w:tc>
        <w:tc>
          <w:tcPr>
            <w:tcW w:w="2552" w:type="dxa"/>
          </w:tcPr>
          <w:p w:rsidR="00F830F6" w:rsidRPr="009E1268" w:rsidRDefault="00F830F6" w:rsidP="005A5F90">
            <w:pPr>
              <w:spacing w:line="276" w:lineRule="auto"/>
              <w:jc w:val="both"/>
              <w:rPr>
                <w:rFonts w:cs="Arial"/>
                <w:sz w:val="20"/>
                <w:szCs w:val="20"/>
                <w:lang w:val="en-GB"/>
              </w:rPr>
            </w:pPr>
            <w:r w:rsidRPr="009E1268">
              <w:rPr>
                <w:sz w:val="20"/>
                <w:szCs w:val="20"/>
                <w:lang w:val="en-GB"/>
              </w:rPr>
              <w:t>Management response</w:t>
            </w:r>
            <w:r w:rsidR="00A50712">
              <w:rPr>
                <w:sz w:val="20"/>
                <w:szCs w:val="20"/>
                <w:lang w:val="en-GB"/>
              </w:rPr>
              <w:t xml:space="preserve"> </w:t>
            </w:r>
            <w:r w:rsidR="00F529AC">
              <w:rPr>
                <w:sz w:val="20"/>
                <w:szCs w:val="20"/>
                <w:lang w:val="en-GB"/>
              </w:rPr>
              <w:t xml:space="preserve">from the Participating UN Organizations </w:t>
            </w:r>
            <w:r w:rsidR="00A50712">
              <w:rPr>
                <w:sz w:val="20"/>
                <w:szCs w:val="20"/>
                <w:lang w:val="en-GB"/>
              </w:rPr>
              <w:t>(one month)</w:t>
            </w:r>
          </w:p>
        </w:tc>
        <w:tc>
          <w:tcPr>
            <w:tcW w:w="5352" w:type="dxa"/>
          </w:tcPr>
          <w:p w:rsidR="00F830F6" w:rsidRPr="009E1268" w:rsidRDefault="00F830F6" w:rsidP="005A5F90">
            <w:pPr>
              <w:spacing w:line="276" w:lineRule="auto"/>
              <w:jc w:val="both"/>
              <w:rPr>
                <w:sz w:val="20"/>
                <w:szCs w:val="20"/>
                <w:lang w:val="en-GB"/>
              </w:rPr>
            </w:pPr>
            <w:r>
              <w:rPr>
                <w:sz w:val="20"/>
                <w:szCs w:val="20"/>
                <w:lang w:val="en-GB"/>
              </w:rPr>
              <w:t>Participating UN Organizations</w:t>
            </w:r>
          </w:p>
        </w:tc>
      </w:tr>
      <w:tr w:rsidR="00F529AC" w:rsidRPr="00B246E3" w:rsidTr="00F830F6">
        <w:tc>
          <w:tcPr>
            <w:tcW w:w="1276" w:type="dxa"/>
          </w:tcPr>
          <w:p w:rsidR="00F529AC" w:rsidRPr="009E1268" w:rsidRDefault="008B0680" w:rsidP="005A5F90">
            <w:pPr>
              <w:spacing w:line="276" w:lineRule="auto"/>
              <w:rPr>
                <w:sz w:val="20"/>
                <w:szCs w:val="20"/>
                <w:lang w:val="en-GB"/>
              </w:rPr>
            </w:pPr>
            <w:r>
              <w:rPr>
                <w:sz w:val="20"/>
                <w:szCs w:val="20"/>
                <w:lang w:val="en-GB"/>
              </w:rPr>
              <w:t>December 2012 (TBC)</w:t>
            </w:r>
          </w:p>
        </w:tc>
        <w:tc>
          <w:tcPr>
            <w:tcW w:w="2552" w:type="dxa"/>
          </w:tcPr>
          <w:p w:rsidR="00F529AC" w:rsidRPr="009E1268" w:rsidRDefault="00F529AC" w:rsidP="005A5F90">
            <w:pPr>
              <w:spacing w:line="276" w:lineRule="auto"/>
              <w:jc w:val="both"/>
              <w:rPr>
                <w:sz w:val="20"/>
                <w:szCs w:val="20"/>
                <w:lang w:val="en-GB"/>
              </w:rPr>
            </w:pPr>
            <w:r>
              <w:rPr>
                <w:sz w:val="20"/>
                <w:szCs w:val="20"/>
                <w:lang w:val="en-GB"/>
              </w:rPr>
              <w:t>Management response from the Government Counterpart</w:t>
            </w:r>
            <w:r w:rsidR="008B0680">
              <w:rPr>
                <w:sz w:val="20"/>
                <w:szCs w:val="20"/>
                <w:lang w:val="en-GB"/>
              </w:rPr>
              <w:t xml:space="preserve"> (one month)</w:t>
            </w:r>
          </w:p>
        </w:tc>
        <w:tc>
          <w:tcPr>
            <w:tcW w:w="5352" w:type="dxa"/>
          </w:tcPr>
          <w:p w:rsidR="00F529AC" w:rsidRDefault="00F529AC" w:rsidP="005A5F90">
            <w:pPr>
              <w:spacing w:line="276" w:lineRule="auto"/>
              <w:jc w:val="both"/>
              <w:rPr>
                <w:sz w:val="20"/>
                <w:szCs w:val="20"/>
                <w:lang w:val="en-GB"/>
              </w:rPr>
            </w:pPr>
            <w:r>
              <w:rPr>
                <w:sz w:val="20"/>
                <w:szCs w:val="20"/>
                <w:lang w:val="en-GB"/>
              </w:rPr>
              <w:t>Government Counterpart</w:t>
            </w:r>
          </w:p>
        </w:tc>
      </w:tr>
      <w:tr w:rsidR="00343D73" w:rsidRPr="00142C26" w:rsidTr="00F830F6">
        <w:tc>
          <w:tcPr>
            <w:tcW w:w="1276" w:type="dxa"/>
          </w:tcPr>
          <w:p w:rsidR="00343D73" w:rsidRDefault="00343D73" w:rsidP="005A5F90">
            <w:pPr>
              <w:spacing w:line="276" w:lineRule="auto"/>
              <w:rPr>
                <w:sz w:val="20"/>
                <w:szCs w:val="20"/>
                <w:lang w:val="en-GB"/>
              </w:rPr>
            </w:pPr>
            <w:r>
              <w:rPr>
                <w:sz w:val="20"/>
                <w:szCs w:val="20"/>
                <w:lang w:val="en-GB"/>
              </w:rPr>
              <w:t>(TBC)</w:t>
            </w:r>
          </w:p>
        </w:tc>
        <w:tc>
          <w:tcPr>
            <w:tcW w:w="2552" w:type="dxa"/>
          </w:tcPr>
          <w:p w:rsidR="00343D73" w:rsidRDefault="00343D73" w:rsidP="005A5F90">
            <w:pPr>
              <w:spacing w:line="276" w:lineRule="auto"/>
              <w:jc w:val="both"/>
              <w:rPr>
                <w:sz w:val="20"/>
                <w:szCs w:val="20"/>
                <w:lang w:val="en-GB"/>
              </w:rPr>
            </w:pPr>
            <w:r>
              <w:rPr>
                <w:sz w:val="20"/>
                <w:szCs w:val="20"/>
                <w:lang w:val="en-GB"/>
              </w:rPr>
              <w:t>Dissemination of the report</w:t>
            </w:r>
          </w:p>
        </w:tc>
        <w:tc>
          <w:tcPr>
            <w:tcW w:w="5352" w:type="dxa"/>
          </w:tcPr>
          <w:p w:rsidR="00343D73" w:rsidRDefault="00343D73" w:rsidP="005A5F90">
            <w:pPr>
              <w:spacing w:line="276" w:lineRule="auto"/>
              <w:jc w:val="both"/>
              <w:rPr>
                <w:sz w:val="20"/>
                <w:szCs w:val="20"/>
                <w:lang w:val="en-GB"/>
              </w:rPr>
            </w:pPr>
            <w:r>
              <w:rPr>
                <w:sz w:val="20"/>
                <w:szCs w:val="20"/>
                <w:lang w:val="en-GB"/>
              </w:rPr>
              <w:t>The UN country offices on the national level and the UN-REDD Programme Secretariat on the global level.</w:t>
            </w:r>
          </w:p>
        </w:tc>
      </w:tr>
    </w:tbl>
    <w:p w:rsidR="00F830F6" w:rsidRDefault="00F830F6" w:rsidP="005A5F90">
      <w:pPr>
        <w:spacing w:after="0"/>
        <w:rPr>
          <w:lang w:val="en-GB"/>
        </w:rPr>
      </w:pPr>
    </w:p>
    <w:p w:rsidR="003E3A43" w:rsidRDefault="003E3A43" w:rsidP="005A5F90">
      <w:pPr>
        <w:spacing w:after="120"/>
        <w:rPr>
          <w:b/>
          <w:sz w:val="24"/>
          <w:szCs w:val="24"/>
          <w:lang w:val="en-GB"/>
        </w:rPr>
      </w:pPr>
    </w:p>
    <w:p w:rsidR="003E3A43" w:rsidRDefault="003E3A43" w:rsidP="005A5F90">
      <w:pPr>
        <w:spacing w:after="120"/>
        <w:rPr>
          <w:b/>
          <w:sz w:val="24"/>
          <w:szCs w:val="24"/>
          <w:lang w:val="en-GB"/>
        </w:rPr>
      </w:pPr>
    </w:p>
    <w:p w:rsidR="00123630" w:rsidRDefault="00123630" w:rsidP="005A5F90">
      <w:pPr>
        <w:spacing w:after="120"/>
        <w:rPr>
          <w:b/>
          <w:sz w:val="24"/>
          <w:szCs w:val="24"/>
          <w:lang w:val="en-GB"/>
        </w:rPr>
      </w:pPr>
    </w:p>
    <w:p w:rsidR="00FF6BF8" w:rsidRPr="00FF6BF8" w:rsidRDefault="00FF6BF8" w:rsidP="005A5F90">
      <w:pPr>
        <w:pStyle w:val="ListParagraph"/>
        <w:numPr>
          <w:ilvl w:val="0"/>
          <w:numId w:val="21"/>
        </w:numPr>
        <w:spacing w:after="120"/>
        <w:jc w:val="both"/>
        <w:rPr>
          <w:lang w:val="en-GB"/>
        </w:rPr>
      </w:pPr>
      <w:r w:rsidRPr="00FF6BF8">
        <w:rPr>
          <w:b/>
          <w:lang w:val="en-GB"/>
        </w:rPr>
        <w:lastRenderedPageBreak/>
        <w:t>Recruitment of consultants</w:t>
      </w:r>
    </w:p>
    <w:p w:rsidR="00651685" w:rsidRPr="00FF6BF8" w:rsidRDefault="00651685" w:rsidP="00FF6BF8">
      <w:pPr>
        <w:spacing w:after="120"/>
        <w:jc w:val="both"/>
        <w:rPr>
          <w:lang w:val="en-GB"/>
        </w:rPr>
      </w:pPr>
      <w:r w:rsidRPr="00FF6BF8">
        <w:rPr>
          <w:lang w:val="en-GB"/>
        </w:rPr>
        <w:t xml:space="preserve">The Evaluation Team should consist of two evaluators, including one team leader. Ideally, the Team Leader will have sound evaluation experience. The evaluation team should comprise the best available mix of skills that are required to assess the </w:t>
      </w:r>
      <w:r w:rsidR="00117714" w:rsidRPr="00FF6BF8">
        <w:rPr>
          <w:lang w:val="en-GB"/>
        </w:rPr>
        <w:t xml:space="preserve">Viet-Nam UN-REDD </w:t>
      </w:r>
      <w:r w:rsidRPr="00FF6BF8">
        <w:rPr>
          <w:lang w:val="en-GB"/>
        </w:rPr>
        <w:t>National Programme, and ideally include in-depth knowledge of the National Programme country in question, good technical understanding of REDD+, as well as competence and skills in evaluation. To the extent possible the Evaluation Team will be balanced in terms of geographical and gender representation to ensure diversity and complementarity of perspectives.</w:t>
      </w:r>
    </w:p>
    <w:p w:rsidR="00651685" w:rsidRPr="000776DE" w:rsidRDefault="00651685" w:rsidP="005A5F90">
      <w:pPr>
        <w:spacing w:after="120"/>
        <w:jc w:val="both"/>
        <w:rPr>
          <w:lang w:val="en-GB"/>
        </w:rPr>
      </w:pPr>
      <w:r>
        <w:rPr>
          <w:lang w:val="en-GB"/>
        </w:rPr>
        <w:t xml:space="preserve">The Evaluation Team </w:t>
      </w:r>
      <w:r w:rsidRPr="000776DE">
        <w:rPr>
          <w:lang w:val="en-GB"/>
        </w:rPr>
        <w:t xml:space="preserve">members </w:t>
      </w:r>
      <w:r>
        <w:rPr>
          <w:lang w:val="en-GB"/>
        </w:rPr>
        <w:t>shall</w:t>
      </w:r>
      <w:r w:rsidRPr="000776DE">
        <w:rPr>
          <w:lang w:val="en-GB"/>
        </w:rPr>
        <w:t xml:space="preserve"> have had no previous direct involvement in the formulation, implementation or backstopping of the </w:t>
      </w:r>
      <w:r>
        <w:rPr>
          <w:lang w:val="en-GB"/>
        </w:rPr>
        <w:t>National Programme</w:t>
      </w:r>
      <w:r w:rsidRPr="000776DE">
        <w:rPr>
          <w:lang w:val="en-GB"/>
        </w:rPr>
        <w:t xml:space="preserve">. </w:t>
      </w:r>
      <w:r w:rsidR="00CB5356" w:rsidRPr="000776DE">
        <w:rPr>
          <w:lang w:val="en-GB"/>
        </w:rPr>
        <w:t xml:space="preserve">All </w:t>
      </w:r>
      <w:r w:rsidR="00CB5356">
        <w:rPr>
          <w:lang w:val="en-GB"/>
        </w:rPr>
        <w:t>members of the Evaluation Team will sign the Evaluation Consultant Code of Conduct</w:t>
      </w:r>
      <w:r w:rsidR="00CB5356">
        <w:rPr>
          <w:rStyle w:val="FootnoteReference"/>
          <w:lang w:val="en-GB"/>
        </w:rPr>
        <w:footnoteReference w:id="16"/>
      </w:r>
      <w:r w:rsidR="00CB5356">
        <w:rPr>
          <w:lang w:val="en-GB"/>
        </w:rPr>
        <w:t xml:space="preserve"> Agreement Form (Annex 3)</w:t>
      </w:r>
      <w:r w:rsidR="00CB5356" w:rsidRPr="000776DE">
        <w:rPr>
          <w:lang w:val="en-GB"/>
        </w:rPr>
        <w:t>.</w:t>
      </w:r>
    </w:p>
    <w:p w:rsidR="000142CE" w:rsidRDefault="00651685" w:rsidP="005A5F90">
      <w:pPr>
        <w:spacing w:after="120"/>
        <w:jc w:val="both"/>
        <w:rPr>
          <w:bCs/>
          <w:lang w:val="en-GB"/>
        </w:rPr>
      </w:pPr>
      <w:r w:rsidRPr="00651685">
        <w:rPr>
          <w:lang w:val="en-GB"/>
        </w:rPr>
        <w:t>The  Evaluation  Team is  responsible  for  conducting  the  evaluation  and  applying  the methodology. All team members, including the Team Leader, will participate in briefing and debriefing  meetings,  discussions,  field  visits,  and  will  contribute  to  the  evaluation  with written inputs. The Evaluation Team shall collaborate on a single document for each of the three main deliverables (inception report, draft report and final report), while the Team Leader is responsible for consolidating the reports and ensuring all deadlines are met.</w:t>
      </w:r>
      <w:r w:rsidRPr="00651685">
        <w:rPr>
          <w:bCs/>
          <w:lang w:val="en-GB"/>
        </w:rPr>
        <w:t xml:space="preserve"> </w:t>
      </w:r>
    </w:p>
    <w:p w:rsidR="00F250F0" w:rsidRPr="00651685" w:rsidRDefault="002461F6" w:rsidP="005A5F90">
      <w:pPr>
        <w:spacing w:after="120"/>
        <w:jc w:val="both"/>
        <w:rPr>
          <w:bCs/>
          <w:u w:val="single"/>
          <w:lang w:val="en-GB"/>
        </w:rPr>
      </w:pPr>
      <w:r>
        <w:rPr>
          <w:bCs/>
          <w:u w:val="single"/>
          <w:lang w:val="en-GB"/>
        </w:rPr>
        <w:t>C</w:t>
      </w:r>
      <w:r w:rsidR="00F250F0" w:rsidRPr="00651685">
        <w:rPr>
          <w:bCs/>
          <w:u w:val="single"/>
          <w:lang w:val="en-GB"/>
        </w:rPr>
        <w:t>ompetences:</w:t>
      </w:r>
    </w:p>
    <w:p w:rsidR="00F250F0" w:rsidRDefault="00E758AB" w:rsidP="00F800BB">
      <w:pPr>
        <w:pStyle w:val="ListParagraph"/>
        <w:numPr>
          <w:ilvl w:val="0"/>
          <w:numId w:val="17"/>
        </w:numPr>
        <w:spacing w:after="0"/>
        <w:contextualSpacing w:val="0"/>
        <w:jc w:val="both"/>
        <w:rPr>
          <w:bCs/>
          <w:lang w:val="en-GB"/>
        </w:rPr>
      </w:pPr>
      <w:r>
        <w:rPr>
          <w:bCs/>
          <w:lang w:val="en-GB"/>
        </w:rPr>
        <w:t>I</w:t>
      </w:r>
      <w:r w:rsidR="00F250F0" w:rsidRPr="00F250F0">
        <w:rPr>
          <w:bCs/>
          <w:lang w:val="en-GB"/>
        </w:rPr>
        <w:t xml:space="preserve">ndependent from the </w:t>
      </w:r>
      <w:r>
        <w:rPr>
          <w:bCs/>
          <w:lang w:val="en-GB"/>
        </w:rPr>
        <w:t>UN-REDD Programme and the participating UN Organizations</w:t>
      </w:r>
      <w:r w:rsidR="00F250F0" w:rsidRPr="00F250F0">
        <w:rPr>
          <w:bCs/>
          <w:lang w:val="en-GB"/>
        </w:rPr>
        <w:t>, FA</w:t>
      </w:r>
      <w:r>
        <w:rPr>
          <w:bCs/>
          <w:lang w:val="en-GB"/>
        </w:rPr>
        <w:t>O, UNEP and UNDP</w:t>
      </w:r>
      <w:r w:rsidR="00651685">
        <w:rPr>
          <w:bCs/>
          <w:lang w:val="en-GB"/>
        </w:rPr>
        <w:t>.</w:t>
      </w:r>
    </w:p>
    <w:p w:rsidR="00E758AB" w:rsidRPr="00E758AB" w:rsidRDefault="00651685" w:rsidP="00F800BB">
      <w:pPr>
        <w:pStyle w:val="ListParagraph"/>
        <w:numPr>
          <w:ilvl w:val="0"/>
          <w:numId w:val="17"/>
        </w:numPr>
        <w:spacing w:after="0"/>
        <w:contextualSpacing w:val="0"/>
        <w:jc w:val="both"/>
        <w:rPr>
          <w:bCs/>
          <w:lang w:val="en-GB"/>
        </w:rPr>
      </w:pPr>
      <w:r w:rsidRPr="00201075">
        <w:rPr>
          <w:lang w:val="en-GB"/>
        </w:rPr>
        <w:t xml:space="preserve">The evaluation </w:t>
      </w:r>
      <w:r>
        <w:rPr>
          <w:lang w:val="en-GB"/>
        </w:rPr>
        <w:t>team should</w:t>
      </w:r>
      <w:r w:rsidRPr="00201075">
        <w:rPr>
          <w:lang w:val="en-GB"/>
        </w:rPr>
        <w:t xml:space="preserve"> comprise the best available mix of skills that are required to assess the </w:t>
      </w:r>
      <w:r w:rsidR="00E758AB">
        <w:rPr>
          <w:lang w:val="en-GB"/>
        </w:rPr>
        <w:t xml:space="preserve">National Programme, </w:t>
      </w:r>
      <w:r w:rsidR="00123630">
        <w:rPr>
          <w:lang w:val="en-GB"/>
        </w:rPr>
        <w:t>including:</w:t>
      </w:r>
    </w:p>
    <w:p w:rsidR="00991E6D" w:rsidRDefault="00123630" w:rsidP="00991E6D">
      <w:pPr>
        <w:pStyle w:val="ListParagraph"/>
        <w:numPr>
          <w:ilvl w:val="0"/>
          <w:numId w:val="24"/>
        </w:numPr>
        <w:spacing w:after="0"/>
        <w:contextualSpacing w:val="0"/>
        <w:jc w:val="both"/>
        <w:rPr>
          <w:lang w:val="en-GB"/>
        </w:rPr>
      </w:pPr>
      <w:r>
        <w:rPr>
          <w:lang w:val="en-GB"/>
        </w:rPr>
        <w:t>G</w:t>
      </w:r>
      <w:r w:rsidR="00651685" w:rsidRPr="00123630">
        <w:rPr>
          <w:lang w:val="en-GB"/>
        </w:rPr>
        <w:t>ood technical understanding of</w:t>
      </w:r>
      <w:r w:rsidRPr="00123630">
        <w:rPr>
          <w:lang w:val="en-GB"/>
        </w:rPr>
        <w:t xml:space="preserve"> REDD+</w:t>
      </w:r>
      <w:r>
        <w:rPr>
          <w:lang w:val="en-GB"/>
        </w:rPr>
        <w:t>;</w:t>
      </w:r>
    </w:p>
    <w:p w:rsidR="00651685" w:rsidRDefault="00123630" w:rsidP="00991E6D">
      <w:pPr>
        <w:pStyle w:val="ListParagraph"/>
        <w:numPr>
          <w:ilvl w:val="0"/>
          <w:numId w:val="24"/>
        </w:numPr>
        <w:spacing w:after="0"/>
        <w:contextualSpacing w:val="0"/>
        <w:jc w:val="both"/>
        <w:rPr>
          <w:lang w:val="en-GB"/>
        </w:rPr>
      </w:pPr>
      <w:r w:rsidRPr="00991E6D">
        <w:rPr>
          <w:lang w:val="en-GB"/>
        </w:rPr>
        <w:t>Preferably in-depth knowledge of Viet Nam.</w:t>
      </w:r>
    </w:p>
    <w:p w:rsidR="00E479F3" w:rsidRPr="00E479F3" w:rsidRDefault="00E479F3" w:rsidP="00E479F3">
      <w:pPr>
        <w:pStyle w:val="ListParagraph"/>
        <w:numPr>
          <w:ilvl w:val="0"/>
          <w:numId w:val="25"/>
        </w:numPr>
        <w:spacing w:after="0"/>
        <w:jc w:val="both"/>
        <w:rPr>
          <w:bCs/>
          <w:lang w:val="en-GB"/>
        </w:rPr>
      </w:pPr>
      <w:r w:rsidRPr="00E479F3">
        <w:rPr>
          <w:lang w:val="en-GB"/>
        </w:rPr>
        <w:t>Demonstrate experience from evaluations of similar types of programmes.</w:t>
      </w:r>
    </w:p>
    <w:p w:rsidR="00E479F3" w:rsidRPr="00E758AB" w:rsidRDefault="00E479F3" w:rsidP="00E479F3">
      <w:pPr>
        <w:pStyle w:val="ListParagraph"/>
        <w:numPr>
          <w:ilvl w:val="0"/>
          <w:numId w:val="17"/>
        </w:numPr>
        <w:spacing w:after="0"/>
        <w:contextualSpacing w:val="0"/>
        <w:jc w:val="both"/>
        <w:rPr>
          <w:bCs/>
          <w:lang w:val="en-GB"/>
        </w:rPr>
      </w:pPr>
      <w:r>
        <w:rPr>
          <w:lang w:val="en-GB"/>
        </w:rPr>
        <w:t>Excellent writing and editing skills.</w:t>
      </w:r>
    </w:p>
    <w:p w:rsidR="00E479F3" w:rsidRPr="00E479F3" w:rsidRDefault="00E479F3" w:rsidP="00E479F3">
      <w:pPr>
        <w:pStyle w:val="ListParagraph"/>
        <w:numPr>
          <w:ilvl w:val="0"/>
          <w:numId w:val="16"/>
        </w:numPr>
        <w:spacing w:after="120"/>
        <w:contextualSpacing w:val="0"/>
        <w:jc w:val="both"/>
        <w:rPr>
          <w:bCs/>
          <w:lang w:val="en-GB"/>
        </w:rPr>
      </w:pPr>
      <w:r>
        <w:rPr>
          <w:bCs/>
          <w:lang w:val="en-GB"/>
        </w:rPr>
        <w:t>Attention to detail and respect for timelines</w:t>
      </w:r>
      <w:r w:rsidRPr="00403BEF">
        <w:rPr>
          <w:bCs/>
          <w:lang w:val="en-GB"/>
        </w:rPr>
        <w:t>.</w:t>
      </w:r>
    </w:p>
    <w:p w:rsidR="00E479F3" w:rsidRPr="00E479F3" w:rsidRDefault="00E479F3" w:rsidP="00E479F3">
      <w:pPr>
        <w:spacing w:after="0"/>
        <w:jc w:val="both"/>
        <w:rPr>
          <w:u w:val="single"/>
          <w:lang w:val="en-GB"/>
        </w:rPr>
      </w:pPr>
      <w:r w:rsidRPr="00E479F3">
        <w:rPr>
          <w:u w:val="single"/>
          <w:lang w:val="en-GB"/>
        </w:rPr>
        <w:t>Qualifications:</w:t>
      </w:r>
    </w:p>
    <w:p w:rsidR="00E479F3" w:rsidRPr="00E479F3" w:rsidRDefault="00E479F3" w:rsidP="00E479F3">
      <w:pPr>
        <w:pStyle w:val="ListParagraph"/>
        <w:numPr>
          <w:ilvl w:val="0"/>
          <w:numId w:val="17"/>
        </w:numPr>
        <w:spacing w:after="0"/>
        <w:contextualSpacing w:val="0"/>
        <w:jc w:val="both"/>
        <w:rPr>
          <w:bCs/>
          <w:lang w:val="en-GB"/>
        </w:rPr>
      </w:pPr>
      <w:r>
        <w:rPr>
          <w:lang w:val="en-GB"/>
        </w:rPr>
        <w:t>Advanced university degree in relevant field.</w:t>
      </w:r>
    </w:p>
    <w:p w:rsidR="00E758AB" w:rsidRPr="00B20F08" w:rsidRDefault="00E758AB" w:rsidP="00F800BB">
      <w:pPr>
        <w:pStyle w:val="ListParagraph"/>
        <w:numPr>
          <w:ilvl w:val="0"/>
          <w:numId w:val="17"/>
        </w:numPr>
        <w:spacing w:after="0"/>
        <w:contextualSpacing w:val="0"/>
        <w:jc w:val="both"/>
        <w:rPr>
          <w:bCs/>
          <w:lang w:val="en-GB"/>
        </w:rPr>
      </w:pPr>
      <w:r>
        <w:rPr>
          <w:lang w:val="en-GB"/>
        </w:rPr>
        <w:t xml:space="preserve">Minimum 10 years </w:t>
      </w:r>
      <w:r w:rsidR="00991E6D">
        <w:rPr>
          <w:lang w:val="en-GB"/>
        </w:rPr>
        <w:t>of professional experience is required, longer professional experience is an advantage</w:t>
      </w:r>
      <w:r w:rsidR="00123630">
        <w:rPr>
          <w:lang w:val="en-GB"/>
        </w:rPr>
        <w:t>, including proven experience from developing countries.</w:t>
      </w:r>
    </w:p>
    <w:p w:rsidR="00B20F08" w:rsidRPr="00101FA7" w:rsidRDefault="00991E6D" w:rsidP="00F800BB">
      <w:pPr>
        <w:pStyle w:val="ListParagraph"/>
        <w:numPr>
          <w:ilvl w:val="0"/>
          <w:numId w:val="17"/>
        </w:numPr>
        <w:spacing w:after="0"/>
        <w:contextualSpacing w:val="0"/>
        <w:jc w:val="both"/>
        <w:rPr>
          <w:bCs/>
          <w:lang w:val="en-GB"/>
        </w:rPr>
      </w:pPr>
      <w:r>
        <w:rPr>
          <w:lang w:val="en-GB"/>
        </w:rPr>
        <w:t>Fluency in English language, both written and spoken is a requirement. Knowledge of local language would be a distinctive advantage.</w:t>
      </w:r>
    </w:p>
    <w:p w:rsidR="00F250F0" w:rsidRPr="00403BEF" w:rsidRDefault="002461F6" w:rsidP="005A5F90">
      <w:pPr>
        <w:spacing w:after="120"/>
        <w:jc w:val="both"/>
        <w:rPr>
          <w:bCs/>
          <w:u w:val="single"/>
          <w:lang w:val="en-GB"/>
        </w:rPr>
      </w:pPr>
      <w:r w:rsidRPr="00403BEF">
        <w:rPr>
          <w:bCs/>
          <w:u w:val="single"/>
          <w:lang w:val="en-GB"/>
        </w:rPr>
        <w:t>Deliverables:</w:t>
      </w:r>
    </w:p>
    <w:p w:rsidR="00F250F0" w:rsidRPr="00F250F0" w:rsidRDefault="00F250F0" w:rsidP="00F800BB">
      <w:pPr>
        <w:pStyle w:val="ListParagraph"/>
        <w:numPr>
          <w:ilvl w:val="0"/>
          <w:numId w:val="16"/>
        </w:numPr>
        <w:spacing w:after="0"/>
        <w:contextualSpacing w:val="0"/>
        <w:jc w:val="both"/>
        <w:rPr>
          <w:lang w:val="en-GB"/>
        </w:rPr>
      </w:pPr>
      <w:r w:rsidRPr="00F250F0">
        <w:rPr>
          <w:lang w:val="en-GB"/>
        </w:rPr>
        <w:t xml:space="preserve">Prepare an inception report detailing the </w:t>
      </w:r>
      <w:r w:rsidR="00651685">
        <w:rPr>
          <w:lang w:val="en-GB"/>
        </w:rPr>
        <w:t>evaluators</w:t>
      </w:r>
      <w:r w:rsidRPr="00F250F0">
        <w:rPr>
          <w:lang w:val="en-GB"/>
        </w:rPr>
        <w:t xml:space="preserve"> understanding of what is being </w:t>
      </w:r>
      <w:r w:rsidR="00651685">
        <w:rPr>
          <w:lang w:val="en-GB"/>
        </w:rPr>
        <w:t>evaluated and why, showing how to respond</w:t>
      </w:r>
      <w:r w:rsidR="002461F6">
        <w:rPr>
          <w:lang w:val="en-GB"/>
        </w:rPr>
        <w:t xml:space="preserve"> to the scope of the evaluation by way of</w:t>
      </w:r>
      <w:r w:rsidRPr="00F250F0">
        <w:rPr>
          <w:lang w:val="en-GB"/>
        </w:rPr>
        <w:t>: proposed methods and sources of data as well as data collection procedures</w:t>
      </w:r>
      <w:r w:rsidR="00947ED0">
        <w:rPr>
          <w:lang w:val="en-GB"/>
        </w:rPr>
        <w:t>. The team leader is responsible for consolidating the report.</w:t>
      </w:r>
    </w:p>
    <w:p w:rsidR="00F250F0" w:rsidRPr="00F250F0" w:rsidRDefault="00F250F0" w:rsidP="00F800BB">
      <w:pPr>
        <w:pStyle w:val="ListParagraph"/>
        <w:numPr>
          <w:ilvl w:val="0"/>
          <w:numId w:val="16"/>
        </w:numPr>
        <w:spacing w:after="0"/>
        <w:contextualSpacing w:val="0"/>
        <w:jc w:val="both"/>
        <w:rPr>
          <w:lang w:val="en-GB"/>
        </w:rPr>
      </w:pPr>
      <w:r w:rsidRPr="00F250F0">
        <w:rPr>
          <w:lang w:val="en-GB"/>
        </w:rPr>
        <w:t xml:space="preserve">Produce a </w:t>
      </w:r>
      <w:r w:rsidR="002461F6">
        <w:rPr>
          <w:lang w:val="en-GB"/>
        </w:rPr>
        <w:t xml:space="preserve">consolidated </w:t>
      </w:r>
      <w:r w:rsidRPr="00F250F0">
        <w:rPr>
          <w:lang w:val="en-GB"/>
        </w:rPr>
        <w:t xml:space="preserve">draft report </w:t>
      </w:r>
      <w:r w:rsidR="002461F6">
        <w:rPr>
          <w:lang w:val="en-GB"/>
        </w:rPr>
        <w:t>responding to the scope of the evaluation</w:t>
      </w:r>
      <w:r w:rsidR="00947ED0">
        <w:rPr>
          <w:lang w:val="en-GB"/>
        </w:rPr>
        <w:t>. The team leader is responsible for consolidating the report.</w:t>
      </w:r>
    </w:p>
    <w:p w:rsidR="00F250F0" w:rsidRDefault="00F250F0" w:rsidP="00F800BB">
      <w:pPr>
        <w:pStyle w:val="ListParagraph"/>
        <w:numPr>
          <w:ilvl w:val="0"/>
          <w:numId w:val="16"/>
        </w:numPr>
        <w:spacing w:after="120"/>
        <w:contextualSpacing w:val="0"/>
        <w:jc w:val="both"/>
        <w:rPr>
          <w:lang w:val="en-GB"/>
        </w:rPr>
      </w:pPr>
      <w:r w:rsidRPr="00F250F0">
        <w:rPr>
          <w:lang w:val="en-GB"/>
        </w:rPr>
        <w:lastRenderedPageBreak/>
        <w:t>Produce a consolidated final report</w:t>
      </w:r>
      <w:r w:rsidR="00947ED0">
        <w:rPr>
          <w:lang w:val="en-GB"/>
        </w:rPr>
        <w:t>. The team leader is responsible for consolidating the report.</w:t>
      </w:r>
    </w:p>
    <w:p w:rsidR="000142CE" w:rsidRPr="000142CE" w:rsidRDefault="000142CE" w:rsidP="005A5F90">
      <w:pPr>
        <w:spacing w:after="120"/>
        <w:jc w:val="both"/>
        <w:rPr>
          <w:bCs/>
          <w:u w:val="single"/>
          <w:lang w:val="en-GB"/>
        </w:rPr>
      </w:pPr>
      <w:r w:rsidRPr="000142CE">
        <w:rPr>
          <w:bCs/>
          <w:u w:val="single"/>
          <w:lang w:val="en-GB"/>
        </w:rPr>
        <w:t>Application:</w:t>
      </w:r>
    </w:p>
    <w:p w:rsidR="000142CE" w:rsidRPr="003E3A43" w:rsidRDefault="003E3A43" w:rsidP="003E3A43">
      <w:pPr>
        <w:pStyle w:val="ListParagraph"/>
        <w:numPr>
          <w:ilvl w:val="0"/>
          <w:numId w:val="16"/>
        </w:numPr>
        <w:spacing w:after="120"/>
        <w:jc w:val="both"/>
        <w:rPr>
          <w:bCs/>
          <w:lang w:val="en-GB"/>
        </w:rPr>
      </w:pPr>
      <w:r>
        <w:rPr>
          <w:bCs/>
          <w:lang w:val="en-GB"/>
        </w:rPr>
        <w:t>Applications to be sent as per UNOPS instructions.</w:t>
      </w:r>
    </w:p>
    <w:p w:rsidR="003E3A43" w:rsidRDefault="003E3A43" w:rsidP="005A5F90">
      <w:pPr>
        <w:spacing w:after="120"/>
        <w:jc w:val="both"/>
        <w:rPr>
          <w:u w:val="single"/>
          <w:lang w:val="en-GB"/>
        </w:rPr>
      </w:pPr>
    </w:p>
    <w:p w:rsidR="003E3A43" w:rsidRDefault="003E3A43" w:rsidP="005A5F90">
      <w:pPr>
        <w:spacing w:after="120"/>
        <w:jc w:val="both"/>
        <w:rPr>
          <w:u w:val="single"/>
          <w:lang w:val="en-GB"/>
        </w:rPr>
      </w:pPr>
    </w:p>
    <w:p w:rsidR="00F250F0" w:rsidRDefault="00F250F0" w:rsidP="005A5F90">
      <w:pPr>
        <w:spacing w:after="120"/>
        <w:jc w:val="both"/>
        <w:rPr>
          <w:lang w:val="en-GB"/>
        </w:rPr>
      </w:pPr>
      <w:r w:rsidRPr="00403BEF">
        <w:rPr>
          <w:u w:val="single"/>
          <w:lang w:val="en-GB"/>
        </w:rPr>
        <w:t>Total days:</w:t>
      </w:r>
      <w:r w:rsidR="002461F6" w:rsidRPr="00403BEF">
        <w:rPr>
          <w:lang w:val="en-GB"/>
        </w:rPr>
        <w:t xml:space="preserve"> </w:t>
      </w:r>
      <w:r w:rsidR="00484AF5">
        <w:rPr>
          <w:lang w:val="en-GB"/>
        </w:rPr>
        <w:t>79</w:t>
      </w:r>
      <w:r w:rsidRPr="00403BEF">
        <w:rPr>
          <w:lang w:val="en-GB"/>
        </w:rPr>
        <w:t xml:space="preserve"> days</w:t>
      </w:r>
    </w:p>
    <w:tbl>
      <w:tblPr>
        <w:tblStyle w:val="TableGrid"/>
        <w:tblW w:w="9322" w:type="dxa"/>
        <w:tblLook w:val="04A0"/>
      </w:tblPr>
      <w:tblGrid>
        <w:gridCol w:w="4068"/>
        <w:gridCol w:w="2561"/>
        <w:gridCol w:w="2693"/>
      </w:tblGrid>
      <w:tr w:rsidR="00F250F0" w:rsidRPr="00403BEF" w:rsidTr="00115685">
        <w:trPr>
          <w:trHeight w:val="277"/>
        </w:trPr>
        <w:tc>
          <w:tcPr>
            <w:tcW w:w="4068" w:type="dxa"/>
            <w:shd w:val="clear" w:color="auto" w:fill="D9D9D9" w:themeFill="background1" w:themeFillShade="D9"/>
            <w:vAlign w:val="center"/>
          </w:tcPr>
          <w:p w:rsidR="00F250F0" w:rsidRPr="00403BEF" w:rsidRDefault="00F250F0" w:rsidP="00115685">
            <w:pPr>
              <w:spacing w:line="276" w:lineRule="auto"/>
              <w:jc w:val="center"/>
              <w:rPr>
                <w:b/>
                <w:lang w:val="en-GB"/>
              </w:rPr>
            </w:pPr>
            <w:r w:rsidRPr="00403BEF">
              <w:rPr>
                <w:b/>
                <w:lang w:val="en-GB"/>
              </w:rPr>
              <w:t>Activity</w:t>
            </w:r>
          </w:p>
        </w:tc>
        <w:tc>
          <w:tcPr>
            <w:tcW w:w="2561" w:type="dxa"/>
            <w:shd w:val="clear" w:color="auto" w:fill="D9D9D9" w:themeFill="background1" w:themeFillShade="D9"/>
            <w:vAlign w:val="center"/>
          </w:tcPr>
          <w:p w:rsidR="00F250F0" w:rsidRPr="00403BEF" w:rsidRDefault="002461F6" w:rsidP="00115685">
            <w:pPr>
              <w:spacing w:line="276" w:lineRule="auto"/>
              <w:jc w:val="center"/>
              <w:rPr>
                <w:b/>
                <w:lang w:val="en-GB"/>
              </w:rPr>
            </w:pPr>
            <w:r w:rsidRPr="00403BEF">
              <w:rPr>
                <w:b/>
                <w:lang w:val="en-GB"/>
              </w:rPr>
              <w:t>Consultant One (Team Leader)</w:t>
            </w:r>
          </w:p>
        </w:tc>
        <w:tc>
          <w:tcPr>
            <w:tcW w:w="2693" w:type="dxa"/>
            <w:shd w:val="clear" w:color="auto" w:fill="D9D9D9" w:themeFill="background1" w:themeFillShade="D9"/>
            <w:vAlign w:val="center"/>
          </w:tcPr>
          <w:p w:rsidR="00F250F0" w:rsidRPr="00403BEF" w:rsidRDefault="00F250F0" w:rsidP="00115685">
            <w:pPr>
              <w:spacing w:line="276" w:lineRule="auto"/>
              <w:jc w:val="center"/>
              <w:rPr>
                <w:b/>
                <w:lang w:val="en-GB"/>
              </w:rPr>
            </w:pPr>
            <w:r w:rsidRPr="00403BEF">
              <w:rPr>
                <w:b/>
                <w:lang w:val="en-GB"/>
              </w:rPr>
              <w:t>Consultant Two</w:t>
            </w:r>
          </w:p>
        </w:tc>
      </w:tr>
      <w:tr w:rsidR="00F250F0" w:rsidRPr="00403BEF" w:rsidTr="00115685">
        <w:trPr>
          <w:trHeight w:val="277"/>
        </w:trPr>
        <w:tc>
          <w:tcPr>
            <w:tcW w:w="4068" w:type="dxa"/>
          </w:tcPr>
          <w:p w:rsidR="00F250F0" w:rsidRPr="00403BEF" w:rsidRDefault="002461F6" w:rsidP="005A5F90">
            <w:pPr>
              <w:spacing w:line="276" w:lineRule="auto"/>
              <w:jc w:val="both"/>
              <w:rPr>
                <w:lang w:val="en-GB"/>
              </w:rPr>
            </w:pPr>
            <w:r w:rsidRPr="00403BEF">
              <w:rPr>
                <w:lang w:val="en-GB"/>
              </w:rPr>
              <w:t>Preparation of inception report</w:t>
            </w:r>
          </w:p>
        </w:tc>
        <w:tc>
          <w:tcPr>
            <w:tcW w:w="2561" w:type="dxa"/>
          </w:tcPr>
          <w:p w:rsidR="00F250F0" w:rsidRPr="00403BEF" w:rsidRDefault="002461F6" w:rsidP="00115685">
            <w:pPr>
              <w:spacing w:line="276" w:lineRule="auto"/>
              <w:jc w:val="center"/>
              <w:rPr>
                <w:lang w:val="en-GB"/>
              </w:rPr>
            </w:pPr>
            <w:r w:rsidRPr="00403BEF">
              <w:rPr>
                <w:lang w:val="en-GB"/>
              </w:rPr>
              <w:t>5</w:t>
            </w:r>
            <w:r w:rsidR="00F250F0" w:rsidRPr="00403BEF">
              <w:rPr>
                <w:lang w:val="en-GB"/>
              </w:rPr>
              <w:t xml:space="preserve"> days</w:t>
            </w:r>
          </w:p>
        </w:tc>
        <w:tc>
          <w:tcPr>
            <w:tcW w:w="2693" w:type="dxa"/>
          </w:tcPr>
          <w:p w:rsidR="00F250F0" w:rsidRPr="00403BEF" w:rsidRDefault="002461F6" w:rsidP="00115685">
            <w:pPr>
              <w:spacing w:line="276" w:lineRule="auto"/>
              <w:jc w:val="center"/>
              <w:rPr>
                <w:lang w:val="en-GB"/>
              </w:rPr>
            </w:pPr>
            <w:r w:rsidRPr="00403BEF">
              <w:rPr>
                <w:lang w:val="en-GB"/>
              </w:rPr>
              <w:t>5</w:t>
            </w:r>
            <w:r w:rsidR="00F250F0" w:rsidRPr="00403BEF">
              <w:rPr>
                <w:lang w:val="en-GB"/>
              </w:rPr>
              <w:t xml:space="preserve"> days</w:t>
            </w:r>
          </w:p>
        </w:tc>
      </w:tr>
      <w:tr w:rsidR="00F250F0" w:rsidRPr="00403BEF" w:rsidTr="00115685">
        <w:trPr>
          <w:trHeight w:val="277"/>
        </w:trPr>
        <w:tc>
          <w:tcPr>
            <w:tcW w:w="4068" w:type="dxa"/>
          </w:tcPr>
          <w:p w:rsidR="00F250F0" w:rsidRPr="00403BEF" w:rsidRDefault="002461F6" w:rsidP="009A2A56">
            <w:pPr>
              <w:spacing w:line="276" w:lineRule="auto"/>
              <w:jc w:val="both"/>
              <w:rPr>
                <w:lang w:val="en-GB"/>
              </w:rPr>
            </w:pPr>
            <w:r w:rsidRPr="00403BEF">
              <w:rPr>
                <w:lang w:val="en-GB"/>
              </w:rPr>
              <w:t>Evaluation mission</w:t>
            </w:r>
            <w:r w:rsidR="009A2A56">
              <w:rPr>
                <w:lang w:val="en-GB"/>
              </w:rPr>
              <w:t xml:space="preserve"> and desk review</w:t>
            </w:r>
          </w:p>
        </w:tc>
        <w:tc>
          <w:tcPr>
            <w:tcW w:w="2561" w:type="dxa"/>
          </w:tcPr>
          <w:p w:rsidR="00F250F0" w:rsidRPr="00403BEF" w:rsidRDefault="002461F6" w:rsidP="00115685">
            <w:pPr>
              <w:spacing w:line="276" w:lineRule="auto"/>
              <w:jc w:val="center"/>
              <w:rPr>
                <w:lang w:val="en-GB"/>
              </w:rPr>
            </w:pPr>
            <w:r w:rsidRPr="00403BEF">
              <w:rPr>
                <w:lang w:val="en-GB"/>
              </w:rPr>
              <w:t>21</w:t>
            </w:r>
            <w:r w:rsidR="00F250F0" w:rsidRPr="00403BEF">
              <w:rPr>
                <w:lang w:val="en-GB"/>
              </w:rPr>
              <w:t xml:space="preserve"> days</w:t>
            </w:r>
          </w:p>
        </w:tc>
        <w:tc>
          <w:tcPr>
            <w:tcW w:w="2693" w:type="dxa"/>
          </w:tcPr>
          <w:p w:rsidR="00F250F0" w:rsidRPr="00403BEF" w:rsidRDefault="002461F6" w:rsidP="00115685">
            <w:pPr>
              <w:spacing w:line="276" w:lineRule="auto"/>
              <w:jc w:val="center"/>
              <w:rPr>
                <w:lang w:val="en-GB"/>
              </w:rPr>
            </w:pPr>
            <w:r w:rsidRPr="00403BEF">
              <w:rPr>
                <w:lang w:val="en-GB"/>
              </w:rPr>
              <w:t>21</w:t>
            </w:r>
            <w:r w:rsidR="00F250F0" w:rsidRPr="00403BEF">
              <w:rPr>
                <w:lang w:val="en-GB"/>
              </w:rPr>
              <w:t xml:space="preserve"> days</w:t>
            </w:r>
          </w:p>
        </w:tc>
      </w:tr>
      <w:tr w:rsidR="00F250F0" w:rsidRPr="00403BEF" w:rsidTr="00115685">
        <w:trPr>
          <w:trHeight w:val="277"/>
        </w:trPr>
        <w:tc>
          <w:tcPr>
            <w:tcW w:w="4068" w:type="dxa"/>
          </w:tcPr>
          <w:p w:rsidR="00F250F0" w:rsidRPr="00403BEF" w:rsidRDefault="002461F6" w:rsidP="005A5F90">
            <w:pPr>
              <w:spacing w:line="276" w:lineRule="auto"/>
              <w:jc w:val="both"/>
              <w:rPr>
                <w:lang w:val="en-GB"/>
              </w:rPr>
            </w:pPr>
            <w:r w:rsidRPr="00403BEF">
              <w:rPr>
                <w:lang w:val="en-GB"/>
              </w:rPr>
              <w:t>Draft evaluation report</w:t>
            </w:r>
          </w:p>
        </w:tc>
        <w:tc>
          <w:tcPr>
            <w:tcW w:w="2561" w:type="dxa"/>
          </w:tcPr>
          <w:p w:rsidR="00F250F0" w:rsidRPr="00403BEF" w:rsidRDefault="002461F6" w:rsidP="00115685">
            <w:pPr>
              <w:spacing w:line="276" w:lineRule="auto"/>
              <w:jc w:val="center"/>
              <w:rPr>
                <w:lang w:val="en-GB"/>
              </w:rPr>
            </w:pPr>
            <w:r w:rsidRPr="00403BEF">
              <w:rPr>
                <w:lang w:val="en-GB"/>
              </w:rPr>
              <w:t>10</w:t>
            </w:r>
            <w:r w:rsidR="00F250F0" w:rsidRPr="00403BEF">
              <w:rPr>
                <w:lang w:val="en-GB"/>
              </w:rPr>
              <w:t xml:space="preserve"> days</w:t>
            </w:r>
          </w:p>
        </w:tc>
        <w:tc>
          <w:tcPr>
            <w:tcW w:w="2693" w:type="dxa"/>
          </w:tcPr>
          <w:p w:rsidR="00F250F0" w:rsidRPr="00403BEF" w:rsidRDefault="002461F6" w:rsidP="00115685">
            <w:pPr>
              <w:spacing w:line="276" w:lineRule="auto"/>
              <w:jc w:val="center"/>
              <w:rPr>
                <w:lang w:val="en-GB"/>
              </w:rPr>
            </w:pPr>
            <w:r w:rsidRPr="00403BEF">
              <w:rPr>
                <w:lang w:val="en-GB"/>
              </w:rPr>
              <w:t>8</w:t>
            </w:r>
            <w:r w:rsidR="00F250F0" w:rsidRPr="00403BEF">
              <w:rPr>
                <w:lang w:val="en-GB"/>
              </w:rPr>
              <w:t xml:space="preserve"> days</w:t>
            </w:r>
          </w:p>
        </w:tc>
      </w:tr>
      <w:tr w:rsidR="00F250F0" w:rsidRPr="00403BEF" w:rsidTr="00115685">
        <w:trPr>
          <w:trHeight w:val="277"/>
        </w:trPr>
        <w:tc>
          <w:tcPr>
            <w:tcW w:w="4068" w:type="dxa"/>
          </w:tcPr>
          <w:p w:rsidR="00F250F0" w:rsidRPr="00403BEF" w:rsidRDefault="002461F6" w:rsidP="005A5F90">
            <w:pPr>
              <w:spacing w:line="276" w:lineRule="auto"/>
              <w:jc w:val="both"/>
              <w:rPr>
                <w:lang w:val="en-GB"/>
              </w:rPr>
            </w:pPr>
            <w:r w:rsidRPr="00403BEF">
              <w:rPr>
                <w:lang w:val="en-GB"/>
              </w:rPr>
              <w:t>Final report</w:t>
            </w:r>
          </w:p>
        </w:tc>
        <w:tc>
          <w:tcPr>
            <w:tcW w:w="2561" w:type="dxa"/>
          </w:tcPr>
          <w:p w:rsidR="00F250F0" w:rsidRPr="00403BEF" w:rsidRDefault="002461F6" w:rsidP="00115685">
            <w:pPr>
              <w:spacing w:line="276" w:lineRule="auto"/>
              <w:jc w:val="center"/>
              <w:rPr>
                <w:lang w:val="en-GB"/>
              </w:rPr>
            </w:pPr>
            <w:r w:rsidRPr="00403BEF">
              <w:rPr>
                <w:lang w:val="en-GB"/>
              </w:rPr>
              <w:t>4</w:t>
            </w:r>
            <w:r w:rsidR="00F250F0" w:rsidRPr="00403BEF">
              <w:rPr>
                <w:lang w:val="en-GB"/>
              </w:rPr>
              <w:t xml:space="preserve"> days</w:t>
            </w:r>
          </w:p>
        </w:tc>
        <w:tc>
          <w:tcPr>
            <w:tcW w:w="2693" w:type="dxa"/>
          </w:tcPr>
          <w:p w:rsidR="00F250F0" w:rsidRPr="00403BEF" w:rsidRDefault="002461F6" w:rsidP="00115685">
            <w:pPr>
              <w:spacing w:line="276" w:lineRule="auto"/>
              <w:jc w:val="center"/>
              <w:rPr>
                <w:lang w:val="en-GB"/>
              </w:rPr>
            </w:pPr>
            <w:r w:rsidRPr="00403BEF">
              <w:rPr>
                <w:lang w:val="en-GB"/>
              </w:rPr>
              <w:t>2</w:t>
            </w:r>
            <w:r w:rsidR="00F250F0" w:rsidRPr="00403BEF">
              <w:rPr>
                <w:lang w:val="en-GB"/>
              </w:rPr>
              <w:t xml:space="preserve"> days</w:t>
            </w:r>
          </w:p>
        </w:tc>
      </w:tr>
      <w:tr w:rsidR="00484AF5" w:rsidRPr="00403BEF" w:rsidTr="00115685">
        <w:trPr>
          <w:trHeight w:val="277"/>
        </w:trPr>
        <w:tc>
          <w:tcPr>
            <w:tcW w:w="4068" w:type="dxa"/>
          </w:tcPr>
          <w:p w:rsidR="00484AF5" w:rsidRPr="00403BEF" w:rsidRDefault="00484AF5" w:rsidP="005A5F90">
            <w:pPr>
              <w:spacing w:line="276" w:lineRule="auto"/>
              <w:jc w:val="both"/>
              <w:rPr>
                <w:lang w:val="en-GB"/>
              </w:rPr>
            </w:pPr>
            <w:r>
              <w:rPr>
                <w:lang w:val="en-GB"/>
              </w:rPr>
              <w:t>Total</w:t>
            </w:r>
          </w:p>
        </w:tc>
        <w:tc>
          <w:tcPr>
            <w:tcW w:w="2561" w:type="dxa"/>
          </w:tcPr>
          <w:p w:rsidR="00484AF5" w:rsidRPr="00403BEF" w:rsidRDefault="00484AF5" w:rsidP="00115685">
            <w:pPr>
              <w:spacing w:line="276" w:lineRule="auto"/>
              <w:jc w:val="center"/>
              <w:rPr>
                <w:lang w:val="en-GB"/>
              </w:rPr>
            </w:pPr>
            <w:r>
              <w:rPr>
                <w:lang w:val="en-GB"/>
              </w:rPr>
              <w:t>40</w:t>
            </w:r>
            <w:r w:rsidR="00115685">
              <w:rPr>
                <w:lang w:val="en-GB"/>
              </w:rPr>
              <w:t xml:space="preserve"> days</w:t>
            </w:r>
          </w:p>
        </w:tc>
        <w:tc>
          <w:tcPr>
            <w:tcW w:w="2693" w:type="dxa"/>
          </w:tcPr>
          <w:p w:rsidR="00484AF5" w:rsidRPr="00403BEF" w:rsidRDefault="00484AF5" w:rsidP="00115685">
            <w:pPr>
              <w:spacing w:line="276" w:lineRule="auto"/>
              <w:jc w:val="center"/>
              <w:rPr>
                <w:lang w:val="en-GB"/>
              </w:rPr>
            </w:pPr>
            <w:r>
              <w:rPr>
                <w:lang w:val="en-GB"/>
              </w:rPr>
              <w:t>36</w:t>
            </w:r>
            <w:r w:rsidR="00115685">
              <w:rPr>
                <w:lang w:val="en-GB"/>
              </w:rPr>
              <w:t xml:space="preserve"> days</w:t>
            </w:r>
          </w:p>
        </w:tc>
      </w:tr>
    </w:tbl>
    <w:p w:rsidR="00F800BB" w:rsidRDefault="00F800BB" w:rsidP="005A5F90">
      <w:pPr>
        <w:spacing w:after="120"/>
        <w:rPr>
          <w:u w:val="single"/>
          <w:lang w:val="en-GB"/>
        </w:rPr>
      </w:pPr>
    </w:p>
    <w:p w:rsidR="00C46268" w:rsidRPr="003E3A43" w:rsidRDefault="00C46268" w:rsidP="005A5F90">
      <w:pPr>
        <w:spacing w:after="120"/>
        <w:rPr>
          <w:u w:val="single"/>
          <w:lang w:val="en-GB"/>
        </w:rPr>
      </w:pPr>
      <w:r w:rsidRPr="00E07D01">
        <w:rPr>
          <w:u w:val="single"/>
          <w:lang w:val="en-GB"/>
        </w:rPr>
        <w:t xml:space="preserve">Schedule of </w:t>
      </w:r>
      <w:r w:rsidRPr="003E3A43">
        <w:rPr>
          <w:u w:val="single"/>
          <w:lang w:val="en-GB"/>
        </w:rPr>
        <w:t>Payment: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2552"/>
        <w:gridCol w:w="2659"/>
      </w:tblGrid>
      <w:tr w:rsidR="00115685" w:rsidRPr="00142C26" w:rsidTr="00115685">
        <w:tc>
          <w:tcPr>
            <w:tcW w:w="4111" w:type="dxa"/>
            <w:shd w:val="clear" w:color="auto" w:fill="D9D9D9" w:themeFill="background1" w:themeFillShade="D9"/>
            <w:vAlign w:val="center"/>
          </w:tcPr>
          <w:p w:rsidR="00115685" w:rsidRPr="003E3A43" w:rsidRDefault="00115685" w:rsidP="00115685">
            <w:pPr>
              <w:spacing w:after="0"/>
              <w:jc w:val="center"/>
              <w:rPr>
                <w:rFonts w:ascii="Calibri" w:eastAsia="Times New Roman" w:hAnsi="Calibri" w:cs="Times New Roman"/>
                <w:b/>
                <w:lang w:val="en-GB"/>
              </w:rPr>
            </w:pPr>
            <w:r w:rsidRPr="003E3A43">
              <w:rPr>
                <w:rFonts w:ascii="Calibri" w:eastAsia="Times New Roman" w:hAnsi="Calibri" w:cs="Times New Roman"/>
                <w:b/>
                <w:lang w:val="en-GB"/>
              </w:rPr>
              <w:t>Deliverables</w:t>
            </w:r>
          </w:p>
        </w:tc>
        <w:tc>
          <w:tcPr>
            <w:tcW w:w="2552" w:type="dxa"/>
            <w:shd w:val="clear" w:color="auto" w:fill="D9D9D9" w:themeFill="background1" w:themeFillShade="D9"/>
            <w:vAlign w:val="center"/>
          </w:tcPr>
          <w:p w:rsidR="00115685" w:rsidRPr="003E3A43" w:rsidRDefault="00115685" w:rsidP="00115685">
            <w:pPr>
              <w:spacing w:after="0"/>
              <w:jc w:val="center"/>
              <w:rPr>
                <w:rFonts w:ascii="Calibri" w:eastAsia="Times New Roman" w:hAnsi="Calibri" w:cs="Times New Roman"/>
                <w:b/>
                <w:lang w:val="en-GB"/>
              </w:rPr>
            </w:pPr>
            <w:r>
              <w:rPr>
                <w:rFonts w:ascii="Calibri" w:eastAsia="Times New Roman" w:hAnsi="Calibri" w:cs="Times New Roman"/>
                <w:b/>
                <w:lang w:val="en-GB"/>
              </w:rPr>
              <w:t>Percentage payment to Consultant One (Team leader):</w:t>
            </w:r>
          </w:p>
        </w:tc>
        <w:tc>
          <w:tcPr>
            <w:tcW w:w="2659" w:type="dxa"/>
            <w:shd w:val="clear" w:color="auto" w:fill="D9D9D9" w:themeFill="background1" w:themeFillShade="D9"/>
            <w:vAlign w:val="center"/>
          </w:tcPr>
          <w:p w:rsidR="00115685" w:rsidRPr="003E3A43" w:rsidRDefault="00115685" w:rsidP="00115685">
            <w:pPr>
              <w:spacing w:after="0"/>
              <w:jc w:val="center"/>
              <w:rPr>
                <w:rFonts w:ascii="Calibri" w:eastAsia="Times New Roman" w:hAnsi="Calibri" w:cs="Times New Roman"/>
                <w:b/>
                <w:lang w:val="en-GB"/>
              </w:rPr>
            </w:pPr>
            <w:r>
              <w:rPr>
                <w:rFonts w:ascii="Calibri" w:eastAsia="Times New Roman" w:hAnsi="Calibri" w:cs="Times New Roman"/>
                <w:b/>
                <w:lang w:val="en-GB"/>
              </w:rPr>
              <w:t>Percentage payment to Consultant Two:</w:t>
            </w:r>
          </w:p>
        </w:tc>
      </w:tr>
      <w:tr w:rsidR="00115685" w:rsidRPr="003E3A43" w:rsidTr="00115685">
        <w:tc>
          <w:tcPr>
            <w:tcW w:w="4111" w:type="dxa"/>
          </w:tcPr>
          <w:p w:rsidR="00115685" w:rsidRPr="003E3A43" w:rsidRDefault="00115685" w:rsidP="00115685">
            <w:pPr>
              <w:spacing w:after="0"/>
              <w:rPr>
                <w:rFonts w:ascii="Calibri" w:eastAsia="Times New Roman" w:hAnsi="Calibri" w:cs="Times New Roman"/>
                <w:i/>
                <w:lang w:val="en-GB"/>
              </w:rPr>
            </w:pPr>
            <w:r w:rsidRPr="003E3A43">
              <w:rPr>
                <w:rFonts w:ascii="Calibri" w:eastAsia="Times New Roman" w:hAnsi="Calibri" w:cs="Times New Roman"/>
                <w:lang w:val="en-GB"/>
              </w:rPr>
              <w:t>Inception report</w:t>
            </w:r>
          </w:p>
        </w:tc>
        <w:tc>
          <w:tcPr>
            <w:tcW w:w="2552" w:type="dxa"/>
            <w:vAlign w:val="center"/>
          </w:tcPr>
          <w:p w:rsidR="00115685" w:rsidRPr="003E3A43" w:rsidRDefault="00115685" w:rsidP="00115685">
            <w:pPr>
              <w:spacing w:after="0"/>
              <w:jc w:val="center"/>
              <w:rPr>
                <w:rFonts w:ascii="Calibri" w:eastAsia="Times New Roman" w:hAnsi="Calibri" w:cs="Times New Roman"/>
                <w:lang w:val="en-GB"/>
              </w:rPr>
            </w:pPr>
            <w:r w:rsidRPr="003E3A43">
              <w:rPr>
                <w:rFonts w:ascii="Calibri" w:eastAsia="Times New Roman" w:hAnsi="Calibri" w:cs="Times New Roman"/>
                <w:lang w:val="en-GB"/>
              </w:rPr>
              <w:t>1</w:t>
            </w:r>
            <w:r>
              <w:rPr>
                <w:rFonts w:ascii="Calibri" w:eastAsia="Times New Roman" w:hAnsi="Calibri" w:cs="Times New Roman"/>
                <w:lang w:val="en-GB"/>
              </w:rPr>
              <w:t>2.5</w:t>
            </w:r>
            <w:r w:rsidRPr="003E3A43">
              <w:rPr>
                <w:rFonts w:ascii="Calibri" w:eastAsia="Times New Roman" w:hAnsi="Calibri" w:cs="Times New Roman"/>
                <w:lang w:val="en-GB"/>
              </w:rPr>
              <w:t>%</w:t>
            </w:r>
          </w:p>
        </w:tc>
        <w:tc>
          <w:tcPr>
            <w:tcW w:w="2659" w:type="dxa"/>
            <w:vAlign w:val="center"/>
          </w:tcPr>
          <w:p w:rsidR="00115685" w:rsidRPr="003E3A43" w:rsidRDefault="00115685" w:rsidP="00115685">
            <w:pPr>
              <w:spacing w:after="0"/>
              <w:jc w:val="center"/>
              <w:rPr>
                <w:rFonts w:ascii="Calibri" w:eastAsia="Times New Roman" w:hAnsi="Calibri" w:cs="Times New Roman"/>
                <w:lang w:val="en-GB"/>
              </w:rPr>
            </w:pPr>
            <w:r>
              <w:rPr>
                <w:rFonts w:ascii="Calibri" w:eastAsia="Times New Roman" w:hAnsi="Calibri" w:cs="Times New Roman"/>
                <w:lang w:val="en-GB"/>
              </w:rPr>
              <w:t>13.9</w:t>
            </w:r>
          </w:p>
        </w:tc>
      </w:tr>
      <w:tr w:rsidR="00115685" w:rsidRPr="003E3A43" w:rsidTr="00115685">
        <w:tc>
          <w:tcPr>
            <w:tcW w:w="4111" w:type="dxa"/>
          </w:tcPr>
          <w:p w:rsidR="00115685" w:rsidRPr="003E3A43" w:rsidRDefault="00115685" w:rsidP="00115685">
            <w:pPr>
              <w:spacing w:after="0"/>
              <w:rPr>
                <w:rFonts w:ascii="Calibri" w:eastAsia="Times New Roman" w:hAnsi="Calibri" w:cs="Times New Roman"/>
                <w:i/>
                <w:lang w:val="en-GB"/>
              </w:rPr>
            </w:pPr>
            <w:r>
              <w:rPr>
                <w:rFonts w:ascii="Calibri" w:eastAsia="Times New Roman" w:hAnsi="Calibri" w:cs="Times New Roman"/>
                <w:lang w:val="en-GB"/>
              </w:rPr>
              <w:t>S</w:t>
            </w:r>
            <w:r w:rsidRPr="003E3A43">
              <w:rPr>
                <w:rFonts w:ascii="Calibri" w:eastAsia="Times New Roman" w:hAnsi="Calibri" w:cs="Times New Roman"/>
                <w:lang w:val="en-GB"/>
              </w:rPr>
              <w:t>ubmission and approval of the draft evaluation report</w:t>
            </w:r>
          </w:p>
        </w:tc>
        <w:tc>
          <w:tcPr>
            <w:tcW w:w="2552" w:type="dxa"/>
            <w:vAlign w:val="center"/>
          </w:tcPr>
          <w:p w:rsidR="00115685" w:rsidRPr="003E3A43" w:rsidRDefault="00115685" w:rsidP="00115685">
            <w:pPr>
              <w:spacing w:after="0"/>
              <w:jc w:val="center"/>
              <w:rPr>
                <w:rFonts w:ascii="Calibri" w:eastAsia="Times New Roman" w:hAnsi="Calibri" w:cs="Times New Roman"/>
                <w:lang w:val="en-GB"/>
              </w:rPr>
            </w:pPr>
            <w:r>
              <w:rPr>
                <w:rFonts w:ascii="Calibri" w:eastAsia="Times New Roman" w:hAnsi="Calibri" w:cs="Times New Roman"/>
                <w:lang w:val="en-GB"/>
              </w:rPr>
              <w:t>25</w:t>
            </w:r>
            <w:r w:rsidRPr="003E3A43">
              <w:rPr>
                <w:rFonts w:ascii="Calibri" w:eastAsia="Times New Roman" w:hAnsi="Calibri" w:cs="Times New Roman"/>
                <w:lang w:val="en-GB"/>
              </w:rPr>
              <w:t>%</w:t>
            </w:r>
          </w:p>
        </w:tc>
        <w:tc>
          <w:tcPr>
            <w:tcW w:w="2659" w:type="dxa"/>
            <w:vAlign w:val="center"/>
          </w:tcPr>
          <w:p w:rsidR="00115685" w:rsidRPr="003E3A43" w:rsidRDefault="00115685" w:rsidP="00115685">
            <w:pPr>
              <w:spacing w:after="0"/>
              <w:jc w:val="center"/>
              <w:rPr>
                <w:rFonts w:ascii="Calibri" w:eastAsia="Times New Roman" w:hAnsi="Calibri" w:cs="Times New Roman"/>
                <w:lang w:val="en-GB"/>
              </w:rPr>
            </w:pPr>
            <w:r>
              <w:rPr>
                <w:rFonts w:ascii="Calibri" w:eastAsia="Times New Roman" w:hAnsi="Calibri" w:cs="Times New Roman"/>
                <w:lang w:val="en-GB"/>
              </w:rPr>
              <w:t>22.2%</w:t>
            </w:r>
          </w:p>
        </w:tc>
      </w:tr>
      <w:tr w:rsidR="00115685" w:rsidRPr="003E3A43" w:rsidTr="00115685">
        <w:tc>
          <w:tcPr>
            <w:tcW w:w="4111" w:type="dxa"/>
          </w:tcPr>
          <w:p w:rsidR="00115685" w:rsidRPr="003E3A43" w:rsidRDefault="00115685" w:rsidP="00115685">
            <w:pPr>
              <w:spacing w:after="0"/>
              <w:rPr>
                <w:rFonts w:ascii="Calibri" w:eastAsia="Times New Roman" w:hAnsi="Calibri" w:cs="Times New Roman"/>
                <w:i/>
                <w:lang w:val="en-GB"/>
              </w:rPr>
            </w:pPr>
            <w:r>
              <w:rPr>
                <w:rFonts w:ascii="Calibri" w:eastAsia="Times New Roman" w:hAnsi="Calibri" w:cs="Times New Roman"/>
                <w:lang w:val="en-GB"/>
              </w:rPr>
              <w:t>S</w:t>
            </w:r>
            <w:r w:rsidRPr="003E3A43">
              <w:rPr>
                <w:rFonts w:ascii="Calibri" w:eastAsia="Times New Roman" w:hAnsi="Calibri" w:cs="Times New Roman"/>
                <w:lang w:val="en-GB"/>
              </w:rPr>
              <w:t>ubmission and approval of the final evaluation report</w:t>
            </w:r>
          </w:p>
        </w:tc>
        <w:tc>
          <w:tcPr>
            <w:tcW w:w="2552" w:type="dxa"/>
            <w:vAlign w:val="center"/>
          </w:tcPr>
          <w:p w:rsidR="00115685" w:rsidRPr="003E3A43" w:rsidRDefault="00115685" w:rsidP="00115685">
            <w:pPr>
              <w:spacing w:after="0"/>
              <w:jc w:val="center"/>
              <w:rPr>
                <w:rFonts w:ascii="Calibri" w:eastAsia="Times New Roman" w:hAnsi="Calibri" w:cs="Times New Roman"/>
                <w:lang w:val="en-GB"/>
              </w:rPr>
            </w:pPr>
            <w:r>
              <w:rPr>
                <w:rFonts w:ascii="Calibri" w:eastAsia="Times New Roman" w:hAnsi="Calibri" w:cs="Times New Roman"/>
                <w:lang w:val="en-GB"/>
              </w:rPr>
              <w:t>62.5</w:t>
            </w:r>
            <w:r w:rsidRPr="003E3A43">
              <w:rPr>
                <w:rFonts w:ascii="Calibri" w:eastAsia="Times New Roman" w:hAnsi="Calibri" w:cs="Times New Roman"/>
                <w:lang w:val="en-GB"/>
              </w:rPr>
              <w:t>%</w:t>
            </w:r>
          </w:p>
        </w:tc>
        <w:tc>
          <w:tcPr>
            <w:tcW w:w="2659" w:type="dxa"/>
            <w:vAlign w:val="center"/>
          </w:tcPr>
          <w:p w:rsidR="00115685" w:rsidRPr="003E3A43" w:rsidRDefault="00115685" w:rsidP="00115685">
            <w:pPr>
              <w:spacing w:after="0"/>
              <w:jc w:val="center"/>
              <w:rPr>
                <w:rFonts w:ascii="Calibri" w:eastAsia="Times New Roman" w:hAnsi="Calibri" w:cs="Times New Roman"/>
                <w:lang w:val="en-GB"/>
              </w:rPr>
            </w:pPr>
            <w:r>
              <w:rPr>
                <w:rFonts w:ascii="Calibri" w:eastAsia="Times New Roman" w:hAnsi="Calibri" w:cs="Times New Roman"/>
                <w:lang w:val="en-GB"/>
              </w:rPr>
              <w:t>63.9%</w:t>
            </w:r>
          </w:p>
        </w:tc>
      </w:tr>
    </w:tbl>
    <w:p w:rsidR="003D0A6D" w:rsidRPr="008A52E9" w:rsidRDefault="003D0A6D" w:rsidP="005A5F90">
      <w:pPr>
        <w:spacing w:after="120"/>
        <w:jc w:val="both"/>
        <w:rPr>
          <w:color w:val="FF0000"/>
          <w:lang w:val="en-GB"/>
        </w:rPr>
      </w:pPr>
    </w:p>
    <w:sectPr w:rsidR="003D0A6D" w:rsidRPr="008A52E9" w:rsidSect="006B0D82">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9F3" w:rsidRDefault="00E479F3" w:rsidP="00145E8E">
      <w:pPr>
        <w:spacing w:after="0" w:line="240" w:lineRule="auto"/>
      </w:pPr>
      <w:r>
        <w:separator/>
      </w:r>
    </w:p>
  </w:endnote>
  <w:endnote w:type="continuationSeparator" w:id="0">
    <w:p w:rsidR="00E479F3" w:rsidRDefault="00E479F3" w:rsidP="00145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6892"/>
      <w:docPartObj>
        <w:docPartGallery w:val="Page Numbers (Bottom of Page)"/>
        <w:docPartUnique/>
      </w:docPartObj>
    </w:sdtPr>
    <w:sdtContent>
      <w:p w:rsidR="00E479F3" w:rsidRDefault="00444DF5">
        <w:pPr>
          <w:pStyle w:val="Footer"/>
          <w:jc w:val="right"/>
        </w:pPr>
        <w:fldSimple w:instr=" PAGE   \* MERGEFORMAT ">
          <w:r w:rsidR="00142C26">
            <w:rPr>
              <w:noProof/>
            </w:rPr>
            <w:t>13</w:t>
          </w:r>
        </w:fldSimple>
      </w:p>
    </w:sdtContent>
  </w:sdt>
  <w:p w:rsidR="00E479F3" w:rsidRDefault="00E47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9F3" w:rsidRDefault="00E479F3" w:rsidP="00145E8E">
      <w:pPr>
        <w:spacing w:after="0" w:line="240" w:lineRule="auto"/>
      </w:pPr>
      <w:r>
        <w:separator/>
      </w:r>
    </w:p>
  </w:footnote>
  <w:footnote w:type="continuationSeparator" w:id="0">
    <w:p w:rsidR="00E479F3" w:rsidRDefault="00E479F3" w:rsidP="00145E8E">
      <w:pPr>
        <w:spacing w:after="0" w:line="240" w:lineRule="auto"/>
      </w:pPr>
      <w:r>
        <w:continuationSeparator/>
      </w:r>
    </w:p>
  </w:footnote>
  <w:footnote w:id="1">
    <w:p w:rsidR="00E479F3" w:rsidRDefault="00E479F3">
      <w:pPr>
        <w:pStyle w:val="FootnoteText"/>
        <w:rPr>
          <w:lang w:val="en-GB"/>
        </w:rPr>
      </w:pPr>
      <w:r>
        <w:rPr>
          <w:rStyle w:val="FootnoteReference"/>
        </w:rPr>
        <w:footnoteRef/>
      </w:r>
      <w:r w:rsidRPr="00C52FB0">
        <w:t xml:space="preserve"> </w:t>
      </w:r>
      <w:r w:rsidRPr="00C52FB0">
        <w:rPr>
          <w:lang w:val="en-GB"/>
        </w:rPr>
        <w:t>Viet Nam National Prog</w:t>
      </w:r>
      <w:r>
        <w:rPr>
          <w:lang w:val="en-GB"/>
        </w:rPr>
        <w:t>ramme Document is available on:</w:t>
      </w:r>
    </w:p>
    <w:p w:rsidR="00E479F3" w:rsidRPr="00951BB4" w:rsidRDefault="00444DF5">
      <w:pPr>
        <w:pStyle w:val="FootnoteText"/>
        <w:rPr>
          <w:lang w:val="en-GB"/>
        </w:rPr>
      </w:pPr>
      <w:hyperlink r:id="rId1" w:history="1">
        <w:r w:rsidR="00E479F3" w:rsidRPr="00951BB4">
          <w:rPr>
            <w:rStyle w:val="Hyperlink"/>
            <w:lang w:val="en-GB"/>
          </w:rPr>
          <w:t>http://www.unredd.net/index.php?option=com_docman&amp;task=doc_download&amp;gid=931&amp;Itemid=53</w:t>
        </w:r>
      </w:hyperlink>
      <w:r w:rsidR="00E479F3" w:rsidRPr="00951BB4">
        <w:rPr>
          <w:lang w:val="en-GB"/>
        </w:rPr>
        <w:t xml:space="preserve"> </w:t>
      </w:r>
    </w:p>
  </w:footnote>
  <w:footnote w:id="2">
    <w:p w:rsidR="00E479F3" w:rsidRDefault="00E479F3">
      <w:pPr>
        <w:pStyle w:val="FootnoteText"/>
        <w:rPr>
          <w:lang w:val="en-GB"/>
        </w:rPr>
      </w:pPr>
      <w:r>
        <w:rPr>
          <w:rStyle w:val="FootnoteReference"/>
        </w:rPr>
        <w:footnoteRef/>
      </w:r>
      <w:r w:rsidRPr="00827277">
        <w:rPr>
          <w:lang w:val="en-GB"/>
        </w:rPr>
        <w:t xml:space="preserve"> </w:t>
      </w:r>
      <w:r>
        <w:rPr>
          <w:lang w:val="en-GB"/>
        </w:rPr>
        <w:t>All Viet Nam National Programme reports are available on the MPTF Gateway:</w:t>
      </w:r>
    </w:p>
    <w:p w:rsidR="00E479F3" w:rsidRPr="00827277" w:rsidRDefault="00444DF5">
      <w:pPr>
        <w:pStyle w:val="FootnoteText"/>
        <w:rPr>
          <w:lang w:val="en-GB"/>
        </w:rPr>
      </w:pPr>
      <w:hyperlink r:id="rId2" w:history="1">
        <w:r w:rsidR="00E479F3" w:rsidRPr="00F40AAD">
          <w:rPr>
            <w:rStyle w:val="Hyperlink"/>
            <w:lang w:val="en-GB"/>
          </w:rPr>
          <w:t>http://mptf.undp.org/factsheet/project/00072449</w:t>
        </w:r>
      </w:hyperlink>
    </w:p>
  </w:footnote>
  <w:footnote w:id="3">
    <w:p w:rsidR="00E479F3" w:rsidRDefault="00E479F3" w:rsidP="00C5576F">
      <w:pPr>
        <w:pStyle w:val="FootnoteText"/>
        <w:rPr>
          <w:lang w:val="en-GB"/>
        </w:rPr>
      </w:pPr>
      <w:r>
        <w:rPr>
          <w:rStyle w:val="FootnoteReference"/>
        </w:rPr>
        <w:footnoteRef/>
      </w:r>
      <w:r w:rsidRPr="0043017F">
        <w:rPr>
          <w:lang w:val="en-GB"/>
        </w:rPr>
        <w:t xml:space="preserve"> The </w:t>
      </w:r>
      <w:r>
        <w:rPr>
          <w:lang w:val="en-GB"/>
        </w:rPr>
        <w:t>UN-REDD Programme Strategy 2011-2015 is available on:</w:t>
      </w:r>
    </w:p>
    <w:p w:rsidR="00E479F3" w:rsidRPr="0043017F" w:rsidRDefault="00444DF5" w:rsidP="00C5576F">
      <w:pPr>
        <w:pStyle w:val="FootnoteText"/>
        <w:rPr>
          <w:lang w:val="en-GB"/>
        </w:rPr>
      </w:pPr>
      <w:hyperlink r:id="rId3" w:history="1">
        <w:r w:rsidR="00E479F3" w:rsidRPr="0042786C">
          <w:rPr>
            <w:rStyle w:val="Hyperlink"/>
            <w:lang w:val="en-GB"/>
          </w:rPr>
          <w:t>http://www.unredd.net/index.php?option=com_docman&amp;task=doc_download&amp;gid=4598&amp;Itemid=53</w:t>
        </w:r>
      </w:hyperlink>
    </w:p>
  </w:footnote>
  <w:footnote w:id="4">
    <w:p w:rsidR="00E479F3" w:rsidRDefault="00E479F3" w:rsidP="00C5576F">
      <w:pPr>
        <w:pStyle w:val="FootnoteText"/>
        <w:rPr>
          <w:lang w:val="en-GB"/>
        </w:rPr>
      </w:pPr>
      <w:r>
        <w:rPr>
          <w:rStyle w:val="FootnoteReference"/>
        </w:rPr>
        <w:footnoteRef/>
      </w:r>
      <w:r w:rsidRPr="0043017F">
        <w:rPr>
          <w:lang w:val="en-GB"/>
        </w:rPr>
        <w:t xml:space="preserve"> The UN-REDD Programme Framework Do</w:t>
      </w:r>
      <w:r>
        <w:rPr>
          <w:lang w:val="en-GB"/>
        </w:rPr>
        <w:t>cument is available on:</w:t>
      </w:r>
    </w:p>
    <w:p w:rsidR="00E479F3" w:rsidRPr="0043017F" w:rsidRDefault="00444DF5" w:rsidP="00C5576F">
      <w:pPr>
        <w:pStyle w:val="FootnoteText"/>
        <w:rPr>
          <w:lang w:val="en-GB"/>
        </w:rPr>
      </w:pPr>
      <w:hyperlink r:id="rId4" w:history="1">
        <w:r w:rsidR="00E479F3" w:rsidRPr="00F504C2">
          <w:rPr>
            <w:rStyle w:val="Hyperlink"/>
            <w:lang w:val="en-GB"/>
          </w:rPr>
          <w:t>http://www.unredd.net/index.php?option=com_docman&amp;task=doc_download&amp;gid=4&amp;Itemid=53</w:t>
        </w:r>
      </w:hyperlink>
    </w:p>
  </w:footnote>
  <w:footnote w:id="5">
    <w:p w:rsidR="00E479F3" w:rsidRDefault="00E479F3">
      <w:pPr>
        <w:pStyle w:val="FootnoteText"/>
        <w:rPr>
          <w:lang w:val="en-GB"/>
        </w:rPr>
      </w:pPr>
      <w:r>
        <w:rPr>
          <w:rStyle w:val="FootnoteReference"/>
        </w:rPr>
        <w:footnoteRef/>
      </w:r>
      <w:r w:rsidRPr="002160C4">
        <w:rPr>
          <w:lang w:val="en-GB"/>
        </w:rPr>
        <w:t xml:space="preserve"> The Vietnam One Plans a</w:t>
      </w:r>
      <w:r>
        <w:rPr>
          <w:lang w:val="en-GB"/>
        </w:rPr>
        <w:t>re available on the UN Vietnam website:</w:t>
      </w:r>
    </w:p>
    <w:p w:rsidR="00E479F3" w:rsidRPr="002160C4" w:rsidRDefault="00444DF5">
      <w:pPr>
        <w:pStyle w:val="FootnoteText"/>
        <w:rPr>
          <w:lang w:val="en-GB"/>
        </w:rPr>
      </w:pPr>
      <w:hyperlink r:id="rId5" w:history="1">
        <w:r w:rsidR="00E479F3" w:rsidRPr="00CE1E43">
          <w:rPr>
            <w:rStyle w:val="Hyperlink"/>
            <w:lang w:val="en-GB"/>
          </w:rPr>
          <w:t>http://www.un.org.vn/en/the-one-un-initiative-in-viet-nam-mainmenu-265/one-plan.html</w:t>
        </w:r>
      </w:hyperlink>
      <w:r w:rsidR="00E479F3">
        <w:rPr>
          <w:lang w:val="en-GB"/>
        </w:rPr>
        <w:t xml:space="preserve"> </w:t>
      </w:r>
    </w:p>
  </w:footnote>
  <w:footnote w:id="6">
    <w:p w:rsidR="00E479F3" w:rsidRPr="0043017F" w:rsidRDefault="00E479F3" w:rsidP="00C5576F">
      <w:pPr>
        <w:pStyle w:val="FootnoteText"/>
        <w:rPr>
          <w:lang w:val="en-GB"/>
        </w:rPr>
      </w:pPr>
      <w:r>
        <w:rPr>
          <w:rStyle w:val="FootnoteReference"/>
        </w:rPr>
        <w:footnoteRef/>
      </w:r>
      <w:r w:rsidRPr="0043017F">
        <w:rPr>
          <w:lang w:val="en-GB"/>
        </w:rPr>
        <w:t xml:space="preserve"> The UN-REDD Programme Framework Do</w:t>
      </w:r>
      <w:r>
        <w:rPr>
          <w:lang w:val="en-GB"/>
        </w:rPr>
        <w:t xml:space="preserve">cument is available on: </w:t>
      </w:r>
      <w:hyperlink r:id="rId6" w:history="1">
        <w:r w:rsidRPr="00F504C2">
          <w:rPr>
            <w:rStyle w:val="Hyperlink"/>
            <w:lang w:val="en-GB"/>
          </w:rPr>
          <w:t>http://www.unredd.net/index.php?option=com_docman&amp;task=doc_download&amp;gid=4&amp;Itemid=53</w:t>
        </w:r>
      </w:hyperlink>
      <w:r>
        <w:rPr>
          <w:lang w:val="en-GB"/>
        </w:rPr>
        <w:t xml:space="preserve"> </w:t>
      </w:r>
    </w:p>
  </w:footnote>
  <w:footnote w:id="7">
    <w:p w:rsidR="00E479F3" w:rsidRPr="003355F6" w:rsidRDefault="00E479F3" w:rsidP="00C5576F">
      <w:pPr>
        <w:pStyle w:val="FootnoteText"/>
        <w:jc w:val="both"/>
        <w:rPr>
          <w:lang w:val="en-GB"/>
        </w:rPr>
      </w:pPr>
      <w:r>
        <w:rPr>
          <w:rStyle w:val="FootnoteReference"/>
        </w:rPr>
        <w:footnoteRef/>
      </w:r>
      <w:r w:rsidRPr="003355F6">
        <w:rPr>
          <w:lang w:val="en-GB"/>
        </w:rPr>
        <w:t xml:space="preserve"> </w:t>
      </w:r>
      <w:r>
        <w:rPr>
          <w:lang w:val="en-GB"/>
        </w:rPr>
        <w:t>The Theory of Change will be used to review the progress towards impacts, by applying the ROtI methodology assessing the likelihood of impact achievement (Annex 6).</w:t>
      </w:r>
    </w:p>
  </w:footnote>
  <w:footnote w:id="8">
    <w:p w:rsidR="00E479F3" w:rsidRPr="000B6EC0" w:rsidRDefault="00E479F3" w:rsidP="00061CFA">
      <w:pPr>
        <w:pStyle w:val="FootnoteText"/>
        <w:jc w:val="both"/>
        <w:rPr>
          <w:lang w:val="en-US"/>
        </w:rPr>
      </w:pPr>
      <w:r>
        <w:rPr>
          <w:rStyle w:val="FootnoteReference"/>
        </w:rPr>
        <w:footnoteRef/>
      </w:r>
      <w:r w:rsidRPr="003E33DF">
        <w:rPr>
          <w:lang w:val="en-US"/>
        </w:rPr>
        <w:t xml:space="preserve"> </w:t>
      </w:r>
      <w:r>
        <w:rPr>
          <w:lang w:val="en-US"/>
        </w:rPr>
        <w:t>None of the guidelines referred to were available during most of the period of programme implementation.</w:t>
      </w:r>
    </w:p>
  </w:footnote>
  <w:footnote w:id="9">
    <w:p w:rsidR="00E479F3" w:rsidRPr="00BB43DA" w:rsidRDefault="00E479F3" w:rsidP="00C5576F">
      <w:pPr>
        <w:pStyle w:val="FootnoteText"/>
        <w:jc w:val="both"/>
        <w:rPr>
          <w:lang w:val="en-GB"/>
        </w:rPr>
      </w:pPr>
      <w:r>
        <w:rPr>
          <w:rStyle w:val="FootnoteReference"/>
        </w:rPr>
        <w:footnoteRef/>
      </w:r>
      <w:r w:rsidRPr="00C31D61">
        <w:rPr>
          <w:lang w:val="en-GB"/>
        </w:rPr>
        <w:t xml:space="preserve">UNEG Norms &amp; Standards: </w:t>
      </w:r>
      <w:hyperlink r:id="rId7" w:history="1">
        <w:r w:rsidRPr="00C31D61">
          <w:rPr>
            <w:rStyle w:val="Hyperlink"/>
            <w:lang w:val="en-GB"/>
          </w:rPr>
          <w:t>http://uneval.org/normsandstandards</w:t>
        </w:r>
      </w:hyperlink>
    </w:p>
  </w:footnote>
  <w:footnote w:id="10">
    <w:p w:rsidR="00E479F3" w:rsidRPr="001054DD" w:rsidRDefault="00E479F3" w:rsidP="00C5576F">
      <w:pPr>
        <w:pStyle w:val="FootnoteText"/>
        <w:jc w:val="both"/>
        <w:rPr>
          <w:lang w:val="en-GB"/>
        </w:rPr>
      </w:pPr>
      <w:r>
        <w:rPr>
          <w:rStyle w:val="FootnoteReference"/>
        </w:rPr>
        <w:footnoteRef/>
      </w:r>
      <w:r w:rsidRPr="001054DD">
        <w:rPr>
          <w:lang w:val="en-GB"/>
        </w:rPr>
        <w:t xml:space="preserve"> </w:t>
      </w:r>
      <w:r>
        <w:rPr>
          <w:lang w:val="en-GB"/>
        </w:rPr>
        <w:t>I</w:t>
      </w:r>
      <w:r w:rsidRPr="00A72364">
        <w:rPr>
          <w:lang w:val="en-GB"/>
        </w:rPr>
        <w:t>ndividuals should not be mentioned by name if anonymity needs to be preserved.</w:t>
      </w:r>
      <w:r>
        <w:rPr>
          <w:lang w:val="en-GB"/>
        </w:rPr>
        <w:t xml:space="preserve"> In such cases sources can be expressed in generic term (Government, NGO, donor etc.).</w:t>
      </w:r>
    </w:p>
  </w:footnote>
  <w:footnote w:id="11">
    <w:p w:rsidR="00E479F3" w:rsidRPr="0043017F" w:rsidRDefault="00E479F3" w:rsidP="00B67BD0">
      <w:pPr>
        <w:pStyle w:val="FootnoteText"/>
        <w:rPr>
          <w:lang w:val="en-GB"/>
        </w:rPr>
      </w:pPr>
      <w:r>
        <w:rPr>
          <w:rStyle w:val="FootnoteReference"/>
        </w:rPr>
        <w:footnoteRef/>
      </w:r>
      <w:r w:rsidRPr="0043017F">
        <w:rPr>
          <w:lang w:val="en-GB"/>
        </w:rPr>
        <w:t xml:space="preserve"> The UN-REDD Programme Framework Do</w:t>
      </w:r>
      <w:r>
        <w:rPr>
          <w:lang w:val="en-GB"/>
        </w:rPr>
        <w:t xml:space="preserve">cument is available on: </w:t>
      </w:r>
      <w:hyperlink r:id="rId8" w:history="1">
        <w:r w:rsidRPr="00F504C2">
          <w:rPr>
            <w:rStyle w:val="Hyperlink"/>
            <w:lang w:val="en-GB"/>
          </w:rPr>
          <w:t>http://www.unredd.net/index.php?option=com_docman&amp;task=doc_download&amp;gid=4&amp;Itemid=53</w:t>
        </w:r>
      </w:hyperlink>
      <w:r>
        <w:rPr>
          <w:lang w:val="en-GB"/>
        </w:rPr>
        <w:t xml:space="preserve"> </w:t>
      </w:r>
    </w:p>
  </w:footnote>
  <w:footnote w:id="12">
    <w:p w:rsidR="00E479F3" w:rsidRPr="006F6881" w:rsidRDefault="00E479F3">
      <w:pPr>
        <w:pStyle w:val="FootnoteText"/>
        <w:rPr>
          <w:lang w:val="en-GB"/>
        </w:rPr>
      </w:pPr>
      <w:r>
        <w:rPr>
          <w:rStyle w:val="FootnoteReference"/>
        </w:rPr>
        <w:footnoteRef/>
      </w:r>
      <w:r w:rsidRPr="006F6881">
        <w:rPr>
          <w:lang w:val="en-GB"/>
        </w:rPr>
        <w:t xml:space="preserve"> </w:t>
      </w:r>
      <w:r>
        <w:rPr>
          <w:lang w:val="en-GB"/>
        </w:rPr>
        <w:t>Face-to-face or through any other appropriate means of communications</w:t>
      </w:r>
    </w:p>
  </w:footnote>
  <w:footnote w:id="13">
    <w:p w:rsidR="00E479F3" w:rsidRPr="00AC6684" w:rsidRDefault="00E479F3" w:rsidP="00954191">
      <w:pPr>
        <w:spacing w:after="0"/>
        <w:rPr>
          <w:rFonts w:ascii="Calibri" w:hAnsi="Calibri"/>
          <w:bCs/>
          <w:sz w:val="20"/>
          <w:szCs w:val="20"/>
          <w:lang w:val="en-US"/>
        </w:rPr>
      </w:pPr>
      <w:r w:rsidRPr="00AC6684">
        <w:rPr>
          <w:rStyle w:val="FootnoteReference"/>
          <w:sz w:val="20"/>
          <w:szCs w:val="20"/>
        </w:rPr>
        <w:footnoteRef/>
      </w:r>
      <w:r w:rsidRPr="00AC6684">
        <w:rPr>
          <w:sz w:val="20"/>
          <w:szCs w:val="20"/>
          <w:lang w:val="en-GB"/>
        </w:rPr>
        <w:t xml:space="preserve"> </w:t>
      </w:r>
      <w:r w:rsidRPr="00AC6684">
        <w:rPr>
          <w:rFonts w:ascii="Calibri" w:hAnsi="Calibri"/>
          <w:bCs/>
          <w:sz w:val="20"/>
          <w:szCs w:val="20"/>
          <w:lang w:val="en-US"/>
        </w:rPr>
        <w:t>GEF Evaluation Office, (OPS4) Progress towards Impacts: The ROtl Handbook: Towards enhancing the impacts of environmental projects – Methodological paper 2.</w:t>
      </w:r>
    </w:p>
  </w:footnote>
  <w:footnote w:id="14">
    <w:p w:rsidR="00E479F3" w:rsidRPr="00EB78B4" w:rsidRDefault="00E479F3">
      <w:pPr>
        <w:pStyle w:val="FootnoteText"/>
        <w:rPr>
          <w:lang w:val="en-GB"/>
        </w:rPr>
      </w:pPr>
      <w:r>
        <w:rPr>
          <w:rStyle w:val="FootnoteReference"/>
        </w:rPr>
        <w:footnoteRef/>
      </w:r>
      <w:r w:rsidRPr="00EB78B4">
        <w:rPr>
          <w:lang w:val="en-GB"/>
        </w:rPr>
        <w:t xml:space="preserve"> UNEG Code of Conduct for </w:t>
      </w:r>
      <w:r>
        <w:rPr>
          <w:lang w:val="en-GB"/>
        </w:rPr>
        <w:t xml:space="preserve">Evaluation in the UN system: </w:t>
      </w:r>
      <w:hyperlink r:id="rId9" w:history="1">
        <w:r w:rsidRPr="007547E9">
          <w:rPr>
            <w:rStyle w:val="Hyperlink"/>
            <w:lang w:val="en-GB"/>
          </w:rPr>
          <w:t>www.unevaluation.org/unegcodeofconduct</w:t>
        </w:r>
      </w:hyperlink>
      <w:r>
        <w:rPr>
          <w:lang w:val="en-GB"/>
        </w:rPr>
        <w:t xml:space="preserve"> </w:t>
      </w:r>
    </w:p>
  </w:footnote>
  <w:footnote w:id="15">
    <w:p w:rsidR="00E479F3" w:rsidRPr="00AC6684" w:rsidRDefault="00E479F3">
      <w:pPr>
        <w:pStyle w:val="FootnoteText"/>
        <w:rPr>
          <w:lang w:val="en-GB"/>
        </w:rPr>
      </w:pPr>
      <w:r w:rsidRPr="00AC6684">
        <w:rPr>
          <w:rStyle w:val="FootnoteReference"/>
        </w:rPr>
        <w:footnoteRef/>
      </w:r>
      <w:r w:rsidRPr="00AC6684">
        <w:rPr>
          <w:lang w:val="en-GB"/>
        </w:rPr>
        <w:t xml:space="preserve"> </w:t>
      </w:r>
      <w:r w:rsidRPr="00AC6684">
        <w:rPr>
          <w:rFonts w:ascii="Calibri" w:hAnsi="Calibri"/>
          <w:bCs/>
          <w:lang w:val="en-US"/>
        </w:rPr>
        <w:t>GEF Evaluation Office, (OPS4) Progress towards Impacts: The ROtl Handbook: Towards enhancing the impacts of environmental projects – Methodological paper 2.</w:t>
      </w:r>
    </w:p>
  </w:footnote>
  <w:footnote w:id="16">
    <w:p w:rsidR="00E479F3" w:rsidRPr="00EB78B4" w:rsidRDefault="00E479F3" w:rsidP="00CB5356">
      <w:pPr>
        <w:pStyle w:val="FootnoteText"/>
        <w:rPr>
          <w:lang w:val="en-GB"/>
        </w:rPr>
      </w:pPr>
      <w:r>
        <w:rPr>
          <w:rStyle w:val="FootnoteReference"/>
        </w:rPr>
        <w:footnoteRef/>
      </w:r>
      <w:r w:rsidRPr="00EB78B4">
        <w:rPr>
          <w:lang w:val="en-GB"/>
        </w:rPr>
        <w:t xml:space="preserve"> UNEG Code of Conduct for </w:t>
      </w:r>
      <w:r>
        <w:rPr>
          <w:lang w:val="en-GB"/>
        </w:rPr>
        <w:t xml:space="preserve">Evaluation in the UN system: </w:t>
      </w:r>
      <w:hyperlink r:id="rId10" w:history="1">
        <w:r w:rsidRPr="007547E9">
          <w:rPr>
            <w:rStyle w:val="Hyperlink"/>
            <w:lang w:val="en-GB"/>
          </w:rPr>
          <w:t>www.unevaluation.org/unegcodeofconduct</w:t>
        </w:r>
      </w:hyperlink>
      <w:r>
        <w:rPr>
          <w:lang w:val="en-GB"/>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7A6"/>
    <w:multiLevelType w:val="hybridMultilevel"/>
    <w:tmpl w:val="C2E43580"/>
    <w:lvl w:ilvl="0" w:tplc="7460EF7A">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0E308A4"/>
    <w:multiLevelType w:val="hybridMultilevel"/>
    <w:tmpl w:val="F618BCC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11E23C44"/>
    <w:multiLevelType w:val="multilevel"/>
    <w:tmpl w:val="7206A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A85C37"/>
    <w:multiLevelType w:val="hybridMultilevel"/>
    <w:tmpl w:val="06A89690"/>
    <w:lvl w:ilvl="0" w:tplc="C60EB598">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6FD217B"/>
    <w:multiLevelType w:val="hybridMultilevel"/>
    <w:tmpl w:val="C3A666F6"/>
    <w:lvl w:ilvl="0" w:tplc="0E4AA9AE">
      <w:start w:val="1"/>
      <w:numFmt w:val="bullet"/>
      <w:lvlText w:val="-"/>
      <w:lvlJc w:val="left"/>
      <w:pPr>
        <w:ind w:left="720" w:hanging="360"/>
      </w:pPr>
      <w:rPr>
        <w:rFonts w:ascii="Calibri" w:eastAsiaTheme="minorHAnsi" w:hAnsi="Calibri" w:cstheme="minorBidi" w:hint="default"/>
      </w:rPr>
    </w:lvl>
    <w:lvl w:ilvl="1" w:tplc="21CE53C4" w:tentative="1">
      <w:start w:val="1"/>
      <w:numFmt w:val="bullet"/>
      <w:lvlText w:val="o"/>
      <w:lvlJc w:val="left"/>
      <w:pPr>
        <w:ind w:left="1440" w:hanging="360"/>
      </w:pPr>
      <w:rPr>
        <w:rFonts w:ascii="Courier New" w:hAnsi="Courier New" w:cs="Courier New" w:hint="default"/>
      </w:rPr>
    </w:lvl>
    <w:lvl w:ilvl="2" w:tplc="1BAE339C" w:tentative="1">
      <w:start w:val="1"/>
      <w:numFmt w:val="bullet"/>
      <w:lvlText w:val=""/>
      <w:lvlJc w:val="left"/>
      <w:pPr>
        <w:ind w:left="2160" w:hanging="360"/>
      </w:pPr>
      <w:rPr>
        <w:rFonts w:ascii="Wingdings" w:hAnsi="Wingdings" w:hint="default"/>
      </w:rPr>
    </w:lvl>
    <w:lvl w:ilvl="3" w:tplc="34A27B7E" w:tentative="1">
      <w:start w:val="1"/>
      <w:numFmt w:val="bullet"/>
      <w:lvlText w:val=""/>
      <w:lvlJc w:val="left"/>
      <w:pPr>
        <w:ind w:left="2880" w:hanging="360"/>
      </w:pPr>
      <w:rPr>
        <w:rFonts w:ascii="Symbol" w:hAnsi="Symbol" w:hint="default"/>
      </w:rPr>
    </w:lvl>
    <w:lvl w:ilvl="4" w:tplc="00AE816A" w:tentative="1">
      <w:start w:val="1"/>
      <w:numFmt w:val="bullet"/>
      <w:lvlText w:val="o"/>
      <w:lvlJc w:val="left"/>
      <w:pPr>
        <w:ind w:left="3600" w:hanging="360"/>
      </w:pPr>
      <w:rPr>
        <w:rFonts w:ascii="Courier New" w:hAnsi="Courier New" w:cs="Courier New" w:hint="default"/>
      </w:rPr>
    </w:lvl>
    <w:lvl w:ilvl="5" w:tplc="65B8CDD4" w:tentative="1">
      <w:start w:val="1"/>
      <w:numFmt w:val="bullet"/>
      <w:lvlText w:val=""/>
      <w:lvlJc w:val="left"/>
      <w:pPr>
        <w:ind w:left="4320" w:hanging="360"/>
      </w:pPr>
      <w:rPr>
        <w:rFonts w:ascii="Wingdings" w:hAnsi="Wingdings" w:hint="default"/>
      </w:rPr>
    </w:lvl>
    <w:lvl w:ilvl="6" w:tplc="D3F2997C" w:tentative="1">
      <w:start w:val="1"/>
      <w:numFmt w:val="bullet"/>
      <w:lvlText w:val=""/>
      <w:lvlJc w:val="left"/>
      <w:pPr>
        <w:ind w:left="5040" w:hanging="360"/>
      </w:pPr>
      <w:rPr>
        <w:rFonts w:ascii="Symbol" w:hAnsi="Symbol" w:hint="default"/>
      </w:rPr>
    </w:lvl>
    <w:lvl w:ilvl="7" w:tplc="B4186C7C" w:tentative="1">
      <w:start w:val="1"/>
      <w:numFmt w:val="bullet"/>
      <w:lvlText w:val="o"/>
      <w:lvlJc w:val="left"/>
      <w:pPr>
        <w:ind w:left="5760" w:hanging="360"/>
      </w:pPr>
      <w:rPr>
        <w:rFonts w:ascii="Courier New" w:hAnsi="Courier New" w:cs="Courier New" w:hint="default"/>
      </w:rPr>
    </w:lvl>
    <w:lvl w:ilvl="8" w:tplc="2D324B72" w:tentative="1">
      <w:start w:val="1"/>
      <w:numFmt w:val="bullet"/>
      <w:lvlText w:val=""/>
      <w:lvlJc w:val="left"/>
      <w:pPr>
        <w:ind w:left="6480" w:hanging="360"/>
      </w:pPr>
      <w:rPr>
        <w:rFonts w:ascii="Wingdings" w:hAnsi="Wingdings" w:hint="default"/>
      </w:rPr>
    </w:lvl>
  </w:abstractNum>
  <w:abstractNum w:abstractNumId="5">
    <w:nsid w:val="1D7B31D9"/>
    <w:multiLevelType w:val="hybridMultilevel"/>
    <w:tmpl w:val="985EE52A"/>
    <w:lvl w:ilvl="0" w:tplc="15FCAFBA">
      <w:start w:val="8"/>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F077A15"/>
    <w:multiLevelType w:val="hybridMultilevel"/>
    <w:tmpl w:val="66B4A0C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28DB1C05"/>
    <w:multiLevelType w:val="hybridMultilevel"/>
    <w:tmpl w:val="2DB49A74"/>
    <w:lvl w:ilvl="0" w:tplc="100C000F">
      <w:start w:val="1"/>
      <w:numFmt w:val="bullet"/>
      <w:lvlText w:val=""/>
      <w:lvlJc w:val="left"/>
      <w:pPr>
        <w:ind w:left="1080" w:hanging="360"/>
      </w:pPr>
      <w:rPr>
        <w:rFonts w:ascii="Symbol" w:eastAsiaTheme="minorHAnsi" w:hAnsi="Symbol" w:cstheme="minorBidi" w:hint="default"/>
        <w:color w:val="auto"/>
      </w:rPr>
    </w:lvl>
    <w:lvl w:ilvl="1" w:tplc="100C0019">
      <w:start w:val="1"/>
      <w:numFmt w:val="bullet"/>
      <w:lvlText w:val="o"/>
      <w:lvlJc w:val="left"/>
      <w:pPr>
        <w:ind w:left="1800" w:hanging="360"/>
      </w:pPr>
      <w:rPr>
        <w:rFonts w:ascii="Courier New" w:hAnsi="Courier New" w:cs="Courier New" w:hint="default"/>
      </w:rPr>
    </w:lvl>
    <w:lvl w:ilvl="2" w:tplc="100C001B" w:tentative="1">
      <w:start w:val="1"/>
      <w:numFmt w:val="bullet"/>
      <w:lvlText w:val=""/>
      <w:lvlJc w:val="left"/>
      <w:pPr>
        <w:ind w:left="2520" w:hanging="360"/>
      </w:pPr>
      <w:rPr>
        <w:rFonts w:ascii="Wingdings" w:hAnsi="Wingdings" w:hint="default"/>
      </w:rPr>
    </w:lvl>
    <w:lvl w:ilvl="3" w:tplc="100C000F" w:tentative="1">
      <w:start w:val="1"/>
      <w:numFmt w:val="bullet"/>
      <w:lvlText w:val=""/>
      <w:lvlJc w:val="left"/>
      <w:pPr>
        <w:ind w:left="3240" w:hanging="360"/>
      </w:pPr>
      <w:rPr>
        <w:rFonts w:ascii="Symbol" w:hAnsi="Symbol" w:hint="default"/>
      </w:rPr>
    </w:lvl>
    <w:lvl w:ilvl="4" w:tplc="100C0019" w:tentative="1">
      <w:start w:val="1"/>
      <w:numFmt w:val="bullet"/>
      <w:lvlText w:val="o"/>
      <w:lvlJc w:val="left"/>
      <w:pPr>
        <w:ind w:left="3960" w:hanging="360"/>
      </w:pPr>
      <w:rPr>
        <w:rFonts w:ascii="Courier New" w:hAnsi="Courier New" w:cs="Courier New" w:hint="default"/>
      </w:rPr>
    </w:lvl>
    <w:lvl w:ilvl="5" w:tplc="100C001B" w:tentative="1">
      <w:start w:val="1"/>
      <w:numFmt w:val="bullet"/>
      <w:lvlText w:val=""/>
      <w:lvlJc w:val="left"/>
      <w:pPr>
        <w:ind w:left="4680" w:hanging="360"/>
      </w:pPr>
      <w:rPr>
        <w:rFonts w:ascii="Wingdings" w:hAnsi="Wingdings" w:hint="default"/>
      </w:rPr>
    </w:lvl>
    <w:lvl w:ilvl="6" w:tplc="100C000F" w:tentative="1">
      <w:start w:val="1"/>
      <w:numFmt w:val="bullet"/>
      <w:lvlText w:val=""/>
      <w:lvlJc w:val="left"/>
      <w:pPr>
        <w:ind w:left="5400" w:hanging="360"/>
      </w:pPr>
      <w:rPr>
        <w:rFonts w:ascii="Symbol" w:hAnsi="Symbol" w:hint="default"/>
      </w:rPr>
    </w:lvl>
    <w:lvl w:ilvl="7" w:tplc="100C0019" w:tentative="1">
      <w:start w:val="1"/>
      <w:numFmt w:val="bullet"/>
      <w:lvlText w:val="o"/>
      <w:lvlJc w:val="left"/>
      <w:pPr>
        <w:ind w:left="6120" w:hanging="360"/>
      </w:pPr>
      <w:rPr>
        <w:rFonts w:ascii="Courier New" w:hAnsi="Courier New" w:cs="Courier New" w:hint="default"/>
      </w:rPr>
    </w:lvl>
    <w:lvl w:ilvl="8" w:tplc="100C001B" w:tentative="1">
      <w:start w:val="1"/>
      <w:numFmt w:val="bullet"/>
      <w:lvlText w:val=""/>
      <w:lvlJc w:val="left"/>
      <w:pPr>
        <w:ind w:left="6840" w:hanging="360"/>
      </w:pPr>
      <w:rPr>
        <w:rFonts w:ascii="Wingdings" w:hAnsi="Wingdings" w:hint="default"/>
      </w:rPr>
    </w:lvl>
  </w:abstractNum>
  <w:abstractNum w:abstractNumId="8">
    <w:nsid w:val="2A48483D"/>
    <w:multiLevelType w:val="hybridMultilevel"/>
    <w:tmpl w:val="1D6C2D30"/>
    <w:lvl w:ilvl="0" w:tplc="E6784D9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2F0D4479"/>
    <w:multiLevelType w:val="multilevel"/>
    <w:tmpl w:val="08620146"/>
    <w:lvl w:ilvl="0">
      <w:start w:val="1"/>
      <w:numFmt w:val="upperRoman"/>
      <w:pStyle w:val="TableCaption"/>
      <w:lvlText w:val="%1."/>
      <w:lvlJc w:val="right"/>
      <w:pPr>
        <w:tabs>
          <w:tab w:val="num" w:pos="-2682"/>
        </w:tabs>
        <w:ind w:left="0" w:firstLine="0"/>
      </w:pPr>
      <w:rPr>
        <w:rFonts w:hint="default"/>
        <w:b/>
        <w:i w:val="0"/>
        <w:sz w:val="22"/>
        <w:szCs w:val="20"/>
      </w:rPr>
    </w:lvl>
    <w:lvl w:ilvl="1">
      <w:start w:val="1"/>
      <w:numFmt w:val="upperLetter"/>
      <w:pStyle w:val="Heading2"/>
      <w:lvlText w:val="%2."/>
      <w:lvlJc w:val="right"/>
      <w:pPr>
        <w:tabs>
          <w:tab w:val="num" w:pos="278"/>
        </w:tabs>
        <w:ind w:left="278" w:hanging="278"/>
      </w:pPr>
      <w:rPr>
        <w:rFonts w:hint="default"/>
      </w:rPr>
    </w:lvl>
    <w:lvl w:ilvl="2">
      <w:start w:val="1"/>
      <w:numFmt w:val="decimal"/>
      <w:lvlText w:val="%1.%2.%3"/>
      <w:lvlJc w:val="left"/>
      <w:pPr>
        <w:tabs>
          <w:tab w:val="num" w:pos="-2394"/>
        </w:tabs>
        <w:ind w:left="-2394" w:hanging="720"/>
      </w:pPr>
      <w:rPr>
        <w:rFonts w:hint="default"/>
      </w:rPr>
    </w:lvl>
    <w:lvl w:ilvl="3">
      <w:start w:val="1"/>
      <w:numFmt w:val="decimal"/>
      <w:lvlText w:val="%1.%2.%3.%4"/>
      <w:lvlJc w:val="left"/>
      <w:pPr>
        <w:tabs>
          <w:tab w:val="num" w:pos="-2250"/>
        </w:tabs>
        <w:ind w:left="-2250" w:hanging="864"/>
      </w:pPr>
      <w:rPr>
        <w:rFonts w:hint="default"/>
      </w:rPr>
    </w:lvl>
    <w:lvl w:ilvl="4">
      <w:start w:val="1"/>
      <w:numFmt w:val="decimal"/>
      <w:lvlText w:val="%1.%2.%3.%4.%5"/>
      <w:lvlJc w:val="left"/>
      <w:pPr>
        <w:tabs>
          <w:tab w:val="num" w:pos="-2106"/>
        </w:tabs>
        <w:ind w:left="-2106" w:hanging="1008"/>
      </w:pPr>
      <w:rPr>
        <w:rFonts w:hint="default"/>
      </w:rPr>
    </w:lvl>
    <w:lvl w:ilvl="5">
      <w:start w:val="1"/>
      <w:numFmt w:val="decimal"/>
      <w:lvlText w:val="%1.%2.%3.%4.%5.%6"/>
      <w:lvlJc w:val="left"/>
      <w:pPr>
        <w:tabs>
          <w:tab w:val="num" w:pos="-1962"/>
        </w:tabs>
        <w:ind w:left="-1962" w:hanging="1152"/>
      </w:pPr>
      <w:rPr>
        <w:rFonts w:hint="default"/>
      </w:rPr>
    </w:lvl>
    <w:lvl w:ilvl="6">
      <w:start w:val="1"/>
      <w:numFmt w:val="decimal"/>
      <w:lvlText w:val="%1.%2.%3.%4.%5.%6.%7"/>
      <w:lvlJc w:val="left"/>
      <w:pPr>
        <w:tabs>
          <w:tab w:val="num" w:pos="-1818"/>
        </w:tabs>
        <w:ind w:left="-1818" w:hanging="1296"/>
      </w:pPr>
      <w:rPr>
        <w:rFonts w:hint="default"/>
      </w:rPr>
    </w:lvl>
    <w:lvl w:ilvl="7">
      <w:start w:val="1"/>
      <w:numFmt w:val="decimal"/>
      <w:lvlText w:val="%1.%2.%3.%4.%5.%6.%7.%8"/>
      <w:lvlJc w:val="left"/>
      <w:pPr>
        <w:tabs>
          <w:tab w:val="num" w:pos="-1674"/>
        </w:tabs>
        <w:ind w:left="-1674" w:hanging="1440"/>
      </w:pPr>
      <w:rPr>
        <w:rFonts w:hint="default"/>
      </w:rPr>
    </w:lvl>
    <w:lvl w:ilvl="8">
      <w:start w:val="1"/>
      <w:numFmt w:val="decimal"/>
      <w:lvlText w:val="%1.%2.%3.%4.%5.%6.%7.%8.%9"/>
      <w:lvlJc w:val="left"/>
      <w:pPr>
        <w:tabs>
          <w:tab w:val="num" w:pos="-1530"/>
        </w:tabs>
        <w:ind w:left="-1530" w:hanging="1584"/>
      </w:pPr>
      <w:rPr>
        <w:rFonts w:hint="default"/>
      </w:rPr>
    </w:lvl>
  </w:abstractNum>
  <w:abstractNum w:abstractNumId="10">
    <w:nsid w:val="38002087"/>
    <w:multiLevelType w:val="hybridMultilevel"/>
    <w:tmpl w:val="F55446E6"/>
    <w:lvl w:ilvl="0" w:tplc="0DFCF9AE">
      <w:start w:val="1"/>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3A866176"/>
    <w:multiLevelType w:val="hybridMultilevel"/>
    <w:tmpl w:val="51DA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33A3C"/>
    <w:multiLevelType w:val="hybridMultilevel"/>
    <w:tmpl w:val="BE3CAB4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40A830A2"/>
    <w:multiLevelType w:val="multilevel"/>
    <w:tmpl w:val="00727946"/>
    <w:lvl w:ilvl="0">
      <w:start w:val="4"/>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4">
    <w:nsid w:val="45C5644D"/>
    <w:multiLevelType w:val="hybridMultilevel"/>
    <w:tmpl w:val="F27E87D6"/>
    <w:lvl w:ilvl="0" w:tplc="EDBA7EF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46E15727"/>
    <w:multiLevelType w:val="hybridMultilevel"/>
    <w:tmpl w:val="50AEA536"/>
    <w:lvl w:ilvl="0" w:tplc="3E4EA264">
      <w:start w:val="1"/>
      <w:numFmt w:val="bullet"/>
      <w:lvlText w:val="-"/>
      <w:lvlJc w:val="left"/>
      <w:pPr>
        <w:ind w:left="720" w:hanging="360"/>
      </w:pPr>
      <w:rPr>
        <w:rFonts w:ascii="Calibri" w:eastAsiaTheme="minorHAnsi" w:hAnsi="Calibri" w:cstheme="minorBidi" w:hint="default"/>
      </w:rPr>
    </w:lvl>
    <w:lvl w:ilvl="1" w:tplc="5A96B95A" w:tentative="1">
      <w:start w:val="1"/>
      <w:numFmt w:val="bullet"/>
      <w:lvlText w:val="o"/>
      <w:lvlJc w:val="left"/>
      <w:pPr>
        <w:ind w:left="1440" w:hanging="360"/>
      </w:pPr>
      <w:rPr>
        <w:rFonts w:ascii="Courier New" w:hAnsi="Courier New" w:cs="Courier New" w:hint="default"/>
      </w:rPr>
    </w:lvl>
    <w:lvl w:ilvl="2" w:tplc="556C7D7A" w:tentative="1">
      <w:start w:val="1"/>
      <w:numFmt w:val="bullet"/>
      <w:lvlText w:val=""/>
      <w:lvlJc w:val="left"/>
      <w:pPr>
        <w:ind w:left="2160" w:hanging="360"/>
      </w:pPr>
      <w:rPr>
        <w:rFonts w:ascii="Wingdings" w:hAnsi="Wingdings" w:hint="default"/>
      </w:rPr>
    </w:lvl>
    <w:lvl w:ilvl="3" w:tplc="1400C980" w:tentative="1">
      <w:start w:val="1"/>
      <w:numFmt w:val="bullet"/>
      <w:lvlText w:val=""/>
      <w:lvlJc w:val="left"/>
      <w:pPr>
        <w:ind w:left="2880" w:hanging="360"/>
      </w:pPr>
      <w:rPr>
        <w:rFonts w:ascii="Symbol" w:hAnsi="Symbol" w:hint="default"/>
      </w:rPr>
    </w:lvl>
    <w:lvl w:ilvl="4" w:tplc="D6B8DCB0" w:tentative="1">
      <w:start w:val="1"/>
      <w:numFmt w:val="bullet"/>
      <w:lvlText w:val="o"/>
      <w:lvlJc w:val="left"/>
      <w:pPr>
        <w:ind w:left="3600" w:hanging="360"/>
      </w:pPr>
      <w:rPr>
        <w:rFonts w:ascii="Courier New" w:hAnsi="Courier New" w:cs="Courier New" w:hint="default"/>
      </w:rPr>
    </w:lvl>
    <w:lvl w:ilvl="5" w:tplc="FB6E3434" w:tentative="1">
      <w:start w:val="1"/>
      <w:numFmt w:val="bullet"/>
      <w:lvlText w:val=""/>
      <w:lvlJc w:val="left"/>
      <w:pPr>
        <w:ind w:left="4320" w:hanging="360"/>
      </w:pPr>
      <w:rPr>
        <w:rFonts w:ascii="Wingdings" w:hAnsi="Wingdings" w:hint="default"/>
      </w:rPr>
    </w:lvl>
    <w:lvl w:ilvl="6" w:tplc="1CD0A5D8" w:tentative="1">
      <w:start w:val="1"/>
      <w:numFmt w:val="bullet"/>
      <w:lvlText w:val=""/>
      <w:lvlJc w:val="left"/>
      <w:pPr>
        <w:ind w:left="5040" w:hanging="360"/>
      </w:pPr>
      <w:rPr>
        <w:rFonts w:ascii="Symbol" w:hAnsi="Symbol" w:hint="default"/>
      </w:rPr>
    </w:lvl>
    <w:lvl w:ilvl="7" w:tplc="EBC6B2D0" w:tentative="1">
      <w:start w:val="1"/>
      <w:numFmt w:val="bullet"/>
      <w:lvlText w:val="o"/>
      <w:lvlJc w:val="left"/>
      <w:pPr>
        <w:ind w:left="5760" w:hanging="360"/>
      </w:pPr>
      <w:rPr>
        <w:rFonts w:ascii="Courier New" w:hAnsi="Courier New" w:cs="Courier New" w:hint="default"/>
      </w:rPr>
    </w:lvl>
    <w:lvl w:ilvl="8" w:tplc="4B8808C8" w:tentative="1">
      <w:start w:val="1"/>
      <w:numFmt w:val="bullet"/>
      <w:lvlText w:val=""/>
      <w:lvlJc w:val="left"/>
      <w:pPr>
        <w:ind w:left="6480" w:hanging="360"/>
      </w:pPr>
      <w:rPr>
        <w:rFonts w:ascii="Wingdings" w:hAnsi="Wingdings" w:hint="default"/>
      </w:rPr>
    </w:lvl>
  </w:abstractNum>
  <w:abstractNum w:abstractNumId="16">
    <w:nsid w:val="52D7518E"/>
    <w:multiLevelType w:val="hybridMultilevel"/>
    <w:tmpl w:val="E22899F8"/>
    <w:lvl w:ilvl="0" w:tplc="100C000F">
      <w:start w:val="1"/>
      <w:numFmt w:val="bullet"/>
      <w:lvlText w:val="-"/>
      <w:lvlJc w:val="left"/>
      <w:pPr>
        <w:ind w:left="720" w:hanging="360"/>
      </w:pPr>
      <w:rPr>
        <w:rFonts w:ascii="Calibri" w:eastAsiaTheme="minorHAnsi" w:hAnsi="Calibri" w:cstheme="minorBidi" w:hint="default"/>
      </w:rPr>
    </w:lvl>
    <w:lvl w:ilvl="1" w:tplc="100C0019" w:tentative="1">
      <w:start w:val="1"/>
      <w:numFmt w:val="bullet"/>
      <w:lvlText w:val="o"/>
      <w:lvlJc w:val="left"/>
      <w:pPr>
        <w:ind w:left="1440" w:hanging="360"/>
      </w:pPr>
      <w:rPr>
        <w:rFonts w:ascii="Courier New" w:hAnsi="Courier New" w:cs="Courier New" w:hint="default"/>
      </w:rPr>
    </w:lvl>
    <w:lvl w:ilvl="2" w:tplc="100C001B" w:tentative="1">
      <w:start w:val="1"/>
      <w:numFmt w:val="bullet"/>
      <w:lvlText w:val=""/>
      <w:lvlJc w:val="left"/>
      <w:pPr>
        <w:ind w:left="2160" w:hanging="360"/>
      </w:pPr>
      <w:rPr>
        <w:rFonts w:ascii="Wingdings" w:hAnsi="Wingdings" w:hint="default"/>
      </w:rPr>
    </w:lvl>
    <w:lvl w:ilvl="3" w:tplc="100C000F" w:tentative="1">
      <w:start w:val="1"/>
      <w:numFmt w:val="bullet"/>
      <w:lvlText w:val=""/>
      <w:lvlJc w:val="left"/>
      <w:pPr>
        <w:ind w:left="2880" w:hanging="360"/>
      </w:pPr>
      <w:rPr>
        <w:rFonts w:ascii="Symbol" w:hAnsi="Symbol" w:hint="default"/>
      </w:rPr>
    </w:lvl>
    <w:lvl w:ilvl="4" w:tplc="100C0019" w:tentative="1">
      <w:start w:val="1"/>
      <w:numFmt w:val="bullet"/>
      <w:lvlText w:val="o"/>
      <w:lvlJc w:val="left"/>
      <w:pPr>
        <w:ind w:left="3600" w:hanging="360"/>
      </w:pPr>
      <w:rPr>
        <w:rFonts w:ascii="Courier New" w:hAnsi="Courier New" w:cs="Courier New" w:hint="default"/>
      </w:rPr>
    </w:lvl>
    <w:lvl w:ilvl="5" w:tplc="100C001B" w:tentative="1">
      <w:start w:val="1"/>
      <w:numFmt w:val="bullet"/>
      <w:lvlText w:val=""/>
      <w:lvlJc w:val="left"/>
      <w:pPr>
        <w:ind w:left="4320" w:hanging="360"/>
      </w:pPr>
      <w:rPr>
        <w:rFonts w:ascii="Wingdings" w:hAnsi="Wingdings" w:hint="default"/>
      </w:rPr>
    </w:lvl>
    <w:lvl w:ilvl="6" w:tplc="100C000F" w:tentative="1">
      <w:start w:val="1"/>
      <w:numFmt w:val="bullet"/>
      <w:lvlText w:val=""/>
      <w:lvlJc w:val="left"/>
      <w:pPr>
        <w:ind w:left="5040" w:hanging="360"/>
      </w:pPr>
      <w:rPr>
        <w:rFonts w:ascii="Symbol" w:hAnsi="Symbol" w:hint="default"/>
      </w:rPr>
    </w:lvl>
    <w:lvl w:ilvl="7" w:tplc="100C0019" w:tentative="1">
      <w:start w:val="1"/>
      <w:numFmt w:val="bullet"/>
      <w:lvlText w:val="o"/>
      <w:lvlJc w:val="left"/>
      <w:pPr>
        <w:ind w:left="5760" w:hanging="360"/>
      </w:pPr>
      <w:rPr>
        <w:rFonts w:ascii="Courier New" w:hAnsi="Courier New" w:cs="Courier New" w:hint="default"/>
      </w:rPr>
    </w:lvl>
    <w:lvl w:ilvl="8" w:tplc="100C001B" w:tentative="1">
      <w:start w:val="1"/>
      <w:numFmt w:val="bullet"/>
      <w:lvlText w:val=""/>
      <w:lvlJc w:val="left"/>
      <w:pPr>
        <w:ind w:left="6480" w:hanging="360"/>
      </w:pPr>
      <w:rPr>
        <w:rFonts w:ascii="Wingdings" w:hAnsi="Wingdings" w:hint="default"/>
      </w:rPr>
    </w:lvl>
  </w:abstractNum>
  <w:abstractNum w:abstractNumId="17">
    <w:nsid w:val="59D2218C"/>
    <w:multiLevelType w:val="hybridMultilevel"/>
    <w:tmpl w:val="4A364B8E"/>
    <w:lvl w:ilvl="0" w:tplc="100C0003">
      <w:start w:val="1"/>
      <w:numFmt w:val="bullet"/>
      <w:lvlText w:val="o"/>
      <w:lvlJc w:val="left"/>
      <w:pPr>
        <w:ind w:left="1440" w:hanging="360"/>
      </w:pPr>
      <w:rPr>
        <w:rFonts w:ascii="Courier New" w:hAnsi="Courier New" w:cs="Courier New"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8">
    <w:nsid w:val="5AEF463C"/>
    <w:multiLevelType w:val="hybridMultilevel"/>
    <w:tmpl w:val="FDFC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E20525"/>
    <w:multiLevelType w:val="hybridMultilevel"/>
    <w:tmpl w:val="BB842AE4"/>
    <w:lvl w:ilvl="0" w:tplc="3C6C7CB6">
      <w:start w:val="1"/>
      <w:numFmt w:val="lowerRoman"/>
      <w:lvlText w:val="%1)"/>
      <w:lvlJc w:val="left"/>
      <w:pPr>
        <w:ind w:left="1080" w:hanging="72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611C380B"/>
    <w:multiLevelType w:val="hybridMultilevel"/>
    <w:tmpl w:val="8A8E052A"/>
    <w:lvl w:ilvl="0" w:tplc="7460EF7A">
      <w:start w:val="1"/>
      <w:numFmt w:val="bullet"/>
      <w:lvlText w:val="-"/>
      <w:lvlJc w:val="left"/>
      <w:pPr>
        <w:ind w:left="1080" w:hanging="360"/>
      </w:pPr>
      <w:rPr>
        <w:rFonts w:ascii="Calibri" w:eastAsiaTheme="minorHAnsi" w:hAnsi="Calibri"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nsid w:val="66897222"/>
    <w:multiLevelType w:val="multilevel"/>
    <w:tmpl w:val="28E2C53C"/>
    <w:lvl w:ilvl="0">
      <w:start w:val="2"/>
      <w:numFmt w:val="decimal"/>
      <w:lvlText w:val="%1."/>
      <w:lvlJc w:val="left"/>
      <w:pPr>
        <w:ind w:left="75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22">
    <w:nsid w:val="68E6204D"/>
    <w:multiLevelType w:val="hybridMultilevel"/>
    <w:tmpl w:val="BBE23B8A"/>
    <w:lvl w:ilvl="0" w:tplc="18EA21E4">
      <w:start w:val="1"/>
      <w:numFmt w:val="lowerLetter"/>
      <w:lvlText w:val="%1)"/>
      <w:lvlJc w:val="left"/>
      <w:pPr>
        <w:ind w:left="720" w:hanging="360"/>
      </w:pPr>
      <w:rPr>
        <w:rFonts w:hint="default"/>
      </w:rPr>
    </w:lvl>
    <w:lvl w:ilvl="1" w:tplc="100C0003" w:tentative="1">
      <w:start w:val="1"/>
      <w:numFmt w:val="lowerLetter"/>
      <w:lvlText w:val="%2."/>
      <w:lvlJc w:val="left"/>
      <w:pPr>
        <w:ind w:left="1440" w:hanging="360"/>
      </w:pPr>
    </w:lvl>
    <w:lvl w:ilvl="2" w:tplc="100C0005" w:tentative="1">
      <w:start w:val="1"/>
      <w:numFmt w:val="lowerRoman"/>
      <w:lvlText w:val="%3."/>
      <w:lvlJc w:val="right"/>
      <w:pPr>
        <w:ind w:left="2160" w:hanging="180"/>
      </w:pPr>
    </w:lvl>
    <w:lvl w:ilvl="3" w:tplc="100C0001" w:tentative="1">
      <w:start w:val="1"/>
      <w:numFmt w:val="decimal"/>
      <w:lvlText w:val="%4."/>
      <w:lvlJc w:val="left"/>
      <w:pPr>
        <w:ind w:left="2880" w:hanging="360"/>
      </w:pPr>
    </w:lvl>
    <w:lvl w:ilvl="4" w:tplc="100C0003" w:tentative="1">
      <w:start w:val="1"/>
      <w:numFmt w:val="lowerLetter"/>
      <w:lvlText w:val="%5."/>
      <w:lvlJc w:val="left"/>
      <w:pPr>
        <w:ind w:left="3600" w:hanging="360"/>
      </w:pPr>
    </w:lvl>
    <w:lvl w:ilvl="5" w:tplc="100C0005" w:tentative="1">
      <w:start w:val="1"/>
      <w:numFmt w:val="lowerRoman"/>
      <w:lvlText w:val="%6."/>
      <w:lvlJc w:val="right"/>
      <w:pPr>
        <w:ind w:left="4320" w:hanging="180"/>
      </w:pPr>
    </w:lvl>
    <w:lvl w:ilvl="6" w:tplc="100C0001" w:tentative="1">
      <w:start w:val="1"/>
      <w:numFmt w:val="decimal"/>
      <w:lvlText w:val="%7."/>
      <w:lvlJc w:val="left"/>
      <w:pPr>
        <w:ind w:left="5040" w:hanging="360"/>
      </w:pPr>
    </w:lvl>
    <w:lvl w:ilvl="7" w:tplc="100C0003" w:tentative="1">
      <w:start w:val="1"/>
      <w:numFmt w:val="lowerLetter"/>
      <w:lvlText w:val="%8."/>
      <w:lvlJc w:val="left"/>
      <w:pPr>
        <w:ind w:left="5760" w:hanging="360"/>
      </w:pPr>
    </w:lvl>
    <w:lvl w:ilvl="8" w:tplc="100C0005" w:tentative="1">
      <w:start w:val="1"/>
      <w:numFmt w:val="lowerRoman"/>
      <w:lvlText w:val="%9."/>
      <w:lvlJc w:val="right"/>
      <w:pPr>
        <w:ind w:left="6480" w:hanging="180"/>
      </w:pPr>
    </w:lvl>
  </w:abstractNum>
  <w:abstractNum w:abstractNumId="23">
    <w:nsid w:val="6A050AB3"/>
    <w:multiLevelType w:val="hybridMultilevel"/>
    <w:tmpl w:val="712C06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6B2A7930"/>
    <w:multiLevelType w:val="hybridMultilevel"/>
    <w:tmpl w:val="DDD603EC"/>
    <w:lvl w:ilvl="0" w:tplc="100C0017">
      <w:start w:val="1"/>
      <w:numFmt w:val="bullet"/>
      <w:lvlText w:val="-"/>
      <w:lvlJc w:val="left"/>
      <w:pPr>
        <w:ind w:left="720" w:hanging="360"/>
      </w:pPr>
      <w:rPr>
        <w:rFonts w:ascii="Calibri" w:eastAsiaTheme="minorHAnsi" w:hAnsi="Calibri" w:cstheme="minorBidi" w:hint="default"/>
      </w:rPr>
    </w:lvl>
    <w:lvl w:ilvl="1" w:tplc="100C0019" w:tentative="1">
      <w:start w:val="1"/>
      <w:numFmt w:val="bullet"/>
      <w:lvlText w:val="o"/>
      <w:lvlJc w:val="left"/>
      <w:pPr>
        <w:ind w:left="1440" w:hanging="360"/>
      </w:pPr>
      <w:rPr>
        <w:rFonts w:ascii="Courier New" w:hAnsi="Courier New" w:cs="Courier New" w:hint="default"/>
      </w:rPr>
    </w:lvl>
    <w:lvl w:ilvl="2" w:tplc="100C001B" w:tentative="1">
      <w:start w:val="1"/>
      <w:numFmt w:val="bullet"/>
      <w:lvlText w:val=""/>
      <w:lvlJc w:val="left"/>
      <w:pPr>
        <w:ind w:left="2160" w:hanging="360"/>
      </w:pPr>
      <w:rPr>
        <w:rFonts w:ascii="Wingdings" w:hAnsi="Wingdings" w:hint="default"/>
      </w:rPr>
    </w:lvl>
    <w:lvl w:ilvl="3" w:tplc="100C000F" w:tentative="1">
      <w:start w:val="1"/>
      <w:numFmt w:val="bullet"/>
      <w:lvlText w:val=""/>
      <w:lvlJc w:val="left"/>
      <w:pPr>
        <w:ind w:left="2880" w:hanging="360"/>
      </w:pPr>
      <w:rPr>
        <w:rFonts w:ascii="Symbol" w:hAnsi="Symbol" w:hint="default"/>
      </w:rPr>
    </w:lvl>
    <w:lvl w:ilvl="4" w:tplc="100C0019" w:tentative="1">
      <w:start w:val="1"/>
      <w:numFmt w:val="bullet"/>
      <w:lvlText w:val="o"/>
      <w:lvlJc w:val="left"/>
      <w:pPr>
        <w:ind w:left="3600" w:hanging="360"/>
      </w:pPr>
      <w:rPr>
        <w:rFonts w:ascii="Courier New" w:hAnsi="Courier New" w:cs="Courier New" w:hint="default"/>
      </w:rPr>
    </w:lvl>
    <w:lvl w:ilvl="5" w:tplc="100C001B" w:tentative="1">
      <w:start w:val="1"/>
      <w:numFmt w:val="bullet"/>
      <w:lvlText w:val=""/>
      <w:lvlJc w:val="left"/>
      <w:pPr>
        <w:ind w:left="4320" w:hanging="360"/>
      </w:pPr>
      <w:rPr>
        <w:rFonts w:ascii="Wingdings" w:hAnsi="Wingdings" w:hint="default"/>
      </w:rPr>
    </w:lvl>
    <w:lvl w:ilvl="6" w:tplc="100C000F" w:tentative="1">
      <w:start w:val="1"/>
      <w:numFmt w:val="bullet"/>
      <w:lvlText w:val=""/>
      <w:lvlJc w:val="left"/>
      <w:pPr>
        <w:ind w:left="5040" w:hanging="360"/>
      </w:pPr>
      <w:rPr>
        <w:rFonts w:ascii="Symbol" w:hAnsi="Symbol" w:hint="default"/>
      </w:rPr>
    </w:lvl>
    <w:lvl w:ilvl="7" w:tplc="100C0019" w:tentative="1">
      <w:start w:val="1"/>
      <w:numFmt w:val="bullet"/>
      <w:lvlText w:val="o"/>
      <w:lvlJc w:val="left"/>
      <w:pPr>
        <w:ind w:left="5760" w:hanging="360"/>
      </w:pPr>
      <w:rPr>
        <w:rFonts w:ascii="Courier New" w:hAnsi="Courier New" w:cs="Courier New" w:hint="default"/>
      </w:rPr>
    </w:lvl>
    <w:lvl w:ilvl="8" w:tplc="100C001B"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22"/>
  </w:num>
  <w:num w:numId="5">
    <w:abstractNumId w:val="15"/>
  </w:num>
  <w:num w:numId="6">
    <w:abstractNumId w:val="24"/>
  </w:num>
  <w:num w:numId="7">
    <w:abstractNumId w:val="0"/>
  </w:num>
  <w:num w:numId="8">
    <w:abstractNumId w:val="20"/>
  </w:num>
  <w:num w:numId="9">
    <w:abstractNumId w:val="10"/>
  </w:num>
  <w:num w:numId="10">
    <w:abstractNumId w:val="8"/>
  </w:num>
  <w:num w:numId="11">
    <w:abstractNumId w:val="21"/>
  </w:num>
  <w:num w:numId="12">
    <w:abstractNumId w:val="1"/>
  </w:num>
  <w:num w:numId="13">
    <w:abstractNumId w:val="7"/>
  </w:num>
  <w:num w:numId="14">
    <w:abstractNumId w:val="13"/>
  </w:num>
  <w:num w:numId="15">
    <w:abstractNumId w:val="9"/>
  </w:num>
  <w:num w:numId="16">
    <w:abstractNumId w:val="18"/>
  </w:num>
  <w:num w:numId="17">
    <w:abstractNumId w:val="11"/>
  </w:num>
  <w:num w:numId="18">
    <w:abstractNumId w:val="14"/>
  </w:num>
  <w:num w:numId="19">
    <w:abstractNumId w:val="19"/>
  </w:num>
  <w:num w:numId="20">
    <w:abstractNumId w:val="3"/>
  </w:num>
  <w:num w:numId="21">
    <w:abstractNumId w:val="5"/>
  </w:num>
  <w:num w:numId="22">
    <w:abstractNumId w:val="6"/>
  </w:num>
  <w:num w:numId="23">
    <w:abstractNumId w:val="12"/>
  </w:num>
  <w:num w:numId="24">
    <w:abstractNumId w:val="17"/>
  </w:num>
  <w:num w:numId="25">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04E1"/>
    <w:rsid w:val="00003F66"/>
    <w:rsid w:val="00007E5E"/>
    <w:rsid w:val="000142CE"/>
    <w:rsid w:val="000478DE"/>
    <w:rsid w:val="00054B4B"/>
    <w:rsid w:val="0005512E"/>
    <w:rsid w:val="00061CFA"/>
    <w:rsid w:val="000776DE"/>
    <w:rsid w:val="00086187"/>
    <w:rsid w:val="00096023"/>
    <w:rsid w:val="000966CB"/>
    <w:rsid w:val="000A4390"/>
    <w:rsid w:val="000A5AAD"/>
    <w:rsid w:val="000B3BFC"/>
    <w:rsid w:val="000B478C"/>
    <w:rsid w:val="000B6EC0"/>
    <w:rsid w:val="000B71A9"/>
    <w:rsid w:val="000C2CEA"/>
    <w:rsid w:val="000D2B36"/>
    <w:rsid w:val="000E072D"/>
    <w:rsid w:val="000E1B27"/>
    <w:rsid w:val="000F6182"/>
    <w:rsid w:val="00101FA7"/>
    <w:rsid w:val="001054DD"/>
    <w:rsid w:val="00115685"/>
    <w:rsid w:val="00115E6F"/>
    <w:rsid w:val="00117714"/>
    <w:rsid w:val="00123630"/>
    <w:rsid w:val="001269AD"/>
    <w:rsid w:val="00127E01"/>
    <w:rsid w:val="00136A7B"/>
    <w:rsid w:val="00142C26"/>
    <w:rsid w:val="00145E8E"/>
    <w:rsid w:val="00161363"/>
    <w:rsid w:val="00196EDB"/>
    <w:rsid w:val="001A65CF"/>
    <w:rsid w:val="001D4FEA"/>
    <w:rsid w:val="001F2924"/>
    <w:rsid w:val="00201075"/>
    <w:rsid w:val="00215187"/>
    <w:rsid w:val="002160C4"/>
    <w:rsid w:val="0022385B"/>
    <w:rsid w:val="00223B8A"/>
    <w:rsid w:val="002461F6"/>
    <w:rsid w:val="00263F2D"/>
    <w:rsid w:val="00264606"/>
    <w:rsid w:val="00294C73"/>
    <w:rsid w:val="002D163E"/>
    <w:rsid w:val="002E0B34"/>
    <w:rsid w:val="002E0DA9"/>
    <w:rsid w:val="002F4460"/>
    <w:rsid w:val="00325E24"/>
    <w:rsid w:val="003355F6"/>
    <w:rsid w:val="00343D73"/>
    <w:rsid w:val="00355121"/>
    <w:rsid w:val="0035614B"/>
    <w:rsid w:val="00356887"/>
    <w:rsid w:val="00371439"/>
    <w:rsid w:val="003808C4"/>
    <w:rsid w:val="003867B0"/>
    <w:rsid w:val="00396AB4"/>
    <w:rsid w:val="003A201A"/>
    <w:rsid w:val="003A31FF"/>
    <w:rsid w:val="003A3898"/>
    <w:rsid w:val="003B5506"/>
    <w:rsid w:val="003C681C"/>
    <w:rsid w:val="003D0A6D"/>
    <w:rsid w:val="003E33DF"/>
    <w:rsid w:val="003E3A43"/>
    <w:rsid w:val="004025AD"/>
    <w:rsid w:val="00403BEF"/>
    <w:rsid w:val="00426B09"/>
    <w:rsid w:val="0043017F"/>
    <w:rsid w:val="004379CC"/>
    <w:rsid w:val="00440714"/>
    <w:rsid w:val="00444DF5"/>
    <w:rsid w:val="004556B5"/>
    <w:rsid w:val="0046197C"/>
    <w:rsid w:val="00465525"/>
    <w:rsid w:val="00473858"/>
    <w:rsid w:val="00484AF5"/>
    <w:rsid w:val="004D7E93"/>
    <w:rsid w:val="004D7EC4"/>
    <w:rsid w:val="004F3877"/>
    <w:rsid w:val="004F65AD"/>
    <w:rsid w:val="00515F67"/>
    <w:rsid w:val="00543360"/>
    <w:rsid w:val="00547F8B"/>
    <w:rsid w:val="00550953"/>
    <w:rsid w:val="00562A98"/>
    <w:rsid w:val="00567A6A"/>
    <w:rsid w:val="005763BB"/>
    <w:rsid w:val="00581CB6"/>
    <w:rsid w:val="005966E1"/>
    <w:rsid w:val="005A5F90"/>
    <w:rsid w:val="005A7BD0"/>
    <w:rsid w:val="005D3828"/>
    <w:rsid w:val="005D68FB"/>
    <w:rsid w:val="00625F5A"/>
    <w:rsid w:val="00633F5C"/>
    <w:rsid w:val="00651685"/>
    <w:rsid w:val="00654B82"/>
    <w:rsid w:val="006809A9"/>
    <w:rsid w:val="006B0D82"/>
    <w:rsid w:val="006B5201"/>
    <w:rsid w:val="006B697F"/>
    <w:rsid w:val="006B69D4"/>
    <w:rsid w:val="006D4C52"/>
    <w:rsid w:val="006D7155"/>
    <w:rsid w:val="006F5B15"/>
    <w:rsid w:val="006F6881"/>
    <w:rsid w:val="007047E5"/>
    <w:rsid w:val="007213FC"/>
    <w:rsid w:val="007451FF"/>
    <w:rsid w:val="007472EF"/>
    <w:rsid w:val="007472FF"/>
    <w:rsid w:val="00750925"/>
    <w:rsid w:val="007A0438"/>
    <w:rsid w:val="007A4874"/>
    <w:rsid w:val="007A6BF9"/>
    <w:rsid w:val="007B4BD8"/>
    <w:rsid w:val="007B7506"/>
    <w:rsid w:val="007C1519"/>
    <w:rsid w:val="007C7096"/>
    <w:rsid w:val="007D7AA3"/>
    <w:rsid w:val="008039E9"/>
    <w:rsid w:val="00805A78"/>
    <w:rsid w:val="00820F42"/>
    <w:rsid w:val="00824080"/>
    <w:rsid w:val="00827277"/>
    <w:rsid w:val="008325CE"/>
    <w:rsid w:val="008479D1"/>
    <w:rsid w:val="00873427"/>
    <w:rsid w:val="00884990"/>
    <w:rsid w:val="008958DE"/>
    <w:rsid w:val="008965FF"/>
    <w:rsid w:val="008A52E9"/>
    <w:rsid w:val="008B0680"/>
    <w:rsid w:val="008B216A"/>
    <w:rsid w:val="008B6918"/>
    <w:rsid w:val="008F132A"/>
    <w:rsid w:val="009171A7"/>
    <w:rsid w:val="009201AC"/>
    <w:rsid w:val="00922544"/>
    <w:rsid w:val="00935AEB"/>
    <w:rsid w:val="00944391"/>
    <w:rsid w:val="00947ED0"/>
    <w:rsid w:val="00951BB4"/>
    <w:rsid w:val="00951E3E"/>
    <w:rsid w:val="00954191"/>
    <w:rsid w:val="00991E6D"/>
    <w:rsid w:val="009A2A56"/>
    <w:rsid w:val="009A7DA4"/>
    <w:rsid w:val="009B04E1"/>
    <w:rsid w:val="009C4A76"/>
    <w:rsid w:val="009D243D"/>
    <w:rsid w:val="009D57FD"/>
    <w:rsid w:val="009E1268"/>
    <w:rsid w:val="009E3824"/>
    <w:rsid w:val="009E5E22"/>
    <w:rsid w:val="00A02E1E"/>
    <w:rsid w:val="00A06C71"/>
    <w:rsid w:val="00A422B8"/>
    <w:rsid w:val="00A45600"/>
    <w:rsid w:val="00A50712"/>
    <w:rsid w:val="00A72364"/>
    <w:rsid w:val="00A73401"/>
    <w:rsid w:val="00A84DDB"/>
    <w:rsid w:val="00A85561"/>
    <w:rsid w:val="00AA653E"/>
    <w:rsid w:val="00AB29BF"/>
    <w:rsid w:val="00AB6221"/>
    <w:rsid w:val="00AC388B"/>
    <w:rsid w:val="00AC6684"/>
    <w:rsid w:val="00AD0FBA"/>
    <w:rsid w:val="00AE77AC"/>
    <w:rsid w:val="00B20F08"/>
    <w:rsid w:val="00B246E3"/>
    <w:rsid w:val="00B24C21"/>
    <w:rsid w:val="00B3308D"/>
    <w:rsid w:val="00B43A16"/>
    <w:rsid w:val="00B560B5"/>
    <w:rsid w:val="00B67BD0"/>
    <w:rsid w:val="00B820D9"/>
    <w:rsid w:val="00B87DB7"/>
    <w:rsid w:val="00B95D79"/>
    <w:rsid w:val="00B97053"/>
    <w:rsid w:val="00B9733F"/>
    <w:rsid w:val="00BA546C"/>
    <w:rsid w:val="00BB43DA"/>
    <w:rsid w:val="00BC0E95"/>
    <w:rsid w:val="00BC4852"/>
    <w:rsid w:val="00BC4B61"/>
    <w:rsid w:val="00BD0A1C"/>
    <w:rsid w:val="00BE7F49"/>
    <w:rsid w:val="00BF6255"/>
    <w:rsid w:val="00C062C3"/>
    <w:rsid w:val="00C07305"/>
    <w:rsid w:val="00C103C1"/>
    <w:rsid w:val="00C11732"/>
    <w:rsid w:val="00C149F4"/>
    <w:rsid w:val="00C16D61"/>
    <w:rsid w:val="00C22BC5"/>
    <w:rsid w:val="00C240D3"/>
    <w:rsid w:val="00C25D27"/>
    <w:rsid w:val="00C26B27"/>
    <w:rsid w:val="00C31D61"/>
    <w:rsid w:val="00C43812"/>
    <w:rsid w:val="00C44008"/>
    <w:rsid w:val="00C46268"/>
    <w:rsid w:val="00C51734"/>
    <w:rsid w:val="00C51FA5"/>
    <w:rsid w:val="00C52FB0"/>
    <w:rsid w:val="00C5539D"/>
    <w:rsid w:val="00C5576F"/>
    <w:rsid w:val="00C705AD"/>
    <w:rsid w:val="00C73838"/>
    <w:rsid w:val="00C76789"/>
    <w:rsid w:val="00C8454D"/>
    <w:rsid w:val="00C920EE"/>
    <w:rsid w:val="00CB5356"/>
    <w:rsid w:val="00CC5EA7"/>
    <w:rsid w:val="00CD2FFD"/>
    <w:rsid w:val="00CD59CC"/>
    <w:rsid w:val="00CD7208"/>
    <w:rsid w:val="00CE7330"/>
    <w:rsid w:val="00D0476A"/>
    <w:rsid w:val="00D215B7"/>
    <w:rsid w:val="00D24798"/>
    <w:rsid w:val="00D3418D"/>
    <w:rsid w:val="00D406CB"/>
    <w:rsid w:val="00D646E8"/>
    <w:rsid w:val="00D673BF"/>
    <w:rsid w:val="00D75554"/>
    <w:rsid w:val="00D96ABA"/>
    <w:rsid w:val="00DA1D0E"/>
    <w:rsid w:val="00DB0344"/>
    <w:rsid w:val="00DB30C1"/>
    <w:rsid w:val="00DC03EB"/>
    <w:rsid w:val="00DC29E5"/>
    <w:rsid w:val="00DE7F63"/>
    <w:rsid w:val="00E07D01"/>
    <w:rsid w:val="00E15AEA"/>
    <w:rsid w:val="00E31686"/>
    <w:rsid w:val="00E45376"/>
    <w:rsid w:val="00E46360"/>
    <w:rsid w:val="00E479F3"/>
    <w:rsid w:val="00E61D60"/>
    <w:rsid w:val="00E64FAC"/>
    <w:rsid w:val="00E6658E"/>
    <w:rsid w:val="00E758AB"/>
    <w:rsid w:val="00E83A7D"/>
    <w:rsid w:val="00EA4B63"/>
    <w:rsid w:val="00EB26ED"/>
    <w:rsid w:val="00EB78B4"/>
    <w:rsid w:val="00EC0E05"/>
    <w:rsid w:val="00EC1B45"/>
    <w:rsid w:val="00EC3EF0"/>
    <w:rsid w:val="00ED0257"/>
    <w:rsid w:val="00ED5790"/>
    <w:rsid w:val="00EE2E7A"/>
    <w:rsid w:val="00F04284"/>
    <w:rsid w:val="00F16A67"/>
    <w:rsid w:val="00F250F0"/>
    <w:rsid w:val="00F3132B"/>
    <w:rsid w:val="00F529AC"/>
    <w:rsid w:val="00F661C2"/>
    <w:rsid w:val="00F747D8"/>
    <w:rsid w:val="00F800BB"/>
    <w:rsid w:val="00F830F6"/>
    <w:rsid w:val="00FA5933"/>
    <w:rsid w:val="00FA5FE0"/>
    <w:rsid w:val="00FC7134"/>
    <w:rsid w:val="00FC7B3C"/>
    <w:rsid w:val="00FE2AE2"/>
    <w:rsid w:val="00FF6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82"/>
  </w:style>
  <w:style w:type="paragraph" w:styleId="Heading2">
    <w:name w:val="heading 2"/>
    <w:aliases w:val="MR Heading 2"/>
    <w:next w:val="BodyText"/>
    <w:link w:val="Heading2Char"/>
    <w:qFormat/>
    <w:rsid w:val="00264606"/>
    <w:pPr>
      <w:keepNext/>
      <w:numPr>
        <w:ilvl w:val="1"/>
        <w:numId w:val="15"/>
      </w:numPr>
      <w:spacing w:after="240" w:line="240" w:lineRule="auto"/>
      <w:jc w:val="center"/>
      <w:outlineLvl w:val="1"/>
    </w:pPr>
    <w:rPr>
      <w:rFonts w:ascii="Times New Roman" w:eastAsia="Times New Roman" w:hAnsi="Times New Roman" w:cs="Arial"/>
      <w:b/>
      <w:szCs w:val="20"/>
      <w:lang w:val="en-CA"/>
    </w:rPr>
  </w:style>
  <w:style w:type="paragraph" w:styleId="Heading3">
    <w:name w:val="heading 3"/>
    <w:next w:val="Normal"/>
    <w:link w:val="Heading3Char"/>
    <w:qFormat/>
    <w:rsid w:val="00A72364"/>
    <w:pPr>
      <w:keepNext/>
      <w:tabs>
        <w:tab w:val="num" w:pos="297"/>
      </w:tabs>
      <w:spacing w:after="240" w:line="240" w:lineRule="auto"/>
      <w:ind w:left="297" w:hanging="284"/>
      <w:jc w:val="center"/>
      <w:outlineLvl w:val="2"/>
    </w:pPr>
    <w:rPr>
      <w:rFonts w:ascii="Times New Roman Bold" w:eastAsia="Times New Roman" w:hAnsi="Times New Roman Bold" w:cs="Times New Roman"/>
      <w:b/>
      <w:szCs w:val="20"/>
      <w:lang w:val="en-GB"/>
    </w:rPr>
  </w:style>
  <w:style w:type="paragraph" w:styleId="Heading4">
    <w:name w:val="heading 4"/>
    <w:basedOn w:val="Normal"/>
    <w:next w:val="Normal"/>
    <w:link w:val="Heading4Char"/>
    <w:qFormat/>
    <w:rsid w:val="00A72364"/>
    <w:pPr>
      <w:keepNext/>
      <w:tabs>
        <w:tab w:val="num" w:pos="1431"/>
      </w:tabs>
      <w:spacing w:before="120" w:after="120" w:line="240" w:lineRule="auto"/>
      <w:ind w:left="1431" w:hanging="567"/>
      <w:jc w:val="both"/>
      <w:outlineLvl w:val="3"/>
    </w:pPr>
    <w:rPr>
      <w:rFonts w:ascii="Times New Roman" w:eastAsia="Times New Roma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04E1"/>
    <w:pPr>
      <w:ind w:left="720"/>
      <w:contextualSpacing/>
    </w:pPr>
  </w:style>
  <w:style w:type="paragraph" w:styleId="BalloonText">
    <w:name w:val="Balloon Text"/>
    <w:basedOn w:val="Normal"/>
    <w:link w:val="BalloonTextChar"/>
    <w:uiPriority w:val="99"/>
    <w:semiHidden/>
    <w:unhideWhenUsed/>
    <w:rsid w:val="0029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C73"/>
    <w:rPr>
      <w:rFonts w:ascii="Tahoma" w:hAnsi="Tahoma" w:cs="Tahoma"/>
      <w:sz w:val="16"/>
      <w:szCs w:val="16"/>
    </w:rPr>
  </w:style>
  <w:style w:type="character" w:styleId="CommentReference">
    <w:name w:val="annotation reference"/>
    <w:basedOn w:val="DefaultParagraphFont"/>
    <w:uiPriority w:val="99"/>
    <w:semiHidden/>
    <w:unhideWhenUsed/>
    <w:rsid w:val="007213FC"/>
    <w:rPr>
      <w:sz w:val="16"/>
      <w:szCs w:val="16"/>
    </w:rPr>
  </w:style>
  <w:style w:type="paragraph" w:styleId="CommentText">
    <w:name w:val="annotation text"/>
    <w:basedOn w:val="Normal"/>
    <w:link w:val="CommentTextChar"/>
    <w:uiPriority w:val="99"/>
    <w:unhideWhenUsed/>
    <w:rsid w:val="007213FC"/>
    <w:pPr>
      <w:spacing w:line="240" w:lineRule="auto"/>
    </w:pPr>
    <w:rPr>
      <w:sz w:val="20"/>
      <w:szCs w:val="20"/>
    </w:rPr>
  </w:style>
  <w:style w:type="character" w:customStyle="1" w:styleId="CommentTextChar">
    <w:name w:val="Comment Text Char"/>
    <w:basedOn w:val="DefaultParagraphFont"/>
    <w:link w:val="CommentText"/>
    <w:uiPriority w:val="99"/>
    <w:rsid w:val="007213FC"/>
    <w:rPr>
      <w:sz w:val="20"/>
      <w:szCs w:val="20"/>
    </w:rPr>
  </w:style>
  <w:style w:type="paragraph" w:styleId="CommentSubject">
    <w:name w:val="annotation subject"/>
    <w:basedOn w:val="CommentText"/>
    <w:next w:val="CommentText"/>
    <w:link w:val="CommentSubjectChar"/>
    <w:uiPriority w:val="99"/>
    <w:semiHidden/>
    <w:unhideWhenUsed/>
    <w:rsid w:val="007213FC"/>
    <w:rPr>
      <w:b/>
      <w:bCs/>
    </w:rPr>
  </w:style>
  <w:style w:type="character" w:customStyle="1" w:styleId="CommentSubjectChar">
    <w:name w:val="Comment Subject Char"/>
    <w:basedOn w:val="CommentTextChar"/>
    <w:link w:val="CommentSubject"/>
    <w:uiPriority w:val="99"/>
    <w:semiHidden/>
    <w:rsid w:val="007213FC"/>
    <w:rPr>
      <w:b/>
      <w:bCs/>
    </w:rPr>
  </w:style>
  <w:style w:type="character" w:styleId="Hyperlink">
    <w:name w:val="Hyperlink"/>
    <w:basedOn w:val="DefaultParagraphFont"/>
    <w:unhideWhenUsed/>
    <w:rsid w:val="006B5201"/>
    <w:rPr>
      <w:color w:val="0000FF" w:themeColor="hyperlink"/>
      <w:u w:val="single"/>
    </w:rPr>
  </w:style>
  <w:style w:type="table" w:styleId="TableGrid">
    <w:name w:val="Table Grid"/>
    <w:basedOn w:val="TableNormal"/>
    <w:uiPriority w:val="59"/>
    <w:rsid w:val="00C10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
    <w:basedOn w:val="Normal"/>
    <w:link w:val="FootnoteTextChar"/>
    <w:semiHidden/>
    <w:unhideWhenUsed/>
    <w:rsid w:val="00145E8E"/>
    <w:pPr>
      <w:spacing w:after="0" w:line="240" w:lineRule="auto"/>
    </w:pPr>
    <w:rPr>
      <w:sz w:val="20"/>
      <w:szCs w:val="20"/>
    </w:rPr>
  </w:style>
  <w:style w:type="character" w:customStyle="1" w:styleId="FootnoteTextChar">
    <w:name w:val="Footnote Text Char"/>
    <w:aliases w:val="single space Char1,Footnote Text Char Char Char Char Char1,Footnote Text Char Char Char1,Footnote Text Char1 Char1,Footnote Text Char2 Char Char Char1,Footnote Text Char Char2 Char Char Char1,f Char1,Texto nota pie Car Char"/>
    <w:basedOn w:val="DefaultParagraphFont"/>
    <w:link w:val="FootnoteText"/>
    <w:uiPriority w:val="99"/>
    <w:semiHidden/>
    <w:rsid w:val="00145E8E"/>
    <w:rPr>
      <w:sz w:val="20"/>
      <w:szCs w:val="20"/>
    </w:rPr>
  </w:style>
  <w:style w:type="character" w:styleId="FootnoteReference">
    <w:name w:val="footnote reference"/>
    <w:aliases w:val="ftref,16 Point,Superscript 6 Point"/>
    <w:basedOn w:val="DefaultParagraphFont"/>
    <w:semiHidden/>
    <w:unhideWhenUsed/>
    <w:rsid w:val="00145E8E"/>
    <w:rPr>
      <w:vertAlign w:val="superscript"/>
    </w:rPr>
  </w:style>
  <w:style w:type="character" w:styleId="FollowedHyperlink">
    <w:name w:val="FollowedHyperlink"/>
    <w:basedOn w:val="DefaultParagraphFont"/>
    <w:uiPriority w:val="99"/>
    <w:semiHidden/>
    <w:unhideWhenUsed/>
    <w:rsid w:val="00145E8E"/>
    <w:rPr>
      <w:color w:val="800080" w:themeColor="followedHyperlink"/>
      <w:u w:val="single"/>
    </w:rPr>
  </w:style>
  <w:style w:type="character" w:customStyle="1" w:styleId="Heading3Char">
    <w:name w:val="Heading 3 Char"/>
    <w:basedOn w:val="DefaultParagraphFont"/>
    <w:link w:val="Heading3"/>
    <w:rsid w:val="00A72364"/>
    <w:rPr>
      <w:rFonts w:ascii="Times New Roman Bold" w:eastAsia="Times New Roman" w:hAnsi="Times New Roman Bold" w:cs="Times New Roman"/>
      <w:b/>
      <w:szCs w:val="20"/>
      <w:lang w:val="en-GB"/>
    </w:rPr>
  </w:style>
  <w:style w:type="character" w:customStyle="1" w:styleId="Heading4Char">
    <w:name w:val="Heading 4 Char"/>
    <w:basedOn w:val="DefaultParagraphFont"/>
    <w:link w:val="Heading4"/>
    <w:rsid w:val="00A72364"/>
    <w:rPr>
      <w:rFonts w:ascii="Times New Roman" w:eastAsia="Times New Roman" w:hAnsi="Times New Roman" w:cs="Times New Roman"/>
      <w:b/>
      <w:i/>
      <w:szCs w:val="20"/>
      <w:lang w:val="en-GB"/>
    </w:rPr>
  </w:style>
  <w:style w:type="character" w:customStyle="1" w:styleId="FootnoteTextChar2">
    <w:name w:val="Footnote Text Char2"/>
    <w:aliases w:val="Footnote Text Char Char1,single space Char,Footnote Text Char Char Char Char Char,Footnote Text Char Char Char,Footnote Text Char1 Char,Footnote Text Char2 Char Char Char,Footnote Text Char Char2 Char Char Char,f Char"/>
    <w:rsid w:val="00A72364"/>
    <w:rPr>
      <w:lang w:val="en-GB" w:eastAsia="en-US" w:bidi="ar-SA"/>
    </w:rPr>
  </w:style>
  <w:style w:type="character" w:customStyle="1" w:styleId="Heading2Char">
    <w:name w:val="Heading 2 Char"/>
    <w:aliases w:val="MR Heading 2 Char"/>
    <w:basedOn w:val="DefaultParagraphFont"/>
    <w:link w:val="Heading2"/>
    <w:rsid w:val="00264606"/>
    <w:rPr>
      <w:rFonts w:ascii="Times New Roman" w:eastAsia="Times New Roman" w:hAnsi="Times New Roman" w:cs="Arial"/>
      <w:b/>
      <w:szCs w:val="20"/>
      <w:lang w:val="en-CA"/>
    </w:rPr>
  </w:style>
  <w:style w:type="paragraph" w:customStyle="1" w:styleId="TableCaption">
    <w:name w:val="Table Caption"/>
    <w:basedOn w:val="Caption"/>
    <w:next w:val="Normal"/>
    <w:rsid w:val="00264606"/>
    <w:pPr>
      <w:numPr>
        <w:numId w:val="15"/>
      </w:numPr>
      <w:spacing w:after="120"/>
      <w:jc w:val="center"/>
    </w:pPr>
    <w:rPr>
      <w:rFonts w:ascii="Times New Roman" w:eastAsia="Times New Roman" w:hAnsi="Times New Roman" w:cs="Times New Roman"/>
      <w:bCs w:val="0"/>
      <w:color w:val="auto"/>
      <w:sz w:val="22"/>
      <w:szCs w:val="20"/>
      <w:lang w:val="en-GB"/>
    </w:rPr>
  </w:style>
  <w:style w:type="paragraph" w:styleId="BodyText">
    <w:name w:val="Body Text"/>
    <w:basedOn w:val="Normal"/>
    <w:link w:val="BodyTextChar"/>
    <w:uiPriority w:val="99"/>
    <w:semiHidden/>
    <w:unhideWhenUsed/>
    <w:rsid w:val="00264606"/>
    <w:pPr>
      <w:spacing w:after="120"/>
    </w:pPr>
  </w:style>
  <w:style w:type="character" w:customStyle="1" w:styleId="BodyTextChar">
    <w:name w:val="Body Text Char"/>
    <w:basedOn w:val="DefaultParagraphFont"/>
    <w:link w:val="BodyText"/>
    <w:uiPriority w:val="99"/>
    <w:semiHidden/>
    <w:rsid w:val="00264606"/>
  </w:style>
  <w:style w:type="paragraph" w:styleId="Caption">
    <w:name w:val="caption"/>
    <w:basedOn w:val="Normal"/>
    <w:next w:val="Normal"/>
    <w:uiPriority w:val="35"/>
    <w:semiHidden/>
    <w:unhideWhenUsed/>
    <w:qFormat/>
    <w:rsid w:val="00264606"/>
    <w:pPr>
      <w:spacing w:line="240" w:lineRule="auto"/>
    </w:pPr>
    <w:rPr>
      <w:b/>
      <w:bCs/>
      <w:color w:val="4F81BD" w:themeColor="accent1"/>
      <w:sz w:val="18"/>
      <w:szCs w:val="18"/>
    </w:rPr>
  </w:style>
  <w:style w:type="paragraph" w:customStyle="1" w:styleId="00Paragraphnumbering">
    <w:name w:val="00 Paragraph numbering"/>
    <w:basedOn w:val="BodyText"/>
    <w:link w:val="00ParagraphnumberingChar"/>
    <w:rsid w:val="003A31FF"/>
    <w:pPr>
      <w:tabs>
        <w:tab w:val="num" w:pos="567"/>
      </w:tabs>
      <w:spacing w:after="240" w:line="240" w:lineRule="auto"/>
      <w:jc w:val="both"/>
    </w:pPr>
    <w:rPr>
      <w:rFonts w:ascii="Times New Roman" w:eastAsia="Times New Roman" w:hAnsi="Times New Roman" w:cs="Times New Roman"/>
      <w:szCs w:val="20"/>
      <w:lang w:val="en-GB"/>
    </w:rPr>
  </w:style>
  <w:style w:type="paragraph" w:customStyle="1" w:styleId="00Paragraphno2ndlevel">
    <w:name w:val="00 Paragraph no. 2nd level"/>
    <w:basedOn w:val="00Paragraphnumbering"/>
    <w:link w:val="00Paragraphno2ndlevelChar"/>
    <w:rsid w:val="003A31FF"/>
    <w:pPr>
      <w:tabs>
        <w:tab w:val="clear" w:pos="567"/>
      </w:tabs>
    </w:pPr>
  </w:style>
  <w:style w:type="character" w:customStyle="1" w:styleId="00Paragraphno2ndlevelChar">
    <w:name w:val="00 Paragraph no. 2nd level Char"/>
    <w:basedOn w:val="DefaultParagraphFont"/>
    <w:link w:val="00Paragraphno2ndlevel"/>
    <w:rsid w:val="003A31FF"/>
    <w:rPr>
      <w:rFonts w:ascii="Times New Roman" w:eastAsia="Times New Roman" w:hAnsi="Times New Roman" w:cs="Times New Roman"/>
      <w:szCs w:val="20"/>
      <w:lang w:val="en-GB"/>
    </w:rPr>
  </w:style>
  <w:style w:type="paragraph" w:styleId="Header">
    <w:name w:val="header"/>
    <w:basedOn w:val="Normal"/>
    <w:link w:val="HeaderChar"/>
    <w:uiPriority w:val="99"/>
    <w:semiHidden/>
    <w:unhideWhenUsed/>
    <w:rsid w:val="00567A6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7A6A"/>
  </w:style>
  <w:style w:type="paragraph" w:styleId="Footer">
    <w:name w:val="footer"/>
    <w:basedOn w:val="Normal"/>
    <w:link w:val="FooterChar"/>
    <w:uiPriority w:val="99"/>
    <w:unhideWhenUsed/>
    <w:rsid w:val="0056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7A6A"/>
  </w:style>
  <w:style w:type="character" w:styleId="PlaceholderText">
    <w:name w:val="Placeholder Text"/>
    <w:basedOn w:val="DefaultParagraphFont"/>
    <w:uiPriority w:val="99"/>
    <w:semiHidden/>
    <w:rsid w:val="00B246E3"/>
    <w:rPr>
      <w:color w:val="808080"/>
    </w:rPr>
  </w:style>
  <w:style w:type="character" w:customStyle="1" w:styleId="00ParagraphnumberingChar">
    <w:name w:val="00 Paragraph numbering Char"/>
    <w:basedOn w:val="BodyTextChar"/>
    <w:link w:val="00Paragraphnumbering"/>
    <w:rsid w:val="00A50712"/>
    <w:rPr>
      <w:rFonts w:ascii="Times New Roman" w:eastAsia="Times New Roman" w:hAnsi="Times New Roman" w:cs="Times New Roman"/>
      <w:szCs w:val="20"/>
      <w:lang w:val="en-GB"/>
    </w:rPr>
  </w:style>
  <w:style w:type="paragraph" w:styleId="EndnoteText">
    <w:name w:val="endnote text"/>
    <w:basedOn w:val="Normal"/>
    <w:link w:val="EndnoteTextChar"/>
    <w:uiPriority w:val="99"/>
    <w:semiHidden/>
    <w:unhideWhenUsed/>
    <w:rsid w:val="000B6E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6EC0"/>
    <w:rPr>
      <w:sz w:val="20"/>
      <w:szCs w:val="20"/>
    </w:rPr>
  </w:style>
  <w:style w:type="character" w:styleId="EndnoteReference">
    <w:name w:val="endnote reference"/>
    <w:basedOn w:val="DefaultParagraphFont"/>
    <w:uiPriority w:val="99"/>
    <w:semiHidden/>
    <w:unhideWhenUsed/>
    <w:rsid w:val="000B6EC0"/>
    <w:rPr>
      <w:vertAlign w:val="superscript"/>
    </w:rPr>
  </w:style>
  <w:style w:type="paragraph" w:styleId="Revision">
    <w:name w:val="Revision"/>
    <w:hidden/>
    <w:uiPriority w:val="99"/>
    <w:semiHidden/>
    <w:rsid w:val="00E61D60"/>
    <w:pPr>
      <w:spacing w:after="0" w:line="240" w:lineRule="auto"/>
    </w:pPr>
  </w:style>
  <w:style w:type="paragraph" w:styleId="NormalWeb">
    <w:name w:val="Normal (Web)"/>
    <w:basedOn w:val="Normal"/>
    <w:uiPriority w:val="99"/>
    <w:semiHidden/>
    <w:unhideWhenUsed/>
    <w:rsid w:val="00EB26ED"/>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NoSpacing">
    <w:name w:val="No Spacing"/>
    <w:link w:val="NoSpacingChar"/>
    <w:uiPriority w:val="1"/>
    <w:qFormat/>
    <w:rsid w:val="00F800B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800BB"/>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636226709">
      <w:bodyDiv w:val="1"/>
      <w:marLeft w:val="0"/>
      <w:marRight w:val="0"/>
      <w:marTop w:val="0"/>
      <w:marBottom w:val="0"/>
      <w:divBdr>
        <w:top w:val="none" w:sz="0" w:space="0" w:color="auto"/>
        <w:left w:val="none" w:sz="0" w:space="0" w:color="auto"/>
        <w:bottom w:val="none" w:sz="0" w:space="0" w:color="auto"/>
        <w:right w:val="none" w:sz="0" w:space="0" w:color="auto"/>
      </w:divBdr>
    </w:div>
    <w:div w:id="716972389">
      <w:bodyDiv w:val="1"/>
      <w:marLeft w:val="0"/>
      <w:marRight w:val="0"/>
      <w:marTop w:val="0"/>
      <w:marBottom w:val="0"/>
      <w:divBdr>
        <w:top w:val="none" w:sz="0" w:space="0" w:color="auto"/>
        <w:left w:val="none" w:sz="0" w:space="0" w:color="auto"/>
        <w:bottom w:val="none" w:sz="0" w:space="0" w:color="auto"/>
        <w:right w:val="none" w:sz="0" w:space="0" w:color="auto"/>
      </w:divBdr>
    </w:div>
    <w:div w:id="782577377">
      <w:bodyDiv w:val="1"/>
      <w:marLeft w:val="0"/>
      <w:marRight w:val="0"/>
      <w:marTop w:val="0"/>
      <w:marBottom w:val="0"/>
      <w:divBdr>
        <w:top w:val="none" w:sz="0" w:space="0" w:color="auto"/>
        <w:left w:val="none" w:sz="0" w:space="0" w:color="auto"/>
        <w:bottom w:val="none" w:sz="0" w:space="0" w:color="auto"/>
        <w:right w:val="none" w:sz="0" w:space="0" w:color="auto"/>
      </w:divBdr>
    </w:div>
    <w:div w:id="1154375692">
      <w:bodyDiv w:val="1"/>
      <w:marLeft w:val="0"/>
      <w:marRight w:val="0"/>
      <w:marTop w:val="0"/>
      <w:marBottom w:val="0"/>
      <w:divBdr>
        <w:top w:val="none" w:sz="0" w:space="0" w:color="auto"/>
        <w:left w:val="none" w:sz="0" w:space="0" w:color="auto"/>
        <w:bottom w:val="none" w:sz="0" w:space="0" w:color="auto"/>
        <w:right w:val="none" w:sz="0" w:space="0" w:color="auto"/>
      </w:divBdr>
    </w:div>
    <w:div w:id="1335454205">
      <w:bodyDiv w:val="1"/>
      <w:marLeft w:val="0"/>
      <w:marRight w:val="0"/>
      <w:marTop w:val="0"/>
      <w:marBottom w:val="0"/>
      <w:divBdr>
        <w:top w:val="none" w:sz="0" w:space="0" w:color="auto"/>
        <w:left w:val="none" w:sz="0" w:space="0" w:color="auto"/>
        <w:bottom w:val="none" w:sz="0" w:space="0" w:color="auto"/>
        <w:right w:val="none" w:sz="0" w:space="0" w:color="auto"/>
      </w:divBdr>
    </w:div>
    <w:div w:id="1585796487">
      <w:bodyDiv w:val="1"/>
      <w:marLeft w:val="0"/>
      <w:marRight w:val="0"/>
      <w:marTop w:val="0"/>
      <w:marBottom w:val="0"/>
      <w:divBdr>
        <w:top w:val="none" w:sz="0" w:space="0" w:color="auto"/>
        <w:left w:val="none" w:sz="0" w:space="0" w:color="auto"/>
        <w:bottom w:val="none" w:sz="0" w:space="0" w:color="auto"/>
        <w:right w:val="none" w:sz="0" w:space="0" w:color="auto"/>
      </w:divBdr>
    </w:div>
    <w:div w:id="2035692694">
      <w:bodyDiv w:val="1"/>
      <w:marLeft w:val="0"/>
      <w:marRight w:val="0"/>
      <w:marTop w:val="0"/>
      <w:marBottom w:val="0"/>
      <w:divBdr>
        <w:top w:val="none" w:sz="0" w:space="0" w:color="auto"/>
        <w:left w:val="none" w:sz="0" w:space="0" w:color="auto"/>
        <w:bottom w:val="none" w:sz="0" w:space="0" w:color="auto"/>
        <w:right w:val="none" w:sz="0" w:space="0" w:color="auto"/>
      </w:divBdr>
      <w:divsChild>
        <w:div w:id="794636318">
          <w:marLeft w:val="0"/>
          <w:marRight w:val="0"/>
          <w:marTop w:val="0"/>
          <w:marBottom w:val="0"/>
          <w:divBdr>
            <w:top w:val="none" w:sz="0" w:space="0" w:color="auto"/>
            <w:left w:val="none" w:sz="0" w:space="0" w:color="auto"/>
            <w:bottom w:val="none" w:sz="0" w:space="0" w:color="auto"/>
            <w:right w:val="none" w:sz="0" w:space="0" w:color="auto"/>
          </w:divBdr>
          <w:divsChild>
            <w:div w:id="590549291">
              <w:marLeft w:val="0"/>
              <w:marRight w:val="0"/>
              <w:marTop w:val="0"/>
              <w:marBottom w:val="0"/>
              <w:divBdr>
                <w:top w:val="none" w:sz="0" w:space="0" w:color="auto"/>
                <w:left w:val="none" w:sz="0" w:space="0" w:color="auto"/>
                <w:bottom w:val="none" w:sz="0" w:space="0" w:color="auto"/>
                <w:right w:val="none" w:sz="0" w:space="0" w:color="auto"/>
              </w:divBdr>
              <w:divsChild>
                <w:div w:id="857933382">
                  <w:marLeft w:val="0"/>
                  <w:marRight w:val="0"/>
                  <w:marTop w:val="0"/>
                  <w:marBottom w:val="0"/>
                  <w:divBdr>
                    <w:top w:val="none" w:sz="0" w:space="0" w:color="auto"/>
                    <w:left w:val="none" w:sz="0" w:space="0" w:color="auto"/>
                    <w:bottom w:val="none" w:sz="0" w:space="0" w:color="auto"/>
                    <w:right w:val="none" w:sz="0" w:space="0" w:color="auto"/>
                  </w:divBdr>
                  <w:divsChild>
                    <w:div w:id="1998876714">
                      <w:marLeft w:val="0"/>
                      <w:marRight w:val="0"/>
                      <w:marTop w:val="0"/>
                      <w:marBottom w:val="0"/>
                      <w:divBdr>
                        <w:top w:val="none" w:sz="0" w:space="0" w:color="auto"/>
                        <w:left w:val="none" w:sz="0" w:space="0" w:color="auto"/>
                        <w:bottom w:val="none" w:sz="0" w:space="0" w:color="auto"/>
                        <w:right w:val="none" w:sz="0" w:space="0" w:color="auto"/>
                      </w:divBdr>
                      <w:divsChild>
                        <w:div w:id="1755591953">
                          <w:marLeft w:val="0"/>
                          <w:marRight w:val="0"/>
                          <w:marTop w:val="0"/>
                          <w:marBottom w:val="0"/>
                          <w:divBdr>
                            <w:top w:val="none" w:sz="0" w:space="0" w:color="auto"/>
                            <w:left w:val="none" w:sz="0" w:space="0" w:color="auto"/>
                            <w:bottom w:val="none" w:sz="0" w:space="0" w:color="auto"/>
                            <w:right w:val="none" w:sz="0" w:space="0" w:color="auto"/>
                          </w:divBdr>
                          <w:divsChild>
                            <w:div w:id="211968793">
                              <w:marLeft w:val="0"/>
                              <w:marRight w:val="0"/>
                              <w:marTop w:val="0"/>
                              <w:marBottom w:val="0"/>
                              <w:divBdr>
                                <w:top w:val="none" w:sz="0" w:space="0" w:color="auto"/>
                                <w:left w:val="none" w:sz="0" w:space="0" w:color="auto"/>
                                <w:bottom w:val="none" w:sz="0" w:space="0" w:color="auto"/>
                                <w:right w:val="none" w:sz="0" w:space="0" w:color="auto"/>
                              </w:divBdr>
                              <w:divsChild>
                                <w:div w:id="20347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org" TargetMode="External"/><Relationship Id="rId4" Type="http://schemas.openxmlformats.org/officeDocument/2006/relationships/settings" Target="settings.xml"/><Relationship Id="rId9" Type="http://schemas.openxmlformats.org/officeDocument/2006/relationships/hyperlink" Target="http://www.un-red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redd.net/index.php?option=com_docman&amp;task=doc_download&amp;gid=4&amp;Itemid=53" TargetMode="External"/><Relationship Id="rId3" Type="http://schemas.openxmlformats.org/officeDocument/2006/relationships/hyperlink" Target="http://www.unredd.net/index.php?option=com_docman&amp;task=doc_download&amp;gid=4598&amp;Itemid=53" TargetMode="External"/><Relationship Id="rId7" Type="http://schemas.openxmlformats.org/officeDocument/2006/relationships/hyperlink" Target="http://uneval.org/normsandstandards" TargetMode="External"/><Relationship Id="rId2" Type="http://schemas.openxmlformats.org/officeDocument/2006/relationships/hyperlink" Target="http://mptf.undp.org/factsheet/project/00072449" TargetMode="External"/><Relationship Id="rId1" Type="http://schemas.openxmlformats.org/officeDocument/2006/relationships/hyperlink" Target="http://www.unredd.net/index.php?option=com_docman&amp;task=doc_download&amp;gid=931&amp;Itemid=53" TargetMode="External"/><Relationship Id="rId6" Type="http://schemas.openxmlformats.org/officeDocument/2006/relationships/hyperlink" Target="http://www.unredd.net/index.php?option=com_docman&amp;task=doc_download&amp;gid=4&amp;Itemid=53" TargetMode="External"/><Relationship Id="rId5" Type="http://schemas.openxmlformats.org/officeDocument/2006/relationships/hyperlink" Target="http://www.un.org.vn/en/the-one-un-initiative-in-viet-nam-mainmenu-265/one-plan.html" TargetMode="External"/><Relationship Id="rId10" Type="http://schemas.openxmlformats.org/officeDocument/2006/relationships/hyperlink" Target="http://www.unevaluation.org/unegcodeofconduct" TargetMode="External"/><Relationship Id="rId4" Type="http://schemas.openxmlformats.org/officeDocument/2006/relationships/hyperlink" Target="http://www.unredd.net/index.php?option=com_docman&amp;task=doc_download&amp;gid=4&amp;Itemid=53" TargetMode="External"/><Relationship Id="rId9" Type="http://schemas.openxmlformats.org/officeDocument/2006/relationships/hyperlink" Target="http://www.unevaluation.org/uneg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1D38-02C7-402A-B2D7-80140F30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6014</Words>
  <Characters>33083</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UN-REDD</Company>
  <LinksUpToDate>false</LinksUpToDate>
  <CharactersWithSpaces>39019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Prydz</dc:creator>
  <cp:lastModifiedBy>Prydz</cp:lastModifiedBy>
  <cp:revision>3</cp:revision>
  <cp:lastPrinted>2012-06-12T13:32:00Z</cp:lastPrinted>
  <dcterms:created xsi:type="dcterms:W3CDTF">2012-07-05T08:49:00Z</dcterms:created>
  <dcterms:modified xsi:type="dcterms:W3CDTF">2012-07-05T08:55:00Z</dcterms:modified>
</cp:coreProperties>
</file>