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77" w:rsidRPr="005D1B21" w:rsidRDefault="00693A77" w:rsidP="00AA2694">
      <w:pPr>
        <w:pStyle w:val="PlainText"/>
        <w:jc w:val="center"/>
        <w:rPr>
          <w:rFonts w:asciiTheme="minorHAnsi" w:hAnsiTheme="minorHAnsi" w:cstheme="minorHAnsi"/>
          <w:b/>
          <w:sz w:val="24"/>
          <w:szCs w:val="24"/>
          <w:lang w:val="en-GB"/>
        </w:rPr>
      </w:pPr>
      <w:r w:rsidRPr="005D1B21">
        <w:rPr>
          <w:rFonts w:asciiTheme="minorHAnsi" w:hAnsiTheme="minorHAnsi" w:cstheme="minorHAnsi"/>
          <w:b/>
          <w:noProof/>
          <w:sz w:val="24"/>
          <w:szCs w:val="24"/>
          <w:lang w:eastAsia="fr-CH"/>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8" cstate="print"/>
                    <a:stretch>
                      <a:fillRect/>
                    </a:stretch>
                  </pic:blipFill>
                  <pic:spPr>
                    <a:xfrm>
                      <a:off x="0" y="0"/>
                      <a:ext cx="1395788" cy="1050867"/>
                    </a:xfrm>
                    <a:prstGeom prst="rect">
                      <a:avLst/>
                    </a:prstGeom>
                  </pic:spPr>
                </pic:pic>
              </a:graphicData>
            </a:graphic>
          </wp:inline>
        </w:drawing>
      </w:r>
    </w:p>
    <w:p w:rsidR="00693A77" w:rsidRPr="005D1B21" w:rsidRDefault="00693A77" w:rsidP="00AA2694">
      <w:pPr>
        <w:pStyle w:val="PlainText"/>
        <w:rPr>
          <w:rFonts w:asciiTheme="minorHAnsi" w:hAnsiTheme="minorHAnsi" w:cstheme="minorHAnsi"/>
          <w:b/>
          <w:sz w:val="24"/>
          <w:szCs w:val="24"/>
          <w:lang w:val="en-GB"/>
        </w:rPr>
      </w:pPr>
    </w:p>
    <w:p w:rsidR="00EF0F36" w:rsidRPr="005D1B21" w:rsidRDefault="00EF0F36" w:rsidP="00AA2694">
      <w:pPr>
        <w:pStyle w:val="PlainText"/>
        <w:rPr>
          <w:rFonts w:asciiTheme="minorHAnsi" w:hAnsiTheme="minorHAnsi" w:cstheme="minorHAnsi"/>
          <w:b/>
          <w:sz w:val="32"/>
          <w:szCs w:val="24"/>
          <w:lang w:val="en-GB"/>
        </w:rPr>
      </w:pPr>
    </w:p>
    <w:p w:rsidR="006E3FA3" w:rsidRPr="005D1B21" w:rsidRDefault="00693A77" w:rsidP="00AA2694">
      <w:pPr>
        <w:pStyle w:val="PlainText"/>
        <w:rPr>
          <w:rFonts w:asciiTheme="minorHAnsi" w:hAnsiTheme="minorHAnsi" w:cstheme="minorHAnsi"/>
          <w:b/>
          <w:sz w:val="32"/>
          <w:szCs w:val="24"/>
          <w:lang w:val="en-GB"/>
        </w:rPr>
      </w:pPr>
      <w:r w:rsidRPr="005D1B21">
        <w:rPr>
          <w:rFonts w:asciiTheme="minorHAnsi" w:hAnsiTheme="minorHAnsi" w:cstheme="minorHAnsi"/>
          <w:b/>
          <w:sz w:val="32"/>
          <w:szCs w:val="24"/>
          <w:lang w:val="en-GB"/>
        </w:rPr>
        <w:t xml:space="preserve">Detailed concept note for Targeted Support on </w:t>
      </w:r>
      <w:r w:rsidR="00FB6313">
        <w:rPr>
          <w:rFonts w:asciiTheme="minorHAnsi" w:hAnsiTheme="minorHAnsi" w:cstheme="minorHAnsi"/>
          <w:b/>
          <w:sz w:val="32"/>
          <w:szCs w:val="24"/>
          <w:lang w:val="en-GB"/>
        </w:rPr>
        <w:t>Corruption Risk Assessment</w:t>
      </w:r>
      <w:r w:rsidR="006A1704" w:rsidRPr="005D1B21">
        <w:rPr>
          <w:rFonts w:asciiTheme="minorHAnsi" w:hAnsiTheme="minorHAnsi" w:cstheme="minorHAnsi"/>
          <w:b/>
          <w:sz w:val="32"/>
          <w:szCs w:val="24"/>
          <w:lang w:val="en-GB"/>
        </w:rPr>
        <w:t xml:space="preserve"> in </w:t>
      </w:r>
      <w:r w:rsidR="00FB6313">
        <w:rPr>
          <w:rFonts w:asciiTheme="minorHAnsi" w:hAnsiTheme="minorHAnsi" w:cstheme="minorHAnsi"/>
          <w:b/>
          <w:sz w:val="32"/>
          <w:szCs w:val="24"/>
          <w:lang w:val="en-GB"/>
        </w:rPr>
        <w:t>REDD-Plus Implementation in the Philippines</w:t>
      </w:r>
    </w:p>
    <w:p w:rsidR="00AA2694" w:rsidRDefault="00AA2694" w:rsidP="00AA2694">
      <w:pPr>
        <w:pStyle w:val="PlainText"/>
        <w:rPr>
          <w:rFonts w:asciiTheme="minorHAnsi" w:hAnsiTheme="minorHAnsi" w:cstheme="minorHAnsi"/>
          <w:sz w:val="24"/>
          <w:szCs w:val="24"/>
          <w:lang w:val="en-GB"/>
        </w:rPr>
      </w:pPr>
    </w:p>
    <w:p w:rsidR="00AA2694" w:rsidRPr="005D1B21" w:rsidRDefault="00AA2694" w:rsidP="00AA2694">
      <w:pPr>
        <w:pStyle w:val="PlainText"/>
        <w:rPr>
          <w:rFonts w:asciiTheme="minorHAnsi" w:hAnsiTheme="minorHAnsi" w:cstheme="minorHAnsi"/>
          <w:sz w:val="24"/>
          <w:szCs w:val="24"/>
          <w:lang w:val="en-GB"/>
        </w:rPr>
      </w:pPr>
    </w:p>
    <w:p w:rsidR="002B6A2E" w:rsidRPr="005D1B21" w:rsidRDefault="006E3FA3" w:rsidP="00AA2694">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Introduction/ background</w:t>
      </w:r>
    </w:p>
    <w:p w:rsidR="002B6A2E" w:rsidRPr="005D1B21" w:rsidRDefault="002B6A2E" w:rsidP="00AA2694">
      <w:pPr>
        <w:pStyle w:val="PlainText"/>
        <w:rPr>
          <w:rFonts w:asciiTheme="minorHAnsi" w:hAnsiTheme="minorHAnsi" w:cstheme="minorHAnsi"/>
          <w:sz w:val="24"/>
          <w:szCs w:val="24"/>
          <w:lang w:val="en-GB"/>
        </w:rPr>
      </w:pPr>
    </w:p>
    <w:p w:rsidR="002B6A2E" w:rsidRPr="005D1B21" w:rsidRDefault="002B6A2E" w:rsidP="00AA2694">
      <w:pPr>
        <w:pStyle w:val="PlainText"/>
        <w:jc w:val="both"/>
        <w:rPr>
          <w:rFonts w:asciiTheme="minorHAnsi" w:hAnsiTheme="minorHAnsi" w:cstheme="minorHAnsi"/>
          <w:sz w:val="24"/>
          <w:szCs w:val="24"/>
          <w:lang w:val="en-GB"/>
        </w:rPr>
      </w:pPr>
      <w:r w:rsidRPr="005D1B21">
        <w:rPr>
          <w:rFonts w:asciiTheme="minorHAnsi" w:hAnsiTheme="minorHAnsi" w:cstheme="minorHAnsi"/>
          <w:sz w:val="24"/>
          <w:szCs w:val="24"/>
          <w:lang w:val="en-GB"/>
        </w:rPr>
        <w:t xml:space="preserve">The UN-REDD </w:t>
      </w:r>
      <w:r w:rsidR="00E84A78" w:rsidRPr="005D1B21">
        <w:rPr>
          <w:rFonts w:asciiTheme="minorHAnsi" w:hAnsiTheme="minorHAnsi" w:cstheme="minorHAnsi"/>
          <w:sz w:val="24"/>
          <w:szCs w:val="24"/>
          <w:lang w:val="en-GB"/>
        </w:rPr>
        <w:t>Programme</w:t>
      </w:r>
      <w:r w:rsidRPr="005D1B21">
        <w:rPr>
          <w:rFonts w:asciiTheme="minorHAnsi" w:hAnsiTheme="minorHAnsi" w:cstheme="minorHAnsi"/>
          <w:sz w:val="24"/>
          <w:szCs w:val="24"/>
          <w:lang w:val="en-GB"/>
        </w:rPr>
        <w:t>‘</w:t>
      </w:r>
      <w:r w:rsidR="00E84A78" w:rsidRPr="005D1B21">
        <w:rPr>
          <w:rFonts w:asciiTheme="minorHAnsi" w:hAnsiTheme="minorHAnsi" w:cstheme="minorHAnsi"/>
          <w:sz w:val="24"/>
          <w:szCs w:val="24"/>
          <w:lang w:val="en-GB"/>
        </w:rPr>
        <w:t xml:space="preserve">s </w:t>
      </w:r>
      <w:r w:rsidRPr="005D1B21">
        <w:rPr>
          <w:rFonts w:asciiTheme="minorHAnsi" w:hAnsiTheme="minorHAnsi" w:cstheme="minorHAnsi"/>
          <w:sz w:val="24"/>
          <w:szCs w:val="24"/>
          <w:lang w:val="en-GB"/>
        </w:rPr>
        <w:t xml:space="preserve"> ‘Support to National Actions - Global Programme Framework Document 2011-2015  » defines targeted support as “All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6A1704" w:rsidRPr="005D1B21" w:rsidRDefault="006A1704" w:rsidP="00AA2694">
      <w:pPr>
        <w:pStyle w:val="PlainText"/>
        <w:rPr>
          <w:rFonts w:asciiTheme="minorHAnsi" w:hAnsiTheme="minorHAnsi" w:cstheme="minorHAnsi"/>
          <w:sz w:val="24"/>
          <w:szCs w:val="24"/>
          <w:lang w:val="en-GB"/>
        </w:rPr>
      </w:pPr>
    </w:p>
    <w:p w:rsidR="006A1704" w:rsidRPr="005D1B21" w:rsidRDefault="006A1704" w:rsidP="00AA2694">
      <w:pPr>
        <w:pStyle w:val="PlainText"/>
        <w:rPr>
          <w:rFonts w:asciiTheme="minorHAnsi" w:hAnsiTheme="minorHAnsi" w:cstheme="minorHAnsi"/>
          <w:i/>
          <w:sz w:val="24"/>
          <w:szCs w:val="24"/>
          <w:lang w:val="en-GB"/>
        </w:rPr>
      </w:pPr>
      <w:r w:rsidRPr="005D1B21">
        <w:rPr>
          <w:rFonts w:asciiTheme="minorHAnsi" w:hAnsiTheme="minorHAnsi" w:cstheme="minorHAnsi"/>
          <w:sz w:val="24"/>
          <w:szCs w:val="24"/>
          <w:lang w:val="en-GB"/>
        </w:rPr>
        <w:t xml:space="preserve">This note </w:t>
      </w:r>
      <w:r w:rsidR="007E084F" w:rsidRPr="005D1B21">
        <w:rPr>
          <w:rFonts w:asciiTheme="minorHAnsi" w:hAnsiTheme="minorHAnsi" w:cstheme="minorHAnsi"/>
          <w:sz w:val="24"/>
          <w:szCs w:val="24"/>
          <w:lang w:val="en-GB"/>
        </w:rPr>
        <w:t xml:space="preserve">replaces </w:t>
      </w:r>
      <w:r w:rsidRPr="005D1B21">
        <w:rPr>
          <w:rFonts w:asciiTheme="minorHAnsi" w:hAnsiTheme="minorHAnsi" w:cstheme="minorHAnsi"/>
          <w:sz w:val="24"/>
          <w:szCs w:val="24"/>
          <w:lang w:val="en-GB"/>
        </w:rPr>
        <w:t xml:space="preserve">the initial concept note provided on </w:t>
      </w:r>
      <w:r w:rsidR="00DE4038">
        <w:rPr>
          <w:rFonts w:asciiTheme="minorHAnsi" w:hAnsiTheme="minorHAnsi" w:cstheme="minorHAnsi"/>
          <w:sz w:val="24"/>
          <w:szCs w:val="24"/>
          <w:lang w:val="en-GB"/>
        </w:rPr>
        <w:t>22 March, 2012</w:t>
      </w:r>
      <w:r w:rsidRPr="005D1B21">
        <w:rPr>
          <w:rFonts w:asciiTheme="minorHAnsi" w:hAnsiTheme="minorHAnsi" w:cstheme="minorHAnsi"/>
          <w:sz w:val="24"/>
          <w:szCs w:val="24"/>
          <w:lang w:val="en-GB"/>
        </w:rPr>
        <w:t xml:space="preserve"> and available [here] </w:t>
      </w:r>
      <w:r w:rsidRPr="005D1B21">
        <w:rPr>
          <w:rFonts w:asciiTheme="minorHAnsi" w:hAnsiTheme="minorHAnsi" w:cstheme="minorHAnsi"/>
          <w:i/>
          <w:sz w:val="24"/>
          <w:szCs w:val="24"/>
          <w:lang w:val="en-GB"/>
        </w:rPr>
        <w:t xml:space="preserve">(hyperlink on the </w:t>
      </w:r>
      <w:hyperlink r:id="rId9" w:history="1">
        <w:r w:rsidRPr="005D1B21">
          <w:rPr>
            <w:rStyle w:val="Hyperlink"/>
            <w:rFonts w:asciiTheme="minorHAnsi" w:hAnsiTheme="minorHAnsi" w:cstheme="minorHAnsi"/>
            <w:i/>
            <w:sz w:val="24"/>
            <w:szCs w:val="24"/>
            <w:lang w:val="en-GB"/>
          </w:rPr>
          <w:t>workspace country folder</w:t>
        </w:r>
      </w:hyperlink>
      <w:r w:rsidRPr="005D1B21">
        <w:rPr>
          <w:rFonts w:asciiTheme="minorHAnsi" w:hAnsiTheme="minorHAnsi" w:cstheme="minorHAnsi"/>
          <w:i/>
          <w:sz w:val="24"/>
          <w:szCs w:val="24"/>
          <w:lang w:val="en-GB"/>
        </w:rPr>
        <w:t xml:space="preserve"> </w:t>
      </w:r>
      <w:r w:rsidR="00DE4038">
        <w:rPr>
          <w:rFonts w:asciiTheme="minorHAnsi" w:hAnsiTheme="minorHAnsi" w:cstheme="minorHAnsi"/>
          <w:i/>
          <w:sz w:val="24"/>
          <w:szCs w:val="24"/>
          <w:lang w:val="en-GB"/>
        </w:rPr>
        <w:t>to be added</w:t>
      </w:r>
      <w:r w:rsidRPr="005D1B21">
        <w:rPr>
          <w:rFonts w:asciiTheme="minorHAnsi" w:hAnsiTheme="minorHAnsi" w:cstheme="minorHAnsi"/>
          <w:i/>
          <w:sz w:val="24"/>
          <w:szCs w:val="24"/>
          <w:lang w:val="en-GB"/>
        </w:rPr>
        <w:t>)</w:t>
      </w:r>
    </w:p>
    <w:p w:rsidR="003C1E21" w:rsidRPr="005D1B21" w:rsidRDefault="003C1E21" w:rsidP="00AA2694">
      <w:pPr>
        <w:pStyle w:val="PlainText"/>
        <w:rPr>
          <w:rFonts w:asciiTheme="minorHAnsi" w:hAnsiTheme="minorHAnsi" w:cstheme="minorHAnsi"/>
          <w:i/>
          <w:sz w:val="24"/>
          <w:szCs w:val="24"/>
          <w:lang w:val="en-GB"/>
        </w:rPr>
      </w:pPr>
    </w:p>
    <w:p w:rsidR="00693A77" w:rsidRPr="005D1B21" w:rsidRDefault="00693A77" w:rsidP="00AA2694">
      <w:pPr>
        <w:pStyle w:val="PlainText"/>
        <w:rPr>
          <w:rFonts w:asciiTheme="minorHAnsi" w:hAnsiTheme="minorHAnsi" w:cstheme="minorHAnsi"/>
          <w:sz w:val="24"/>
          <w:szCs w:val="24"/>
          <w:lang w:val="en-GB"/>
        </w:rPr>
      </w:pPr>
    </w:p>
    <w:p w:rsidR="0020699A" w:rsidRPr="005D1B21" w:rsidRDefault="0020699A" w:rsidP="00AA2694">
      <w:pPr>
        <w:widowControl w:val="0"/>
        <w:autoSpaceDE w:val="0"/>
        <w:autoSpaceDN w:val="0"/>
        <w:adjustRightInd w:val="0"/>
        <w:spacing w:after="0" w:line="240" w:lineRule="auto"/>
        <w:rPr>
          <w:rFonts w:cstheme="minorHAnsi"/>
          <w:b/>
          <w:sz w:val="24"/>
          <w:szCs w:val="24"/>
          <w:lang w:val="en-GB"/>
        </w:rPr>
      </w:pPr>
      <w:r w:rsidRPr="005D1B21">
        <w:rPr>
          <w:rFonts w:cstheme="minorHAnsi"/>
          <w:b/>
          <w:sz w:val="24"/>
          <w:szCs w:val="24"/>
          <w:lang w:val="en-GB"/>
        </w:rPr>
        <w:t>Type</w:t>
      </w:r>
      <w:r w:rsidR="002B6A2E" w:rsidRPr="005D1B21">
        <w:rPr>
          <w:rFonts w:cstheme="minorHAnsi"/>
          <w:b/>
          <w:sz w:val="24"/>
          <w:szCs w:val="24"/>
          <w:lang w:val="en-GB"/>
        </w:rPr>
        <w:t>(</w:t>
      </w:r>
      <w:r w:rsidRPr="005D1B21">
        <w:rPr>
          <w:rFonts w:cstheme="minorHAnsi"/>
          <w:b/>
          <w:sz w:val="24"/>
          <w:szCs w:val="24"/>
          <w:lang w:val="en-GB"/>
        </w:rPr>
        <w:t>s</w:t>
      </w:r>
      <w:r w:rsidR="002B6A2E" w:rsidRPr="005D1B21">
        <w:rPr>
          <w:rFonts w:cstheme="minorHAnsi"/>
          <w:b/>
          <w:sz w:val="24"/>
          <w:szCs w:val="24"/>
          <w:lang w:val="en-GB"/>
        </w:rPr>
        <w:t>)</w:t>
      </w:r>
      <w:r w:rsidRPr="005D1B21">
        <w:rPr>
          <w:rFonts w:cstheme="minorHAnsi"/>
          <w:b/>
          <w:sz w:val="24"/>
          <w:szCs w:val="24"/>
          <w:lang w:val="en-GB"/>
        </w:rPr>
        <w:t xml:space="preserve"> of Targeted Support - Please select as appropriate </w:t>
      </w:r>
    </w:p>
    <w:p w:rsidR="002B6A2E" w:rsidRPr="005D1B21" w:rsidRDefault="00195AA5" w:rsidP="00AA2694">
      <w:pPr>
        <w:widowControl w:val="0"/>
        <w:autoSpaceDE w:val="0"/>
        <w:autoSpaceDN w:val="0"/>
        <w:adjustRightInd w:val="0"/>
        <w:spacing w:after="0" w:line="240" w:lineRule="auto"/>
        <w:jc w:val="both"/>
        <w:rPr>
          <w:rFonts w:cstheme="minorHAnsi"/>
          <w:noProof w:val="0"/>
          <w:sz w:val="24"/>
          <w:szCs w:val="24"/>
          <w:lang w:val="en-GB"/>
        </w:rPr>
      </w:pPr>
      <w:r w:rsidRPr="005D1B21">
        <w:rPr>
          <w:rFonts w:cstheme="minorHAnsi"/>
          <w:noProof w:val="0"/>
          <w:sz w:val="24"/>
          <w:szCs w:val="24"/>
          <w:lang w:val="en-GB"/>
        </w:rPr>
        <w:t xml:space="preserve">X </w:t>
      </w:r>
      <w:r w:rsidR="0020699A"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0020699A" w:rsidRPr="005D1B21">
        <w:rPr>
          <w:rFonts w:cstheme="minorHAnsi"/>
          <w:noProof w:val="0"/>
          <w:sz w:val="24"/>
          <w:szCs w:val="24"/>
          <w:lang w:val="en-GB"/>
        </w:rPr>
        <w:t xml:space="preserve">Funding for REDD + activities implemented at the national level in support of existing UN-REDD National Programmes </w:t>
      </w:r>
    </w:p>
    <w:p w:rsidR="0020699A" w:rsidRPr="005D1B21" w:rsidRDefault="00195AA5" w:rsidP="00AA2694">
      <w:pPr>
        <w:widowControl w:val="0"/>
        <w:autoSpaceDE w:val="0"/>
        <w:autoSpaceDN w:val="0"/>
        <w:adjustRightInd w:val="0"/>
        <w:spacing w:after="0" w:line="240" w:lineRule="auto"/>
        <w:jc w:val="both"/>
        <w:rPr>
          <w:rFonts w:cstheme="minorHAnsi"/>
          <w:noProof w:val="0"/>
          <w:sz w:val="24"/>
          <w:szCs w:val="24"/>
          <w:lang w:val="en-GB"/>
        </w:rPr>
      </w:pPr>
      <w:r w:rsidRPr="005D1B21">
        <w:rPr>
          <w:rFonts w:cstheme="minorHAnsi"/>
          <w:noProof w:val="0"/>
          <w:sz w:val="24"/>
          <w:szCs w:val="24"/>
          <w:lang w:val="en-GB"/>
        </w:rPr>
        <w:t xml:space="preserve">X </w:t>
      </w:r>
      <w:r w:rsidR="002B6A2E"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Funding for REDD+ activities c</w:t>
      </w:r>
      <w:r w:rsidR="0020699A" w:rsidRPr="005D1B21">
        <w:rPr>
          <w:rFonts w:cstheme="minorHAnsi"/>
          <w:noProof w:val="0"/>
          <w:sz w:val="24"/>
          <w:szCs w:val="24"/>
          <w:lang w:val="en-GB"/>
        </w:rPr>
        <w:t>omplementary to other nationally-defined REDD+ activities (national strategies, RPP and/or bilat</w:t>
      </w:r>
      <w:r w:rsidR="002B6A2E" w:rsidRPr="005D1B21">
        <w:rPr>
          <w:rFonts w:cstheme="minorHAnsi"/>
          <w:noProof w:val="0"/>
          <w:sz w:val="24"/>
          <w:szCs w:val="24"/>
          <w:lang w:val="en-GB"/>
        </w:rPr>
        <w:t>erally funded REDD+ activities)</w:t>
      </w:r>
    </w:p>
    <w:p w:rsidR="0020699A" w:rsidRPr="005D1B21" w:rsidRDefault="0020699A" w:rsidP="00AA2694">
      <w:pPr>
        <w:widowControl w:val="0"/>
        <w:autoSpaceDE w:val="0"/>
        <w:autoSpaceDN w:val="0"/>
        <w:adjustRightInd w:val="0"/>
        <w:spacing w:after="0" w:line="240" w:lineRule="auto"/>
        <w:jc w:val="both"/>
        <w:rPr>
          <w:rFonts w:cstheme="minorHAnsi"/>
          <w:noProof w:val="0"/>
          <w:sz w:val="24"/>
          <w:szCs w:val="24"/>
          <w:lang w:val="en-GB"/>
        </w:rPr>
      </w:pPr>
      <w:r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Pr="005D1B21">
        <w:rPr>
          <w:rFonts w:cstheme="minorHAnsi"/>
          <w:noProof w:val="0"/>
          <w:sz w:val="24"/>
          <w:szCs w:val="24"/>
          <w:lang w:val="en-GB"/>
        </w:rPr>
        <w:t>Funding to support national counterparts in REDD+ partner countries to participate in capacity building that will benefit the implementati</w:t>
      </w:r>
      <w:r w:rsidR="005D1B21">
        <w:rPr>
          <w:rFonts w:cstheme="minorHAnsi"/>
          <w:noProof w:val="0"/>
          <w:sz w:val="24"/>
          <w:szCs w:val="24"/>
          <w:lang w:val="en-GB"/>
        </w:rPr>
        <w:t>on of national REDD+ activities</w:t>
      </w:r>
    </w:p>
    <w:p w:rsidR="005D1B21" w:rsidRDefault="005D1B21" w:rsidP="00AA2694">
      <w:pPr>
        <w:widowControl w:val="0"/>
        <w:autoSpaceDE w:val="0"/>
        <w:autoSpaceDN w:val="0"/>
        <w:adjustRightInd w:val="0"/>
        <w:spacing w:after="0" w:line="240" w:lineRule="auto"/>
        <w:rPr>
          <w:rFonts w:cstheme="minorHAnsi"/>
          <w:b/>
          <w:sz w:val="24"/>
          <w:szCs w:val="24"/>
          <w:lang w:val="en-GB"/>
        </w:rPr>
      </w:pPr>
    </w:p>
    <w:p w:rsidR="00DE4038" w:rsidRDefault="00DE4038" w:rsidP="00AA2694">
      <w:pPr>
        <w:widowControl w:val="0"/>
        <w:autoSpaceDE w:val="0"/>
        <w:autoSpaceDN w:val="0"/>
        <w:adjustRightInd w:val="0"/>
        <w:spacing w:after="0" w:line="240" w:lineRule="auto"/>
        <w:rPr>
          <w:rFonts w:cstheme="minorHAnsi"/>
          <w:b/>
          <w:sz w:val="24"/>
          <w:szCs w:val="24"/>
          <w:lang w:val="en-GB"/>
        </w:rPr>
      </w:pPr>
    </w:p>
    <w:p w:rsidR="00AA0950" w:rsidRDefault="00AA0950" w:rsidP="00AA2694">
      <w:pPr>
        <w:widowControl w:val="0"/>
        <w:autoSpaceDE w:val="0"/>
        <w:autoSpaceDN w:val="0"/>
        <w:adjustRightInd w:val="0"/>
        <w:spacing w:after="0" w:line="240" w:lineRule="auto"/>
        <w:rPr>
          <w:rFonts w:cstheme="minorHAnsi"/>
          <w:b/>
          <w:sz w:val="24"/>
          <w:szCs w:val="24"/>
          <w:lang w:val="en-GB"/>
        </w:rPr>
      </w:pPr>
    </w:p>
    <w:p w:rsidR="00AA0950" w:rsidRDefault="00AA0950" w:rsidP="00AA2694">
      <w:pPr>
        <w:widowControl w:val="0"/>
        <w:autoSpaceDE w:val="0"/>
        <w:autoSpaceDN w:val="0"/>
        <w:adjustRightInd w:val="0"/>
        <w:spacing w:after="0" w:line="240" w:lineRule="auto"/>
        <w:rPr>
          <w:rFonts w:cstheme="minorHAnsi"/>
          <w:b/>
          <w:sz w:val="24"/>
          <w:szCs w:val="24"/>
          <w:lang w:val="en-GB"/>
        </w:rPr>
      </w:pPr>
    </w:p>
    <w:p w:rsidR="00C41F2C" w:rsidRPr="005D1B21" w:rsidRDefault="00C41F2C" w:rsidP="00AA2694">
      <w:pPr>
        <w:widowControl w:val="0"/>
        <w:autoSpaceDE w:val="0"/>
        <w:autoSpaceDN w:val="0"/>
        <w:adjustRightInd w:val="0"/>
        <w:spacing w:after="0" w:line="240" w:lineRule="auto"/>
        <w:rPr>
          <w:rFonts w:cstheme="minorHAnsi"/>
          <w:b/>
          <w:sz w:val="24"/>
          <w:szCs w:val="24"/>
          <w:lang w:val="en-GB"/>
        </w:rPr>
      </w:pPr>
      <w:r w:rsidRPr="005D1B21">
        <w:rPr>
          <w:rFonts w:cstheme="minorHAnsi"/>
          <w:b/>
          <w:sz w:val="24"/>
          <w:szCs w:val="24"/>
          <w:lang w:val="en-GB"/>
        </w:rPr>
        <w:t xml:space="preserve">Objective </w:t>
      </w:r>
    </w:p>
    <w:p w:rsidR="00C41F2C" w:rsidRPr="005D1B21" w:rsidRDefault="00C41F2C" w:rsidP="00AA2694">
      <w:pPr>
        <w:spacing w:after="0" w:line="240" w:lineRule="auto"/>
        <w:jc w:val="both"/>
        <w:rPr>
          <w:rFonts w:cstheme="minorHAnsi"/>
          <w:lang w:val="en-GB"/>
        </w:rPr>
      </w:pPr>
      <w:r w:rsidRPr="005D1B21">
        <w:rPr>
          <w:rFonts w:cstheme="minorHAnsi"/>
          <w:lang w:val="en-GB"/>
        </w:rPr>
        <w:t>This proposal seeks to achieve the following objective:</w:t>
      </w:r>
    </w:p>
    <w:p w:rsidR="00C41F2C" w:rsidRPr="005D1B21" w:rsidRDefault="00C41F2C" w:rsidP="00AA2694">
      <w:pPr>
        <w:pStyle w:val="Default"/>
        <w:jc w:val="both"/>
        <w:rPr>
          <w:rFonts w:asciiTheme="minorHAnsi" w:hAnsiTheme="minorHAnsi" w:cstheme="minorHAnsi"/>
          <w:color w:val="000000" w:themeColor="text1"/>
          <w:sz w:val="22"/>
          <w:szCs w:val="22"/>
          <w:lang w:val="en-GB"/>
        </w:rPr>
      </w:pPr>
    </w:p>
    <w:p w:rsidR="00C41F2C" w:rsidRPr="005D1B21" w:rsidRDefault="00C41F2C" w:rsidP="00AA2694">
      <w:pPr>
        <w:pStyle w:val="Default"/>
        <w:jc w:val="both"/>
        <w:rPr>
          <w:rFonts w:asciiTheme="minorHAnsi" w:hAnsiTheme="minorHAnsi" w:cstheme="minorHAnsi"/>
          <w:color w:val="000000" w:themeColor="text1"/>
          <w:sz w:val="22"/>
          <w:szCs w:val="22"/>
          <w:lang w:val="en-GB"/>
        </w:rPr>
      </w:pPr>
      <w:r w:rsidRPr="005D1B21">
        <w:rPr>
          <w:rFonts w:asciiTheme="minorHAnsi" w:hAnsiTheme="minorHAnsi" w:cstheme="minorHAnsi"/>
          <w:color w:val="000000" w:themeColor="text1"/>
          <w:sz w:val="22"/>
          <w:szCs w:val="22"/>
          <w:lang w:val="en-GB"/>
        </w:rPr>
        <w:t>Contribute to the initial REDD-Plus Strategy by supporting activities that will help identify and characterize corruption risks related to REDD-Plus and consequently identify mechanisms that will mitigate, if not totally eliminate, and then manage the identified corruption risks.</w:t>
      </w:r>
    </w:p>
    <w:p w:rsidR="00C41F2C" w:rsidRPr="005D1B21" w:rsidRDefault="00C41F2C" w:rsidP="00AA2694">
      <w:pPr>
        <w:widowControl w:val="0"/>
        <w:autoSpaceDE w:val="0"/>
        <w:autoSpaceDN w:val="0"/>
        <w:adjustRightInd w:val="0"/>
        <w:spacing w:after="0" w:line="240" w:lineRule="auto"/>
        <w:rPr>
          <w:rFonts w:cstheme="minorHAnsi"/>
          <w:b/>
          <w:sz w:val="24"/>
          <w:szCs w:val="24"/>
          <w:lang w:val="en-GB"/>
        </w:rPr>
      </w:pPr>
    </w:p>
    <w:p w:rsidR="0020699A" w:rsidRDefault="0020699A" w:rsidP="00AA2694">
      <w:pPr>
        <w:widowControl w:val="0"/>
        <w:autoSpaceDE w:val="0"/>
        <w:autoSpaceDN w:val="0"/>
        <w:adjustRightInd w:val="0"/>
        <w:spacing w:after="0" w:line="240" w:lineRule="auto"/>
        <w:rPr>
          <w:rFonts w:cstheme="minorHAnsi"/>
          <w:b/>
          <w:sz w:val="24"/>
          <w:szCs w:val="24"/>
          <w:lang w:val="en-GB"/>
        </w:rPr>
      </w:pPr>
      <w:r w:rsidRPr="005D1B21">
        <w:rPr>
          <w:rFonts w:cstheme="minorHAnsi"/>
          <w:b/>
          <w:sz w:val="24"/>
          <w:szCs w:val="24"/>
          <w:lang w:val="en-GB"/>
        </w:rPr>
        <w:t>Broad Criteria for Targeted Support: </w:t>
      </w:r>
      <w:r w:rsidR="002B6A2E" w:rsidRPr="005D1B21">
        <w:rPr>
          <w:rFonts w:cstheme="minorHAnsi"/>
          <w:b/>
          <w:sz w:val="24"/>
          <w:szCs w:val="24"/>
          <w:lang w:val="en-GB"/>
        </w:rPr>
        <w:t xml:space="preserve">briefly describe : </w:t>
      </w:r>
    </w:p>
    <w:p w:rsidR="00AA0950" w:rsidRPr="005D1B21" w:rsidRDefault="00AA0950" w:rsidP="00AA2694">
      <w:pPr>
        <w:widowControl w:val="0"/>
        <w:autoSpaceDE w:val="0"/>
        <w:autoSpaceDN w:val="0"/>
        <w:adjustRightInd w:val="0"/>
        <w:spacing w:after="0" w:line="240" w:lineRule="auto"/>
        <w:rPr>
          <w:rFonts w:cstheme="minorHAnsi"/>
          <w:b/>
          <w:sz w:val="24"/>
          <w:szCs w:val="24"/>
          <w:lang w:val="en-GB"/>
        </w:rPr>
      </w:pPr>
    </w:p>
    <w:p w:rsidR="0020699A" w:rsidRPr="005D1B21" w:rsidRDefault="002B6A2E" w:rsidP="00AA2694">
      <w:pPr>
        <w:pStyle w:val="ListParagraph"/>
        <w:widowControl w:val="0"/>
        <w:numPr>
          <w:ilvl w:val="0"/>
          <w:numId w:val="5"/>
        </w:numPr>
        <w:autoSpaceDE w:val="0"/>
        <w:autoSpaceDN w:val="0"/>
        <w:adjustRightInd w:val="0"/>
        <w:ind w:left="360" w:hanging="357"/>
        <w:contextualSpacing w:val="0"/>
        <w:rPr>
          <w:rFonts w:cstheme="minorHAnsi"/>
          <w:lang w:val="en-GB"/>
        </w:rPr>
      </w:pPr>
      <w:r w:rsidRPr="005D1B21">
        <w:rPr>
          <w:rFonts w:cstheme="minorHAnsi"/>
          <w:lang w:val="en-GB"/>
        </w:rPr>
        <w:t xml:space="preserve">How is this targeted support consistent with </w:t>
      </w:r>
      <w:r w:rsidR="0020699A" w:rsidRPr="005D1B21">
        <w:rPr>
          <w:rFonts w:cstheme="minorHAnsi"/>
          <w:lang w:val="en-GB"/>
        </w:rPr>
        <w:t>the objec</w:t>
      </w:r>
      <w:r w:rsidRPr="005D1B21">
        <w:rPr>
          <w:rFonts w:cstheme="minorHAnsi"/>
          <w:lang w:val="en-GB"/>
        </w:rPr>
        <w:t xml:space="preserve">tives of the UN-REDD </w:t>
      </w:r>
      <w:proofErr w:type="gramStart"/>
      <w:r w:rsidRPr="005D1B21">
        <w:rPr>
          <w:rFonts w:cstheme="minorHAnsi"/>
          <w:lang w:val="en-GB"/>
        </w:rPr>
        <w:t>Programme ?</w:t>
      </w:r>
      <w:proofErr w:type="gramEnd"/>
      <w:r w:rsidRPr="005D1B21">
        <w:rPr>
          <w:rFonts w:cstheme="minorHAnsi"/>
          <w:lang w:val="en-GB"/>
        </w:rPr>
        <w:t xml:space="preserve"> </w:t>
      </w:r>
    </w:p>
    <w:p w:rsidR="00AA0950" w:rsidRDefault="00AA0950" w:rsidP="00AA2694">
      <w:pPr>
        <w:pStyle w:val="Default"/>
        <w:jc w:val="both"/>
        <w:rPr>
          <w:rFonts w:asciiTheme="minorHAnsi" w:hAnsiTheme="minorHAnsi" w:cstheme="minorHAnsi"/>
          <w:color w:val="000000" w:themeColor="text1"/>
          <w:sz w:val="22"/>
          <w:szCs w:val="22"/>
          <w:lang w:val="en-GB"/>
        </w:rPr>
      </w:pPr>
    </w:p>
    <w:p w:rsidR="00057B4F" w:rsidRPr="005D1B21" w:rsidRDefault="00057B4F" w:rsidP="00AA2694">
      <w:pPr>
        <w:pStyle w:val="Default"/>
        <w:jc w:val="both"/>
        <w:rPr>
          <w:rFonts w:asciiTheme="minorHAnsi" w:hAnsiTheme="minorHAnsi" w:cstheme="minorHAnsi"/>
          <w:color w:val="000000" w:themeColor="text1"/>
          <w:sz w:val="22"/>
          <w:szCs w:val="22"/>
          <w:lang w:val="en-GB"/>
        </w:rPr>
      </w:pPr>
      <w:r w:rsidRPr="005D1B21">
        <w:rPr>
          <w:rFonts w:asciiTheme="minorHAnsi" w:hAnsiTheme="minorHAnsi" w:cstheme="minorHAnsi"/>
          <w:color w:val="000000" w:themeColor="text1"/>
          <w:sz w:val="22"/>
          <w:szCs w:val="22"/>
          <w:lang w:val="en-GB"/>
        </w:rPr>
        <w:t>The UN-REDD Programme’s strategy states that «Building a solid governance structure is fundamental for REDD+, the success of which depends on the country’s capacity to coordinate and collaborate with different governmental and non-governmental bodies, channel important amounts of funds, fight corruption [etc] ». It also lists the “number of national REDD+ strategies that include anti-corruption measures, such as a code of conduct, conflict of interest prohibitions, links to existing anti-corruption frameworks, protection for whistle</w:t>
      </w:r>
      <w:r w:rsidR="005D1B21">
        <w:rPr>
          <w:rFonts w:asciiTheme="minorHAnsi" w:hAnsiTheme="minorHAnsi" w:cstheme="minorHAnsi"/>
          <w:color w:val="000000" w:themeColor="text1"/>
          <w:sz w:val="22"/>
          <w:szCs w:val="22"/>
          <w:lang w:val="en-GB"/>
        </w:rPr>
        <w:t>-</w:t>
      </w:r>
      <w:r w:rsidRPr="005D1B21">
        <w:rPr>
          <w:rFonts w:asciiTheme="minorHAnsi" w:hAnsiTheme="minorHAnsi" w:cstheme="minorHAnsi"/>
          <w:color w:val="000000" w:themeColor="text1"/>
          <w:sz w:val="22"/>
          <w:szCs w:val="22"/>
          <w:lang w:val="en-GB"/>
        </w:rPr>
        <w:t xml:space="preserve">blowers [etc] as one indicator of success.  Furthermore, Output 3.3. </w:t>
      </w:r>
      <w:proofErr w:type="gramStart"/>
      <w:r w:rsidRPr="005D1B21">
        <w:rPr>
          <w:rFonts w:asciiTheme="minorHAnsi" w:hAnsiTheme="minorHAnsi" w:cstheme="minorHAnsi"/>
          <w:color w:val="000000" w:themeColor="text1"/>
          <w:sz w:val="22"/>
          <w:szCs w:val="22"/>
          <w:lang w:val="en-GB"/>
        </w:rPr>
        <w:t>of</w:t>
      </w:r>
      <w:proofErr w:type="gramEnd"/>
      <w:r w:rsidRPr="005D1B21">
        <w:rPr>
          <w:rFonts w:asciiTheme="minorHAnsi" w:hAnsiTheme="minorHAnsi" w:cstheme="minorHAnsi"/>
          <w:color w:val="000000" w:themeColor="text1"/>
          <w:sz w:val="22"/>
          <w:szCs w:val="22"/>
          <w:lang w:val="en-GB"/>
        </w:rPr>
        <w:t xml:space="preserve"> the ‘Support to National REDD+ Actions: Global programme Framework Document” relates specifically to identifying and mitigating corruption risks in REDD+ and support the development of systems and capacities to do so. </w:t>
      </w:r>
    </w:p>
    <w:p w:rsidR="000B3DE2" w:rsidRPr="005D1B21" w:rsidRDefault="000B3DE2" w:rsidP="00AA2694">
      <w:pPr>
        <w:spacing w:after="0" w:line="240" w:lineRule="auto"/>
        <w:jc w:val="both"/>
        <w:rPr>
          <w:rFonts w:cstheme="minorHAnsi"/>
          <w:lang w:val="en-GB"/>
        </w:rPr>
      </w:pPr>
    </w:p>
    <w:p w:rsidR="000519D6" w:rsidRPr="005D1B21" w:rsidRDefault="000B3DE2" w:rsidP="00AA2694">
      <w:pPr>
        <w:spacing w:after="0" w:line="240" w:lineRule="auto"/>
        <w:jc w:val="both"/>
        <w:rPr>
          <w:rFonts w:cstheme="minorHAnsi"/>
          <w:lang w:val="en-GB"/>
        </w:rPr>
      </w:pPr>
      <w:r w:rsidRPr="005D1B21">
        <w:rPr>
          <w:rFonts w:cstheme="minorHAnsi"/>
          <w:lang w:val="en-GB"/>
        </w:rPr>
        <w:t xml:space="preserve">In February 2010 the Philippines </w:t>
      </w:r>
      <w:r w:rsidR="00DE4038">
        <w:rPr>
          <w:rFonts w:cstheme="minorHAnsi"/>
          <w:lang w:val="en-GB"/>
        </w:rPr>
        <w:t>became a partner country of</w:t>
      </w:r>
      <w:r w:rsidRPr="005D1B21">
        <w:rPr>
          <w:rFonts w:cstheme="minorHAnsi"/>
          <w:lang w:val="en-GB"/>
        </w:rPr>
        <w:t xml:space="preserve"> the UN REDD Programme. The Philippines then developed and submitted an Initial National Programme proposal to the UN-REDD in September 2010. The initial national programme proposal is a one year undertaking which aims to develop the Philippines REDD readiness by putting in place the enabling environment. The UN-REDD Initial National Programme was approved during the UN-REDD Policy Board during its 5</w:t>
      </w:r>
      <w:r w:rsidRPr="005D1B21">
        <w:rPr>
          <w:rFonts w:cstheme="minorHAnsi"/>
          <w:vertAlign w:val="superscript"/>
          <w:lang w:val="en-GB"/>
        </w:rPr>
        <w:t>th</w:t>
      </w:r>
      <w:r w:rsidRPr="005D1B21">
        <w:rPr>
          <w:rFonts w:cstheme="minorHAnsi"/>
          <w:lang w:val="en-GB"/>
        </w:rPr>
        <w:t xml:space="preserve"> meeting held on November 4-5, 2010 in Washington D.C. with a funding support of USD500,000.</w:t>
      </w:r>
    </w:p>
    <w:p w:rsidR="000519D6" w:rsidRPr="005D1B21" w:rsidRDefault="000519D6" w:rsidP="00AA2694">
      <w:pPr>
        <w:spacing w:after="0" w:line="240" w:lineRule="auto"/>
        <w:jc w:val="both"/>
        <w:rPr>
          <w:rFonts w:cstheme="minorHAnsi"/>
          <w:lang w:val="en-GB"/>
        </w:rPr>
      </w:pPr>
    </w:p>
    <w:p w:rsidR="000519D6" w:rsidRPr="00DE4038" w:rsidRDefault="000B3DE2" w:rsidP="00AA2694">
      <w:pPr>
        <w:spacing w:after="0" w:line="240" w:lineRule="auto"/>
        <w:jc w:val="both"/>
        <w:rPr>
          <w:rFonts w:cstheme="minorHAnsi"/>
          <w:lang w:val="en-GB"/>
        </w:rPr>
      </w:pPr>
      <w:r w:rsidRPr="005D1B21">
        <w:rPr>
          <w:rFonts w:cstheme="minorHAnsi"/>
          <w:lang w:val="en-GB"/>
        </w:rPr>
        <w:t xml:space="preserve">The approved </w:t>
      </w:r>
      <w:r w:rsidRPr="00DE4038">
        <w:rPr>
          <w:rFonts w:cstheme="minorHAnsi"/>
          <w:lang w:val="en-GB"/>
        </w:rPr>
        <w:t>project aims to achieve the over-all objective of “increasing capacity of forestland, protected areas and ancestral domains managers &amp; support groups to implement REDD+ projects and activities.” It also identified the following outcomes as it commitment to paving the way of the coutry to REDD-Plus readiness:</w:t>
      </w:r>
    </w:p>
    <w:p w:rsidR="000519D6" w:rsidRPr="00DE4038" w:rsidRDefault="000519D6" w:rsidP="00AA2694">
      <w:pPr>
        <w:spacing w:after="0" w:line="240" w:lineRule="auto"/>
        <w:ind w:left="360"/>
        <w:jc w:val="both"/>
        <w:rPr>
          <w:rFonts w:cstheme="minorHAnsi"/>
          <w:lang w:val="en-GB"/>
        </w:rPr>
      </w:pPr>
    </w:p>
    <w:p w:rsidR="000519D6" w:rsidRPr="00DE4038" w:rsidRDefault="000B3DE2" w:rsidP="00AA2694">
      <w:pPr>
        <w:pStyle w:val="ListParagraph"/>
        <w:numPr>
          <w:ilvl w:val="0"/>
          <w:numId w:val="9"/>
        </w:numPr>
        <w:ind w:left="1080"/>
        <w:jc w:val="both"/>
        <w:rPr>
          <w:rFonts w:cstheme="minorHAnsi"/>
          <w:sz w:val="22"/>
          <w:szCs w:val="22"/>
          <w:lang w:val="en-GB"/>
        </w:rPr>
      </w:pPr>
      <w:r w:rsidRPr="00DE4038">
        <w:rPr>
          <w:rFonts w:cstheme="minorHAnsi"/>
          <w:sz w:val="22"/>
          <w:szCs w:val="22"/>
          <w:lang w:val="en-GB"/>
        </w:rPr>
        <w:t xml:space="preserve">Outcome 1: REDD+ readiness support by effective, inclusive and participatory management process. </w:t>
      </w:r>
    </w:p>
    <w:p w:rsidR="000519D6" w:rsidRPr="00DE4038" w:rsidRDefault="000B3DE2" w:rsidP="00AA2694">
      <w:pPr>
        <w:pStyle w:val="ListParagraph"/>
        <w:numPr>
          <w:ilvl w:val="0"/>
          <w:numId w:val="9"/>
        </w:numPr>
        <w:ind w:left="1080"/>
        <w:jc w:val="both"/>
        <w:rPr>
          <w:rFonts w:cstheme="minorHAnsi"/>
          <w:sz w:val="22"/>
          <w:szCs w:val="22"/>
          <w:lang w:val="en-GB"/>
        </w:rPr>
      </w:pPr>
      <w:r w:rsidRPr="00DE4038">
        <w:rPr>
          <w:rFonts w:cstheme="minorHAnsi"/>
          <w:sz w:val="22"/>
          <w:szCs w:val="22"/>
          <w:lang w:val="en-GB"/>
        </w:rPr>
        <w:t>Outcome 2: Systematic and structural approach to REDD+ readiness identified through concrete studies of options and inclusive consultation.</w:t>
      </w:r>
    </w:p>
    <w:p w:rsidR="000519D6" w:rsidRPr="00DE4038" w:rsidRDefault="000B3DE2" w:rsidP="00AA2694">
      <w:pPr>
        <w:pStyle w:val="ListParagraph"/>
        <w:numPr>
          <w:ilvl w:val="0"/>
          <w:numId w:val="9"/>
        </w:numPr>
        <w:ind w:left="1080"/>
        <w:jc w:val="both"/>
        <w:rPr>
          <w:rFonts w:cstheme="minorHAnsi"/>
          <w:sz w:val="22"/>
          <w:szCs w:val="22"/>
          <w:lang w:val="en-GB"/>
        </w:rPr>
      </w:pPr>
      <w:r w:rsidRPr="00DE4038">
        <w:rPr>
          <w:rFonts w:cstheme="minorHAnsi"/>
          <w:sz w:val="22"/>
          <w:szCs w:val="22"/>
          <w:lang w:val="en-GB"/>
        </w:rPr>
        <w:t>Outcome 3: Capacity to establish reference baselines increased.</w:t>
      </w:r>
    </w:p>
    <w:p w:rsidR="000519D6" w:rsidRPr="00DE4038" w:rsidRDefault="000519D6" w:rsidP="00AA2694">
      <w:pPr>
        <w:spacing w:after="0" w:line="240" w:lineRule="auto"/>
        <w:ind w:left="360"/>
        <w:jc w:val="both"/>
        <w:rPr>
          <w:rFonts w:cstheme="minorHAnsi"/>
          <w:lang w:val="en-GB"/>
        </w:rPr>
      </w:pPr>
    </w:p>
    <w:p w:rsidR="00057B4F" w:rsidRDefault="000B3DE2" w:rsidP="00AA2694">
      <w:pPr>
        <w:spacing w:after="0" w:line="240" w:lineRule="auto"/>
        <w:jc w:val="both"/>
        <w:rPr>
          <w:rFonts w:cstheme="minorHAnsi"/>
          <w:lang w:val="en-GB"/>
        </w:rPr>
      </w:pPr>
      <w:r w:rsidRPr="00DE4038">
        <w:rPr>
          <w:rFonts w:cstheme="minorHAnsi"/>
          <w:lang w:val="en-GB"/>
        </w:rPr>
        <w:t xml:space="preserve">While the approved project will contribute to setting up the enabling environment and building capacity of key stakeholders to manage REDD-Plus initiatives, there are still gaps in terms of support to actually safeguard both human and financial investments on the programme. A parallel effort of ensuring that benefits accrue equitably to all key stakeholders becomes increasingly a must.  </w:t>
      </w:r>
    </w:p>
    <w:p w:rsidR="00DE4038" w:rsidRDefault="00DE4038" w:rsidP="00AA2694">
      <w:pPr>
        <w:spacing w:after="0" w:line="240" w:lineRule="auto"/>
        <w:ind w:left="360"/>
        <w:jc w:val="both"/>
        <w:rPr>
          <w:rFonts w:cstheme="minorHAnsi"/>
          <w:lang w:val="en-GB"/>
        </w:rPr>
      </w:pPr>
    </w:p>
    <w:p w:rsidR="00DE4038" w:rsidRDefault="00DE4038" w:rsidP="00AA2694">
      <w:pPr>
        <w:spacing w:after="0" w:line="240" w:lineRule="auto"/>
        <w:ind w:left="360"/>
        <w:jc w:val="both"/>
        <w:rPr>
          <w:rFonts w:cstheme="minorHAnsi"/>
          <w:lang w:val="en-GB"/>
        </w:rPr>
      </w:pPr>
    </w:p>
    <w:p w:rsidR="00AA0950" w:rsidRDefault="00AA0950" w:rsidP="00AA2694">
      <w:pPr>
        <w:spacing w:after="0" w:line="240" w:lineRule="auto"/>
        <w:ind w:left="360"/>
        <w:jc w:val="both"/>
        <w:rPr>
          <w:rFonts w:cstheme="minorHAnsi"/>
          <w:lang w:val="en-GB"/>
        </w:rPr>
      </w:pPr>
    </w:p>
    <w:p w:rsidR="00AA0950" w:rsidRPr="00DE4038" w:rsidRDefault="00AA0950" w:rsidP="00AA2694">
      <w:pPr>
        <w:spacing w:after="0" w:line="240" w:lineRule="auto"/>
        <w:ind w:left="360"/>
        <w:jc w:val="both"/>
        <w:rPr>
          <w:rFonts w:cstheme="minorHAnsi"/>
          <w:lang w:val="en-GB"/>
        </w:rPr>
      </w:pPr>
    </w:p>
    <w:p w:rsidR="00C41F2C" w:rsidRPr="00DE4038" w:rsidRDefault="002B6A2E" w:rsidP="00AA2694">
      <w:pPr>
        <w:pStyle w:val="ListParagraph"/>
        <w:widowControl w:val="0"/>
        <w:numPr>
          <w:ilvl w:val="0"/>
          <w:numId w:val="5"/>
        </w:numPr>
        <w:autoSpaceDE w:val="0"/>
        <w:autoSpaceDN w:val="0"/>
        <w:adjustRightInd w:val="0"/>
        <w:ind w:left="714" w:hanging="357"/>
        <w:contextualSpacing w:val="0"/>
        <w:rPr>
          <w:rFonts w:cstheme="minorHAnsi"/>
          <w:sz w:val="22"/>
          <w:szCs w:val="22"/>
          <w:lang w:val="en-GB"/>
        </w:rPr>
      </w:pPr>
      <w:r w:rsidRPr="00DE4038">
        <w:rPr>
          <w:rFonts w:cstheme="minorHAnsi"/>
          <w:sz w:val="22"/>
          <w:szCs w:val="22"/>
          <w:lang w:val="en-GB"/>
        </w:rPr>
        <w:t xml:space="preserve">What is the expected </w:t>
      </w:r>
      <w:r w:rsidR="0020699A" w:rsidRPr="00DE4038">
        <w:rPr>
          <w:rFonts w:cstheme="minorHAnsi"/>
          <w:sz w:val="22"/>
          <w:szCs w:val="22"/>
          <w:lang w:val="en-GB"/>
        </w:rPr>
        <w:t xml:space="preserve">contribution of </w:t>
      </w:r>
      <w:r w:rsidRPr="00DE4038">
        <w:rPr>
          <w:rFonts w:cstheme="minorHAnsi"/>
          <w:sz w:val="22"/>
          <w:szCs w:val="22"/>
          <w:lang w:val="en-GB"/>
        </w:rPr>
        <w:t>this</w:t>
      </w:r>
      <w:r w:rsidR="0020699A" w:rsidRPr="00DE4038">
        <w:rPr>
          <w:rFonts w:cstheme="minorHAnsi"/>
          <w:sz w:val="22"/>
          <w:szCs w:val="22"/>
          <w:lang w:val="en-GB"/>
        </w:rPr>
        <w:t xml:space="preserve"> targeted support to national REDD+ </w:t>
      </w:r>
      <w:r w:rsidR="008A5FF6" w:rsidRPr="00DE4038">
        <w:rPr>
          <w:rFonts w:cstheme="minorHAnsi"/>
          <w:sz w:val="22"/>
          <w:szCs w:val="22"/>
          <w:lang w:val="en-GB"/>
        </w:rPr>
        <w:t xml:space="preserve">efforts? </w:t>
      </w:r>
    </w:p>
    <w:p w:rsidR="000B3DE2" w:rsidRPr="00DE4038" w:rsidRDefault="000B3DE2" w:rsidP="00AA2694">
      <w:pPr>
        <w:spacing w:after="0" w:line="240" w:lineRule="auto"/>
        <w:jc w:val="both"/>
        <w:rPr>
          <w:rFonts w:cstheme="minorHAnsi"/>
          <w:lang w:val="en-GB"/>
        </w:rPr>
      </w:pPr>
    </w:p>
    <w:p w:rsidR="00057B4F" w:rsidRDefault="000B3DE2" w:rsidP="00AA2694">
      <w:pPr>
        <w:spacing w:after="0" w:line="240" w:lineRule="auto"/>
        <w:jc w:val="both"/>
        <w:rPr>
          <w:rFonts w:cstheme="minorHAnsi"/>
          <w:lang w:val="en-GB"/>
        </w:rPr>
      </w:pPr>
      <w:r w:rsidRPr="00DE4038">
        <w:rPr>
          <w:rFonts w:cstheme="minorHAnsi"/>
          <w:lang w:val="en-GB"/>
        </w:rPr>
        <w:t xml:space="preserve">The Philippines REDD-plus Strategy, which is integrated into the National Framework Strategy on Climate Change,  contains seven overlapping components. </w:t>
      </w:r>
      <w:r w:rsidR="005951EA" w:rsidRPr="00DE4038">
        <w:rPr>
          <w:rFonts w:cstheme="minorHAnsi"/>
          <w:lang w:val="en-GB"/>
        </w:rPr>
        <w:t xml:space="preserve">Each of these, and especially enabling policy ; governance ; resource use, allocation and management ; MRV of emission reductions ; non-carbon social impacts and benefits  can be enhanced by ensuring </w:t>
      </w:r>
      <w:r w:rsidRPr="00DE4038">
        <w:rPr>
          <w:rFonts w:cstheme="minorHAnsi"/>
          <w:lang w:val="en-GB"/>
        </w:rPr>
        <w:t xml:space="preserve"> </w:t>
      </w:r>
      <w:r w:rsidR="005951EA" w:rsidRPr="00DE4038">
        <w:rPr>
          <w:rFonts w:cstheme="minorHAnsi"/>
          <w:lang w:val="en-GB"/>
        </w:rPr>
        <w:t>integrity, transparency and accountability for REDD+. In addition, the seventh component of « capacity building and communications » can be e vehicle to raise awareness and ca</w:t>
      </w:r>
      <w:r w:rsidR="005D1B21" w:rsidRPr="00DE4038">
        <w:rPr>
          <w:rFonts w:cstheme="minorHAnsi"/>
          <w:lang w:val="en-GB"/>
        </w:rPr>
        <w:t>pa</w:t>
      </w:r>
      <w:r w:rsidR="005951EA" w:rsidRPr="00DE4038">
        <w:rPr>
          <w:rFonts w:cstheme="minorHAnsi"/>
          <w:lang w:val="en-GB"/>
        </w:rPr>
        <w:t xml:space="preserve">cities for anti corruption in REDD+. </w:t>
      </w:r>
    </w:p>
    <w:p w:rsidR="00DE4038" w:rsidRDefault="00DE4038" w:rsidP="00AA2694">
      <w:pPr>
        <w:spacing w:after="0" w:line="240" w:lineRule="auto"/>
        <w:jc w:val="both"/>
        <w:rPr>
          <w:rFonts w:cstheme="minorHAnsi"/>
          <w:lang w:val="en-GB"/>
        </w:rPr>
      </w:pPr>
    </w:p>
    <w:p w:rsidR="00DE4038" w:rsidRPr="00DE4038" w:rsidRDefault="00DE4038" w:rsidP="00AA2694">
      <w:pPr>
        <w:spacing w:after="0" w:line="240" w:lineRule="auto"/>
        <w:jc w:val="both"/>
        <w:rPr>
          <w:rFonts w:cstheme="minorHAnsi"/>
          <w:lang w:val="en-GB"/>
        </w:rPr>
      </w:pPr>
    </w:p>
    <w:p w:rsidR="0020699A" w:rsidRPr="00DE4038" w:rsidRDefault="002B6A2E" w:rsidP="00AA2694">
      <w:pPr>
        <w:pStyle w:val="ListParagraph"/>
        <w:widowControl w:val="0"/>
        <w:numPr>
          <w:ilvl w:val="0"/>
          <w:numId w:val="5"/>
        </w:numPr>
        <w:autoSpaceDE w:val="0"/>
        <w:autoSpaceDN w:val="0"/>
        <w:adjustRightInd w:val="0"/>
        <w:ind w:left="714" w:hanging="357"/>
        <w:contextualSpacing w:val="0"/>
        <w:rPr>
          <w:rFonts w:cstheme="minorHAnsi"/>
          <w:sz w:val="22"/>
          <w:szCs w:val="22"/>
          <w:lang w:val="en-GB"/>
        </w:rPr>
      </w:pPr>
      <w:r w:rsidRPr="00DE4038">
        <w:rPr>
          <w:rFonts w:cstheme="minorHAnsi"/>
          <w:sz w:val="22"/>
          <w:szCs w:val="22"/>
          <w:lang w:val="en-GB"/>
        </w:rPr>
        <w:t xml:space="preserve">How is it aligned with </w:t>
      </w:r>
      <w:r w:rsidR="0020699A" w:rsidRPr="00DE4038">
        <w:rPr>
          <w:rFonts w:cstheme="minorHAnsi"/>
          <w:sz w:val="22"/>
          <w:szCs w:val="22"/>
          <w:lang w:val="en-GB"/>
        </w:rPr>
        <w:t>the agencies’ programming priorit</w:t>
      </w:r>
      <w:r w:rsidRPr="00DE4038">
        <w:rPr>
          <w:rFonts w:cstheme="minorHAnsi"/>
          <w:sz w:val="22"/>
          <w:szCs w:val="22"/>
          <w:lang w:val="en-GB"/>
        </w:rPr>
        <w:t>ies for the relevant work areas?</w:t>
      </w:r>
    </w:p>
    <w:p w:rsidR="00DE4038" w:rsidRDefault="00DE4038" w:rsidP="00AA2694">
      <w:pPr>
        <w:widowControl w:val="0"/>
        <w:autoSpaceDE w:val="0"/>
        <w:autoSpaceDN w:val="0"/>
        <w:adjustRightInd w:val="0"/>
        <w:spacing w:after="0" w:line="240" w:lineRule="auto"/>
        <w:rPr>
          <w:rFonts w:cstheme="minorHAnsi"/>
          <w:lang w:val="en-GB"/>
        </w:rPr>
      </w:pPr>
    </w:p>
    <w:p w:rsidR="00140401" w:rsidRDefault="00A33B41" w:rsidP="008A5FF6">
      <w:pPr>
        <w:widowControl w:val="0"/>
        <w:autoSpaceDE w:val="0"/>
        <w:autoSpaceDN w:val="0"/>
        <w:adjustRightInd w:val="0"/>
        <w:spacing w:after="0" w:line="240" w:lineRule="auto"/>
        <w:jc w:val="both"/>
        <w:rPr>
          <w:rFonts w:cstheme="minorHAnsi"/>
          <w:color w:val="000000" w:themeColor="text1"/>
          <w:lang w:val="en-GB"/>
        </w:rPr>
      </w:pPr>
      <w:r w:rsidRPr="00DE4038">
        <w:rPr>
          <w:rFonts w:cstheme="minorHAnsi"/>
          <w:lang w:val="en-GB"/>
        </w:rPr>
        <w:t xml:space="preserve"> </w:t>
      </w:r>
      <w:r w:rsidR="00F91BD6" w:rsidRPr="00DE4038">
        <w:rPr>
          <w:rFonts w:cstheme="minorHAnsi"/>
          <w:lang w:val="en-GB"/>
        </w:rPr>
        <w:t>UNDP, the lead agency on governance and anti-</w:t>
      </w:r>
      <w:r w:rsidR="00195AA5" w:rsidRPr="00DE4038">
        <w:rPr>
          <w:rFonts w:cstheme="minorHAnsi"/>
          <w:lang w:val="en-GB"/>
        </w:rPr>
        <w:t xml:space="preserve">corruption as per the </w:t>
      </w:r>
      <w:r w:rsidR="00195AA5" w:rsidRPr="00DE4038">
        <w:rPr>
          <w:rFonts w:cstheme="minorHAnsi"/>
          <w:color w:val="000000" w:themeColor="text1"/>
          <w:lang w:val="en-GB"/>
        </w:rPr>
        <w:t xml:space="preserve">‘Support to National REDD+ Actions: Global programme Framework Document”, has delineated a number of outputs that are in line with the activities suggested in this proposal. These include: </w:t>
      </w:r>
    </w:p>
    <w:p w:rsidR="00DE4038" w:rsidRPr="00DE4038" w:rsidRDefault="00DE4038" w:rsidP="008A5FF6">
      <w:pPr>
        <w:widowControl w:val="0"/>
        <w:autoSpaceDE w:val="0"/>
        <w:autoSpaceDN w:val="0"/>
        <w:adjustRightInd w:val="0"/>
        <w:spacing w:after="0" w:line="240" w:lineRule="auto"/>
        <w:jc w:val="both"/>
        <w:rPr>
          <w:rFonts w:cstheme="minorHAnsi"/>
          <w:color w:val="000000" w:themeColor="text1"/>
          <w:lang w:val="en-GB"/>
        </w:rPr>
      </w:pPr>
    </w:p>
    <w:p w:rsidR="002055ED" w:rsidRPr="00DE4038" w:rsidRDefault="00F91BD6" w:rsidP="008A5FF6">
      <w:pPr>
        <w:pStyle w:val="ListParagraph"/>
        <w:widowControl w:val="0"/>
        <w:numPr>
          <w:ilvl w:val="0"/>
          <w:numId w:val="8"/>
        </w:numPr>
        <w:autoSpaceDE w:val="0"/>
        <w:autoSpaceDN w:val="0"/>
        <w:adjustRightInd w:val="0"/>
        <w:jc w:val="both"/>
        <w:rPr>
          <w:rFonts w:cstheme="minorHAnsi"/>
          <w:sz w:val="22"/>
          <w:szCs w:val="22"/>
          <w:lang w:val="en-GB"/>
        </w:rPr>
      </w:pPr>
      <w:r w:rsidRPr="00DE4038">
        <w:rPr>
          <w:rFonts w:cstheme="minorHAnsi"/>
          <w:sz w:val="22"/>
          <w:szCs w:val="22"/>
          <w:lang w:val="en-GB"/>
        </w:rPr>
        <w:t>n</w:t>
      </w:r>
      <w:r w:rsidR="002055ED" w:rsidRPr="00DE4038">
        <w:rPr>
          <w:rFonts w:cstheme="minorHAnsi"/>
          <w:sz w:val="22"/>
          <w:szCs w:val="22"/>
          <w:lang w:val="en-GB"/>
        </w:rPr>
        <w:t>ationally-owned, credible and inclusive systems to collect governance data</w:t>
      </w:r>
    </w:p>
    <w:p w:rsidR="002055ED" w:rsidRPr="00DE4038" w:rsidRDefault="00F91BD6" w:rsidP="008A5FF6">
      <w:pPr>
        <w:pStyle w:val="ListParagraph"/>
        <w:widowControl w:val="0"/>
        <w:numPr>
          <w:ilvl w:val="0"/>
          <w:numId w:val="8"/>
        </w:numPr>
        <w:autoSpaceDE w:val="0"/>
        <w:autoSpaceDN w:val="0"/>
        <w:adjustRightInd w:val="0"/>
        <w:jc w:val="both"/>
        <w:rPr>
          <w:rFonts w:cstheme="minorHAnsi"/>
          <w:sz w:val="22"/>
          <w:szCs w:val="22"/>
          <w:lang w:val="en-GB"/>
        </w:rPr>
      </w:pPr>
      <w:r w:rsidRPr="00DE4038">
        <w:rPr>
          <w:rFonts w:cstheme="minorHAnsi"/>
          <w:sz w:val="22"/>
          <w:szCs w:val="22"/>
          <w:lang w:val="en-GB"/>
        </w:rPr>
        <w:t>g</w:t>
      </w:r>
      <w:r w:rsidR="002055ED" w:rsidRPr="00DE4038">
        <w:rPr>
          <w:rFonts w:cstheme="minorHAnsi"/>
          <w:sz w:val="22"/>
          <w:szCs w:val="22"/>
          <w:lang w:val="en-GB"/>
        </w:rPr>
        <w:t>uidance on identifying and prioritizing corruption risks in national contexts</w:t>
      </w:r>
    </w:p>
    <w:p w:rsidR="002055ED" w:rsidRPr="00DE4038" w:rsidRDefault="00F91BD6" w:rsidP="008A5FF6">
      <w:pPr>
        <w:pStyle w:val="ListParagraph"/>
        <w:widowControl w:val="0"/>
        <w:numPr>
          <w:ilvl w:val="0"/>
          <w:numId w:val="8"/>
        </w:numPr>
        <w:autoSpaceDE w:val="0"/>
        <w:autoSpaceDN w:val="0"/>
        <w:adjustRightInd w:val="0"/>
        <w:jc w:val="both"/>
        <w:rPr>
          <w:rFonts w:cstheme="minorHAnsi"/>
          <w:sz w:val="22"/>
          <w:szCs w:val="22"/>
          <w:lang w:val="en-GB"/>
        </w:rPr>
      </w:pPr>
      <w:r w:rsidRPr="00DE4038">
        <w:rPr>
          <w:iCs/>
          <w:sz w:val="22"/>
          <w:szCs w:val="22"/>
          <w:lang w:val="en-GB"/>
        </w:rPr>
        <w:t>m</w:t>
      </w:r>
      <w:r w:rsidR="002055ED" w:rsidRPr="00DE4038">
        <w:rPr>
          <w:iCs/>
          <w:sz w:val="22"/>
          <w:szCs w:val="22"/>
          <w:lang w:val="en-GB"/>
        </w:rPr>
        <w:t>ethodologies and tools for training of REDD+ national counterparts</w:t>
      </w:r>
    </w:p>
    <w:p w:rsidR="00F91BD6" w:rsidRPr="00DE4038" w:rsidRDefault="00F91BD6" w:rsidP="008A5FF6">
      <w:pPr>
        <w:pStyle w:val="ListParagraph"/>
        <w:widowControl w:val="0"/>
        <w:numPr>
          <w:ilvl w:val="0"/>
          <w:numId w:val="8"/>
        </w:numPr>
        <w:autoSpaceDE w:val="0"/>
        <w:autoSpaceDN w:val="0"/>
        <w:adjustRightInd w:val="0"/>
        <w:jc w:val="both"/>
        <w:rPr>
          <w:rFonts w:cstheme="minorHAnsi"/>
          <w:sz w:val="22"/>
          <w:szCs w:val="22"/>
          <w:lang w:val="en-GB"/>
        </w:rPr>
      </w:pPr>
      <w:r w:rsidRPr="00DE4038">
        <w:rPr>
          <w:iCs/>
          <w:sz w:val="22"/>
          <w:szCs w:val="22"/>
          <w:lang w:val="en-GB"/>
        </w:rPr>
        <w:t>Ca</w:t>
      </w:r>
      <w:r w:rsidR="002055ED" w:rsidRPr="00DE4038">
        <w:rPr>
          <w:iCs/>
          <w:sz w:val="22"/>
          <w:szCs w:val="22"/>
          <w:lang w:val="en-GB"/>
        </w:rPr>
        <w:t>pacity-building and support for civil society monitoring of corruption in REDD+ activities</w:t>
      </w:r>
      <w:r w:rsidR="00DE4038" w:rsidRPr="00DE4038">
        <w:rPr>
          <w:iCs/>
          <w:sz w:val="22"/>
          <w:szCs w:val="22"/>
          <w:lang w:val="en-GB"/>
        </w:rPr>
        <w:t xml:space="preserve"> </w:t>
      </w:r>
      <w:r w:rsidR="008A5FF6" w:rsidRPr="00DE4038">
        <w:rPr>
          <w:rFonts w:cstheme="minorHAnsi"/>
          <w:sz w:val="22"/>
          <w:szCs w:val="22"/>
          <w:lang w:val="en-GB"/>
        </w:rPr>
        <w:t>and are</w:t>
      </w:r>
      <w:r w:rsidRPr="00DE4038">
        <w:rPr>
          <w:rFonts w:cstheme="minorHAnsi"/>
          <w:sz w:val="22"/>
          <w:szCs w:val="22"/>
          <w:lang w:val="en-GB"/>
        </w:rPr>
        <w:t xml:space="preserve"> aligned with the proposal.</w:t>
      </w:r>
    </w:p>
    <w:p w:rsidR="00DE4038" w:rsidRDefault="00DE4038" w:rsidP="008A5FF6">
      <w:pPr>
        <w:widowControl w:val="0"/>
        <w:autoSpaceDE w:val="0"/>
        <w:autoSpaceDN w:val="0"/>
        <w:adjustRightInd w:val="0"/>
        <w:spacing w:after="0" w:line="240" w:lineRule="auto"/>
        <w:jc w:val="both"/>
        <w:rPr>
          <w:rFonts w:cstheme="minorHAnsi"/>
          <w:lang w:val="en-GB"/>
        </w:rPr>
      </w:pPr>
    </w:p>
    <w:p w:rsidR="001105B4" w:rsidRPr="00DE4038" w:rsidRDefault="001105B4" w:rsidP="008A5FF6">
      <w:pPr>
        <w:widowControl w:val="0"/>
        <w:autoSpaceDE w:val="0"/>
        <w:autoSpaceDN w:val="0"/>
        <w:adjustRightInd w:val="0"/>
        <w:spacing w:after="0" w:line="240" w:lineRule="auto"/>
        <w:jc w:val="both"/>
        <w:rPr>
          <w:rFonts w:cstheme="minorHAnsi"/>
          <w:lang w:val="en-GB"/>
        </w:rPr>
      </w:pPr>
      <w:r w:rsidRPr="00DE4038">
        <w:rPr>
          <w:rFonts w:cstheme="minorHAnsi"/>
          <w:lang w:val="en-GB"/>
        </w:rPr>
        <w:t xml:space="preserve">In addition, these activities are aligned with UNDP’s Programme on Anti Corruption for Development Effectiveness (PACDE). </w:t>
      </w:r>
    </w:p>
    <w:p w:rsidR="002055ED" w:rsidRPr="00DE4038" w:rsidRDefault="002055ED" w:rsidP="00AA2694">
      <w:pPr>
        <w:pStyle w:val="ListParagraph"/>
        <w:widowControl w:val="0"/>
        <w:autoSpaceDE w:val="0"/>
        <w:autoSpaceDN w:val="0"/>
        <w:adjustRightInd w:val="0"/>
        <w:rPr>
          <w:rFonts w:cstheme="minorHAnsi"/>
          <w:sz w:val="22"/>
          <w:szCs w:val="22"/>
          <w:lang w:val="en-GB"/>
        </w:rPr>
      </w:pPr>
    </w:p>
    <w:p w:rsidR="00E84A78" w:rsidRPr="005D1B21" w:rsidRDefault="00E84A78" w:rsidP="00AA2694">
      <w:pPr>
        <w:widowControl w:val="0"/>
        <w:autoSpaceDE w:val="0"/>
        <w:autoSpaceDN w:val="0"/>
        <w:adjustRightInd w:val="0"/>
        <w:spacing w:after="0" w:line="240" w:lineRule="auto"/>
        <w:rPr>
          <w:rFonts w:cstheme="minorHAnsi"/>
          <w:lang w:val="en-GB"/>
        </w:rPr>
      </w:pPr>
    </w:p>
    <w:p w:rsidR="006E3FA3" w:rsidRPr="005D1B21" w:rsidRDefault="006E3FA3" w:rsidP="00AA2694">
      <w:pPr>
        <w:pStyle w:val="PlainText"/>
        <w:ind w:left="720"/>
        <w:rPr>
          <w:rFonts w:asciiTheme="minorHAnsi" w:hAnsiTheme="minorHAnsi" w:cstheme="minorHAnsi"/>
          <w:sz w:val="24"/>
          <w:szCs w:val="24"/>
          <w:lang w:val="en-GB"/>
        </w:rPr>
      </w:pPr>
    </w:p>
    <w:p w:rsidR="00A42328" w:rsidRPr="005D1B21" w:rsidRDefault="00A42328" w:rsidP="00AA2694">
      <w:pPr>
        <w:spacing w:after="0" w:line="240" w:lineRule="auto"/>
        <w:rPr>
          <w:rFonts w:cstheme="minorHAnsi"/>
          <w:b/>
          <w:noProof w:val="0"/>
          <w:sz w:val="24"/>
          <w:szCs w:val="24"/>
          <w:lang w:val="en-GB"/>
        </w:rPr>
      </w:pPr>
      <w:r w:rsidRPr="005D1B21">
        <w:rPr>
          <w:rFonts w:cstheme="minorHAnsi"/>
          <w:b/>
          <w:sz w:val="24"/>
          <w:szCs w:val="24"/>
          <w:lang w:val="en-GB"/>
        </w:rPr>
        <w:br w:type="page"/>
      </w:r>
    </w:p>
    <w:p w:rsidR="00A42328" w:rsidRPr="005D1B21" w:rsidRDefault="00A42328" w:rsidP="00AA2694">
      <w:pPr>
        <w:pStyle w:val="PlainText"/>
        <w:numPr>
          <w:ilvl w:val="0"/>
          <w:numId w:val="3"/>
        </w:numPr>
        <w:rPr>
          <w:rFonts w:asciiTheme="minorHAnsi" w:hAnsiTheme="minorHAnsi" w:cstheme="minorHAnsi"/>
          <w:b/>
          <w:sz w:val="24"/>
          <w:szCs w:val="24"/>
          <w:lang w:val="en-GB"/>
        </w:rPr>
        <w:sectPr w:rsidR="00A42328" w:rsidRPr="005D1B21" w:rsidSect="0026106F">
          <w:pgSz w:w="12240" w:h="15840"/>
          <w:pgMar w:top="1440" w:right="1440" w:bottom="1440" w:left="1440" w:header="720" w:footer="720" w:gutter="0"/>
          <w:cols w:space="720"/>
          <w:docGrid w:linePitch="360"/>
        </w:sectPr>
      </w:pPr>
    </w:p>
    <w:p w:rsidR="006E3FA3" w:rsidRPr="005D1B21" w:rsidRDefault="00513D45" w:rsidP="00AA2694">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lastRenderedPageBreak/>
        <w:t xml:space="preserve">Activities and </w:t>
      </w:r>
      <w:proofErr w:type="spellStart"/>
      <w:r w:rsidR="0020699A" w:rsidRPr="005D1B21">
        <w:rPr>
          <w:rFonts w:asciiTheme="minorHAnsi" w:hAnsiTheme="minorHAnsi" w:cstheme="minorHAnsi"/>
          <w:b/>
          <w:sz w:val="24"/>
          <w:szCs w:val="24"/>
          <w:lang w:val="en-GB"/>
        </w:rPr>
        <w:t>W</w:t>
      </w:r>
      <w:r w:rsidR="006E3FA3" w:rsidRPr="005D1B21">
        <w:rPr>
          <w:rFonts w:asciiTheme="minorHAnsi" w:hAnsiTheme="minorHAnsi" w:cstheme="minorHAnsi"/>
          <w:b/>
          <w:sz w:val="24"/>
          <w:szCs w:val="24"/>
          <w:lang w:val="en-GB"/>
        </w:rPr>
        <w:t>orkplan</w:t>
      </w:r>
      <w:proofErr w:type="spellEnd"/>
    </w:p>
    <w:tbl>
      <w:tblPr>
        <w:tblStyle w:val="TableGrid"/>
        <w:tblW w:w="0" w:type="auto"/>
        <w:tblInd w:w="-612" w:type="dxa"/>
        <w:tblLook w:val="04A0"/>
      </w:tblPr>
      <w:tblGrid>
        <w:gridCol w:w="1440"/>
        <w:gridCol w:w="2700"/>
        <w:gridCol w:w="1864"/>
        <w:gridCol w:w="1437"/>
        <w:gridCol w:w="2105"/>
        <w:gridCol w:w="1229"/>
        <w:gridCol w:w="1502"/>
        <w:gridCol w:w="1511"/>
      </w:tblGrid>
      <w:tr w:rsidR="008A5FF6" w:rsidTr="008A5FF6">
        <w:tc>
          <w:tcPr>
            <w:tcW w:w="1440"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Result</w:t>
            </w:r>
          </w:p>
        </w:tc>
        <w:tc>
          <w:tcPr>
            <w:tcW w:w="2700"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Activity</w:t>
            </w:r>
          </w:p>
        </w:tc>
        <w:tc>
          <w:tcPr>
            <w:tcW w:w="1864"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Output/ Timeframe</w:t>
            </w:r>
          </w:p>
        </w:tc>
        <w:tc>
          <w:tcPr>
            <w:tcW w:w="1437"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Responsible Party</w:t>
            </w:r>
          </w:p>
        </w:tc>
        <w:tc>
          <w:tcPr>
            <w:tcW w:w="2105"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Indicator(s) of success/ Impact</w:t>
            </w:r>
          </w:p>
        </w:tc>
        <w:tc>
          <w:tcPr>
            <w:tcW w:w="1229" w:type="dxa"/>
            <w:vMerge w:val="restart"/>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Funds from UN-REDD</w:t>
            </w:r>
          </w:p>
        </w:tc>
        <w:tc>
          <w:tcPr>
            <w:tcW w:w="3013" w:type="dxa"/>
            <w:gridSpan w:val="2"/>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Budget Breakdown</w:t>
            </w:r>
            <w:r w:rsidR="00BF547B">
              <w:rPr>
                <w:rFonts w:asciiTheme="minorHAnsi" w:hAnsiTheme="minorHAnsi" w:cstheme="minorHAnsi"/>
                <w:sz w:val="24"/>
                <w:szCs w:val="24"/>
                <w:lang w:val="en-GB"/>
              </w:rPr>
              <w:t xml:space="preserve"> in USD</w:t>
            </w:r>
          </w:p>
        </w:tc>
      </w:tr>
      <w:tr w:rsidR="008A5FF6" w:rsidTr="008A5FF6">
        <w:tc>
          <w:tcPr>
            <w:tcW w:w="1440"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2700"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1864"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1437"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2105"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1229" w:type="dxa"/>
            <w:vMerge/>
            <w:vAlign w:val="center"/>
          </w:tcPr>
          <w:p w:rsidR="007F4DA2" w:rsidRDefault="007F4DA2" w:rsidP="007F4DA2">
            <w:pPr>
              <w:pStyle w:val="PlainText"/>
              <w:jc w:val="center"/>
              <w:rPr>
                <w:rFonts w:asciiTheme="minorHAnsi" w:hAnsiTheme="minorHAnsi" w:cstheme="minorHAnsi"/>
                <w:sz w:val="24"/>
                <w:szCs w:val="24"/>
                <w:lang w:val="en-GB"/>
              </w:rPr>
            </w:pPr>
          </w:p>
        </w:tc>
        <w:tc>
          <w:tcPr>
            <w:tcW w:w="1502" w:type="dxa"/>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Category</w:t>
            </w:r>
          </w:p>
        </w:tc>
        <w:tc>
          <w:tcPr>
            <w:tcW w:w="1511" w:type="dxa"/>
            <w:vAlign w:val="center"/>
          </w:tcPr>
          <w:p w:rsidR="007F4DA2" w:rsidRDefault="007F4DA2" w:rsidP="007F4DA2">
            <w:pPr>
              <w:pStyle w:val="PlainText"/>
              <w:jc w:val="center"/>
              <w:rPr>
                <w:rFonts w:asciiTheme="minorHAnsi" w:hAnsiTheme="minorHAnsi" w:cstheme="minorHAnsi"/>
                <w:sz w:val="24"/>
                <w:szCs w:val="24"/>
                <w:lang w:val="en-GB"/>
              </w:rPr>
            </w:pPr>
            <w:r>
              <w:rPr>
                <w:rFonts w:asciiTheme="minorHAnsi" w:hAnsiTheme="minorHAnsi" w:cstheme="minorHAnsi"/>
                <w:sz w:val="24"/>
                <w:szCs w:val="24"/>
                <w:lang w:val="en-GB"/>
              </w:rPr>
              <w:t>Amount</w:t>
            </w:r>
          </w:p>
        </w:tc>
      </w:tr>
      <w:tr w:rsidR="008A5FF6" w:rsidTr="008A5FF6">
        <w:tc>
          <w:tcPr>
            <w:tcW w:w="1440" w:type="dxa"/>
          </w:tcPr>
          <w:p w:rsidR="007F4DA2" w:rsidRDefault="007F4DA2" w:rsidP="00AA2694">
            <w:pPr>
              <w:pStyle w:val="PlainText"/>
              <w:rPr>
                <w:rFonts w:asciiTheme="minorHAnsi" w:hAnsiTheme="minorHAnsi" w:cstheme="minorHAnsi"/>
                <w:sz w:val="24"/>
                <w:szCs w:val="24"/>
                <w:lang w:val="en-GB"/>
              </w:rPr>
            </w:pPr>
            <w:r w:rsidRPr="005D1B21">
              <w:rPr>
                <w:rFonts w:asciiTheme="minorHAnsi" w:hAnsiTheme="minorHAnsi" w:cstheme="minorHAnsi"/>
                <w:sz w:val="20"/>
                <w:szCs w:val="20"/>
                <w:lang w:val="en-GB"/>
              </w:rPr>
              <w:t xml:space="preserve">Corruption risks in REDD+ in the Philippines are </w:t>
            </w:r>
            <w:r w:rsidR="000E7661">
              <w:rPr>
                <w:rFonts w:asciiTheme="minorHAnsi" w:hAnsiTheme="minorHAnsi" w:cstheme="minorHAnsi"/>
                <w:sz w:val="20"/>
                <w:szCs w:val="20"/>
                <w:lang w:val="en-GB"/>
              </w:rPr>
              <w:t>analysed, validated and prioritized</w:t>
            </w:r>
          </w:p>
        </w:tc>
        <w:tc>
          <w:tcPr>
            <w:tcW w:w="2700" w:type="dxa"/>
          </w:tcPr>
          <w:p w:rsidR="000E7661" w:rsidRDefault="000E7661" w:rsidP="000E7661">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Conduct of c</w:t>
            </w:r>
            <w:r w:rsidR="007F4DA2" w:rsidRPr="005D1B21">
              <w:rPr>
                <w:rFonts w:asciiTheme="minorHAnsi" w:hAnsiTheme="minorHAnsi" w:cstheme="minorHAnsi"/>
                <w:sz w:val="20"/>
                <w:szCs w:val="20"/>
                <w:lang w:val="en-GB"/>
              </w:rPr>
              <w:t>orruption risk assessment (CRA) for REDD-Plus implementation in the Philippines</w:t>
            </w:r>
            <w:r w:rsidRPr="005D1B21">
              <w:rPr>
                <w:rFonts w:asciiTheme="minorHAnsi" w:hAnsiTheme="minorHAnsi" w:cstheme="minorHAnsi"/>
                <w:sz w:val="20"/>
                <w:szCs w:val="20"/>
                <w:lang w:val="en-GB"/>
              </w:rPr>
              <w:t xml:space="preserve"> </w:t>
            </w:r>
            <w:r w:rsidR="008A5FF6">
              <w:rPr>
                <w:rFonts w:asciiTheme="minorHAnsi" w:hAnsiTheme="minorHAnsi" w:cstheme="minorHAnsi"/>
                <w:sz w:val="20"/>
                <w:szCs w:val="20"/>
                <w:lang w:val="en-GB"/>
              </w:rPr>
              <w:t>in collaboration with GIZ and national partners</w:t>
            </w:r>
          </w:p>
          <w:p w:rsidR="000E7661" w:rsidRDefault="000E7661" w:rsidP="000E7661">
            <w:pPr>
              <w:pStyle w:val="PlainText"/>
              <w:rPr>
                <w:rFonts w:asciiTheme="minorHAnsi" w:hAnsiTheme="minorHAnsi" w:cstheme="minorHAnsi"/>
                <w:sz w:val="20"/>
                <w:szCs w:val="20"/>
                <w:lang w:val="en-GB"/>
              </w:rPr>
            </w:pPr>
          </w:p>
          <w:p w:rsidR="000E7661" w:rsidRDefault="000E7661" w:rsidP="000E7661">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Conduct inclusive stakeholder consultation process </w:t>
            </w:r>
            <w:r>
              <w:rPr>
                <w:rFonts w:asciiTheme="minorHAnsi" w:hAnsiTheme="minorHAnsi" w:cstheme="minorHAnsi"/>
                <w:sz w:val="20"/>
                <w:szCs w:val="20"/>
                <w:lang w:val="en-GB"/>
              </w:rPr>
              <w:t>through regional workshops</w:t>
            </w:r>
            <w:r w:rsidRPr="005D1B21">
              <w:rPr>
                <w:rFonts w:asciiTheme="minorHAnsi" w:hAnsiTheme="minorHAnsi" w:cstheme="minorHAnsi"/>
                <w:sz w:val="20"/>
                <w:szCs w:val="20"/>
                <w:lang w:val="en-GB"/>
              </w:rPr>
              <w:t xml:space="preserve"> to validate and assess the likelihood of these risks actually occurring</w:t>
            </w:r>
          </w:p>
          <w:p w:rsidR="000E7661" w:rsidRDefault="000E7661" w:rsidP="000E7661">
            <w:pPr>
              <w:pStyle w:val="PlainText"/>
              <w:rPr>
                <w:rFonts w:asciiTheme="minorHAnsi" w:hAnsiTheme="minorHAnsi" w:cstheme="minorHAnsi"/>
                <w:sz w:val="20"/>
                <w:szCs w:val="20"/>
                <w:lang w:val="en-GB"/>
              </w:rPr>
            </w:pPr>
          </w:p>
          <w:p w:rsidR="007F4DA2" w:rsidRPr="000E7661" w:rsidRDefault="000E7661" w:rsidP="00AA2694">
            <w:pPr>
              <w:pStyle w:val="PlainText"/>
              <w:rPr>
                <w:rFonts w:asciiTheme="minorHAnsi" w:hAnsiTheme="minorHAnsi" w:cstheme="minorHAnsi"/>
                <w:sz w:val="20"/>
                <w:szCs w:val="20"/>
                <w:lang w:val="en-GB"/>
              </w:rPr>
            </w:pPr>
            <w:r w:rsidRPr="007F4DA2">
              <w:rPr>
                <w:rFonts w:asciiTheme="minorHAnsi" w:hAnsiTheme="minorHAnsi" w:cstheme="minorHAnsi"/>
                <w:sz w:val="20"/>
                <w:szCs w:val="20"/>
                <w:lang w:val="en-GB"/>
              </w:rPr>
              <w:t>Finalization of document on Corruption Risks in REDD+ implementation in the Philippines</w:t>
            </w:r>
          </w:p>
        </w:tc>
        <w:tc>
          <w:tcPr>
            <w:tcW w:w="1864" w:type="dxa"/>
          </w:tcPr>
          <w:p w:rsidR="008A5FF6" w:rsidRPr="008A5FF6" w:rsidRDefault="008A5FF6" w:rsidP="000E7661">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On-line survey of stakeholders concerning corruption risk;</w:t>
            </w:r>
          </w:p>
          <w:p w:rsidR="008A5FF6" w:rsidRPr="008A5FF6" w:rsidRDefault="008A5FF6" w:rsidP="000E7661">
            <w:pPr>
              <w:pStyle w:val="PlainText"/>
              <w:rPr>
                <w:rFonts w:asciiTheme="minorHAnsi" w:hAnsiTheme="minorHAnsi" w:cstheme="minorHAnsi"/>
                <w:sz w:val="20"/>
                <w:szCs w:val="20"/>
                <w:lang w:val="en-GB"/>
              </w:rPr>
            </w:pPr>
          </w:p>
          <w:p w:rsidR="008A5FF6" w:rsidRPr="008A5FF6" w:rsidRDefault="008A5FF6" w:rsidP="000E7661">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Focus-group discussions on specific risks;</w:t>
            </w:r>
          </w:p>
          <w:p w:rsidR="008A5FF6" w:rsidRPr="008A5FF6" w:rsidRDefault="008A5FF6" w:rsidP="000E7661">
            <w:pPr>
              <w:pStyle w:val="PlainText"/>
              <w:rPr>
                <w:rFonts w:asciiTheme="minorHAnsi" w:hAnsiTheme="minorHAnsi" w:cstheme="minorHAnsi"/>
                <w:sz w:val="20"/>
                <w:szCs w:val="20"/>
                <w:lang w:val="en-GB"/>
              </w:rPr>
            </w:pPr>
          </w:p>
          <w:p w:rsidR="007F4DA2" w:rsidRPr="008A5FF6" w:rsidRDefault="007F4DA2" w:rsidP="000E7661">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Assessment report finalized</w:t>
            </w:r>
            <w:r w:rsidR="000E7661" w:rsidRPr="008A5FF6">
              <w:rPr>
                <w:rFonts w:asciiTheme="minorHAnsi" w:hAnsiTheme="minorHAnsi" w:cstheme="minorHAnsi"/>
                <w:sz w:val="20"/>
                <w:szCs w:val="20"/>
                <w:lang w:val="en-GB"/>
              </w:rPr>
              <w:t xml:space="preserve"> </w:t>
            </w:r>
            <w:r w:rsidRPr="008A5FF6">
              <w:rPr>
                <w:rFonts w:asciiTheme="minorHAnsi" w:hAnsiTheme="minorHAnsi" w:cstheme="minorHAnsi"/>
                <w:sz w:val="20"/>
                <w:szCs w:val="20"/>
                <w:lang w:val="en-GB"/>
              </w:rPr>
              <w:t xml:space="preserve">by </w:t>
            </w:r>
            <w:r w:rsidR="000E7661" w:rsidRPr="008A5FF6">
              <w:rPr>
                <w:rFonts w:asciiTheme="minorHAnsi" w:hAnsiTheme="minorHAnsi" w:cstheme="minorHAnsi"/>
                <w:sz w:val="20"/>
                <w:szCs w:val="20"/>
                <w:lang w:val="en-GB"/>
              </w:rPr>
              <w:t xml:space="preserve">Month </w:t>
            </w:r>
            <w:r w:rsidR="008A5FF6" w:rsidRPr="008A5FF6">
              <w:rPr>
                <w:rFonts w:asciiTheme="minorHAnsi" w:hAnsiTheme="minorHAnsi" w:cstheme="minorHAnsi"/>
                <w:sz w:val="20"/>
                <w:szCs w:val="20"/>
                <w:lang w:val="en-GB"/>
              </w:rPr>
              <w:t>2</w:t>
            </w:r>
            <w:r w:rsidRPr="008A5FF6">
              <w:rPr>
                <w:rFonts w:asciiTheme="minorHAnsi" w:hAnsiTheme="minorHAnsi" w:cstheme="minorHAnsi"/>
                <w:sz w:val="20"/>
                <w:szCs w:val="20"/>
                <w:lang w:val="en-GB"/>
              </w:rPr>
              <w:t xml:space="preserve"> of the project</w:t>
            </w:r>
            <w:r w:rsidR="008A5FF6" w:rsidRPr="008A5FF6">
              <w:rPr>
                <w:rFonts w:asciiTheme="minorHAnsi" w:hAnsiTheme="minorHAnsi" w:cstheme="minorHAnsi"/>
                <w:sz w:val="20"/>
                <w:szCs w:val="20"/>
                <w:lang w:val="en-GB"/>
              </w:rPr>
              <w:t>;</w:t>
            </w:r>
          </w:p>
          <w:p w:rsidR="008A5FF6" w:rsidRPr="008A5FF6" w:rsidRDefault="008A5FF6" w:rsidP="000E7661">
            <w:pPr>
              <w:pStyle w:val="PlainText"/>
              <w:rPr>
                <w:rFonts w:asciiTheme="minorHAnsi" w:hAnsiTheme="minorHAnsi" w:cstheme="minorHAnsi"/>
                <w:sz w:val="20"/>
                <w:szCs w:val="20"/>
                <w:lang w:val="en-GB"/>
              </w:rPr>
            </w:pPr>
          </w:p>
          <w:p w:rsidR="008A5FF6" w:rsidRPr="008A5FF6" w:rsidRDefault="008A5FF6" w:rsidP="000E7661">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Workshop planned for 16-17 August to serve as validation for results</w:t>
            </w:r>
          </w:p>
        </w:tc>
        <w:tc>
          <w:tcPr>
            <w:tcW w:w="1437" w:type="dxa"/>
          </w:tcPr>
          <w:p w:rsidR="007F4DA2" w:rsidRDefault="007F4DA2" w:rsidP="00AA2694">
            <w:pPr>
              <w:pStyle w:val="PlainText"/>
              <w:rPr>
                <w:rFonts w:asciiTheme="minorHAnsi" w:hAnsiTheme="minorHAnsi" w:cstheme="minorHAnsi"/>
                <w:sz w:val="24"/>
                <w:szCs w:val="24"/>
                <w:lang w:val="en-GB"/>
              </w:rPr>
            </w:pPr>
            <w:r>
              <w:rPr>
                <w:rFonts w:asciiTheme="minorHAnsi" w:hAnsiTheme="minorHAnsi" w:cstheme="minorHAnsi"/>
                <w:sz w:val="24"/>
                <w:szCs w:val="24"/>
                <w:lang w:val="en-GB"/>
              </w:rPr>
              <w:t>FMB</w:t>
            </w:r>
          </w:p>
        </w:tc>
        <w:tc>
          <w:tcPr>
            <w:tcW w:w="2105" w:type="dxa"/>
          </w:tcPr>
          <w:p w:rsidR="007F4DA2" w:rsidRPr="007F4DA2" w:rsidRDefault="00376BD7" w:rsidP="00376BD7">
            <w:pPr>
              <w:pStyle w:val="PlainText"/>
              <w:rPr>
                <w:rFonts w:asciiTheme="minorHAnsi" w:hAnsiTheme="minorHAnsi" w:cstheme="minorHAnsi"/>
                <w:sz w:val="20"/>
                <w:szCs w:val="20"/>
                <w:lang w:val="en-GB"/>
              </w:rPr>
            </w:pPr>
            <w:r>
              <w:rPr>
                <w:rFonts w:asciiTheme="minorHAnsi" w:hAnsiTheme="minorHAnsi" w:cstheme="minorHAnsi"/>
                <w:sz w:val="20"/>
                <w:szCs w:val="20"/>
                <w:lang w:val="en-GB"/>
              </w:rPr>
              <w:t>No. of stakeholders with increased awareness on the corruption risks in REDD+ in the Philippines;</w:t>
            </w:r>
          </w:p>
        </w:tc>
        <w:tc>
          <w:tcPr>
            <w:tcW w:w="1229" w:type="dxa"/>
          </w:tcPr>
          <w:p w:rsidR="007F4DA2" w:rsidRDefault="007F4DA2" w:rsidP="00AA2694">
            <w:pPr>
              <w:pStyle w:val="PlainText"/>
              <w:rPr>
                <w:rFonts w:asciiTheme="minorHAnsi" w:hAnsiTheme="minorHAnsi" w:cstheme="minorHAnsi"/>
                <w:sz w:val="24"/>
                <w:szCs w:val="24"/>
                <w:lang w:val="en-GB"/>
              </w:rPr>
            </w:pPr>
          </w:p>
        </w:tc>
        <w:tc>
          <w:tcPr>
            <w:tcW w:w="1502" w:type="dxa"/>
          </w:tcPr>
          <w:p w:rsidR="00615E6D" w:rsidRPr="008A5FF6" w:rsidRDefault="008A5FF6" w:rsidP="00AA2694">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Personnel</w:t>
            </w:r>
          </w:p>
          <w:p w:rsidR="00BF547B" w:rsidRPr="008A5FF6" w:rsidRDefault="008A5FF6" w:rsidP="00AA2694">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Supplies, commodities, equipment and transport</w:t>
            </w:r>
          </w:p>
          <w:p w:rsidR="00615E6D" w:rsidRPr="008A5FF6" w:rsidRDefault="00615E6D" w:rsidP="00AA2694">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ODC</w:t>
            </w:r>
          </w:p>
        </w:tc>
        <w:tc>
          <w:tcPr>
            <w:tcW w:w="1511" w:type="dxa"/>
          </w:tcPr>
          <w:p w:rsidR="00BF547B" w:rsidRDefault="008A5FF6" w:rsidP="00BF547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19,607.28</w:t>
            </w:r>
          </w:p>
          <w:p w:rsidR="00BF547B" w:rsidRDefault="00BF547B" w:rsidP="00BF547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15,714.28</w:t>
            </w:r>
          </w:p>
          <w:p w:rsidR="008A5FF6" w:rsidRDefault="008A5FF6" w:rsidP="00BF547B">
            <w:pPr>
              <w:pStyle w:val="PlainText"/>
              <w:jc w:val="right"/>
              <w:rPr>
                <w:rFonts w:asciiTheme="minorHAnsi" w:hAnsiTheme="minorHAnsi" w:cstheme="minorHAnsi"/>
                <w:sz w:val="20"/>
                <w:szCs w:val="20"/>
                <w:lang w:val="en-GB"/>
              </w:rPr>
            </w:pPr>
          </w:p>
          <w:p w:rsidR="008A5FF6" w:rsidRDefault="008A5FF6" w:rsidP="00BF547B">
            <w:pPr>
              <w:pStyle w:val="PlainText"/>
              <w:jc w:val="right"/>
              <w:rPr>
                <w:rFonts w:asciiTheme="minorHAnsi" w:hAnsiTheme="minorHAnsi" w:cstheme="minorHAnsi"/>
                <w:sz w:val="20"/>
                <w:szCs w:val="20"/>
                <w:lang w:val="en-GB"/>
              </w:rPr>
            </w:pPr>
          </w:p>
          <w:p w:rsidR="008A5FF6" w:rsidRDefault="008A5FF6" w:rsidP="00BF547B">
            <w:pPr>
              <w:pStyle w:val="PlainText"/>
              <w:jc w:val="right"/>
              <w:rPr>
                <w:rFonts w:asciiTheme="minorHAnsi" w:hAnsiTheme="minorHAnsi" w:cstheme="minorHAnsi"/>
                <w:sz w:val="20"/>
                <w:szCs w:val="20"/>
                <w:lang w:val="en-GB"/>
              </w:rPr>
            </w:pPr>
          </w:p>
          <w:p w:rsidR="00BF547B" w:rsidRDefault="00BF547B" w:rsidP="00BF547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595.24</w:t>
            </w:r>
          </w:p>
          <w:p w:rsidR="00BF547B" w:rsidRPr="00615E6D" w:rsidRDefault="00BF547B" w:rsidP="00BF547B">
            <w:pPr>
              <w:pStyle w:val="PlainText"/>
              <w:jc w:val="right"/>
              <w:rPr>
                <w:rFonts w:asciiTheme="minorHAnsi" w:hAnsiTheme="minorHAnsi" w:cstheme="minorHAnsi"/>
                <w:sz w:val="20"/>
                <w:szCs w:val="20"/>
                <w:lang w:val="en-GB"/>
              </w:rPr>
            </w:pPr>
          </w:p>
        </w:tc>
      </w:tr>
      <w:tr w:rsidR="008A5FF6" w:rsidTr="008A5FF6">
        <w:tc>
          <w:tcPr>
            <w:tcW w:w="1440" w:type="dxa"/>
          </w:tcPr>
          <w:p w:rsidR="007F4DA2" w:rsidRPr="007F4DA2" w:rsidRDefault="007F4DA2" w:rsidP="00AA2694">
            <w:pPr>
              <w:pStyle w:val="PlainText"/>
              <w:rPr>
                <w:rFonts w:asciiTheme="minorHAnsi" w:hAnsiTheme="minorHAnsi" w:cstheme="minorHAnsi"/>
                <w:sz w:val="20"/>
                <w:szCs w:val="20"/>
                <w:lang w:val="en-GB"/>
              </w:rPr>
            </w:pPr>
            <w:r w:rsidRPr="007F4DA2">
              <w:rPr>
                <w:rFonts w:asciiTheme="minorHAnsi" w:hAnsiTheme="minorHAnsi" w:cstheme="minorHAnsi"/>
                <w:sz w:val="20"/>
                <w:szCs w:val="20"/>
                <w:lang w:val="en-GB"/>
              </w:rPr>
              <w:t>Action plan is developed and agreed to by NMRC</w:t>
            </w:r>
          </w:p>
        </w:tc>
        <w:tc>
          <w:tcPr>
            <w:tcW w:w="2700" w:type="dxa"/>
          </w:tcPr>
          <w:p w:rsidR="000E7661" w:rsidRDefault="000E7661" w:rsidP="00AA2694">
            <w:pPr>
              <w:pStyle w:val="PlainText"/>
              <w:rPr>
                <w:rFonts w:asciiTheme="minorHAnsi" w:hAnsiTheme="minorHAnsi" w:cstheme="minorHAnsi"/>
                <w:sz w:val="20"/>
                <w:szCs w:val="20"/>
                <w:lang w:val="en-GB"/>
              </w:rPr>
            </w:pPr>
            <w:r>
              <w:rPr>
                <w:rFonts w:asciiTheme="minorHAnsi" w:hAnsiTheme="minorHAnsi" w:cstheme="minorHAnsi"/>
                <w:sz w:val="20"/>
                <w:szCs w:val="20"/>
                <w:lang w:val="en-GB"/>
              </w:rPr>
              <w:t>Formulate of anti-corruption plan for REDD+</w:t>
            </w:r>
            <w:r w:rsidR="00615E6D">
              <w:rPr>
                <w:rFonts w:asciiTheme="minorHAnsi" w:hAnsiTheme="minorHAnsi" w:cstheme="minorHAnsi"/>
                <w:sz w:val="20"/>
                <w:szCs w:val="20"/>
                <w:lang w:val="en-GB"/>
              </w:rPr>
              <w:t xml:space="preserve"> including awareness raising and capacity building</w:t>
            </w:r>
          </w:p>
          <w:p w:rsidR="000E7661" w:rsidRDefault="000E7661" w:rsidP="00AA2694">
            <w:pPr>
              <w:pStyle w:val="PlainText"/>
              <w:rPr>
                <w:rFonts w:asciiTheme="minorHAnsi" w:hAnsiTheme="minorHAnsi" w:cstheme="minorHAnsi"/>
                <w:sz w:val="20"/>
                <w:szCs w:val="20"/>
                <w:lang w:val="en-GB"/>
              </w:rPr>
            </w:pPr>
          </w:p>
          <w:p w:rsidR="007F4DA2" w:rsidRDefault="000E7661" w:rsidP="000E7661">
            <w:pPr>
              <w:pStyle w:val="PlainText"/>
              <w:rPr>
                <w:rFonts w:asciiTheme="minorHAnsi" w:hAnsiTheme="minorHAnsi" w:cstheme="minorHAnsi"/>
                <w:sz w:val="20"/>
                <w:szCs w:val="20"/>
                <w:lang w:val="en-GB"/>
              </w:rPr>
            </w:pPr>
            <w:r>
              <w:rPr>
                <w:rFonts w:asciiTheme="minorHAnsi" w:hAnsiTheme="minorHAnsi" w:cstheme="minorHAnsi"/>
                <w:sz w:val="20"/>
                <w:szCs w:val="20"/>
                <w:lang w:val="en-GB"/>
              </w:rPr>
              <w:t xml:space="preserve">Present  the proposed anti-corruption plan to NMRC  </w:t>
            </w:r>
          </w:p>
          <w:p w:rsidR="00376BD7" w:rsidRDefault="00376BD7" w:rsidP="000E7661">
            <w:pPr>
              <w:pStyle w:val="PlainText"/>
              <w:rPr>
                <w:rFonts w:asciiTheme="minorHAnsi" w:hAnsiTheme="minorHAnsi" w:cstheme="minorHAnsi"/>
                <w:sz w:val="20"/>
                <w:szCs w:val="20"/>
                <w:lang w:val="en-GB"/>
              </w:rPr>
            </w:pPr>
          </w:p>
          <w:p w:rsidR="00376BD7" w:rsidRDefault="00376BD7" w:rsidP="000E7661">
            <w:pPr>
              <w:pStyle w:val="PlainText"/>
              <w:rPr>
                <w:rFonts w:asciiTheme="minorHAnsi" w:hAnsiTheme="minorHAnsi" w:cstheme="minorHAnsi"/>
                <w:sz w:val="20"/>
                <w:szCs w:val="20"/>
                <w:lang w:val="en-GB"/>
              </w:rPr>
            </w:pPr>
          </w:p>
          <w:p w:rsidR="00376BD7" w:rsidRDefault="00376BD7" w:rsidP="000E7661">
            <w:pPr>
              <w:pStyle w:val="PlainText"/>
              <w:rPr>
                <w:rFonts w:asciiTheme="minorHAnsi" w:hAnsiTheme="minorHAnsi" w:cstheme="minorHAnsi"/>
                <w:sz w:val="20"/>
                <w:szCs w:val="20"/>
                <w:lang w:val="en-GB"/>
              </w:rPr>
            </w:pPr>
          </w:p>
          <w:p w:rsidR="00376BD7" w:rsidRPr="005D1B21" w:rsidRDefault="00376BD7" w:rsidP="000E7661">
            <w:pPr>
              <w:pStyle w:val="PlainText"/>
              <w:rPr>
                <w:rFonts w:asciiTheme="minorHAnsi" w:hAnsiTheme="minorHAnsi" w:cstheme="minorHAnsi"/>
                <w:sz w:val="20"/>
                <w:szCs w:val="20"/>
                <w:lang w:val="en-GB"/>
              </w:rPr>
            </w:pPr>
          </w:p>
        </w:tc>
        <w:tc>
          <w:tcPr>
            <w:tcW w:w="1864" w:type="dxa"/>
          </w:tcPr>
          <w:p w:rsidR="007F4DA2" w:rsidRPr="008A5FF6" w:rsidRDefault="00376BD7" w:rsidP="00AA2694">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lastRenderedPageBreak/>
              <w:t>REDD+ Anti-Corruption Action Plan</w:t>
            </w:r>
            <w:r w:rsidR="007F4DA2" w:rsidRPr="008A5FF6">
              <w:rPr>
                <w:rFonts w:asciiTheme="minorHAnsi" w:hAnsiTheme="minorHAnsi" w:cstheme="minorHAnsi"/>
                <w:sz w:val="20"/>
                <w:szCs w:val="20"/>
                <w:lang w:val="en-GB"/>
              </w:rPr>
              <w:t>/</w:t>
            </w:r>
          </w:p>
          <w:p w:rsidR="007F4DA2" w:rsidRPr="008A5FF6" w:rsidRDefault="007F4DA2" w:rsidP="00AA2694">
            <w:pPr>
              <w:pStyle w:val="PlainText"/>
              <w:rPr>
                <w:rFonts w:asciiTheme="minorHAnsi" w:hAnsiTheme="minorHAnsi" w:cstheme="minorHAnsi"/>
                <w:sz w:val="20"/>
                <w:szCs w:val="20"/>
                <w:lang w:val="en-GB"/>
              </w:rPr>
            </w:pPr>
            <w:r w:rsidRPr="008A5FF6">
              <w:rPr>
                <w:rFonts w:asciiTheme="minorHAnsi" w:hAnsiTheme="minorHAnsi" w:cstheme="minorHAnsi"/>
                <w:sz w:val="20"/>
                <w:szCs w:val="20"/>
                <w:lang w:val="en-GB"/>
              </w:rPr>
              <w:t>5</w:t>
            </w:r>
            <w:r w:rsidRPr="008A5FF6">
              <w:rPr>
                <w:rFonts w:asciiTheme="minorHAnsi" w:hAnsiTheme="minorHAnsi" w:cstheme="minorHAnsi"/>
                <w:sz w:val="20"/>
                <w:szCs w:val="20"/>
                <w:vertAlign w:val="superscript"/>
                <w:lang w:val="en-GB"/>
              </w:rPr>
              <w:t>th</w:t>
            </w:r>
            <w:r w:rsidRPr="008A5FF6">
              <w:rPr>
                <w:rFonts w:asciiTheme="minorHAnsi" w:hAnsiTheme="minorHAnsi" w:cstheme="minorHAnsi"/>
                <w:sz w:val="20"/>
                <w:szCs w:val="20"/>
                <w:lang w:val="en-GB"/>
              </w:rPr>
              <w:t xml:space="preserve"> month of project implementation</w:t>
            </w:r>
          </w:p>
        </w:tc>
        <w:tc>
          <w:tcPr>
            <w:tcW w:w="1437" w:type="dxa"/>
          </w:tcPr>
          <w:p w:rsidR="007F4DA2" w:rsidRDefault="00376BD7" w:rsidP="00AA2694">
            <w:pPr>
              <w:pStyle w:val="PlainText"/>
              <w:rPr>
                <w:rFonts w:asciiTheme="minorHAnsi" w:hAnsiTheme="minorHAnsi" w:cstheme="minorHAnsi"/>
                <w:sz w:val="24"/>
                <w:szCs w:val="24"/>
                <w:lang w:val="en-GB"/>
              </w:rPr>
            </w:pPr>
            <w:r>
              <w:rPr>
                <w:rFonts w:asciiTheme="minorHAnsi" w:hAnsiTheme="minorHAnsi" w:cstheme="minorHAnsi"/>
                <w:sz w:val="24"/>
                <w:szCs w:val="24"/>
                <w:lang w:val="en-GB"/>
              </w:rPr>
              <w:t>FMB</w:t>
            </w:r>
          </w:p>
        </w:tc>
        <w:tc>
          <w:tcPr>
            <w:tcW w:w="2105" w:type="dxa"/>
          </w:tcPr>
          <w:p w:rsidR="007F4DA2" w:rsidRDefault="00376BD7" w:rsidP="00376BD7">
            <w:pPr>
              <w:pStyle w:val="PlainText"/>
              <w:rPr>
                <w:rFonts w:asciiTheme="minorHAnsi" w:hAnsiTheme="minorHAnsi" w:cstheme="minorHAnsi"/>
                <w:sz w:val="20"/>
                <w:szCs w:val="20"/>
                <w:lang w:val="en-GB"/>
              </w:rPr>
            </w:pPr>
            <w:r>
              <w:rPr>
                <w:rFonts w:asciiTheme="minorHAnsi" w:hAnsiTheme="minorHAnsi" w:cstheme="minorHAnsi"/>
                <w:sz w:val="20"/>
                <w:szCs w:val="20"/>
                <w:lang w:val="en-GB"/>
              </w:rPr>
              <w:t>No. of stakeholders signified commitment to implement the anti-corruption action plan</w:t>
            </w:r>
            <w:r w:rsidR="00615E6D">
              <w:rPr>
                <w:rFonts w:asciiTheme="minorHAnsi" w:hAnsiTheme="minorHAnsi" w:cstheme="minorHAnsi"/>
                <w:sz w:val="20"/>
                <w:szCs w:val="20"/>
                <w:lang w:val="en-GB"/>
              </w:rPr>
              <w:t>;</w:t>
            </w:r>
          </w:p>
          <w:p w:rsidR="00615E6D" w:rsidRDefault="00615E6D" w:rsidP="00376BD7">
            <w:pPr>
              <w:pStyle w:val="PlainText"/>
              <w:rPr>
                <w:rFonts w:asciiTheme="minorHAnsi" w:hAnsiTheme="minorHAnsi" w:cstheme="minorHAnsi"/>
                <w:sz w:val="20"/>
                <w:szCs w:val="20"/>
                <w:lang w:val="en-GB"/>
              </w:rPr>
            </w:pPr>
          </w:p>
          <w:p w:rsidR="00615E6D" w:rsidRPr="007F4DA2" w:rsidRDefault="00615E6D" w:rsidP="00376BD7">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Material on anti-corruption becomes part of capacity building and </w:t>
            </w:r>
            <w:r w:rsidRPr="005D1B21">
              <w:rPr>
                <w:rFonts w:asciiTheme="minorHAnsi" w:hAnsiTheme="minorHAnsi" w:cstheme="minorHAnsi"/>
                <w:sz w:val="20"/>
                <w:szCs w:val="20"/>
                <w:lang w:val="en-GB"/>
              </w:rPr>
              <w:lastRenderedPageBreak/>
              <w:t>communication strategy</w:t>
            </w:r>
            <w:r>
              <w:rPr>
                <w:rFonts w:asciiTheme="minorHAnsi" w:hAnsiTheme="minorHAnsi" w:cstheme="minorHAnsi"/>
                <w:sz w:val="20"/>
                <w:szCs w:val="20"/>
                <w:lang w:val="en-GB"/>
              </w:rPr>
              <w:t>;</w:t>
            </w:r>
            <w:r w:rsidRPr="005D1B21">
              <w:rPr>
                <w:rFonts w:asciiTheme="minorHAnsi" w:hAnsiTheme="minorHAnsi" w:cstheme="minorHAnsi"/>
                <w:sz w:val="20"/>
                <w:szCs w:val="20"/>
                <w:lang w:val="en-GB"/>
              </w:rPr>
              <w:t> </w:t>
            </w:r>
          </w:p>
        </w:tc>
        <w:tc>
          <w:tcPr>
            <w:tcW w:w="1229" w:type="dxa"/>
          </w:tcPr>
          <w:p w:rsidR="007F4DA2" w:rsidRDefault="007F4DA2" w:rsidP="00AA2694">
            <w:pPr>
              <w:pStyle w:val="PlainText"/>
              <w:rPr>
                <w:rFonts w:asciiTheme="minorHAnsi" w:hAnsiTheme="minorHAnsi" w:cstheme="minorHAnsi"/>
                <w:sz w:val="24"/>
                <w:szCs w:val="24"/>
                <w:lang w:val="en-GB"/>
              </w:rPr>
            </w:pPr>
          </w:p>
        </w:tc>
        <w:tc>
          <w:tcPr>
            <w:tcW w:w="1502" w:type="dxa"/>
          </w:tcPr>
          <w:p w:rsidR="00615E6D" w:rsidRDefault="008A5FF6" w:rsidP="00AA2694">
            <w:pPr>
              <w:pStyle w:val="PlainText"/>
              <w:rPr>
                <w:rFonts w:asciiTheme="minorHAnsi" w:hAnsiTheme="minorHAnsi" w:cstheme="minorHAnsi"/>
                <w:sz w:val="20"/>
                <w:szCs w:val="20"/>
                <w:lang w:val="en-GB"/>
              </w:rPr>
            </w:pPr>
            <w:r>
              <w:rPr>
                <w:rFonts w:asciiTheme="minorHAnsi" w:hAnsiTheme="minorHAnsi" w:cstheme="minorHAnsi"/>
                <w:sz w:val="20"/>
                <w:szCs w:val="20"/>
                <w:lang w:val="en-GB"/>
              </w:rPr>
              <w:t>Personnel</w:t>
            </w:r>
          </w:p>
          <w:p w:rsidR="00615E6D" w:rsidRPr="00615E6D" w:rsidRDefault="00615E6D" w:rsidP="00AA2694">
            <w:pPr>
              <w:pStyle w:val="PlainText"/>
              <w:rPr>
                <w:rFonts w:asciiTheme="minorHAnsi" w:hAnsiTheme="minorHAnsi" w:cstheme="minorHAnsi"/>
                <w:sz w:val="20"/>
                <w:szCs w:val="20"/>
                <w:lang w:val="en-GB"/>
              </w:rPr>
            </w:pPr>
            <w:r>
              <w:rPr>
                <w:rFonts w:asciiTheme="minorHAnsi" w:hAnsiTheme="minorHAnsi" w:cstheme="minorHAnsi"/>
                <w:sz w:val="20"/>
                <w:szCs w:val="20"/>
                <w:lang w:val="en-GB"/>
              </w:rPr>
              <w:t>ODC</w:t>
            </w:r>
          </w:p>
        </w:tc>
        <w:tc>
          <w:tcPr>
            <w:tcW w:w="1511" w:type="dxa"/>
          </w:tcPr>
          <w:p w:rsidR="00BF547B" w:rsidRDefault="008A5FF6" w:rsidP="00BF547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8,535</w:t>
            </w:r>
            <w:r w:rsidR="00BF547B">
              <w:rPr>
                <w:rFonts w:asciiTheme="minorHAnsi" w:hAnsiTheme="minorHAnsi" w:cstheme="minorHAnsi"/>
                <w:sz w:val="20"/>
                <w:szCs w:val="20"/>
                <w:lang w:val="en-GB"/>
              </w:rPr>
              <w:t>.57</w:t>
            </w:r>
          </w:p>
          <w:p w:rsidR="00BF547B" w:rsidRPr="00615E6D" w:rsidRDefault="00BF547B" w:rsidP="00BF547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547.63</w:t>
            </w:r>
          </w:p>
        </w:tc>
      </w:tr>
      <w:tr w:rsidR="008A5FF6" w:rsidTr="008A5FF6">
        <w:tc>
          <w:tcPr>
            <w:tcW w:w="1440" w:type="dxa"/>
          </w:tcPr>
          <w:p w:rsidR="00BF547B" w:rsidRPr="007F4DA2" w:rsidRDefault="00BF547B" w:rsidP="00AA2694">
            <w:pPr>
              <w:pStyle w:val="PlainText"/>
              <w:rPr>
                <w:rFonts w:asciiTheme="minorHAnsi" w:hAnsiTheme="minorHAnsi" w:cstheme="minorHAnsi"/>
                <w:sz w:val="20"/>
                <w:szCs w:val="20"/>
                <w:lang w:val="en-GB"/>
              </w:rPr>
            </w:pPr>
          </w:p>
        </w:tc>
        <w:tc>
          <w:tcPr>
            <w:tcW w:w="2700" w:type="dxa"/>
          </w:tcPr>
          <w:p w:rsidR="00BF547B" w:rsidRDefault="00BF547B" w:rsidP="00AA2694">
            <w:pPr>
              <w:pStyle w:val="PlainText"/>
              <w:rPr>
                <w:rFonts w:asciiTheme="minorHAnsi" w:hAnsiTheme="minorHAnsi" w:cstheme="minorHAnsi"/>
                <w:sz w:val="20"/>
                <w:szCs w:val="20"/>
                <w:lang w:val="en-GB"/>
              </w:rPr>
            </w:pPr>
          </w:p>
        </w:tc>
        <w:tc>
          <w:tcPr>
            <w:tcW w:w="1864" w:type="dxa"/>
          </w:tcPr>
          <w:p w:rsidR="00BF547B" w:rsidRDefault="00BF547B" w:rsidP="00AA2694">
            <w:pPr>
              <w:pStyle w:val="PlainText"/>
              <w:rPr>
                <w:rFonts w:asciiTheme="minorHAnsi" w:hAnsiTheme="minorHAnsi" w:cstheme="minorHAnsi"/>
                <w:sz w:val="20"/>
                <w:szCs w:val="20"/>
                <w:lang w:val="en-GB"/>
              </w:rPr>
            </w:pPr>
          </w:p>
        </w:tc>
        <w:tc>
          <w:tcPr>
            <w:tcW w:w="1437" w:type="dxa"/>
          </w:tcPr>
          <w:p w:rsidR="00BF547B" w:rsidRDefault="00BF547B" w:rsidP="00AA2694">
            <w:pPr>
              <w:pStyle w:val="PlainText"/>
              <w:rPr>
                <w:rFonts w:asciiTheme="minorHAnsi" w:hAnsiTheme="minorHAnsi" w:cstheme="minorHAnsi"/>
                <w:sz w:val="24"/>
                <w:szCs w:val="24"/>
                <w:lang w:val="en-GB"/>
              </w:rPr>
            </w:pPr>
          </w:p>
        </w:tc>
        <w:tc>
          <w:tcPr>
            <w:tcW w:w="2105" w:type="dxa"/>
          </w:tcPr>
          <w:p w:rsidR="00BF547B" w:rsidRDefault="00BF547B" w:rsidP="00376BD7">
            <w:pPr>
              <w:pStyle w:val="PlainText"/>
              <w:rPr>
                <w:rFonts w:asciiTheme="minorHAnsi" w:hAnsiTheme="minorHAnsi" w:cstheme="minorHAnsi"/>
                <w:sz w:val="20"/>
                <w:szCs w:val="20"/>
                <w:lang w:val="en-GB"/>
              </w:rPr>
            </w:pPr>
          </w:p>
        </w:tc>
        <w:tc>
          <w:tcPr>
            <w:tcW w:w="1229" w:type="dxa"/>
          </w:tcPr>
          <w:p w:rsidR="00BF547B" w:rsidRDefault="00BF547B" w:rsidP="00AA2694">
            <w:pPr>
              <w:pStyle w:val="PlainText"/>
              <w:rPr>
                <w:rFonts w:asciiTheme="minorHAnsi" w:hAnsiTheme="minorHAnsi" w:cstheme="minorHAnsi"/>
                <w:sz w:val="24"/>
                <w:szCs w:val="24"/>
                <w:lang w:val="en-GB"/>
              </w:rPr>
            </w:pPr>
          </w:p>
        </w:tc>
        <w:tc>
          <w:tcPr>
            <w:tcW w:w="1502" w:type="dxa"/>
          </w:tcPr>
          <w:p w:rsidR="00BF547B" w:rsidRPr="00BF547B" w:rsidRDefault="00BF547B" w:rsidP="00AA2694">
            <w:pPr>
              <w:pStyle w:val="PlainText"/>
              <w:rPr>
                <w:rFonts w:asciiTheme="minorHAnsi" w:hAnsiTheme="minorHAnsi" w:cstheme="minorHAnsi"/>
                <w:b/>
                <w:sz w:val="20"/>
                <w:szCs w:val="20"/>
                <w:lang w:val="en-GB"/>
              </w:rPr>
            </w:pPr>
            <w:r w:rsidRPr="00BF547B">
              <w:rPr>
                <w:rFonts w:asciiTheme="minorHAnsi" w:hAnsiTheme="minorHAnsi" w:cstheme="minorHAnsi"/>
                <w:b/>
                <w:sz w:val="20"/>
                <w:szCs w:val="20"/>
                <w:lang w:val="en-GB"/>
              </w:rPr>
              <w:t>TOTAL</w:t>
            </w:r>
          </w:p>
        </w:tc>
        <w:tc>
          <w:tcPr>
            <w:tcW w:w="1511" w:type="dxa"/>
          </w:tcPr>
          <w:p w:rsidR="00BF547B" w:rsidRPr="00BF547B" w:rsidRDefault="00BF547B" w:rsidP="00BF547B">
            <w:pPr>
              <w:pStyle w:val="PlainText"/>
              <w:jc w:val="right"/>
              <w:rPr>
                <w:rFonts w:asciiTheme="minorHAnsi" w:hAnsiTheme="minorHAnsi" w:cstheme="minorHAnsi"/>
                <w:b/>
                <w:sz w:val="20"/>
                <w:szCs w:val="20"/>
                <w:lang w:val="en-GB"/>
              </w:rPr>
            </w:pPr>
            <w:r w:rsidRPr="00BF547B">
              <w:rPr>
                <w:rFonts w:asciiTheme="minorHAnsi" w:hAnsiTheme="minorHAnsi" w:cstheme="minorHAnsi"/>
                <w:b/>
                <w:sz w:val="20"/>
                <w:szCs w:val="20"/>
                <w:lang w:val="en-GB"/>
              </w:rPr>
              <w:t>45,000.00</w:t>
            </w:r>
          </w:p>
        </w:tc>
      </w:tr>
    </w:tbl>
    <w:p w:rsidR="00BF547B" w:rsidRDefault="00BF547B" w:rsidP="00BF547B">
      <w:pPr>
        <w:pStyle w:val="PlainText"/>
        <w:rPr>
          <w:rFonts w:asciiTheme="minorHAnsi" w:hAnsiTheme="minorHAnsi" w:cstheme="minorHAnsi"/>
          <w:sz w:val="24"/>
          <w:szCs w:val="24"/>
          <w:lang w:val="en-GB"/>
        </w:rPr>
      </w:pPr>
    </w:p>
    <w:p w:rsidR="008A5FF6" w:rsidRDefault="00BF547B" w:rsidP="003953A2">
      <w:pPr>
        <w:pStyle w:val="PlainText"/>
        <w:rPr>
          <w:rFonts w:asciiTheme="minorHAnsi" w:hAnsiTheme="minorHAnsi" w:cstheme="minorHAnsi"/>
          <w:sz w:val="20"/>
          <w:szCs w:val="20"/>
          <w:lang w:val="en-GB"/>
        </w:rPr>
        <w:sectPr w:rsidR="008A5FF6" w:rsidSect="00A42328">
          <w:pgSz w:w="15840" w:h="12240" w:orient="landscape"/>
          <w:pgMar w:top="1440" w:right="1440" w:bottom="1440" w:left="1440" w:header="720" w:footer="720" w:gutter="0"/>
          <w:cols w:space="720"/>
          <w:docGrid w:linePitch="360"/>
        </w:sectPr>
      </w:pPr>
      <w:r w:rsidRPr="003953A2">
        <w:rPr>
          <w:rFonts w:asciiTheme="minorHAnsi" w:hAnsiTheme="minorHAnsi" w:cstheme="minorHAnsi"/>
          <w:sz w:val="20"/>
          <w:szCs w:val="20"/>
          <w:lang w:val="en-GB"/>
        </w:rPr>
        <w:t>Note:  Other Direct Costs (ODC) are miscellaneous expenses, hospitality</w:t>
      </w:r>
      <w:r w:rsidR="003953A2" w:rsidRPr="003953A2">
        <w:rPr>
          <w:rFonts w:asciiTheme="minorHAnsi" w:hAnsiTheme="minorHAnsi" w:cstheme="minorHAnsi"/>
          <w:sz w:val="20"/>
          <w:szCs w:val="20"/>
          <w:lang w:val="en-GB"/>
        </w:rPr>
        <w:t>, rental and maintenance – premises; premises alteration; audio-visual production</w:t>
      </w:r>
      <w:r w:rsidR="003953A2">
        <w:rPr>
          <w:rFonts w:asciiTheme="minorHAnsi" w:hAnsiTheme="minorHAnsi" w:cstheme="minorHAnsi"/>
          <w:sz w:val="20"/>
          <w:szCs w:val="20"/>
          <w:lang w:val="en-GB"/>
        </w:rPr>
        <w:t xml:space="preserve"> costs, as per Annex D: Mapping of Agencies’ Budget Lines to Harmonized Expense Categories of the UNDG.</w:t>
      </w:r>
      <w:bookmarkStart w:id="0" w:name="_GoBack"/>
      <w:bookmarkEnd w:id="0"/>
    </w:p>
    <w:p w:rsidR="00CB76F4" w:rsidRDefault="00CB76F4" w:rsidP="00CB76F4">
      <w:pPr>
        <w:pStyle w:val="NoSpacing"/>
        <w:spacing w:line="276" w:lineRule="auto"/>
        <w:ind w:left="360"/>
        <w:jc w:val="center"/>
        <w:rPr>
          <w:b/>
          <w:sz w:val="24"/>
          <w:szCs w:val="24"/>
        </w:rPr>
      </w:pPr>
      <w:r>
        <w:rPr>
          <w:b/>
          <w:noProof/>
          <w:sz w:val="24"/>
          <w:szCs w:val="24"/>
          <w:lang w:val="fr-CH" w:eastAsia="fr-CH"/>
        </w:rPr>
        <w:lastRenderedPageBreak/>
        <w:drawing>
          <wp:inline distT="0" distB="0" distL="0" distR="0">
            <wp:extent cx="1771650" cy="1333848"/>
            <wp:effectExtent l="19050" t="0" r="0" b="0"/>
            <wp:docPr id="2"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10" cstate="print"/>
                    <a:stretch>
                      <a:fillRect/>
                    </a:stretch>
                  </pic:blipFill>
                  <pic:spPr>
                    <a:xfrm>
                      <a:off x="0" y="0"/>
                      <a:ext cx="1774494" cy="1335989"/>
                    </a:xfrm>
                    <a:prstGeom prst="rect">
                      <a:avLst/>
                    </a:prstGeom>
                  </pic:spPr>
                </pic:pic>
              </a:graphicData>
            </a:graphic>
          </wp:inline>
        </w:drawing>
      </w:r>
    </w:p>
    <w:p w:rsidR="00CB76F4" w:rsidRDefault="00CB76F4" w:rsidP="00CB76F4">
      <w:pPr>
        <w:pStyle w:val="NoSpacing"/>
        <w:spacing w:line="276" w:lineRule="auto"/>
        <w:ind w:left="360"/>
        <w:jc w:val="center"/>
        <w:rPr>
          <w:b/>
          <w:sz w:val="24"/>
          <w:szCs w:val="24"/>
        </w:rPr>
      </w:pPr>
    </w:p>
    <w:p w:rsidR="00CB76F4" w:rsidRDefault="00CB76F4" w:rsidP="00CB76F4">
      <w:pPr>
        <w:pStyle w:val="NoSpacing"/>
        <w:ind w:left="360"/>
        <w:jc w:val="center"/>
        <w:rPr>
          <w:b/>
          <w:sz w:val="24"/>
          <w:szCs w:val="24"/>
        </w:rPr>
      </w:pPr>
      <w:r>
        <w:rPr>
          <w:b/>
          <w:sz w:val="24"/>
          <w:szCs w:val="24"/>
        </w:rPr>
        <w:t>UN-REDD Programme: Targeted Support to the Philippines</w:t>
      </w:r>
    </w:p>
    <w:p w:rsidR="00CB76F4" w:rsidRPr="00243316" w:rsidRDefault="00CB76F4" w:rsidP="00CB76F4">
      <w:pPr>
        <w:pStyle w:val="NoSpacing"/>
        <w:ind w:left="360"/>
        <w:jc w:val="center"/>
        <w:rPr>
          <w:b/>
          <w:sz w:val="24"/>
          <w:szCs w:val="24"/>
        </w:rPr>
      </w:pPr>
      <w:r w:rsidRPr="00243316">
        <w:rPr>
          <w:b/>
          <w:sz w:val="24"/>
          <w:szCs w:val="24"/>
        </w:rPr>
        <w:t xml:space="preserve">TOR </w:t>
      </w:r>
      <w:r>
        <w:rPr>
          <w:b/>
          <w:sz w:val="24"/>
          <w:szCs w:val="24"/>
        </w:rPr>
        <w:t>for</w:t>
      </w:r>
      <w:r w:rsidRPr="00243316">
        <w:rPr>
          <w:b/>
          <w:sz w:val="24"/>
          <w:szCs w:val="24"/>
        </w:rPr>
        <w:t xml:space="preserve"> </w:t>
      </w:r>
      <w:r>
        <w:rPr>
          <w:b/>
          <w:sz w:val="24"/>
          <w:szCs w:val="24"/>
        </w:rPr>
        <w:t>National Consultant on Development of Anti-corruption Measures</w:t>
      </w:r>
      <w:r w:rsidRPr="00243316">
        <w:rPr>
          <w:b/>
          <w:sz w:val="24"/>
          <w:szCs w:val="24"/>
        </w:rPr>
        <w:t xml:space="preserve"> </w:t>
      </w:r>
      <w:r>
        <w:rPr>
          <w:b/>
          <w:sz w:val="24"/>
          <w:szCs w:val="24"/>
        </w:rPr>
        <w:t>(Forest Management Bureau)</w:t>
      </w:r>
    </w:p>
    <w:p w:rsidR="00CB76F4" w:rsidRPr="00243316" w:rsidRDefault="00CB76F4" w:rsidP="00CB76F4">
      <w:pPr>
        <w:pStyle w:val="NoSpacing"/>
        <w:ind w:left="360"/>
        <w:jc w:val="center"/>
        <w:rPr>
          <w:b/>
          <w:sz w:val="24"/>
          <w:szCs w:val="24"/>
        </w:rPr>
      </w:pPr>
      <w:r>
        <w:rPr>
          <w:b/>
          <w:sz w:val="24"/>
          <w:szCs w:val="24"/>
        </w:rPr>
        <w:t>The Philippines</w:t>
      </w:r>
      <w:r w:rsidRPr="00243316">
        <w:rPr>
          <w:b/>
          <w:sz w:val="24"/>
          <w:szCs w:val="24"/>
        </w:rPr>
        <w:t xml:space="preserve"> National REDD+ Readiness </w:t>
      </w:r>
      <w:r>
        <w:rPr>
          <w:b/>
          <w:sz w:val="24"/>
          <w:szCs w:val="24"/>
        </w:rPr>
        <w:t>Process</w:t>
      </w:r>
    </w:p>
    <w:p w:rsidR="00CB76F4" w:rsidRDefault="00CB76F4" w:rsidP="00CB76F4">
      <w:pPr>
        <w:pStyle w:val="NoSpacing"/>
        <w:ind w:left="360"/>
        <w:rPr>
          <w:sz w:val="24"/>
          <w:szCs w:val="24"/>
        </w:rPr>
      </w:pPr>
    </w:p>
    <w:p w:rsidR="00CB76F4" w:rsidRDefault="00CB76F4" w:rsidP="00CB76F4">
      <w:pPr>
        <w:pStyle w:val="NoSpacing"/>
        <w:ind w:left="360"/>
        <w:rPr>
          <w:sz w:val="24"/>
          <w:szCs w:val="24"/>
        </w:rPr>
      </w:pPr>
    </w:p>
    <w:p w:rsidR="00CB76F4" w:rsidRDefault="00CB76F4" w:rsidP="00CB76F4">
      <w:pPr>
        <w:pStyle w:val="ListParagraph"/>
        <w:numPr>
          <w:ilvl w:val="0"/>
          <w:numId w:val="10"/>
        </w:numPr>
        <w:ind w:left="270" w:hanging="270"/>
        <w:rPr>
          <w:b/>
        </w:rPr>
      </w:pPr>
      <w:r>
        <w:rPr>
          <w:b/>
        </w:rPr>
        <w:t>Background</w:t>
      </w:r>
    </w:p>
    <w:p w:rsidR="00CB76F4" w:rsidRPr="008415A2" w:rsidRDefault="00CB76F4" w:rsidP="00CB76F4">
      <w:pPr>
        <w:spacing w:after="0" w:line="240" w:lineRule="auto"/>
        <w:jc w:val="both"/>
        <w:rPr>
          <w:lang w:val="en-US"/>
        </w:rPr>
      </w:pPr>
      <w:r w:rsidRPr="008415A2">
        <w:rPr>
          <w:lang w:val="en-US"/>
        </w:rPr>
        <w:t xml:space="preserve">Corruption hinders efforts to achieve the MDGs by reducing access to services and diverting resources away from investments in infrastructure, institutions and social services. Success in meeting the MDGs will therefore largely depend on the ‘quality’ of governance and the level of effectiveness, efficiency and equity in resource generation, allocation and management. </w:t>
      </w:r>
    </w:p>
    <w:p w:rsidR="00CB76F4" w:rsidRDefault="00CB76F4" w:rsidP="00CB76F4">
      <w:pPr>
        <w:pStyle w:val="NormalWeb"/>
        <w:spacing w:before="0" w:beforeAutospacing="0" w:after="0" w:afterAutospacing="0"/>
        <w:jc w:val="both"/>
        <w:rPr>
          <w:rFonts w:ascii="Calibri" w:eastAsia="Calibri" w:hAnsi="Calibri"/>
          <w:sz w:val="22"/>
          <w:szCs w:val="22"/>
        </w:rPr>
      </w:pPr>
    </w:p>
    <w:p w:rsidR="00CB76F4" w:rsidRPr="00BF5742" w:rsidRDefault="00CB76F4" w:rsidP="00CB76F4">
      <w:pPr>
        <w:pStyle w:val="NormalWeb"/>
        <w:spacing w:before="0" w:beforeAutospacing="0" w:after="0" w:afterAutospacing="0"/>
        <w:jc w:val="both"/>
        <w:rPr>
          <w:rFonts w:ascii="Calibri" w:eastAsia="Calibri" w:hAnsi="Calibri"/>
          <w:sz w:val="22"/>
          <w:szCs w:val="22"/>
        </w:rPr>
      </w:pPr>
      <w:r w:rsidRPr="00BF5742">
        <w:rPr>
          <w:rFonts w:ascii="Calibri" w:eastAsia="Calibri" w:hAnsi="Calibri"/>
          <w:sz w:val="22"/>
          <w:szCs w:val="22"/>
        </w:rPr>
        <w:t>Under the UN framework Convention for Climate Change</w:t>
      </w:r>
      <w:r>
        <w:rPr>
          <w:rFonts w:ascii="Calibri" w:eastAsia="Calibri" w:hAnsi="Calibri"/>
          <w:sz w:val="22"/>
          <w:szCs w:val="22"/>
        </w:rPr>
        <w:t xml:space="preserve"> (UNFCCC)</w:t>
      </w:r>
      <w:r w:rsidRPr="00BF5742">
        <w:rPr>
          <w:rFonts w:ascii="Calibri" w:eastAsia="Calibri" w:hAnsi="Calibri"/>
          <w:sz w:val="22"/>
          <w:szCs w:val="22"/>
        </w:rPr>
        <w:t>, REDD+ (reducing emissions from deforestation and forest degradation in developing countries</w:t>
      </w:r>
      <w:r>
        <w:rPr>
          <w:rFonts w:ascii="Calibri" w:eastAsia="Calibri" w:hAnsi="Calibri"/>
          <w:sz w:val="22"/>
          <w:szCs w:val="22"/>
        </w:rPr>
        <w:t>, and the role of conservation, sustainable management of forest and enhancement of forest carbon stocks</w:t>
      </w:r>
      <w:r w:rsidRPr="00BF5742">
        <w:rPr>
          <w:rFonts w:ascii="Calibri" w:eastAsia="Calibri" w:hAnsi="Calibri"/>
          <w:sz w:val="22"/>
          <w:szCs w:val="22"/>
        </w:rPr>
        <w:t xml:space="preserve">) is an international financial mechanism that will compensate developing countries for cutting carbon emissions from their forest sector, through the conservation of standing forests and more sustainable forest activities. </w:t>
      </w:r>
      <w:r>
        <w:rPr>
          <w:rFonts w:ascii="Calibri" w:eastAsia="Calibri" w:hAnsi="Calibri"/>
          <w:sz w:val="22"/>
          <w:szCs w:val="22"/>
        </w:rPr>
        <w:t>REDD+ was first proposed as part of the UNFCCC Bali Action plan in 2007, and in December 2010 an agreement on a general REDD+ framework was reached by Parties to the UNFCCC in Cancun. Developing countries are getting ready for REDD+ with bilateral and multilateral support, including the UN-REDD Programme</w:t>
      </w:r>
      <w:r>
        <w:rPr>
          <w:rStyle w:val="FootnoteReference"/>
          <w:rFonts w:ascii="Calibri" w:eastAsia="Calibri" w:hAnsi="Calibri"/>
          <w:sz w:val="22"/>
          <w:szCs w:val="22"/>
        </w:rPr>
        <w:footnoteReference w:id="1"/>
      </w:r>
      <w:r>
        <w:rPr>
          <w:rFonts w:ascii="Calibri" w:eastAsia="Calibri" w:hAnsi="Calibri"/>
          <w:sz w:val="22"/>
          <w:szCs w:val="22"/>
        </w:rPr>
        <w:t xml:space="preserve">. </w:t>
      </w:r>
    </w:p>
    <w:p w:rsidR="00CB76F4" w:rsidRPr="008415A2" w:rsidRDefault="00CB76F4" w:rsidP="00CB76F4">
      <w:pPr>
        <w:spacing w:after="0" w:line="240" w:lineRule="auto"/>
        <w:jc w:val="both"/>
        <w:rPr>
          <w:lang w:val="en-US"/>
        </w:rPr>
      </w:pPr>
    </w:p>
    <w:p w:rsidR="00CB76F4" w:rsidRPr="008415A2" w:rsidRDefault="00CB76F4" w:rsidP="00CB76F4">
      <w:pPr>
        <w:spacing w:after="0" w:line="240" w:lineRule="auto"/>
        <w:jc w:val="both"/>
        <w:rPr>
          <w:lang w:val="en-US"/>
        </w:rPr>
      </w:pPr>
      <w:r w:rsidRPr="008415A2">
        <w:rPr>
          <w:lang w:val="en-US"/>
        </w:rPr>
        <w:t>While REDD+ is attracting momentum and interest, concerns are also being raised because REDD+ countries often face a number of governance challenges, inside and outside the forestry sector. The overall risks of corruption in REDD+, and possible mitigation measures for these risks, were examined during a workshop organized by UNDP with GTZ (now GIZ) at the 14</w:t>
      </w:r>
      <w:r w:rsidRPr="008415A2">
        <w:rPr>
          <w:vertAlign w:val="superscript"/>
          <w:lang w:val="en-US"/>
        </w:rPr>
        <w:t>th</w:t>
      </w:r>
      <w:r w:rsidRPr="008415A2">
        <w:rPr>
          <w:lang w:val="en-US"/>
        </w:rPr>
        <w:t xml:space="preserve"> International Anti-corruption Conference in Bangkok in November 2010. These risks and strategies were also detailed in a UNDP-commissioned report</w:t>
      </w:r>
      <w:r>
        <w:rPr>
          <w:rStyle w:val="FootnoteReference"/>
        </w:rPr>
        <w:footnoteReference w:id="2"/>
      </w:r>
      <w:r w:rsidRPr="008415A2">
        <w:rPr>
          <w:lang w:val="en-US"/>
        </w:rPr>
        <w:t xml:space="preserve"> in November 2010, and addressed in Transparency International’s Global Report on Corruption in Climate Change, among other reports. In 2011 the UN-REDD Programme, UNDP’s Global Programme on Anti-Corruption for Development Effectiveness (PACDE) and the Asia Pacific Regional Centre organized two regional workshops in Nepal and Thailand, targeting anti corruption and REDD+ practitioners, to raise awareness on the risks of corruption specifically associated with REDD+ in Asia and the Pacific countries and on tools and approaches to counter these risks. </w:t>
      </w:r>
    </w:p>
    <w:p w:rsidR="00CB76F4" w:rsidRPr="008415A2" w:rsidRDefault="00CB76F4" w:rsidP="00CB76F4">
      <w:pPr>
        <w:spacing w:after="0" w:line="240" w:lineRule="auto"/>
        <w:jc w:val="both"/>
        <w:rPr>
          <w:lang w:val="en-US"/>
        </w:rPr>
      </w:pPr>
    </w:p>
    <w:p w:rsidR="00CB76F4" w:rsidRPr="008415A2" w:rsidRDefault="00CB76F4" w:rsidP="00CB76F4">
      <w:pPr>
        <w:spacing w:after="0" w:line="240" w:lineRule="auto"/>
        <w:jc w:val="both"/>
        <w:rPr>
          <w:lang w:val="en-US"/>
        </w:rPr>
      </w:pPr>
      <w:r w:rsidRPr="008415A2">
        <w:rPr>
          <w:lang w:val="en-US"/>
        </w:rPr>
        <w:t>The UN-REDD Programme has integrated activities on anti-corruption as a core element of its five-year Programme Strategy</w:t>
      </w:r>
      <w:r>
        <w:rPr>
          <w:rStyle w:val="FootnoteReference"/>
        </w:rPr>
        <w:footnoteReference w:id="3"/>
      </w:r>
      <w:r w:rsidRPr="008415A2">
        <w:rPr>
          <w:lang w:val="en-US"/>
        </w:rPr>
        <w:t>, supported by its Global programme Framework Document 2011-2015</w:t>
      </w:r>
      <w:r>
        <w:rPr>
          <w:rStyle w:val="FootnoteReference"/>
        </w:rPr>
        <w:footnoteReference w:id="4"/>
      </w:r>
      <w:r w:rsidRPr="008415A2">
        <w:rPr>
          <w:lang w:val="en-US"/>
        </w:rPr>
        <w:t xml:space="preserve">, with UNDP the lead agency. These activities are implemented together with PACDE . They include guidance on institutional frameworks for equitable, transparent and accountable benefit distribution systems in REDD+; strengthening the integrity of fiduciary systems for receiving and disbursement of funds, coordinating anti-corruption activities at the national, regional and international level; and supporting the capacity of multiple stakeholders to jointly mitigate corruption risks. </w:t>
      </w:r>
    </w:p>
    <w:p w:rsidR="00CB76F4" w:rsidRPr="008415A2" w:rsidRDefault="00CB76F4" w:rsidP="00CB76F4">
      <w:pPr>
        <w:spacing w:after="0" w:line="240" w:lineRule="auto"/>
        <w:jc w:val="both"/>
        <w:rPr>
          <w:lang w:val="en-US"/>
        </w:rPr>
      </w:pPr>
    </w:p>
    <w:p w:rsidR="00CB76F4" w:rsidRPr="008415A2" w:rsidRDefault="00CB76F4" w:rsidP="00CB76F4">
      <w:pPr>
        <w:spacing w:after="0" w:line="240" w:lineRule="auto"/>
        <w:jc w:val="both"/>
        <w:rPr>
          <w:lang w:val="en-US"/>
        </w:rPr>
      </w:pPr>
      <w:r w:rsidRPr="008415A2">
        <w:rPr>
          <w:lang w:val="en-US"/>
        </w:rPr>
        <w:t>The UN-REDD Programme is supporting The Philippines through an initial national programme and a package of Targeted Support activities to be completed in 2012.  Under the UNDP component of the Targeted Support activities, the focus is on the development of anti-corruption measures.  This will build on activities and analyses already undertaken by the UN-REDD Programme in Asia-Pacific on this issue.  Since one of the objectives of the UN-REDD Programme is to learn lessons that may be more widely applicable, activities undertaken in The Philippines will be coordinated with similar activities in other countries in Asia/Pacific.</w:t>
      </w:r>
    </w:p>
    <w:p w:rsidR="00CB76F4" w:rsidRPr="008415A2" w:rsidRDefault="00CB76F4" w:rsidP="00CB76F4">
      <w:pPr>
        <w:spacing w:after="0" w:line="240" w:lineRule="auto"/>
        <w:ind w:left="360"/>
        <w:jc w:val="both"/>
        <w:rPr>
          <w:lang w:val="en-US"/>
        </w:rPr>
      </w:pPr>
    </w:p>
    <w:p w:rsidR="00CB76F4" w:rsidRPr="008415A2" w:rsidRDefault="00CB76F4" w:rsidP="00CB76F4">
      <w:pPr>
        <w:spacing w:after="0" w:line="240" w:lineRule="auto"/>
        <w:ind w:left="360"/>
        <w:jc w:val="both"/>
        <w:rPr>
          <w:lang w:val="en-US"/>
        </w:rPr>
      </w:pPr>
    </w:p>
    <w:p w:rsidR="00CB76F4" w:rsidRPr="00E94997" w:rsidRDefault="00CB76F4" w:rsidP="00CB76F4">
      <w:pPr>
        <w:pStyle w:val="ListParagraph"/>
        <w:numPr>
          <w:ilvl w:val="0"/>
          <w:numId w:val="10"/>
        </w:numPr>
        <w:ind w:left="360"/>
        <w:rPr>
          <w:b/>
        </w:rPr>
      </w:pPr>
      <w:r w:rsidRPr="00E94997">
        <w:rPr>
          <w:b/>
        </w:rPr>
        <w:t>Objective of consultancy</w:t>
      </w:r>
    </w:p>
    <w:p w:rsidR="00CB76F4" w:rsidRPr="006D292C" w:rsidRDefault="00CB76F4" w:rsidP="00CB76F4">
      <w:pPr>
        <w:pStyle w:val="Default"/>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lastRenderedPageBreak/>
        <w:t xml:space="preserve">The Objective of the consultancy is to develop proposals that will </w:t>
      </w:r>
      <w:r w:rsidRPr="006D292C">
        <w:rPr>
          <w:rFonts w:asciiTheme="minorHAnsi" w:hAnsiTheme="minorHAnsi" w:cstheme="minorHAnsi"/>
          <w:color w:val="000000" w:themeColor="text1"/>
          <w:sz w:val="22"/>
          <w:szCs w:val="22"/>
          <w:lang w:val="en-GB"/>
        </w:rPr>
        <w:t xml:space="preserve">ensure that the National REDD+ Strategy in </w:t>
      </w:r>
      <w:r>
        <w:rPr>
          <w:rFonts w:asciiTheme="minorHAnsi" w:hAnsiTheme="minorHAnsi" w:cstheme="minorHAnsi"/>
          <w:color w:val="000000" w:themeColor="text1"/>
          <w:sz w:val="22"/>
          <w:szCs w:val="22"/>
          <w:lang w:val="en-GB"/>
        </w:rPr>
        <w:t>The Philippines</w:t>
      </w:r>
      <w:r w:rsidRPr="006D292C">
        <w:rPr>
          <w:rFonts w:asciiTheme="minorHAnsi" w:hAnsiTheme="minorHAnsi" w:cstheme="minorHAnsi"/>
          <w:color w:val="000000" w:themeColor="text1"/>
          <w:sz w:val="22"/>
          <w:szCs w:val="22"/>
          <w:lang w:val="en-GB"/>
        </w:rPr>
        <w:t xml:space="preserve"> incorporates effective measures to address REDD+ corruption risks that fully reflect national and international requirements.</w:t>
      </w:r>
    </w:p>
    <w:p w:rsidR="00CB76F4" w:rsidRDefault="00CB76F4" w:rsidP="00CB76F4">
      <w:pPr>
        <w:pStyle w:val="Default"/>
        <w:jc w:val="both"/>
        <w:rPr>
          <w:rFonts w:asciiTheme="minorHAnsi" w:hAnsiTheme="minorHAnsi" w:cstheme="minorHAnsi"/>
          <w:color w:val="000000" w:themeColor="text1"/>
          <w:sz w:val="22"/>
          <w:szCs w:val="22"/>
          <w:lang w:val="en-GB"/>
        </w:rPr>
      </w:pPr>
    </w:p>
    <w:p w:rsidR="00CB76F4" w:rsidRDefault="00CB76F4" w:rsidP="00CB76F4">
      <w:pPr>
        <w:pStyle w:val="Default"/>
        <w:jc w:val="both"/>
        <w:rPr>
          <w:rFonts w:asciiTheme="minorHAnsi" w:hAnsiTheme="minorHAnsi" w:cstheme="minorHAnsi"/>
          <w:color w:val="000000" w:themeColor="text1"/>
          <w:sz w:val="22"/>
          <w:szCs w:val="22"/>
          <w:lang w:val="en-GB"/>
        </w:rPr>
      </w:pPr>
    </w:p>
    <w:p w:rsidR="00CB76F4" w:rsidRDefault="00CB76F4" w:rsidP="00CB76F4">
      <w:pPr>
        <w:pStyle w:val="ListParagraph"/>
        <w:numPr>
          <w:ilvl w:val="0"/>
          <w:numId w:val="10"/>
        </w:numPr>
        <w:ind w:left="270" w:hanging="270"/>
        <w:rPr>
          <w:b/>
        </w:rPr>
      </w:pPr>
      <w:r>
        <w:rPr>
          <w:b/>
        </w:rPr>
        <w:t>Tasks to be performed</w:t>
      </w:r>
    </w:p>
    <w:p w:rsidR="00CB76F4" w:rsidRDefault="00CB76F4" w:rsidP="00CB76F4">
      <w:pPr>
        <w:pStyle w:val="Default"/>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In order to achieve the stated Objective, the following indicative activities are anticipated:</w:t>
      </w:r>
    </w:p>
    <w:p w:rsidR="00CB76F4" w:rsidRDefault="00CB76F4" w:rsidP="00CB76F4">
      <w:pPr>
        <w:pStyle w:val="Default"/>
        <w:jc w:val="both"/>
        <w:rPr>
          <w:rFonts w:asciiTheme="minorHAnsi" w:hAnsiTheme="minorHAnsi" w:cstheme="minorHAnsi"/>
          <w:color w:val="000000" w:themeColor="text1"/>
          <w:sz w:val="22"/>
          <w:szCs w:val="22"/>
          <w:lang w:val="en-GB"/>
        </w:rPr>
      </w:pPr>
    </w:p>
    <w:p w:rsidR="00CB76F4" w:rsidRDefault="00CB76F4" w:rsidP="00CB76F4">
      <w:pPr>
        <w:pStyle w:val="ListParagraph"/>
        <w:numPr>
          <w:ilvl w:val="0"/>
          <w:numId w:val="6"/>
        </w:numPr>
        <w:jc w:val="both"/>
        <w:rPr>
          <w:rFonts w:cstheme="minorHAnsi"/>
        </w:rPr>
      </w:pPr>
      <w:r>
        <w:rPr>
          <w:rFonts w:cstheme="minorHAnsi"/>
        </w:rPr>
        <w:t xml:space="preserve">Work with the UN-REDD Regional Advisor, UNDP Regional Anti-Corruption Specialist and UNDP Global </w:t>
      </w:r>
      <w:r>
        <w:t xml:space="preserve">Specialist on anti-corruption and REDD+ </w:t>
      </w:r>
      <w:r>
        <w:rPr>
          <w:rFonts w:cstheme="minorHAnsi"/>
        </w:rPr>
        <w:t>to ensure coordination and methodological consistency of the activities undertaken in The Philippines with those undertaken in other countries so as to allow for comparative data and generate lessons from analyses undertaken in the Philippines;</w:t>
      </w:r>
    </w:p>
    <w:p w:rsidR="00CB76F4" w:rsidRDefault="00CB76F4" w:rsidP="00CB76F4">
      <w:pPr>
        <w:pStyle w:val="ListParagraph"/>
        <w:numPr>
          <w:ilvl w:val="0"/>
          <w:numId w:val="6"/>
        </w:numPr>
        <w:jc w:val="both"/>
        <w:rPr>
          <w:rFonts w:cstheme="minorHAnsi"/>
        </w:rPr>
      </w:pPr>
      <w:r>
        <w:rPr>
          <w:rFonts w:cstheme="minorHAnsi"/>
        </w:rPr>
        <w:t xml:space="preserve">Develop a contextualized corruption risk assessment methodology building on existing frameworks/tools including UN REDD programmes, TI’s Forest Governance Integrity Risk Assessment manual, etc. in consultation with the national UN REDD programme, GIZ, other partners, and the Philippines’ anti-corruption bodies.   </w:t>
      </w:r>
    </w:p>
    <w:p w:rsidR="00CB76F4" w:rsidRPr="000815D8" w:rsidRDefault="00CB76F4" w:rsidP="00CB76F4">
      <w:pPr>
        <w:pStyle w:val="ListParagraph"/>
        <w:numPr>
          <w:ilvl w:val="0"/>
          <w:numId w:val="6"/>
        </w:numPr>
        <w:jc w:val="both"/>
        <w:rPr>
          <w:rFonts w:cstheme="minorHAnsi"/>
        </w:rPr>
      </w:pPr>
      <w:r>
        <w:rPr>
          <w:rFonts w:cstheme="minorHAnsi"/>
        </w:rPr>
        <w:t>Plan and u</w:t>
      </w:r>
      <w:r w:rsidRPr="000815D8">
        <w:rPr>
          <w:rFonts w:cstheme="minorHAnsi"/>
        </w:rPr>
        <w:t xml:space="preserve">ndertake an assessment of corruption risks for REDD+ in </w:t>
      </w:r>
      <w:r>
        <w:rPr>
          <w:rFonts w:cstheme="minorHAnsi"/>
        </w:rPr>
        <w:t>The Philippines, with inputs from key forestry, REDD+ and anti-corruption practitioners in the country, including local communities living in forest areas</w:t>
      </w:r>
      <w:r w:rsidRPr="000815D8">
        <w:rPr>
          <w:rFonts w:cstheme="minorHAnsi"/>
        </w:rPr>
        <w:t>;</w:t>
      </w:r>
    </w:p>
    <w:p w:rsidR="00CB76F4" w:rsidRPr="000815D8" w:rsidRDefault="00CB76F4" w:rsidP="00CB76F4">
      <w:pPr>
        <w:pStyle w:val="ListParagraph"/>
        <w:numPr>
          <w:ilvl w:val="0"/>
          <w:numId w:val="6"/>
        </w:numPr>
        <w:jc w:val="both"/>
        <w:rPr>
          <w:rFonts w:cstheme="minorHAnsi"/>
        </w:rPr>
      </w:pPr>
      <w:r>
        <w:rPr>
          <w:iCs/>
        </w:rPr>
        <w:t>Prepare an initial report on corruption risks, including initial proposals for measures to mitigate those risks</w:t>
      </w:r>
      <w:r w:rsidRPr="000815D8">
        <w:rPr>
          <w:iCs/>
        </w:rPr>
        <w:t>;</w:t>
      </w:r>
    </w:p>
    <w:p w:rsidR="00CB76F4" w:rsidRPr="000D77BF" w:rsidRDefault="00CB76F4" w:rsidP="00CB76F4">
      <w:pPr>
        <w:pStyle w:val="ListParagraph"/>
        <w:numPr>
          <w:ilvl w:val="0"/>
          <w:numId w:val="6"/>
        </w:numPr>
        <w:jc w:val="both"/>
        <w:rPr>
          <w:rFonts w:cstheme="minorHAnsi"/>
        </w:rPr>
      </w:pPr>
      <w:r w:rsidRPr="000815D8">
        <w:rPr>
          <w:iCs/>
        </w:rPr>
        <w:t>Design and implement wide stakeholder consultation process</w:t>
      </w:r>
      <w:r>
        <w:rPr>
          <w:iCs/>
        </w:rPr>
        <w:t>, including a number of sub-national workshops (nominally three), leading to a national consultation workshop,</w:t>
      </w:r>
      <w:r w:rsidRPr="000815D8">
        <w:rPr>
          <w:iCs/>
        </w:rPr>
        <w:t xml:space="preserve"> to review and validate the results of the </w:t>
      </w:r>
      <w:r>
        <w:rPr>
          <w:iCs/>
        </w:rPr>
        <w:t xml:space="preserve">initial </w:t>
      </w:r>
      <w:r w:rsidRPr="000815D8">
        <w:rPr>
          <w:iCs/>
        </w:rPr>
        <w:t>assessment;</w:t>
      </w:r>
    </w:p>
    <w:p w:rsidR="00CB76F4" w:rsidRPr="000815D8" w:rsidRDefault="00CB76F4" w:rsidP="00CB76F4">
      <w:pPr>
        <w:pStyle w:val="ListParagraph"/>
        <w:numPr>
          <w:ilvl w:val="0"/>
          <w:numId w:val="6"/>
        </w:numPr>
        <w:jc w:val="both"/>
        <w:rPr>
          <w:rFonts w:cstheme="minorHAnsi"/>
        </w:rPr>
      </w:pPr>
      <w:r>
        <w:rPr>
          <w:rFonts w:cstheme="minorHAnsi"/>
        </w:rPr>
        <w:t>Based on results from the consultation, prepare a final report (for circulation to all stakeholders) that includes:  a prioritized list of corruption risks in REDD+ in The Philippines; proposed measures to mitigate the risks that have been identified as most likely and most detrimental in the short, medium and long term; a preliminary budget and identified responsibilities for implementation of those measures; and extracting lessons that may be applicable in other countries.</w:t>
      </w:r>
    </w:p>
    <w:p w:rsidR="00CB76F4" w:rsidRPr="008415A2" w:rsidRDefault="00CB76F4" w:rsidP="00CB76F4">
      <w:pPr>
        <w:spacing w:after="0" w:line="240" w:lineRule="auto"/>
        <w:rPr>
          <w:lang w:val="en-US"/>
        </w:rPr>
      </w:pPr>
    </w:p>
    <w:p w:rsidR="00CB76F4" w:rsidRDefault="00CB76F4" w:rsidP="00CB76F4">
      <w:pPr>
        <w:pStyle w:val="ListParagraph"/>
      </w:pPr>
    </w:p>
    <w:p w:rsidR="00CB76F4" w:rsidRDefault="00CB76F4" w:rsidP="00CB76F4">
      <w:pPr>
        <w:pStyle w:val="ListParagraph"/>
        <w:numPr>
          <w:ilvl w:val="0"/>
          <w:numId w:val="10"/>
        </w:numPr>
        <w:ind w:left="270" w:hanging="270"/>
        <w:jc w:val="both"/>
        <w:rPr>
          <w:b/>
        </w:rPr>
      </w:pPr>
      <w:r>
        <w:rPr>
          <w:b/>
        </w:rPr>
        <w:t>Output</w:t>
      </w:r>
    </w:p>
    <w:p w:rsidR="00CB76F4" w:rsidRPr="008415A2" w:rsidRDefault="00CB76F4" w:rsidP="00CB76F4">
      <w:pPr>
        <w:spacing w:after="0" w:line="240" w:lineRule="auto"/>
        <w:jc w:val="both"/>
        <w:rPr>
          <w:lang w:val="en-US"/>
        </w:rPr>
      </w:pPr>
      <w:r w:rsidRPr="008415A2">
        <w:rPr>
          <w:lang w:val="en-US"/>
        </w:rPr>
        <w:t>The outputs will consist of:</w:t>
      </w:r>
    </w:p>
    <w:p w:rsidR="00CB76F4" w:rsidRPr="008415A2" w:rsidRDefault="00CB76F4" w:rsidP="00CB76F4">
      <w:pPr>
        <w:spacing w:after="0" w:line="240" w:lineRule="auto"/>
        <w:jc w:val="both"/>
        <w:rPr>
          <w:lang w:val="en-US"/>
        </w:rPr>
      </w:pPr>
    </w:p>
    <w:p w:rsidR="00CB76F4" w:rsidRDefault="00CB76F4" w:rsidP="00CB76F4">
      <w:pPr>
        <w:pStyle w:val="ListParagraph"/>
        <w:numPr>
          <w:ilvl w:val="0"/>
          <w:numId w:val="11"/>
        </w:numPr>
        <w:jc w:val="both"/>
      </w:pPr>
      <w:r>
        <w:t>A preliminary report (under activity 3, above) to be used as the basis for broad consultation</w:t>
      </w:r>
    </w:p>
    <w:p w:rsidR="00CB76F4" w:rsidRPr="000D77BF" w:rsidRDefault="00CB76F4" w:rsidP="00CB76F4">
      <w:pPr>
        <w:pStyle w:val="ListParagraph"/>
        <w:numPr>
          <w:ilvl w:val="0"/>
          <w:numId w:val="11"/>
        </w:numPr>
        <w:jc w:val="both"/>
      </w:pPr>
      <w:r>
        <w:t xml:space="preserve">A final report, incorporating feedback generate through the consultation process, </w:t>
      </w:r>
      <w:r>
        <w:rPr>
          <w:rFonts w:cstheme="minorHAnsi"/>
        </w:rPr>
        <w:t>describing corruption risks, proposed measures to mitigate those risks; a preliminary budget for implementation of those measures; and extracting lessons that may be applicable in other countries.</w:t>
      </w:r>
    </w:p>
    <w:p w:rsidR="00CB76F4" w:rsidRPr="008415A2" w:rsidRDefault="00CB76F4" w:rsidP="00CB76F4">
      <w:pPr>
        <w:spacing w:after="0" w:line="240" w:lineRule="auto"/>
        <w:jc w:val="both"/>
        <w:rPr>
          <w:b/>
          <w:lang w:val="en-US"/>
        </w:rPr>
      </w:pPr>
    </w:p>
    <w:p w:rsidR="00CB76F4" w:rsidRPr="008415A2" w:rsidRDefault="00CB76F4" w:rsidP="00CB76F4">
      <w:pPr>
        <w:spacing w:after="0" w:line="240" w:lineRule="auto"/>
        <w:jc w:val="both"/>
        <w:rPr>
          <w:b/>
          <w:lang w:val="en-US"/>
        </w:rPr>
      </w:pPr>
    </w:p>
    <w:p w:rsidR="00CB76F4" w:rsidRDefault="00CB76F4" w:rsidP="00CB76F4">
      <w:pPr>
        <w:pStyle w:val="ListParagraph"/>
        <w:numPr>
          <w:ilvl w:val="0"/>
          <w:numId w:val="10"/>
        </w:numPr>
        <w:ind w:left="270" w:hanging="270"/>
        <w:jc w:val="both"/>
        <w:rPr>
          <w:b/>
        </w:rPr>
      </w:pPr>
      <w:r>
        <w:rPr>
          <w:b/>
        </w:rPr>
        <w:t>Duration and timing</w:t>
      </w:r>
    </w:p>
    <w:p w:rsidR="00CB76F4" w:rsidRPr="008415A2" w:rsidRDefault="00CB76F4" w:rsidP="00CB76F4">
      <w:pPr>
        <w:spacing w:after="0" w:line="240" w:lineRule="auto"/>
        <w:jc w:val="both"/>
        <w:rPr>
          <w:lang w:val="en-US"/>
        </w:rPr>
      </w:pPr>
      <w:r w:rsidRPr="008415A2">
        <w:rPr>
          <w:lang w:val="en-US"/>
        </w:rPr>
        <w:t>The national consultant will contribute 60 working days to this work, commencing in July, 2012.  The first output will be due after 35 working days, and the second output after 55 working days, with an additional 5 days for final revisions and other activities.</w:t>
      </w:r>
    </w:p>
    <w:p w:rsidR="00CB76F4" w:rsidRPr="008415A2" w:rsidRDefault="00CB76F4" w:rsidP="00CB76F4">
      <w:pPr>
        <w:spacing w:after="0" w:line="240" w:lineRule="auto"/>
        <w:jc w:val="both"/>
        <w:rPr>
          <w:lang w:val="en-US"/>
        </w:rPr>
      </w:pPr>
    </w:p>
    <w:p w:rsidR="00CB76F4" w:rsidRPr="008415A2" w:rsidRDefault="00CB76F4" w:rsidP="00CB76F4">
      <w:pPr>
        <w:spacing w:after="0" w:line="240" w:lineRule="auto"/>
        <w:jc w:val="both"/>
        <w:rPr>
          <w:lang w:val="en-US"/>
        </w:rPr>
      </w:pPr>
    </w:p>
    <w:p w:rsidR="00CB76F4" w:rsidRDefault="00CB76F4" w:rsidP="00CB76F4">
      <w:pPr>
        <w:pStyle w:val="ListParagraph"/>
        <w:numPr>
          <w:ilvl w:val="0"/>
          <w:numId w:val="10"/>
        </w:numPr>
        <w:ind w:left="270" w:hanging="270"/>
        <w:jc w:val="both"/>
        <w:rPr>
          <w:b/>
        </w:rPr>
      </w:pPr>
      <w:r>
        <w:rPr>
          <w:b/>
        </w:rPr>
        <w:t>Qualification</w:t>
      </w:r>
    </w:p>
    <w:p w:rsidR="00CB76F4" w:rsidRPr="008415A2" w:rsidRDefault="00CB76F4" w:rsidP="00CB76F4">
      <w:pPr>
        <w:spacing w:after="0" w:line="240" w:lineRule="auto"/>
        <w:jc w:val="both"/>
        <w:rPr>
          <w:lang w:val="en-US"/>
        </w:rPr>
      </w:pPr>
      <w:r w:rsidRPr="008415A2">
        <w:rPr>
          <w:lang w:val="en-US"/>
        </w:rPr>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preferably related to corruption, integrity, etc. in the environment sector is an asset.</w:t>
      </w:r>
    </w:p>
    <w:p w:rsidR="00BF547B" w:rsidRPr="003953A2" w:rsidRDefault="00BF547B" w:rsidP="00CB76F4">
      <w:pPr>
        <w:pStyle w:val="PlainText"/>
        <w:rPr>
          <w:rFonts w:asciiTheme="minorHAnsi" w:hAnsiTheme="minorHAnsi" w:cstheme="minorHAnsi"/>
          <w:sz w:val="20"/>
          <w:szCs w:val="20"/>
          <w:lang w:val="en-GB"/>
        </w:rPr>
      </w:pPr>
    </w:p>
    <w:p w:rsidR="00BF547B" w:rsidRDefault="00BF547B" w:rsidP="00CB76F4">
      <w:pPr>
        <w:pStyle w:val="PlainText"/>
        <w:ind w:left="360"/>
        <w:rPr>
          <w:rFonts w:asciiTheme="minorHAnsi" w:hAnsiTheme="minorHAnsi" w:cstheme="minorHAnsi"/>
          <w:sz w:val="24"/>
          <w:szCs w:val="24"/>
          <w:lang w:val="en-GB"/>
        </w:rPr>
      </w:pPr>
    </w:p>
    <w:p w:rsidR="00BF547B" w:rsidRDefault="00BF547B" w:rsidP="00CB76F4">
      <w:pPr>
        <w:pStyle w:val="PlainText"/>
        <w:ind w:left="360"/>
        <w:rPr>
          <w:rFonts w:asciiTheme="minorHAnsi" w:hAnsiTheme="minorHAnsi" w:cstheme="minorHAnsi"/>
          <w:sz w:val="24"/>
          <w:szCs w:val="24"/>
          <w:lang w:val="en-GB"/>
        </w:rPr>
      </w:pPr>
    </w:p>
    <w:p w:rsidR="00BF547B" w:rsidRDefault="00BF547B" w:rsidP="00CB76F4">
      <w:pPr>
        <w:pStyle w:val="PlainText"/>
        <w:ind w:left="360"/>
        <w:rPr>
          <w:rFonts w:asciiTheme="minorHAnsi" w:hAnsiTheme="minorHAnsi" w:cstheme="minorHAnsi"/>
          <w:sz w:val="24"/>
          <w:szCs w:val="24"/>
          <w:lang w:val="en-GB"/>
        </w:rPr>
      </w:pPr>
    </w:p>
    <w:p w:rsidR="006E3FA3" w:rsidRPr="005D1B21" w:rsidRDefault="006E3FA3" w:rsidP="00CB76F4">
      <w:pPr>
        <w:pStyle w:val="PlainText"/>
        <w:rPr>
          <w:rFonts w:asciiTheme="minorHAnsi" w:hAnsiTheme="minorHAnsi" w:cstheme="minorHAnsi"/>
          <w:sz w:val="24"/>
          <w:szCs w:val="24"/>
          <w:lang w:val="en-GB"/>
        </w:rPr>
      </w:pPr>
    </w:p>
    <w:sectPr w:rsidR="006E3FA3" w:rsidRPr="005D1B21" w:rsidSect="008A5F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3FF" w:rsidRDefault="000F73FF">
      <w:pPr>
        <w:spacing w:after="0" w:line="240" w:lineRule="auto"/>
      </w:pPr>
      <w:r>
        <w:separator/>
      </w:r>
    </w:p>
  </w:endnote>
  <w:endnote w:type="continuationSeparator" w:id="0">
    <w:p w:rsidR="000F73FF" w:rsidRDefault="000F7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3FF" w:rsidRDefault="000F73FF">
      <w:pPr>
        <w:spacing w:after="0" w:line="240" w:lineRule="auto"/>
      </w:pPr>
      <w:r>
        <w:separator/>
      </w:r>
    </w:p>
  </w:footnote>
  <w:footnote w:type="continuationSeparator" w:id="0">
    <w:p w:rsidR="000F73FF" w:rsidRDefault="000F73FF">
      <w:pPr>
        <w:spacing w:after="0" w:line="240" w:lineRule="auto"/>
      </w:pPr>
      <w:r>
        <w:continuationSeparator/>
      </w:r>
    </w:p>
  </w:footnote>
  <w:footnote w:id="1">
    <w:p w:rsidR="00CB76F4" w:rsidRPr="008415A2" w:rsidRDefault="00CB76F4" w:rsidP="00CB76F4">
      <w:pPr>
        <w:pStyle w:val="FootnoteText"/>
        <w:rPr>
          <w:sz w:val="18"/>
          <w:szCs w:val="18"/>
          <w:lang w:val="en-US"/>
        </w:rPr>
      </w:pPr>
      <w:r w:rsidRPr="00B92046">
        <w:rPr>
          <w:rStyle w:val="FootnoteReference"/>
          <w:sz w:val="18"/>
          <w:szCs w:val="18"/>
        </w:rPr>
        <w:footnoteRef/>
      </w:r>
      <w:r w:rsidRPr="008415A2">
        <w:rPr>
          <w:sz w:val="18"/>
          <w:szCs w:val="18"/>
          <w:lang w:val="en-US"/>
        </w:rPr>
        <w:t xml:space="preserve"> The UN-REDD Programme is a partnership of FAO, UNDP and UNEP, established in 2008. See www.un-redd.org</w:t>
      </w:r>
    </w:p>
  </w:footnote>
  <w:footnote w:id="2">
    <w:p w:rsidR="00CB76F4" w:rsidRPr="008415A2" w:rsidRDefault="00CB76F4" w:rsidP="00CB76F4">
      <w:pPr>
        <w:pStyle w:val="FootnoteText"/>
        <w:rPr>
          <w:sz w:val="18"/>
          <w:szCs w:val="18"/>
          <w:lang w:val="en-US"/>
        </w:rPr>
      </w:pPr>
      <w:r w:rsidRPr="00B92046">
        <w:rPr>
          <w:rStyle w:val="FootnoteReference"/>
          <w:sz w:val="18"/>
          <w:szCs w:val="18"/>
        </w:rPr>
        <w:footnoteRef/>
      </w:r>
      <w:r w:rsidRPr="008415A2">
        <w:rPr>
          <w:sz w:val="18"/>
          <w:szCs w:val="18"/>
          <w:lang w:val="en-US"/>
        </w:rPr>
        <w:t xml:space="preserve"> « Staying on Track : Tackling Corruption Risks in Climate Change”, UNDP, 2010. Available at http://www.unredd.net/index.php?option=com_docman&amp;task=doc_download&amp;gid=3790&amp;Itemid=53</w:t>
      </w:r>
    </w:p>
  </w:footnote>
  <w:footnote w:id="3">
    <w:p w:rsidR="00CB76F4" w:rsidRPr="008415A2" w:rsidRDefault="00CB76F4" w:rsidP="00CB76F4">
      <w:pPr>
        <w:pStyle w:val="FootnoteText"/>
        <w:rPr>
          <w:rFonts w:cstheme="minorHAnsi"/>
          <w:sz w:val="18"/>
          <w:szCs w:val="18"/>
          <w:lang w:val="en-US"/>
        </w:rPr>
      </w:pPr>
      <w:r w:rsidRPr="000D77BF">
        <w:rPr>
          <w:rStyle w:val="FootnoteReference"/>
          <w:rFonts w:cstheme="minorHAnsi"/>
          <w:sz w:val="18"/>
          <w:szCs w:val="18"/>
        </w:rPr>
        <w:footnoteRef/>
      </w:r>
      <w:r w:rsidRPr="008415A2">
        <w:rPr>
          <w:rFonts w:cstheme="minorHAnsi"/>
          <w:sz w:val="18"/>
          <w:szCs w:val="18"/>
          <w:lang w:val="en-US"/>
        </w:rPr>
        <w:t> </w:t>
      </w:r>
      <w:r w:rsidRPr="008415A2">
        <w:rPr>
          <w:rFonts w:cstheme="minorHAnsi"/>
          <w:sz w:val="18"/>
          <w:szCs w:val="18"/>
          <w:lang w:val="en-US"/>
        </w:rPr>
        <w:t>Five Year Strategy, UN-REDD Programme, 2011-2015. Available at  http://www.unredd.net/index.php?option=com_docman&amp;task=doc_download&amp;gid=4598&amp;Itemid=53</w:t>
      </w:r>
    </w:p>
  </w:footnote>
  <w:footnote w:id="4">
    <w:p w:rsidR="00CB76F4" w:rsidRPr="008415A2" w:rsidRDefault="00CB76F4" w:rsidP="00CB76F4">
      <w:pPr>
        <w:pStyle w:val="FootnoteText"/>
        <w:rPr>
          <w:rFonts w:cstheme="minorHAnsi"/>
          <w:sz w:val="18"/>
          <w:szCs w:val="18"/>
          <w:lang w:val="en-US"/>
        </w:rPr>
      </w:pPr>
      <w:r w:rsidRPr="000D77BF">
        <w:rPr>
          <w:rStyle w:val="FootnoteReference"/>
          <w:rFonts w:cstheme="minorHAnsi"/>
          <w:sz w:val="18"/>
          <w:szCs w:val="18"/>
        </w:rPr>
        <w:footnoteRef/>
      </w:r>
      <w:r w:rsidRPr="008415A2">
        <w:rPr>
          <w:rFonts w:cstheme="minorHAnsi"/>
          <w:sz w:val="18"/>
          <w:szCs w:val="18"/>
          <w:lang w:val="en-US"/>
        </w:rPr>
        <w:t xml:space="preserve"> « Support to National REDD+ Action : Global Programme Framework Document – 2011-2015 », UN-REDD Programme, 2011, Available at http://www.unredd.net/index.php?option=com_docman&amp;task=doc_download&amp;gid=5534&amp;Itemid=53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3180"/>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4"/>
  </w:num>
  <w:num w:numId="5">
    <w:abstractNumId w:val="10"/>
  </w:num>
  <w:num w:numId="6">
    <w:abstractNumId w:val="2"/>
  </w:num>
  <w:num w:numId="7">
    <w:abstractNumId w:val="0"/>
  </w:num>
  <w:num w:numId="8">
    <w:abstractNumId w:val="5"/>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3FA3"/>
    <w:rsid w:val="000338BD"/>
    <w:rsid w:val="000519D6"/>
    <w:rsid w:val="00057B4F"/>
    <w:rsid w:val="000714DE"/>
    <w:rsid w:val="000A29DD"/>
    <w:rsid w:val="000B3DE2"/>
    <w:rsid w:val="000C1E95"/>
    <w:rsid w:val="000E10CC"/>
    <w:rsid w:val="000E7661"/>
    <w:rsid w:val="000F73FF"/>
    <w:rsid w:val="001105B4"/>
    <w:rsid w:val="00140401"/>
    <w:rsid w:val="00157AF5"/>
    <w:rsid w:val="00195AA5"/>
    <w:rsid w:val="001C0DBB"/>
    <w:rsid w:val="002055ED"/>
    <w:rsid w:val="0020699A"/>
    <w:rsid w:val="00247C13"/>
    <w:rsid w:val="0026106F"/>
    <w:rsid w:val="00266333"/>
    <w:rsid w:val="00270A75"/>
    <w:rsid w:val="002735A0"/>
    <w:rsid w:val="002A57F8"/>
    <w:rsid w:val="002B6A2E"/>
    <w:rsid w:val="002D593E"/>
    <w:rsid w:val="00341614"/>
    <w:rsid w:val="00376BD7"/>
    <w:rsid w:val="003953A2"/>
    <w:rsid w:val="003C1E21"/>
    <w:rsid w:val="004113D1"/>
    <w:rsid w:val="00411F02"/>
    <w:rsid w:val="00413F2C"/>
    <w:rsid w:val="0048609C"/>
    <w:rsid w:val="004D0CA1"/>
    <w:rsid w:val="00505DE1"/>
    <w:rsid w:val="00513D45"/>
    <w:rsid w:val="00564B81"/>
    <w:rsid w:val="005951EA"/>
    <w:rsid w:val="005A10BD"/>
    <w:rsid w:val="005D1B21"/>
    <w:rsid w:val="005D483E"/>
    <w:rsid w:val="005D68A1"/>
    <w:rsid w:val="00615E6D"/>
    <w:rsid w:val="00681344"/>
    <w:rsid w:val="00693A77"/>
    <w:rsid w:val="006A1704"/>
    <w:rsid w:val="006D5ABB"/>
    <w:rsid w:val="006E3FA3"/>
    <w:rsid w:val="007025DF"/>
    <w:rsid w:val="00711349"/>
    <w:rsid w:val="00725C5D"/>
    <w:rsid w:val="00731C04"/>
    <w:rsid w:val="0077409A"/>
    <w:rsid w:val="007E084F"/>
    <w:rsid w:val="007F4DA2"/>
    <w:rsid w:val="008415A2"/>
    <w:rsid w:val="008A5FF6"/>
    <w:rsid w:val="009029A4"/>
    <w:rsid w:val="00904224"/>
    <w:rsid w:val="0094672A"/>
    <w:rsid w:val="009968F7"/>
    <w:rsid w:val="00996D21"/>
    <w:rsid w:val="009E63E9"/>
    <w:rsid w:val="009F763E"/>
    <w:rsid w:val="00A33B41"/>
    <w:rsid w:val="00A42328"/>
    <w:rsid w:val="00A92F36"/>
    <w:rsid w:val="00AA0950"/>
    <w:rsid w:val="00AA2694"/>
    <w:rsid w:val="00AB29D3"/>
    <w:rsid w:val="00B153EA"/>
    <w:rsid w:val="00B24D33"/>
    <w:rsid w:val="00BC3D96"/>
    <w:rsid w:val="00BF547B"/>
    <w:rsid w:val="00C16069"/>
    <w:rsid w:val="00C41F2C"/>
    <w:rsid w:val="00CB76F4"/>
    <w:rsid w:val="00CC00B4"/>
    <w:rsid w:val="00CC52CE"/>
    <w:rsid w:val="00CD5D75"/>
    <w:rsid w:val="00CE3CA4"/>
    <w:rsid w:val="00D90659"/>
    <w:rsid w:val="00DE4038"/>
    <w:rsid w:val="00E356FE"/>
    <w:rsid w:val="00E84A78"/>
    <w:rsid w:val="00EC4E43"/>
    <w:rsid w:val="00EF0F36"/>
    <w:rsid w:val="00F91BD6"/>
    <w:rsid w:val="00FA73EB"/>
    <w:rsid w:val="00FB6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customStyle="1" w:styleId="apple-converted-space">
    <w:name w:val="apple-converted-space"/>
    <w:basedOn w:val="DefaultParagraphFont"/>
    <w:rsid w:val="00AA2694"/>
  </w:style>
  <w:style w:type="character" w:customStyle="1" w:styleId="il">
    <w:name w:val="il"/>
    <w:basedOn w:val="DefaultParagraphFont"/>
    <w:rsid w:val="00AA2694"/>
  </w:style>
  <w:style w:type="paragraph" w:styleId="NormalWeb">
    <w:name w:val="Normal (Web)"/>
    <w:basedOn w:val="Normal"/>
    <w:uiPriority w:val="99"/>
    <w:semiHidden/>
    <w:unhideWhenUsed/>
    <w:rsid w:val="00AA2694"/>
    <w:pPr>
      <w:spacing w:before="100" w:beforeAutospacing="1" w:after="100" w:afterAutospacing="1" w:line="240" w:lineRule="auto"/>
    </w:pPr>
    <w:rPr>
      <w:rFonts w:ascii="Times New Roman" w:eastAsia="Times New Roman" w:hAnsi="Times New Roman" w:cs="Times New Roman"/>
      <w:noProof w:val="0"/>
      <w:sz w:val="24"/>
      <w:szCs w:val="24"/>
      <w:lang w:val="en-PH" w:eastAsia="en-PH"/>
    </w:rPr>
  </w:style>
  <w:style w:type="paragraph" w:styleId="NoSpacing">
    <w:name w:val="No Spacing"/>
    <w:uiPriority w:val="99"/>
    <w:qFormat/>
    <w:rsid w:val="00CB76F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customStyle="1" w:styleId="apple-converted-space">
    <w:name w:val="apple-converted-space"/>
    <w:basedOn w:val="DefaultParagraphFont"/>
    <w:rsid w:val="00AA2694"/>
  </w:style>
  <w:style w:type="character" w:customStyle="1" w:styleId="il">
    <w:name w:val="il"/>
    <w:basedOn w:val="DefaultParagraphFont"/>
    <w:rsid w:val="00AA2694"/>
  </w:style>
  <w:style w:type="paragraph" w:styleId="NormalWeb">
    <w:name w:val="Normal (Web)"/>
    <w:basedOn w:val="Normal"/>
    <w:uiPriority w:val="99"/>
    <w:semiHidden/>
    <w:unhideWhenUsed/>
    <w:rsid w:val="00AA2694"/>
    <w:pPr>
      <w:spacing w:before="100" w:beforeAutospacing="1" w:after="100" w:afterAutospacing="1" w:line="240" w:lineRule="auto"/>
    </w:pPr>
    <w:rPr>
      <w:rFonts w:ascii="Times New Roman" w:eastAsia="Times New Roman" w:hAnsi="Times New Roman" w:cs="Times New Roman"/>
      <w:noProof w:val="0"/>
      <w:sz w:val="24"/>
      <w:szCs w:val="24"/>
      <w:lang w:val="en-PH" w:eastAsia="en-PH"/>
    </w:rPr>
  </w:style>
</w:styles>
</file>

<file path=word/webSettings.xml><?xml version="1.0" encoding="utf-8"?>
<w:webSettings xmlns:r="http://schemas.openxmlformats.org/officeDocument/2006/relationships" xmlns:w="http://schemas.openxmlformats.org/wordprocessingml/2006/main">
  <w:divs>
    <w:div w:id="790169110">
      <w:bodyDiv w:val="1"/>
      <w:marLeft w:val="0"/>
      <w:marRight w:val="0"/>
      <w:marTop w:val="0"/>
      <w:marBottom w:val="0"/>
      <w:divBdr>
        <w:top w:val="none" w:sz="0" w:space="0" w:color="auto"/>
        <w:left w:val="none" w:sz="0" w:space="0" w:color="auto"/>
        <w:bottom w:val="none" w:sz="0" w:space="0" w:color="auto"/>
        <w:right w:val="none" w:sz="0" w:space="0" w:color="auto"/>
      </w:divBdr>
    </w:div>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nredd.net/index.php?option=com_docman&amp;task=cat_view&amp;gid=181&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65883-47D8-444C-BD78-6092CF97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2361</Words>
  <Characters>12986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Estelle Fach</cp:lastModifiedBy>
  <cp:revision>2</cp:revision>
  <dcterms:created xsi:type="dcterms:W3CDTF">2012-06-05T10:17:00Z</dcterms:created>
  <dcterms:modified xsi:type="dcterms:W3CDTF">2012-06-05T10:17:00Z</dcterms:modified>
</cp:coreProperties>
</file>