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59" w:rsidRDefault="007F6C24" w:rsidP="002C4959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6065EE">
        <w:rPr>
          <w:rFonts w:asciiTheme="minorHAnsi" w:hAnsiTheme="minorHAnsi" w:cstheme="minorHAnsi"/>
          <w:b/>
          <w:sz w:val="24"/>
          <w:szCs w:val="24"/>
        </w:rPr>
        <w:t xml:space="preserve">Request for Targeted </w:t>
      </w:r>
      <w:r w:rsidR="00762E92" w:rsidRPr="006065EE">
        <w:rPr>
          <w:rFonts w:asciiTheme="minorHAnsi" w:hAnsiTheme="minorHAnsi" w:cstheme="minorHAnsi"/>
          <w:b/>
          <w:sz w:val="24"/>
          <w:szCs w:val="24"/>
        </w:rPr>
        <w:t xml:space="preserve">Support: </w:t>
      </w:r>
      <w:r w:rsidR="002C4959">
        <w:rPr>
          <w:rFonts w:asciiTheme="minorHAnsi" w:hAnsiTheme="minorHAnsi" w:cstheme="minorHAnsi"/>
          <w:b/>
          <w:sz w:val="24"/>
          <w:szCs w:val="24"/>
        </w:rPr>
        <w:t>Developing</w:t>
      </w:r>
      <w:r w:rsidR="0075376F" w:rsidRPr="006065EE">
        <w:rPr>
          <w:rFonts w:asciiTheme="minorHAnsi" w:hAnsiTheme="minorHAnsi" w:cstheme="minorHAnsi"/>
          <w:b/>
          <w:sz w:val="24"/>
          <w:szCs w:val="24"/>
        </w:rPr>
        <w:t xml:space="preserve"> REDD+ Readiness </w:t>
      </w:r>
      <w:r w:rsidR="002C4959">
        <w:rPr>
          <w:rFonts w:asciiTheme="minorHAnsi" w:hAnsiTheme="minorHAnsi" w:cstheme="minorHAnsi"/>
          <w:b/>
          <w:sz w:val="24"/>
          <w:szCs w:val="24"/>
        </w:rPr>
        <w:t xml:space="preserve">in </w:t>
      </w:r>
      <w:r w:rsidR="00414EBF">
        <w:rPr>
          <w:rFonts w:asciiTheme="minorHAnsi" w:hAnsiTheme="minorHAnsi" w:cstheme="minorHAnsi"/>
          <w:b/>
          <w:sz w:val="24"/>
          <w:szCs w:val="24"/>
        </w:rPr>
        <w:t>Pakistan</w:t>
      </w:r>
      <w:r w:rsidR="0075376F" w:rsidRPr="006065EE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2C4959">
        <w:rPr>
          <w:rFonts w:asciiTheme="minorHAnsi" w:hAnsiTheme="minorHAnsi" w:cstheme="minorHAnsi"/>
          <w:b/>
          <w:sz w:val="24"/>
          <w:szCs w:val="24"/>
        </w:rPr>
        <w:t xml:space="preserve">Developing Options for </w:t>
      </w:r>
      <w:r w:rsidR="0075376F" w:rsidRPr="006065EE">
        <w:rPr>
          <w:rFonts w:asciiTheme="minorHAnsi" w:hAnsiTheme="minorHAnsi" w:cstheme="minorHAnsi"/>
          <w:b/>
          <w:sz w:val="24"/>
          <w:szCs w:val="24"/>
        </w:rPr>
        <w:t xml:space="preserve">Addressing </w:t>
      </w:r>
      <w:r w:rsidR="00414EBF">
        <w:rPr>
          <w:rFonts w:asciiTheme="minorHAnsi" w:hAnsiTheme="minorHAnsi" w:cstheme="minorHAnsi"/>
          <w:b/>
          <w:sz w:val="24"/>
          <w:szCs w:val="24"/>
        </w:rPr>
        <w:t>Social Impacts of REDD+</w:t>
      </w:r>
    </w:p>
    <w:p w:rsidR="007F6C24" w:rsidRPr="006065EE" w:rsidRDefault="00A17C9B" w:rsidP="002C4959">
      <w:pPr>
        <w:pStyle w:val="PlainText"/>
        <w:rPr>
          <w:rFonts w:cstheme="minorHAnsi"/>
          <w:b/>
          <w:sz w:val="24"/>
          <w:szCs w:val="24"/>
        </w:rPr>
      </w:pPr>
      <w:r w:rsidRPr="006065EE">
        <w:rPr>
          <w:rFonts w:cstheme="minorHAnsi"/>
          <w:b/>
          <w:sz w:val="24"/>
          <w:szCs w:val="24"/>
        </w:rPr>
        <w:t xml:space="preserve"> </w:t>
      </w:r>
    </w:p>
    <w:p w:rsidR="00AA341F" w:rsidRPr="006065EE" w:rsidRDefault="00AA341F" w:rsidP="00584245">
      <w:pPr>
        <w:spacing w:after="0"/>
        <w:jc w:val="both"/>
        <w:rPr>
          <w:rFonts w:cstheme="minorHAnsi"/>
          <w:b/>
          <w:lang w:val="en-US"/>
        </w:rPr>
      </w:pPr>
      <w:r w:rsidRPr="006065EE">
        <w:rPr>
          <w:rFonts w:cstheme="minorHAnsi"/>
          <w:b/>
          <w:lang w:val="en-US"/>
        </w:rPr>
        <w:t>Background</w:t>
      </w:r>
    </w:p>
    <w:p w:rsidR="00386E48" w:rsidRPr="0099260A" w:rsidRDefault="00386E48" w:rsidP="0099260A">
      <w:pPr>
        <w:spacing w:after="0"/>
        <w:jc w:val="both"/>
        <w:rPr>
          <w:rFonts w:eastAsia="Times New Roman" w:cstheme="minorHAnsi"/>
          <w:lang w:val="en-US" w:eastAsia="en-US"/>
        </w:rPr>
      </w:pPr>
      <w:r w:rsidRPr="00386E48">
        <w:rPr>
          <w:rFonts w:eastAsia="Times New Roman" w:cstheme="minorHAnsi"/>
          <w:lang w:val="en-US" w:eastAsia="en-US"/>
        </w:rPr>
        <w:t xml:space="preserve">Pakistan </w:t>
      </w:r>
      <w:r w:rsidRPr="0099260A">
        <w:rPr>
          <w:rFonts w:eastAsia="Times New Roman" w:cstheme="minorHAnsi"/>
          <w:lang w:val="en-US" w:eastAsia="en-US"/>
        </w:rPr>
        <w:t>covers an area of</w:t>
      </w:r>
      <w:r w:rsidRPr="00386E48">
        <w:rPr>
          <w:rFonts w:eastAsia="Times New Roman" w:cstheme="minorHAnsi"/>
          <w:lang w:val="en-US" w:eastAsia="en-US"/>
        </w:rPr>
        <w:t xml:space="preserve"> over 800 000 km</w:t>
      </w:r>
      <w:r w:rsidRPr="00386E48">
        <w:rPr>
          <w:rFonts w:eastAsia="Times New Roman" w:cstheme="minorHAnsi"/>
          <w:vertAlign w:val="superscript"/>
          <w:lang w:val="en-US" w:eastAsia="en-US"/>
        </w:rPr>
        <w:t>2</w:t>
      </w:r>
      <w:r w:rsidRPr="00386E48">
        <w:rPr>
          <w:rFonts w:eastAsia="Times New Roman" w:cstheme="minorHAnsi"/>
          <w:lang w:val="en-US" w:eastAsia="en-US"/>
        </w:rPr>
        <w:t xml:space="preserve"> between latitudes 24 and 27°N and longitudes 61 and 75°E</w:t>
      </w:r>
      <w:r w:rsidRPr="0099260A">
        <w:rPr>
          <w:rFonts w:eastAsia="Times New Roman" w:cstheme="minorHAnsi"/>
          <w:lang w:val="en-US" w:eastAsia="en-US"/>
        </w:rPr>
        <w:t>; the population is about 187 million</w:t>
      </w:r>
      <w:r w:rsidRPr="00386E48">
        <w:rPr>
          <w:rFonts w:eastAsia="Times New Roman" w:cstheme="minorHAnsi"/>
          <w:lang w:val="en-US" w:eastAsia="en-US"/>
        </w:rPr>
        <w:t>. The country can be divided into three main geographical regions:</w:t>
      </w:r>
    </w:p>
    <w:p w:rsidR="00386E48" w:rsidRPr="00386E48" w:rsidRDefault="00386E48" w:rsidP="0099260A">
      <w:pPr>
        <w:spacing w:after="0"/>
        <w:jc w:val="both"/>
        <w:rPr>
          <w:rFonts w:eastAsia="Times New Roman" w:cstheme="minorHAnsi"/>
          <w:lang w:val="en-US" w:eastAsia="en-US"/>
        </w:rPr>
      </w:pPr>
    </w:p>
    <w:p w:rsidR="00386E48" w:rsidRPr="00386E48" w:rsidRDefault="00386E48" w:rsidP="0099260A">
      <w:pPr>
        <w:numPr>
          <w:ilvl w:val="0"/>
          <w:numId w:val="10"/>
        </w:numPr>
        <w:spacing w:after="0"/>
        <w:ind w:left="724"/>
        <w:jc w:val="both"/>
        <w:rPr>
          <w:rFonts w:eastAsia="Times New Roman" w:cstheme="minorHAnsi"/>
          <w:lang w:val="en-US" w:eastAsia="en-US"/>
        </w:rPr>
      </w:pPr>
      <w:r w:rsidRPr="0099260A">
        <w:rPr>
          <w:rFonts w:eastAsia="Times New Roman" w:cstheme="minorHAnsi"/>
          <w:lang w:val="en-US" w:eastAsia="en-US"/>
        </w:rPr>
        <w:t>M</w:t>
      </w:r>
      <w:r w:rsidRPr="00386E48">
        <w:rPr>
          <w:rFonts w:eastAsia="Times New Roman" w:cstheme="minorHAnsi"/>
          <w:lang w:val="en-US" w:eastAsia="en-US"/>
        </w:rPr>
        <w:t xml:space="preserve">ountains occupy the northern and western parts of the country. The northern mountains are the termination of the great Himalayan range with a number of peaks well above 6 000 m permanently clad with snow. The </w:t>
      </w:r>
      <w:proofErr w:type="spellStart"/>
      <w:r w:rsidRPr="00386E48">
        <w:rPr>
          <w:rFonts w:eastAsia="Times New Roman" w:cstheme="minorHAnsi"/>
          <w:lang w:val="en-US" w:eastAsia="en-US"/>
        </w:rPr>
        <w:t>submountainous</w:t>
      </w:r>
      <w:proofErr w:type="spellEnd"/>
      <w:r w:rsidRPr="00386E48">
        <w:rPr>
          <w:rFonts w:eastAsia="Times New Roman" w:cstheme="minorHAnsi"/>
          <w:lang w:val="en-US" w:eastAsia="en-US"/>
        </w:rPr>
        <w:t xml:space="preserve"> areas are extensive, forming a number of plateaus and valleys. The western mountains are </w:t>
      </w:r>
      <w:r w:rsidRPr="0099260A">
        <w:rPr>
          <w:rFonts w:eastAsia="Times New Roman" w:cstheme="minorHAnsi"/>
          <w:lang w:val="en-US" w:eastAsia="en-US"/>
        </w:rPr>
        <w:t>lower</w:t>
      </w:r>
      <w:r w:rsidRPr="00386E48">
        <w:rPr>
          <w:rFonts w:eastAsia="Times New Roman" w:cstheme="minorHAnsi"/>
          <w:lang w:val="en-US" w:eastAsia="en-US"/>
        </w:rPr>
        <w:t xml:space="preserve"> and are associated with plateaus, semi arid valleys and plain land, most of which are unproductive;</w:t>
      </w:r>
    </w:p>
    <w:p w:rsidR="00386E48" w:rsidRPr="00386E48" w:rsidRDefault="00386E48" w:rsidP="0099260A">
      <w:pPr>
        <w:numPr>
          <w:ilvl w:val="0"/>
          <w:numId w:val="10"/>
        </w:numPr>
        <w:spacing w:after="0"/>
        <w:ind w:left="724"/>
        <w:jc w:val="both"/>
        <w:rPr>
          <w:rFonts w:eastAsia="Times New Roman" w:cstheme="minorHAnsi"/>
          <w:lang w:val="en-US" w:eastAsia="en-US"/>
        </w:rPr>
      </w:pPr>
      <w:r w:rsidRPr="00386E48">
        <w:rPr>
          <w:rFonts w:eastAsia="Times New Roman" w:cstheme="minorHAnsi"/>
          <w:lang w:val="en-US" w:eastAsia="en-US"/>
        </w:rPr>
        <w:t>The Indus plain is the western part of the indo-</w:t>
      </w:r>
      <w:proofErr w:type="spellStart"/>
      <w:r w:rsidRPr="00386E48">
        <w:rPr>
          <w:rFonts w:eastAsia="Times New Roman" w:cstheme="minorHAnsi"/>
          <w:lang w:val="en-US" w:eastAsia="en-US"/>
        </w:rPr>
        <w:t>gangetic</w:t>
      </w:r>
      <w:proofErr w:type="spellEnd"/>
      <w:r w:rsidRPr="00386E48">
        <w:rPr>
          <w:rFonts w:eastAsia="Times New Roman" w:cstheme="minorHAnsi"/>
          <w:lang w:val="en-US" w:eastAsia="en-US"/>
        </w:rPr>
        <w:t xml:space="preserve"> plain which forms one of the most prominent and extensive physiographic divisions of the subcontinent. The plain is formed by the large </w:t>
      </w:r>
      <w:proofErr w:type="spellStart"/>
      <w:r w:rsidRPr="00386E48">
        <w:rPr>
          <w:rFonts w:eastAsia="Times New Roman" w:cstheme="minorHAnsi"/>
          <w:lang w:val="en-US" w:eastAsia="en-US"/>
        </w:rPr>
        <w:t>quantitites</w:t>
      </w:r>
      <w:proofErr w:type="spellEnd"/>
      <w:r w:rsidRPr="00386E48">
        <w:rPr>
          <w:rFonts w:eastAsia="Times New Roman" w:cstheme="minorHAnsi"/>
          <w:lang w:val="en-US" w:eastAsia="en-US"/>
        </w:rPr>
        <w:t xml:space="preserve"> of alluvial material deposited since time immemorial by the Indus and several of its tributaries. The land is fertile and heavily populated;</w:t>
      </w:r>
    </w:p>
    <w:p w:rsidR="00386E48" w:rsidRPr="00386E48" w:rsidRDefault="0099260A" w:rsidP="0099260A">
      <w:pPr>
        <w:numPr>
          <w:ilvl w:val="0"/>
          <w:numId w:val="10"/>
        </w:numPr>
        <w:spacing w:after="0"/>
        <w:ind w:left="724"/>
        <w:jc w:val="both"/>
        <w:rPr>
          <w:rFonts w:eastAsia="Times New Roman" w:cstheme="minorHAnsi"/>
          <w:lang w:val="en-US" w:eastAsia="en-US"/>
        </w:rPr>
      </w:pPr>
      <w:r w:rsidRPr="00386E48">
        <w:rPr>
          <w:rFonts w:eastAsia="Times New Roman" w:cstheme="minorHAnsi"/>
          <w:lang w:val="en-US" w:eastAsia="en-US"/>
        </w:rPr>
        <w:t>The</w:t>
      </w:r>
      <w:r w:rsidR="00386E48" w:rsidRPr="00386E48">
        <w:rPr>
          <w:rFonts w:eastAsia="Times New Roman" w:cstheme="minorHAnsi"/>
          <w:lang w:val="en-US" w:eastAsia="en-US"/>
        </w:rPr>
        <w:t xml:space="preserve"> coastal zone is a narrow fringe bordering the Arabian Sea. It includes also the Indus delta, and the saline marshes of </w:t>
      </w:r>
      <w:proofErr w:type="spellStart"/>
      <w:r w:rsidR="00386E48" w:rsidRPr="00386E48">
        <w:rPr>
          <w:rFonts w:eastAsia="Times New Roman" w:cstheme="minorHAnsi"/>
          <w:lang w:val="en-US" w:eastAsia="en-US"/>
        </w:rPr>
        <w:t>Rann</w:t>
      </w:r>
      <w:proofErr w:type="spellEnd"/>
      <w:r w:rsidR="00386E48" w:rsidRPr="00386E48">
        <w:rPr>
          <w:rFonts w:eastAsia="Times New Roman" w:cstheme="minorHAnsi"/>
          <w:lang w:val="en-US" w:eastAsia="en-US"/>
        </w:rPr>
        <w:t xml:space="preserve"> of Kutch.</w:t>
      </w:r>
    </w:p>
    <w:p w:rsidR="00386E48" w:rsidRPr="0099260A" w:rsidRDefault="00386E48" w:rsidP="0099260A">
      <w:pPr>
        <w:spacing w:after="0"/>
        <w:jc w:val="both"/>
        <w:rPr>
          <w:rFonts w:eastAsia="Times New Roman" w:cstheme="minorHAnsi"/>
          <w:lang w:val="en-US" w:eastAsia="en-US"/>
        </w:rPr>
      </w:pPr>
    </w:p>
    <w:p w:rsidR="00386E48" w:rsidRPr="00386E48" w:rsidRDefault="00386E48" w:rsidP="0099260A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9260A">
        <w:rPr>
          <w:rFonts w:asciiTheme="minorHAnsi" w:hAnsiTheme="minorHAnsi" w:cstheme="minorHAnsi"/>
        </w:rPr>
        <w:t xml:space="preserve">Forest areas include mangrove forests </w:t>
      </w:r>
      <w:r w:rsidR="0099260A" w:rsidRPr="0099260A">
        <w:rPr>
          <w:rFonts w:asciiTheme="minorHAnsi" w:hAnsiTheme="minorHAnsi" w:cstheme="minorHAnsi"/>
        </w:rPr>
        <w:t xml:space="preserve">and coastal forests, </w:t>
      </w:r>
      <w:r w:rsidRPr="00386E48">
        <w:rPr>
          <w:rFonts w:asciiTheme="minorHAnsi" w:hAnsiTheme="minorHAnsi" w:cstheme="minorHAnsi"/>
        </w:rPr>
        <w:t>“upland hardwood forests” on mountains above 1 500 in small patches in shallow and moist depressions</w:t>
      </w:r>
      <w:r w:rsidR="0099260A" w:rsidRPr="0099260A">
        <w:rPr>
          <w:rFonts w:asciiTheme="minorHAnsi" w:hAnsiTheme="minorHAnsi" w:cstheme="minorHAnsi"/>
        </w:rPr>
        <w:t xml:space="preserve">, </w:t>
      </w:r>
      <w:r w:rsidR="0099260A" w:rsidRPr="00386E48">
        <w:rPr>
          <w:rFonts w:asciiTheme="minorHAnsi" w:hAnsiTheme="minorHAnsi" w:cstheme="minorHAnsi"/>
        </w:rPr>
        <w:t>dry</w:t>
      </w:r>
      <w:r w:rsidRPr="00386E48">
        <w:rPr>
          <w:rFonts w:asciiTheme="minorHAnsi" w:hAnsiTheme="minorHAnsi" w:cstheme="minorHAnsi"/>
        </w:rPr>
        <w:t xml:space="preserve"> temperate forests, between 1 800 m and 3 000 m west of the Indus, “</w:t>
      </w:r>
      <w:proofErr w:type="spellStart"/>
      <w:r w:rsidRPr="00386E48">
        <w:rPr>
          <w:rFonts w:asciiTheme="minorHAnsi" w:hAnsiTheme="minorHAnsi" w:cstheme="minorHAnsi"/>
        </w:rPr>
        <w:t>river</w:t>
      </w:r>
      <w:r w:rsidR="0099260A" w:rsidRPr="0099260A">
        <w:rPr>
          <w:rFonts w:asciiTheme="minorHAnsi" w:hAnsiTheme="minorHAnsi" w:cstheme="minorHAnsi"/>
        </w:rPr>
        <w:t>ine</w:t>
      </w:r>
      <w:proofErr w:type="spellEnd"/>
      <w:r w:rsidRPr="00386E48">
        <w:rPr>
          <w:rFonts w:asciiTheme="minorHAnsi" w:hAnsiTheme="minorHAnsi" w:cstheme="minorHAnsi"/>
        </w:rPr>
        <w:t xml:space="preserve"> forests” along the banks of the Indus and of other rivers, </w:t>
      </w:r>
      <w:proofErr w:type="gramStart"/>
      <w:r w:rsidRPr="00386E48">
        <w:rPr>
          <w:rFonts w:asciiTheme="minorHAnsi" w:hAnsiTheme="minorHAnsi" w:cstheme="minorHAnsi"/>
        </w:rPr>
        <w:t>coniferous</w:t>
      </w:r>
      <w:proofErr w:type="gramEnd"/>
      <w:r w:rsidRPr="00386E48">
        <w:rPr>
          <w:rFonts w:asciiTheme="minorHAnsi" w:hAnsiTheme="minorHAnsi" w:cstheme="minorHAnsi"/>
        </w:rPr>
        <w:t xml:space="preserve"> forests </w:t>
      </w:r>
      <w:r w:rsidR="0099260A" w:rsidRPr="0099260A">
        <w:rPr>
          <w:rFonts w:asciiTheme="minorHAnsi" w:hAnsiTheme="minorHAnsi" w:cstheme="minorHAnsi"/>
        </w:rPr>
        <w:t>-</w:t>
      </w:r>
      <w:r w:rsidRPr="00386E48">
        <w:rPr>
          <w:rFonts w:asciiTheme="minorHAnsi" w:hAnsiTheme="minorHAnsi" w:cstheme="minorHAnsi"/>
        </w:rPr>
        <w:t xml:space="preserve"> the most important commercial forests</w:t>
      </w:r>
      <w:r w:rsidR="0099260A" w:rsidRPr="0099260A">
        <w:rPr>
          <w:rFonts w:asciiTheme="minorHAnsi" w:hAnsiTheme="minorHAnsi" w:cstheme="minorHAnsi"/>
        </w:rPr>
        <w:t xml:space="preserve">, </w:t>
      </w:r>
      <w:proofErr w:type="spellStart"/>
      <w:r w:rsidR="0099260A" w:rsidRPr="0099260A">
        <w:rPr>
          <w:rFonts w:asciiTheme="minorHAnsi" w:hAnsiTheme="minorHAnsi" w:cstheme="minorHAnsi"/>
        </w:rPr>
        <w:t>x</w:t>
      </w:r>
      <w:r w:rsidRPr="00386E48">
        <w:rPr>
          <w:rFonts w:asciiTheme="minorHAnsi" w:hAnsiTheme="minorHAnsi" w:cstheme="minorHAnsi"/>
        </w:rPr>
        <w:t>erophytic</w:t>
      </w:r>
      <w:proofErr w:type="spellEnd"/>
      <w:r w:rsidRPr="00386E48">
        <w:rPr>
          <w:rFonts w:asciiTheme="minorHAnsi" w:hAnsiTheme="minorHAnsi" w:cstheme="minorHAnsi"/>
        </w:rPr>
        <w:t xml:space="preserve"> temperate forests</w:t>
      </w:r>
      <w:r w:rsidR="0099260A" w:rsidRPr="0099260A">
        <w:rPr>
          <w:rFonts w:asciiTheme="minorHAnsi" w:hAnsiTheme="minorHAnsi" w:cstheme="minorHAnsi"/>
        </w:rPr>
        <w:t xml:space="preserve">, and </w:t>
      </w:r>
      <w:r w:rsidRPr="00386E48">
        <w:rPr>
          <w:rFonts w:asciiTheme="minorHAnsi" w:hAnsiTheme="minorHAnsi" w:cstheme="minorHAnsi"/>
        </w:rPr>
        <w:t xml:space="preserve">“alpine forests” between 2 850 and 3 600 </w:t>
      </w:r>
      <w:proofErr w:type="spellStart"/>
      <w:r w:rsidRPr="00386E48">
        <w:rPr>
          <w:rFonts w:asciiTheme="minorHAnsi" w:hAnsiTheme="minorHAnsi" w:cstheme="minorHAnsi"/>
        </w:rPr>
        <w:t>metres</w:t>
      </w:r>
      <w:proofErr w:type="spellEnd"/>
      <w:r w:rsidR="0099260A" w:rsidRPr="0099260A">
        <w:rPr>
          <w:rFonts w:asciiTheme="minorHAnsi" w:hAnsiTheme="minorHAnsi" w:cstheme="minorHAnsi"/>
        </w:rPr>
        <w:t xml:space="preserve">.  </w:t>
      </w:r>
      <w:r w:rsidRPr="00386E48">
        <w:rPr>
          <w:rFonts w:asciiTheme="minorHAnsi" w:hAnsiTheme="minorHAnsi" w:cstheme="minorHAnsi"/>
        </w:rPr>
        <w:t xml:space="preserve"> </w:t>
      </w:r>
      <w:r w:rsidR="0099260A" w:rsidRPr="0099260A">
        <w:rPr>
          <w:rFonts w:asciiTheme="minorHAnsi" w:hAnsiTheme="minorHAnsi" w:cstheme="minorHAnsi"/>
        </w:rPr>
        <w:t>S</w:t>
      </w:r>
      <w:r w:rsidRPr="00386E48">
        <w:rPr>
          <w:rFonts w:asciiTheme="minorHAnsi" w:hAnsiTheme="minorHAnsi" w:cstheme="minorHAnsi"/>
        </w:rPr>
        <w:t xml:space="preserve">crub formations </w:t>
      </w:r>
      <w:r w:rsidR="0099260A" w:rsidRPr="0099260A">
        <w:rPr>
          <w:rFonts w:asciiTheme="minorHAnsi" w:hAnsiTheme="minorHAnsi" w:cstheme="minorHAnsi"/>
        </w:rPr>
        <w:t xml:space="preserve">include </w:t>
      </w:r>
      <w:r w:rsidRPr="00386E48">
        <w:rPr>
          <w:rFonts w:asciiTheme="minorHAnsi" w:hAnsiTheme="minorHAnsi" w:cstheme="minorHAnsi"/>
        </w:rPr>
        <w:t>“tropical thorn forests”</w:t>
      </w:r>
      <w:r w:rsidR="0099260A" w:rsidRPr="0099260A">
        <w:rPr>
          <w:rFonts w:asciiTheme="minorHAnsi" w:hAnsiTheme="minorHAnsi" w:cstheme="minorHAnsi"/>
        </w:rPr>
        <w:t xml:space="preserve">, </w:t>
      </w:r>
      <w:r w:rsidRPr="00386E48">
        <w:rPr>
          <w:rFonts w:asciiTheme="minorHAnsi" w:hAnsiTheme="minorHAnsi" w:cstheme="minorHAnsi"/>
        </w:rPr>
        <w:t>“subtropical dry evergreen forests”</w:t>
      </w:r>
      <w:r w:rsidR="0099260A" w:rsidRPr="0099260A">
        <w:rPr>
          <w:rFonts w:asciiTheme="minorHAnsi" w:hAnsiTheme="minorHAnsi" w:cstheme="minorHAnsi"/>
        </w:rPr>
        <w:t xml:space="preserve">, and </w:t>
      </w:r>
      <w:r w:rsidR="0099260A" w:rsidRPr="00386E48">
        <w:rPr>
          <w:rFonts w:asciiTheme="minorHAnsi" w:hAnsiTheme="minorHAnsi" w:cstheme="minorHAnsi"/>
        </w:rPr>
        <w:t>“</w:t>
      </w:r>
      <w:r w:rsidRPr="00386E48">
        <w:rPr>
          <w:rFonts w:asciiTheme="minorHAnsi" w:hAnsiTheme="minorHAnsi" w:cstheme="minorHAnsi"/>
        </w:rPr>
        <w:t>alpine scrub”.</w:t>
      </w:r>
      <w:r w:rsidR="0099260A">
        <w:rPr>
          <w:rFonts w:asciiTheme="minorHAnsi" w:hAnsiTheme="minorHAnsi" w:cstheme="minorHAnsi"/>
        </w:rPr>
        <w:t xml:space="preserve">  The total area of forest and scrub formations is about 3 million hectares.</w:t>
      </w:r>
    </w:p>
    <w:p w:rsidR="002C4959" w:rsidRPr="0099260A" w:rsidRDefault="002C4959" w:rsidP="0099260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353CEE" w:rsidRPr="00D6525F" w:rsidRDefault="00353CEE" w:rsidP="000815D8">
      <w:pPr>
        <w:spacing w:after="0"/>
        <w:jc w:val="both"/>
        <w:rPr>
          <w:rFonts w:cstheme="minorHAnsi"/>
          <w:b/>
          <w:lang w:val="en-US"/>
        </w:rPr>
      </w:pPr>
      <w:r w:rsidRPr="00D6525F">
        <w:rPr>
          <w:rFonts w:cstheme="minorHAnsi"/>
          <w:b/>
          <w:lang w:val="en-US"/>
        </w:rPr>
        <w:t>General Approach</w:t>
      </w:r>
    </w:p>
    <w:p w:rsidR="0099260A" w:rsidRPr="0099260A" w:rsidRDefault="0099260A" w:rsidP="008E5A9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n-US"/>
        </w:rPr>
      </w:pPr>
      <w:r w:rsidRPr="0099260A">
        <w:rPr>
          <w:rFonts w:cstheme="minorHAnsi"/>
          <w:color w:val="000000"/>
          <w:lang w:val="en-US"/>
        </w:rPr>
        <w:t xml:space="preserve">When Pakistan attained independence from British rule in 1947, the Forest Act 1927 was </w:t>
      </w:r>
      <w:r>
        <w:rPr>
          <w:rFonts w:cstheme="minorHAnsi"/>
          <w:color w:val="000000"/>
          <w:lang w:val="en-US"/>
        </w:rPr>
        <w:t xml:space="preserve">in </w:t>
      </w:r>
      <w:r w:rsidRPr="0099260A">
        <w:rPr>
          <w:rFonts w:cstheme="minorHAnsi"/>
          <w:color w:val="000000"/>
          <w:lang w:val="en-US"/>
        </w:rPr>
        <w:t xml:space="preserve">force </w:t>
      </w:r>
      <w:r>
        <w:rPr>
          <w:rFonts w:cstheme="minorHAnsi"/>
          <w:color w:val="000000"/>
          <w:lang w:val="en-US"/>
        </w:rPr>
        <w:t>over</w:t>
      </w:r>
      <w:r w:rsidRPr="0099260A">
        <w:rPr>
          <w:rFonts w:cstheme="minorHAnsi"/>
          <w:color w:val="000000"/>
          <w:lang w:val="en-US"/>
        </w:rPr>
        <w:t xml:space="preserve"> most of the country, including the NWFP. </w:t>
      </w:r>
      <w:r w:rsidR="00DD45C0">
        <w:rPr>
          <w:rFonts w:cstheme="minorHAnsi"/>
          <w:color w:val="000000"/>
          <w:lang w:val="en-US"/>
        </w:rPr>
        <w:t xml:space="preserve"> I</w:t>
      </w:r>
      <w:r w:rsidRPr="0099260A">
        <w:rPr>
          <w:rFonts w:cstheme="minorHAnsi"/>
          <w:color w:val="000000"/>
          <w:lang w:val="en-US"/>
        </w:rPr>
        <w:t>n 1974 the 1927 Act was extended to the Provincially</w:t>
      </w:r>
      <w:r w:rsidR="00DD45C0">
        <w:rPr>
          <w:rFonts w:cstheme="minorHAnsi"/>
          <w:color w:val="000000"/>
          <w:lang w:val="en-US"/>
        </w:rPr>
        <w:t xml:space="preserve"> </w:t>
      </w:r>
      <w:r w:rsidRPr="0099260A">
        <w:rPr>
          <w:rFonts w:cstheme="minorHAnsi"/>
          <w:color w:val="000000"/>
          <w:lang w:val="en-US"/>
        </w:rPr>
        <w:t xml:space="preserve">Administered Tribal Areas (PATA) of </w:t>
      </w:r>
      <w:proofErr w:type="spellStart"/>
      <w:r w:rsidRPr="0099260A">
        <w:rPr>
          <w:rFonts w:cstheme="minorHAnsi"/>
          <w:color w:val="000000"/>
          <w:lang w:val="en-US"/>
        </w:rPr>
        <w:t>Chitral</w:t>
      </w:r>
      <w:proofErr w:type="spellEnd"/>
      <w:r w:rsidRPr="0099260A">
        <w:rPr>
          <w:rFonts w:cstheme="minorHAnsi"/>
          <w:color w:val="000000"/>
          <w:lang w:val="en-US"/>
        </w:rPr>
        <w:t xml:space="preserve">, Dir, </w:t>
      </w:r>
      <w:proofErr w:type="spellStart"/>
      <w:r w:rsidRPr="0099260A">
        <w:rPr>
          <w:rFonts w:cstheme="minorHAnsi"/>
          <w:color w:val="000000"/>
          <w:lang w:val="en-US"/>
        </w:rPr>
        <w:t>Kalam</w:t>
      </w:r>
      <w:proofErr w:type="spellEnd"/>
      <w:r w:rsidRPr="0099260A">
        <w:rPr>
          <w:rFonts w:cstheme="minorHAnsi"/>
          <w:color w:val="000000"/>
          <w:lang w:val="en-US"/>
        </w:rPr>
        <w:t xml:space="preserve">, Swat and </w:t>
      </w:r>
      <w:proofErr w:type="spellStart"/>
      <w:r w:rsidRPr="0099260A">
        <w:rPr>
          <w:rFonts w:cstheme="minorHAnsi"/>
          <w:color w:val="000000"/>
          <w:lang w:val="en-US"/>
        </w:rPr>
        <w:t>Malakand</w:t>
      </w:r>
      <w:proofErr w:type="spellEnd"/>
      <w:r w:rsidRPr="0099260A">
        <w:rPr>
          <w:rFonts w:cstheme="minorHAnsi"/>
          <w:color w:val="000000"/>
          <w:lang w:val="en-US"/>
        </w:rPr>
        <w:t>. The 1927 Act does</w:t>
      </w:r>
      <w:r w:rsidR="00DD45C0">
        <w:rPr>
          <w:rFonts w:cstheme="minorHAnsi"/>
          <w:color w:val="000000"/>
          <w:lang w:val="en-US"/>
        </w:rPr>
        <w:t xml:space="preserve"> </w:t>
      </w:r>
      <w:r w:rsidRPr="0099260A">
        <w:rPr>
          <w:rFonts w:cstheme="minorHAnsi"/>
          <w:color w:val="000000"/>
          <w:lang w:val="en-US"/>
        </w:rPr>
        <w:t xml:space="preserve">not apply to the Federally Administered Tribal Areas (FATA) which </w:t>
      </w:r>
      <w:proofErr w:type="gramStart"/>
      <w:r w:rsidRPr="0099260A">
        <w:rPr>
          <w:rFonts w:cstheme="minorHAnsi"/>
          <w:color w:val="000000"/>
          <w:lang w:val="en-US"/>
        </w:rPr>
        <w:t>cover</w:t>
      </w:r>
      <w:proofErr w:type="gramEnd"/>
      <w:r w:rsidRPr="0099260A">
        <w:rPr>
          <w:rFonts w:cstheme="minorHAnsi"/>
          <w:color w:val="000000"/>
          <w:lang w:val="en-US"/>
        </w:rPr>
        <w:t xml:space="preserve"> 2.76 million hectares</w:t>
      </w:r>
      <w:r w:rsidR="00DD45C0">
        <w:rPr>
          <w:rFonts w:cstheme="minorHAnsi"/>
          <w:color w:val="000000"/>
          <w:lang w:val="en-US"/>
        </w:rPr>
        <w:t xml:space="preserve"> </w:t>
      </w:r>
      <w:r w:rsidRPr="0099260A">
        <w:rPr>
          <w:rFonts w:cstheme="minorHAnsi"/>
          <w:color w:val="000000"/>
          <w:lang w:val="en-US"/>
        </w:rPr>
        <w:t>along the country’s border with Afghanistan.</w:t>
      </w:r>
    </w:p>
    <w:p w:rsidR="00DD45C0" w:rsidRDefault="00DD45C0" w:rsidP="008E5A9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n-US"/>
        </w:rPr>
      </w:pPr>
    </w:p>
    <w:p w:rsidR="007E1288" w:rsidRDefault="0099260A" w:rsidP="008E5A9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n-US"/>
        </w:rPr>
      </w:pPr>
      <w:r w:rsidRPr="0099260A">
        <w:rPr>
          <w:rFonts w:cstheme="minorHAnsi"/>
          <w:color w:val="000000"/>
          <w:lang w:val="en-US"/>
        </w:rPr>
        <w:t xml:space="preserve">Since the subject of forests is not mentioned in either of the constitutional legislative lists, </w:t>
      </w:r>
      <w:r w:rsidR="00DD45C0">
        <w:rPr>
          <w:rFonts w:cstheme="minorHAnsi"/>
          <w:color w:val="000000"/>
          <w:lang w:val="en-US"/>
        </w:rPr>
        <w:t>f</w:t>
      </w:r>
      <w:r w:rsidRPr="0099260A">
        <w:rPr>
          <w:rFonts w:cstheme="minorHAnsi"/>
          <w:color w:val="000000"/>
          <w:lang w:val="en-US"/>
        </w:rPr>
        <w:t xml:space="preserve">orestry </w:t>
      </w:r>
      <w:r w:rsidR="00DD45C0">
        <w:rPr>
          <w:rFonts w:cstheme="minorHAnsi"/>
          <w:color w:val="000000"/>
          <w:lang w:val="en-US"/>
        </w:rPr>
        <w:t xml:space="preserve">is </w:t>
      </w:r>
      <w:r w:rsidRPr="0099260A">
        <w:rPr>
          <w:rFonts w:cstheme="minorHAnsi"/>
          <w:color w:val="000000"/>
          <w:lang w:val="en-US"/>
        </w:rPr>
        <w:t xml:space="preserve">an exclusively provincial subject. </w:t>
      </w:r>
      <w:r w:rsidR="00DD45C0">
        <w:rPr>
          <w:rFonts w:cstheme="minorHAnsi"/>
          <w:color w:val="000000"/>
          <w:lang w:val="en-US"/>
        </w:rPr>
        <w:t xml:space="preserve"> </w:t>
      </w:r>
      <w:r w:rsidRPr="0099260A">
        <w:rPr>
          <w:rFonts w:cstheme="minorHAnsi"/>
          <w:color w:val="000000"/>
          <w:lang w:val="en-US"/>
        </w:rPr>
        <w:t>Provincial assemblies</w:t>
      </w:r>
      <w:r w:rsidR="00DD45C0">
        <w:rPr>
          <w:rFonts w:cstheme="minorHAnsi"/>
          <w:color w:val="000000"/>
          <w:lang w:val="en-US"/>
        </w:rPr>
        <w:t xml:space="preserve"> </w:t>
      </w:r>
      <w:r w:rsidRPr="0099260A">
        <w:rPr>
          <w:rFonts w:cstheme="minorHAnsi"/>
          <w:color w:val="000000"/>
          <w:lang w:val="en-US"/>
        </w:rPr>
        <w:t>may amend the Forest Act 1927 or enact new forest laws for their respective provinces. In 2002,</w:t>
      </w:r>
      <w:r w:rsidR="00DD45C0">
        <w:rPr>
          <w:rFonts w:cstheme="minorHAnsi"/>
          <w:color w:val="000000"/>
          <w:lang w:val="en-US"/>
        </w:rPr>
        <w:t xml:space="preserve"> </w:t>
      </w:r>
      <w:r w:rsidRPr="0099260A">
        <w:rPr>
          <w:rFonts w:cstheme="minorHAnsi"/>
          <w:color w:val="000000"/>
          <w:lang w:val="en-US"/>
        </w:rPr>
        <w:t>the NWFP became the first province to reform its forest law. The NWFP Forest Ordinance 2002</w:t>
      </w:r>
      <w:r w:rsidR="00DD45C0">
        <w:rPr>
          <w:rFonts w:cstheme="minorHAnsi"/>
          <w:color w:val="000000"/>
          <w:lang w:val="en-US"/>
        </w:rPr>
        <w:t xml:space="preserve"> </w:t>
      </w:r>
      <w:r w:rsidRPr="0099260A">
        <w:rPr>
          <w:rFonts w:cstheme="minorHAnsi"/>
          <w:color w:val="000000"/>
          <w:lang w:val="en-US"/>
        </w:rPr>
        <w:t>repealed the 1927 Forest Act in its application to the NWFP</w:t>
      </w:r>
      <w:r w:rsidR="00DD45C0">
        <w:rPr>
          <w:rFonts w:cstheme="minorHAnsi"/>
          <w:color w:val="000000"/>
          <w:lang w:val="en-US"/>
        </w:rPr>
        <w:t>, but a</w:t>
      </w:r>
      <w:r w:rsidRPr="0099260A">
        <w:rPr>
          <w:rFonts w:cstheme="minorHAnsi"/>
          <w:color w:val="000000"/>
          <w:lang w:val="en-US"/>
        </w:rPr>
        <w:t>ll rules and notifications issued under the repealed laws remain in force to</w:t>
      </w:r>
      <w:r w:rsidR="00DD45C0">
        <w:rPr>
          <w:rFonts w:cstheme="minorHAnsi"/>
          <w:color w:val="000000"/>
          <w:lang w:val="en-US"/>
        </w:rPr>
        <w:t xml:space="preserve"> </w:t>
      </w:r>
      <w:r w:rsidRPr="0099260A">
        <w:rPr>
          <w:rFonts w:cstheme="minorHAnsi"/>
          <w:color w:val="000000"/>
          <w:lang w:val="en-US"/>
        </w:rPr>
        <w:t>the extent that they are consistent with the 2002 Ordinance.</w:t>
      </w:r>
    </w:p>
    <w:p w:rsidR="00DD45C0" w:rsidRPr="0099260A" w:rsidRDefault="00DD45C0" w:rsidP="008E5A9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2C4959" w:rsidRPr="00401755" w:rsidRDefault="008E5A9B" w:rsidP="00401755">
      <w:pPr>
        <w:spacing w:after="0"/>
        <w:jc w:val="both"/>
        <w:rPr>
          <w:rFonts w:cstheme="minorHAnsi"/>
        </w:rPr>
      </w:pPr>
      <w:r>
        <w:lastRenderedPageBreak/>
        <w:t xml:space="preserve">Recognizing the importance of effective social safeguards for REDD+, a National Consultative Workshop on “Social and Environmental Principles and Criteria for REDD+ Safeguards” held on January 12, 2012 at Islamabad, inaugurated by the Mr. Mohammad </w:t>
      </w:r>
      <w:proofErr w:type="spellStart"/>
      <w:r>
        <w:t>Javed</w:t>
      </w:r>
      <w:proofErr w:type="spellEnd"/>
      <w:r>
        <w:t xml:space="preserve"> </w:t>
      </w:r>
      <w:proofErr w:type="spellStart"/>
      <w:r>
        <w:t>Malik</w:t>
      </w:r>
      <w:proofErr w:type="spellEnd"/>
      <w:r>
        <w:t xml:space="preserve">, Federal Secretary, </w:t>
      </w:r>
      <w:proofErr w:type="gramStart"/>
      <w:r>
        <w:t>Ministry</w:t>
      </w:r>
      <w:proofErr w:type="gramEnd"/>
      <w:r>
        <w:t xml:space="preserve"> of National Disaster Management. The workshop was attended all the major stakeholders from all over Pakistan and generated both initial ideas on social safeguards for REDD+ and considerable interest among diverse stakeholders to develop these ideas further. </w:t>
      </w:r>
      <w:r w:rsidR="002C4959" w:rsidRPr="00401755">
        <w:rPr>
          <w:rFonts w:cstheme="minorHAnsi"/>
        </w:rPr>
        <w:t xml:space="preserve">Consequently, </w:t>
      </w:r>
      <w:r>
        <w:rPr>
          <w:rFonts w:cstheme="minorHAnsi"/>
        </w:rPr>
        <w:t>Pakistan</w:t>
      </w:r>
      <w:r w:rsidR="002C4959" w:rsidRPr="00401755">
        <w:rPr>
          <w:rFonts w:cstheme="minorHAnsi"/>
        </w:rPr>
        <w:t xml:space="preserve"> is requesting targeted support to ensure that </w:t>
      </w:r>
      <w:r>
        <w:rPr>
          <w:rFonts w:cstheme="minorHAnsi"/>
        </w:rPr>
        <w:t>potential social impacts of REDD+ are assessed and the information is used to develop a comprehensive system of social safeguards for REDD+</w:t>
      </w:r>
      <w:r w:rsidR="00401755" w:rsidRPr="00401755">
        <w:rPr>
          <w:rFonts w:cstheme="minorHAnsi"/>
        </w:rPr>
        <w:t>.</w:t>
      </w:r>
    </w:p>
    <w:p w:rsidR="008909E9" w:rsidRPr="00401755" w:rsidRDefault="008909E9" w:rsidP="00584245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:rsidR="008E5A9B" w:rsidRPr="008E5A9B" w:rsidRDefault="008E5A9B" w:rsidP="008E5A9B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Objective </w:t>
      </w:r>
    </w:p>
    <w:p w:rsidR="008E5A9B" w:rsidRPr="008E5A9B" w:rsidRDefault="008E5A9B" w:rsidP="008E5A9B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8E5A9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The Objective of the proposed targeted support is “</w:t>
      </w:r>
      <w:r w:rsidRPr="008E5A9B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n-GB"/>
        </w:rPr>
        <w:t xml:space="preserve">to </w:t>
      </w:r>
      <w:r w:rsidRPr="008E5A9B">
        <w:rPr>
          <w:rFonts w:asciiTheme="minorHAnsi" w:hAnsiTheme="minorHAnsi" w:cstheme="minorHAnsi"/>
          <w:b/>
          <w:i/>
          <w:iCs/>
          <w:sz w:val="22"/>
          <w:szCs w:val="22"/>
        </w:rPr>
        <w:t>integrate social principles risk assessment into wide stakeholder engagement and governance capacity strengthening processes, and develop safeguard principles and social benefit impact assessment in Pakistan</w:t>
      </w:r>
      <w:r w:rsidRPr="008E5A9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”.</w:t>
      </w:r>
    </w:p>
    <w:p w:rsidR="008E5A9B" w:rsidRPr="008E5A9B" w:rsidRDefault="008E5A9B" w:rsidP="008E5A9B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:rsidR="008E5A9B" w:rsidRPr="008909E9" w:rsidRDefault="008E5A9B" w:rsidP="008E5A9B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</w:pPr>
      <w:r w:rsidRPr="008909E9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Activities</w:t>
      </w:r>
    </w:p>
    <w:p w:rsidR="008E5A9B" w:rsidRDefault="008E5A9B" w:rsidP="008E5A9B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In order to achieve the stated Objective, the following indicative activities are anticipated:</w:t>
      </w:r>
    </w:p>
    <w:p w:rsidR="008E5A9B" w:rsidRDefault="008E5A9B" w:rsidP="008E5A9B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:rsidR="008E5A9B" w:rsidRPr="000815D8" w:rsidRDefault="008E5A9B" w:rsidP="008E5A9B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lang w:val="en-US"/>
        </w:rPr>
      </w:pPr>
      <w:r w:rsidRPr="000815D8">
        <w:rPr>
          <w:iCs/>
        </w:rPr>
        <w:t>Undertake a social principles risk assessment and multiple benefits impact assessment;</w:t>
      </w:r>
    </w:p>
    <w:p w:rsidR="008E5A9B" w:rsidRPr="000815D8" w:rsidRDefault="008E5A9B" w:rsidP="008E5A9B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lang w:val="en-US"/>
        </w:rPr>
      </w:pPr>
      <w:r w:rsidRPr="000815D8">
        <w:rPr>
          <w:iCs/>
        </w:rPr>
        <w:t>Design and implement wide stakeholder consultation process to review and validate the results of the</w:t>
      </w:r>
      <w:r>
        <w:rPr>
          <w:iCs/>
        </w:rPr>
        <w:t xml:space="preserve"> assessment undertaken under 1</w:t>
      </w:r>
      <w:r w:rsidRPr="000815D8">
        <w:rPr>
          <w:iCs/>
        </w:rPr>
        <w:t>, above;</w:t>
      </w:r>
    </w:p>
    <w:p w:rsidR="008E5A9B" w:rsidRPr="008E5A9B" w:rsidRDefault="008E5A9B" w:rsidP="008E5A9B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lang w:val="en-US"/>
        </w:rPr>
      </w:pPr>
      <w:r w:rsidRPr="008E5A9B">
        <w:rPr>
          <w:iCs/>
        </w:rPr>
        <w:t>Design a governance capacity strengthening process in order to design social safeguard principles</w:t>
      </w:r>
      <w:r w:rsidRPr="008E5A9B">
        <w:rPr>
          <w:rFonts w:cstheme="minorHAnsi"/>
          <w:lang w:val="en-US"/>
        </w:rPr>
        <w:t>.</w:t>
      </w:r>
    </w:p>
    <w:p w:rsidR="008E5A9B" w:rsidRDefault="008E5A9B" w:rsidP="008E5A9B">
      <w:pPr>
        <w:spacing w:after="0"/>
        <w:jc w:val="both"/>
        <w:rPr>
          <w:rFonts w:cstheme="minorHAnsi"/>
          <w:b/>
          <w:lang w:val="en-US"/>
        </w:rPr>
      </w:pPr>
    </w:p>
    <w:p w:rsidR="008E5A9B" w:rsidRPr="006065EE" w:rsidRDefault="008E5A9B" w:rsidP="008E5A9B">
      <w:pPr>
        <w:spacing w:after="0"/>
        <w:jc w:val="both"/>
        <w:rPr>
          <w:rFonts w:cstheme="minorHAnsi"/>
          <w:b/>
          <w:lang w:val="en-US"/>
        </w:rPr>
      </w:pPr>
      <w:r w:rsidRPr="006065EE">
        <w:rPr>
          <w:rFonts w:cstheme="minorHAnsi"/>
          <w:b/>
          <w:lang w:val="en-US"/>
        </w:rPr>
        <w:t>Budget</w:t>
      </w:r>
    </w:p>
    <w:p w:rsidR="008E5A9B" w:rsidRDefault="008E5A9B" w:rsidP="008E5A9B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total budget for these activities is estimated at $110,000 for the</w:t>
      </w:r>
      <w:r w:rsidRPr="006065EE">
        <w:rPr>
          <w:rFonts w:cstheme="minorHAnsi"/>
          <w:lang w:val="en-US"/>
        </w:rPr>
        <w:t xml:space="preserve"> described </w:t>
      </w:r>
      <w:r>
        <w:rPr>
          <w:rFonts w:cstheme="minorHAnsi"/>
          <w:lang w:val="en-US"/>
        </w:rPr>
        <w:t>activities, to be implemented</w:t>
      </w:r>
      <w:r w:rsidRPr="006065EE">
        <w:rPr>
          <w:rFonts w:cstheme="minorHAnsi"/>
          <w:lang w:val="en-US"/>
        </w:rPr>
        <w:t xml:space="preserve"> over a period of one year</w:t>
      </w:r>
      <w:r>
        <w:rPr>
          <w:rFonts w:cstheme="minorHAnsi"/>
          <w:lang w:val="en-US"/>
        </w:rPr>
        <w:t>, broken down as follows:</w:t>
      </w:r>
    </w:p>
    <w:p w:rsidR="008E5A9B" w:rsidRDefault="008E5A9B" w:rsidP="008E5A9B">
      <w:pPr>
        <w:spacing w:after="0"/>
        <w:jc w:val="both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1440"/>
        <w:gridCol w:w="2160"/>
        <w:gridCol w:w="1080"/>
        <w:gridCol w:w="1260"/>
        <w:gridCol w:w="1170"/>
      </w:tblGrid>
      <w:tr w:rsidR="008E5A9B">
        <w:tc>
          <w:tcPr>
            <w:tcW w:w="2448" w:type="dxa"/>
          </w:tcPr>
          <w:p w:rsidR="008E5A9B" w:rsidRPr="000815D8" w:rsidRDefault="008E5A9B" w:rsidP="00A64B2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815D8">
              <w:rPr>
                <w:rFonts w:cstheme="minorHAnsi"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1440" w:type="dxa"/>
          </w:tcPr>
          <w:p w:rsidR="008E5A9B" w:rsidRPr="000815D8" w:rsidRDefault="008E5A9B" w:rsidP="00A64B2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15D8">
              <w:rPr>
                <w:rFonts w:cstheme="minorHAnsi"/>
                <w:color w:val="000000"/>
                <w:sz w:val="20"/>
                <w:szCs w:val="20"/>
              </w:rPr>
              <w:t>Personnel</w:t>
            </w:r>
          </w:p>
        </w:tc>
        <w:tc>
          <w:tcPr>
            <w:tcW w:w="2160" w:type="dxa"/>
          </w:tcPr>
          <w:p w:rsidR="008E5A9B" w:rsidRPr="000815D8" w:rsidRDefault="008E5A9B" w:rsidP="00A64B2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15D8">
              <w:rPr>
                <w:rFonts w:cstheme="minorHAnsi"/>
                <w:color w:val="000000"/>
                <w:sz w:val="20"/>
                <w:szCs w:val="20"/>
              </w:rPr>
              <w:t>Supplies, commodities, equipment and transport</w:t>
            </w:r>
          </w:p>
        </w:tc>
        <w:tc>
          <w:tcPr>
            <w:tcW w:w="1080" w:type="dxa"/>
          </w:tcPr>
          <w:p w:rsidR="008E5A9B" w:rsidRPr="000815D8" w:rsidRDefault="008E5A9B" w:rsidP="00A64B2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15D8">
              <w:rPr>
                <w:rFonts w:cstheme="minorHAnsi"/>
                <w:color w:val="000000"/>
                <w:sz w:val="20"/>
                <w:szCs w:val="20"/>
              </w:rPr>
              <w:t>Contracts</w:t>
            </w:r>
          </w:p>
        </w:tc>
        <w:tc>
          <w:tcPr>
            <w:tcW w:w="1260" w:type="dxa"/>
          </w:tcPr>
          <w:p w:rsidR="008E5A9B" w:rsidRPr="000815D8" w:rsidRDefault="008E5A9B" w:rsidP="00A64B2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815D8">
              <w:rPr>
                <w:rFonts w:cstheme="minorHAnsi"/>
                <w:sz w:val="20"/>
                <w:szCs w:val="20"/>
                <w:lang w:val="en-US"/>
              </w:rPr>
              <w:t>Other direct costs</w:t>
            </w:r>
          </w:p>
        </w:tc>
        <w:tc>
          <w:tcPr>
            <w:tcW w:w="1170" w:type="dxa"/>
          </w:tcPr>
          <w:p w:rsidR="008E5A9B" w:rsidRPr="000815D8" w:rsidRDefault="008E5A9B" w:rsidP="00A64B2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TOTAL</w:t>
            </w:r>
          </w:p>
        </w:tc>
      </w:tr>
      <w:tr w:rsidR="008E5A9B">
        <w:tc>
          <w:tcPr>
            <w:tcW w:w="2448" w:type="dxa"/>
          </w:tcPr>
          <w:p w:rsidR="008E5A9B" w:rsidRPr="000815D8" w:rsidRDefault="008E5A9B" w:rsidP="00A64B2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</w:t>
            </w:r>
            <w:r w:rsidRPr="000815D8">
              <w:rPr>
                <w:iCs/>
                <w:sz w:val="20"/>
                <w:szCs w:val="20"/>
              </w:rPr>
              <w:t xml:space="preserve">ocial principles risk assessment </w:t>
            </w:r>
          </w:p>
        </w:tc>
        <w:tc>
          <w:tcPr>
            <w:tcW w:w="1440" w:type="dxa"/>
            <w:vAlign w:val="center"/>
          </w:tcPr>
          <w:p w:rsidR="008E5A9B" w:rsidRPr="00584245" w:rsidRDefault="008E5A9B" w:rsidP="00A64B25">
            <w:pPr>
              <w:ind w:right="252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84245">
              <w:rPr>
                <w:rFonts w:cstheme="minorHAnsi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2160" w:type="dxa"/>
            <w:vAlign w:val="center"/>
          </w:tcPr>
          <w:p w:rsidR="008E5A9B" w:rsidRPr="00584245" w:rsidRDefault="008E5A9B" w:rsidP="00A64B25">
            <w:pPr>
              <w:ind w:right="252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584245">
              <w:rPr>
                <w:rFonts w:cstheme="minorHAnsi"/>
                <w:sz w:val="20"/>
                <w:szCs w:val="20"/>
                <w:lang w:val="en-US"/>
              </w:rPr>
              <w:t>5,000</w:t>
            </w:r>
          </w:p>
        </w:tc>
        <w:tc>
          <w:tcPr>
            <w:tcW w:w="1080" w:type="dxa"/>
            <w:vAlign w:val="center"/>
          </w:tcPr>
          <w:p w:rsidR="008E5A9B" w:rsidRPr="00584245" w:rsidRDefault="008E5A9B" w:rsidP="00A64B25">
            <w:pPr>
              <w:ind w:right="252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584245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8E5A9B" w:rsidRPr="00584245" w:rsidRDefault="008E5A9B" w:rsidP="00A64B25">
            <w:pPr>
              <w:ind w:right="252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584245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170" w:type="dxa"/>
            <w:vAlign w:val="center"/>
          </w:tcPr>
          <w:p w:rsidR="008E5A9B" w:rsidRPr="00584245" w:rsidRDefault="008E5A9B" w:rsidP="00A64B25">
            <w:pPr>
              <w:ind w:right="252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84245">
              <w:rPr>
                <w:rFonts w:cstheme="minorHAnsi"/>
                <w:color w:val="000000"/>
                <w:sz w:val="20"/>
                <w:szCs w:val="20"/>
              </w:rPr>
              <w:t>20,000</w:t>
            </w:r>
          </w:p>
        </w:tc>
      </w:tr>
      <w:tr w:rsidR="008E5A9B">
        <w:tc>
          <w:tcPr>
            <w:tcW w:w="2448" w:type="dxa"/>
          </w:tcPr>
          <w:p w:rsidR="008E5A9B" w:rsidRPr="000815D8" w:rsidRDefault="008E5A9B" w:rsidP="00A64B2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</w:t>
            </w:r>
            <w:r w:rsidRPr="000815D8">
              <w:rPr>
                <w:iCs/>
                <w:sz w:val="20"/>
                <w:szCs w:val="20"/>
              </w:rPr>
              <w:t xml:space="preserve">takeholder consultation process to review and validate the results </w:t>
            </w:r>
          </w:p>
        </w:tc>
        <w:tc>
          <w:tcPr>
            <w:tcW w:w="1440" w:type="dxa"/>
            <w:vAlign w:val="center"/>
          </w:tcPr>
          <w:p w:rsidR="008E5A9B" w:rsidRPr="00584245" w:rsidRDefault="008E5A9B" w:rsidP="00A64B25">
            <w:pPr>
              <w:ind w:right="252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84245">
              <w:rPr>
                <w:rFonts w:cstheme="minorHAnsi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160" w:type="dxa"/>
            <w:vAlign w:val="center"/>
          </w:tcPr>
          <w:p w:rsidR="008E5A9B" w:rsidRPr="00584245" w:rsidRDefault="008E5A9B" w:rsidP="00A64B25">
            <w:pPr>
              <w:ind w:right="252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584245">
              <w:rPr>
                <w:rFonts w:cstheme="minorHAnsi"/>
                <w:sz w:val="20"/>
                <w:szCs w:val="20"/>
                <w:lang w:val="en-US"/>
              </w:rPr>
              <w:t>5,000</w:t>
            </w:r>
          </w:p>
        </w:tc>
        <w:tc>
          <w:tcPr>
            <w:tcW w:w="1080" w:type="dxa"/>
            <w:vAlign w:val="center"/>
          </w:tcPr>
          <w:p w:rsidR="008E5A9B" w:rsidRPr="00584245" w:rsidRDefault="008E5A9B" w:rsidP="00A64B25">
            <w:pPr>
              <w:ind w:right="252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584245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8E5A9B" w:rsidRPr="00584245" w:rsidRDefault="008E5A9B" w:rsidP="00A64B25">
            <w:pPr>
              <w:ind w:right="252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584245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170" w:type="dxa"/>
            <w:vAlign w:val="center"/>
          </w:tcPr>
          <w:p w:rsidR="008E5A9B" w:rsidRPr="00584245" w:rsidRDefault="008E5A9B" w:rsidP="00A64B25">
            <w:pPr>
              <w:ind w:right="252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84245">
              <w:rPr>
                <w:rFonts w:cstheme="minorHAnsi"/>
                <w:color w:val="000000"/>
                <w:sz w:val="20"/>
                <w:szCs w:val="20"/>
              </w:rPr>
              <w:t>15,000</w:t>
            </w:r>
          </w:p>
        </w:tc>
      </w:tr>
      <w:tr w:rsidR="008E5A9B">
        <w:tc>
          <w:tcPr>
            <w:tcW w:w="2448" w:type="dxa"/>
          </w:tcPr>
          <w:p w:rsidR="008E5A9B" w:rsidRPr="000815D8" w:rsidRDefault="008E5A9B" w:rsidP="00A64B25">
            <w:pPr>
              <w:jc w:val="both"/>
              <w:rPr>
                <w:rFonts w:cstheme="minorHAnsi"/>
                <w:sz w:val="20"/>
                <w:szCs w:val="20"/>
              </w:rPr>
            </w:pPr>
            <w:r w:rsidRPr="000815D8">
              <w:rPr>
                <w:iCs/>
                <w:sz w:val="20"/>
                <w:szCs w:val="20"/>
              </w:rPr>
              <w:t xml:space="preserve">Design a governance capacity strengthening process </w:t>
            </w:r>
          </w:p>
        </w:tc>
        <w:tc>
          <w:tcPr>
            <w:tcW w:w="1440" w:type="dxa"/>
            <w:vAlign w:val="center"/>
          </w:tcPr>
          <w:p w:rsidR="008E5A9B" w:rsidRPr="00584245" w:rsidRDefault="008E5A9B" w:rsidP="008E5A9B">
            <w:pPr>
              <w:ind w:right="252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584245">
              <w:rPr>
                <w:rFonts w:cstheme="minorHAnsi"/>
                <w:sz w:val="20"/>
                <w:szCs w:val="20"/>
                <w:lang w:val="en-US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584245">
              <w:rPr>
                <w:rFonts w:cstheme="minorHAnsi"/>
                <w:sz w:val="20"/>
                <w:szCs w:val="20"/>
                <w:lang w:val="en-US"/>
              </w:rPr>
              <w:t>,000</w:t>
            </w:r>
          </w:p>
        </w:tc>
        <w:tc>
          <w:tcPr>
            <w:tcW w:w="2160" w:type="dxa"/>
            <w:vAlign w:val="center"/>
          </w:tcPr>
          <w:p w:rsidR="008E5A9B" w:rsidRPr="00584245" w:rsidRDefault="008E5A9B" w:rsidP="00A64B25">
            <w:pPr>
              <w:ind w:right="252"/>
              <w:jc w:val="right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8E5A9B" w:rsidRPr="00584245" w:rsidRDefault="008E5A9B" w:rsidP="00A64B25">
            <w:pPr>
              <w:ind w:right="252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584245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8E5A9B" w:rsidRPr="00584245" w:rsidRDefault="008E5A9B" w:rsidP="00A64B25">
            <w:pPr>
              <w:ind w:right="252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584245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170" w:type="dxa"/>
            <w:vAlign w:val="center"/>
          </w:tcPr>
          <w:p w:rsidR="008E5A9B" w:rsidRPr="00584245" w:rsidRDefault="008E5A9B" w:rsidP="008E5A9B">
            <w:pPr>
              <w:ind w:right="252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84245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Pr="00584245">
              <w:rPr>
                <w:rFonts w:cstheme="minorHAnsi"/>
                <w:color w:val="000000"/>
                <w:sz w:val="20"/>
                <w:szCs w:val="20"/>
              </w:rPr>
              <w:t>,000</w:t>
            </w:r>
          </w:p>
        </w:tc>
      </w:tr>
      <w:tr w:rsidR="008E5A9B">
        <w:tc>
          <w:tcPr>
            <w:tcW w:w="2448" w:type="dxa"/>
          </w:tcPr>
          <w:p w:rsidR="008E5A9B" w:rsidRDefault="008E5A9B" w:rsidP="00A64B25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TOTALS</w:t>
            </w:r>
          </w:p>
        </w:tc>
        <w:tc>
          <w:tcPr>
            <w:tcW w:w="1440" w:type="dxa"/>
            <w:vAlign w:val="center"/>
          </w:tcPr>
          <w:p w:rsidR="008E5A9B" w:rsidRPr="00584245" w:rsidRDefault="008E5A9B" w:rsidP="00A64B25">
            <w:pPr>
              <w:ind w:right="252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40</w:t>
            </w:r>
            <w:r w:rsidRPr="00584245">
              <w:rPr>
                <w:rFonts w:cstheme="minorHAns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2160" w:type="dxa"/>
            <w:vAlign w:val="center"/>
          </w:tcPr>
          <w:p w:rsidR="008E5A9B" w:rsidRPr="00584245" w:rsidRDefault="008E5A9B" w:rsidP="00A64B25">
            <w:pPr>
              <w:ind w:right="252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584245">
              <w:rPr>
                <w:rFonts w:cstheme="minorHAns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80" w:type="dxa"/>
            <w:vAlign w:val="center"/>
          </w:tcPr>
          <w:p w:rsidR="008E5A9B" w:rsidRPr="00584245" w:rsidRDefault="008E5A9B" w:rsidP="00A64B25">
            <w:pPr>
              <w:ind w:right="252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8E5A9B" w:rsidRPr="00584245" w:rsidRDefault="008E5A9B" w:rsidP="00A64B25">
            <w:pPr>
              <w:ind w:right="252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84245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E5A9B" w:rsidRPr="00584245" w:rsidRDefault="008E5A9B" w:rsidP="00A64B25">
            <w:pPr>
              <w:ind w:right="252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Pr="00584245">
              <w:rPr>
                <w:rFonts w:cstheme="minorHAnsi"/>
                <w:color w:val="000000"/>
                <w:sz w:val="20"/>
                <w:szCs w:val="20"/>
              </w:rPr>
              <w:t>0,000</w:t>
            </w:r>
          </w:p>
        </w:tc>
      </w:tr>
    </w:tbl>
    <w:p w:rsidR="008E5A9B" w:rsidRPr="006065EE" w:rsidRDefault="008E5A9B" w:rsidP="008E5A9B">
      <w:pPr>
        <w:spacing w:after="0"/>
        <w:jc w:val="both"/>
        <w:rPr>
          <w:rFonts w:cstheme="minorHAnsi"/>
          <w:lang w:val="en-US"/>
        </w:rPr>
      </w:pPr>
    </w:p>
    <w:p w:rsidR="000815D8" w:rsidRPr="006065EE" w:rsidRDefault="000815D8" w:rsidP="008E5A9B">
      <w:pPr>
        <w:pStyle w:val="Default"/>
        <w:spacing w:line="276" w:lineRule="auto"/>
        <w:jc w:val="both"/>
        <w:rPr>
          <w:rFonts w:cstheme="minorHAnsi"/>
        </w:rPr>
      </w:pPr>
    </w:p>
    <w:sectPr w:rsidR="000815D8" w:rsidRPr="006065EE" w:rsidSect="004A1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86" w:rsidRDefault="00A85D86" w:rsidP="00D6525F">
      <w:pPr>
        <w:spacing w:after="0" w:line="240" w:lineRule="auto"/>
      </w:pPr>
      <w:r>
        <w:separator/>
      </w:r>
    </w:p>
  </w:endnote>
  <w:endnote w:type="continuationSeparator" w:id="0">
    <w:p w:rsidR="00A85D86" w:rsidRDefault="00A85D86" w:rsidP="00D6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86" w:rsidRDefault="00A85D86" w:rsidP="00D6525F">
      <w:pPr>
        <w:spacing w:after="0" w:line="240" w:lineRule="auto"/>
      </w:pPr>
      <w:r>
        <w:separator/>
      </w:r>
    </w:p>
  </w:footnote>
  <w:footnote w:type="continuationSeparator" w:id="0">
    <w:p w:rsidR="00A85D86" w:rsidRDefault="00A85D86" w:rsidP="00D65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053"/>
    <w:multiLevelType w:val="hybridMultilevel"/>
    <w:tmpl w:val="6A5CE3CE"/>
    <w:lvl w:ilvl="0" w:tplc="E8B4E15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321BA"/>
    <w:multiLevelType w:val="hybridMultilevel"/>
    <w:tmpl w:val="2920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66081"/>
    <w:multiLevelType w:val="hybridMultilevel"/>
    <w:tmpl w:val="02EA0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348B1"/>
    <w:multiLevelType w:val="hybridMultilevel"/>
    <w:tmpl w:val="D9789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96A3F"/>
    <w:multiLevelType w:val="hybridMultilevel"/>
    <w:tmpl w:val="78747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B4F53"/>
    <w:multiLevelType w:val="hybridMultilevel"/>
    <w:tmpl w:val="B3BA6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95C47"/>
    <w:multiLevelType w:val="multilevel"/>
    <w:tmpl w:val="AEEE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135604"/>
    <w:multiLevelType w:val="multilevel"/>
    <w:tmpl w:val="4CF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D87881"/>
    <w:multiLevelType w:val="hybridMultilevel"/>
    <w:tmpl w:val="FD66D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62A61"/>
    <w:multiLevelType w:val="hybridMultilevel"/>
    <w:tmpl w:val="E8A8FCC0"/>
    <w:lvl w:ilvl="0" w:tplc="0A7A6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423DD"/>
    <w:multiLevelType w:val="hybridMultilevel"/>
    <w:tmpl w:val="E46C9C4C"/>
    <w:lvl w:ilvl="0" w:tplc="0CF2F8F8">
      <w:start w:val="1"/>
      <w:numFmt w:val="decimal"/>
      <w:lvlText w:val="%1."/>
      <w:lvlJc w:val="left"/>
      <w:pPr>
        <w:ind w:left="990" w:hanging="360"/>
      </w:pPr>
      <w:rPr>
        <w:rFonts w:ascii="Verdana" w:hAnsi="Verdana" w:cs="Verdana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78483354"/>
    <w:multiLevelType w:val="multilevel"/>
    <w:tmpl w:val="B774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6C24"/>
    <w:rsid w:val="00070096"/>
    <w:rsid w:val="00075FF9"/>
    <w:rsid w:val="000815D8"/>
    <w:rsid w:val="000855F1"/>
    <w:rsid w:val="000C3293"/>
    <w:rsid w:val="000F53D7"/>
    <w:rsid w:val="001142B9"/>
    <w:rsid w:val="0013407F"/>
    <w:rsid w:val="0018531D"/>
    <w:rsid w:val="001C1BBE"/>
    <w:rsid w:val="001D47E1"/>
    <w:rsid w:val="001E3731"/>
    <w:rsid w:val="00207A52"/>
    <w:rsid w:val="0024093E"/>
    <w:rsid w:val="00267958"/>
    <w:rsid w:val="002C136D"/>
    <w:rsid w:val="002C4959"/>
    <w:rsid w:val="002C7867"/>
    <w:rsid w:val="00321323"/>
    <w:rsid w:val="00353373"/>
    <w:rsid w:val="00353CEE"/>
    <w:rsid w:val="00372F8D"/>
    <w:rsid w:val="00376168"/>
    <w:rsid w:val="00386E48"/>
    <w:rsid w:val="00392C07"/>
    <w:rsid w:val="003B054A"/>
    <w:rsid w:val="003E0CA4"/>
    <w:rsid w:val="00401755"/>
    <w:rsid w:val="00414EBF"/>
    <w:rsid w:val="00415AA0"/>
    <w:rsid w:val="00433ECC"/>
    <w:rsid w:val="004601D5"/>
    <w:rsid w:val="00494E15"/>
    <w:rsid w:val="004A1A97"/>
    <w:rsid w:val="004E4BD2"/>
    <w:rsid w:val="004E63E9"/>
    <w:rsid w:val="004F1971"/>
    <w:rsid w:val="0053202B"/>
    <w:rsid w:val="005359F0"/>
    <w:rsid w:val="005535BE"/>
    <w:rsid w:val="00554EEA"/>
    <w:rsid w:val="00584245"/>
    <w:rsid w:val="0058452B"/>
    <w:rsid w:val="005B39A2"/>
    <w:rsid w:val="005C217D"/>
    <w:rsid w:val="006065EE"/>
    <w:rsid w:val="00657CD9"/>
    <w:rsid w:val="006B518A"/>
    <w:rsid w:val="006E01C6"/>
    <w:rsid w:val="006E3269"/>
    <w:rsid w:val="007256AF"/>
    <w:rsid w:val="00742963"/>
    <w:rsid w:val="0075376F"/>
    <w:rsid w:val="00755466"/>
    <w:rsid w:val="00762E92"/>
    <w:rsid w:val="00763E07"/>
    <w:rsid w:val="007813C8"/>
    <w:rsid w:val="007E06B8"/>
    <w:rsid w:val="007E1288"/>
    <w:rsid w:val="007E2211"/>
    <w:rsid w:val="007F6C24"/>
    <w:rsid w:val="00814C83"/>
    <w:rsid w:val="00825E78"/>
    <w:rsid w:val="008909E9"/>
    <w:rsid w:val="008C6EAA"/>
    <w:rsid w:val="008D233C"/>
    <w:rsid w:val="008E5A9B"/>
    <w:rsid w:val="008F4011"/>
    <w:rsid w:val="009275B6"/>
    <w:rsid w:val="0093083B"/>
    <w:rsid w:val="009503E9"/>
    <w:rsid w:val="0097445D"/>
    <w:rsid w:val="00981F0D"/>
    <w:rsid w:val="0099260A"/>
    <w:rsid w:val="00992F29"/>
    <w:rsid w:val="009A3380"/>
    <w:rsid w:val="00A0120C"/>
    <w:rsid w:val="00A06EA6"/>
    <w:rsid w:val="00A10ADC"/>
    <w:rsid w:val="00A17C9B"/>
    <w:rsid w:val="00A5164D"/>
    <w:rsid w:val="00A72BAE"/>
    <w:rsid w:val="00A838A6"/>
    <w:rsid w:val="00A85D86"/>
    <w:rsid w:val="00AA341F"/>
    <w:rsid w:val="00AA5AAE"/>
    <w:rsid w:val="00AB09A7"/>
    <w:rsid w:val="00AB7C5E"/>
    <w:rsid w:val="00AD431C"/>
    <w:rsid w:val="00AE3B2D"/>
    <w:rsid w:val="00B01570"/>
    <w:rsid w:val="00B107DD"/>
    <w:rsid w:val="00B20779"/>
    <w:rsid w:val="00B236FE"/>
    <w:rsid w:val="00B306DC"/>
    <w:rsid w:val="00B941B7"/>
    <w:rsid w:val="00BB12AB"/>
    <w:rsid w:val="00C05E0A"/>
    <w:rsid w:val="00C37C3D"/>
    <w:rsid w:val="00C53838"/>
    <w:rsid w:val="00C603B7"/>
    <w:rsid w:val="00CC22C1"/>
    <w:rsid w:val="00CF3C1D"/>
    <w:rsid w:val="00CF741E"/>
    <w:rsid w:val="00D6525F"/>
    <w:rsid w:val="00D973CC"/>
    <w:rsid w:val="00DA283C"/>
    <w:rsid w:val="00DD3D2E"/>
    <w:rsid w:val="00DD45C0"/>
    <w:rsid w:val="00DD52B2"/>
    <w:rsid w:val="00E36097"/>
    <w:rsid w:val="00E459A5"/>
    <w:rsid w:val="00EA7BE7"/>
    <w:rsid w:val="00EF5DF5"/>
    <w:rsid w:val="00F06362"/>
    <w:rsid w:val="00F513AE"/>
    <w:rsid w:val="00F539D6"/>
    <w:rsid w:val="00F54DBB"/>
    <w:rsid w:val="00F977C2"/>
    <w:rsid w:val="00FA1677"/>
    <w:rsid w:val="00FA7A54"/>
    <w:rsid w:val="00FC249F"/>
    <w:rsid w:val="00FF0538"/>
    <w:rsid w:val="00FF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0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37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167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A1677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D3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D2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D2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2E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A17C9B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D6525F"/>
    <w:rPr>
      <w:color w:val="0000FF"/>
      <w:u w:val="single"/>
    </w:rPr>
  </w:style>
  <w:style w:type="paragraph" w:styleId="FootnoteText">
    <w:name w:val="footnote text"/>
    <w:aliases w:val="Footnote Text Char2 Char,Char Char Char,Char CarNum-Doc Paragraph Char Char,Footnote Text Char1 Char Char,Footnote Text Char Char Char Char,Fo Char Char Char Char,Fotnot Char Char Char Char,Footnote Text Char Char1 Char,Char, Char1"/>
    <w:basedOn w:val="Normal"/>
    <w:link w:val="FootnoteTextChar"/>
    <w:uiPriority w:val="99"/>
    <w:qFormat/>
    <w:rsid w:val="00D652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FootnoteTextChar">
    <w:name w:val="Footnote Text Char"/>
    <w:aliases w:val="Footnote Text Char2 Char Char,Char Char Char Char,Char CarNum-Doc Paragraph Char Char Char,Footnote Text Char1 Char Char Char,Footnote Text Char Char Char Char Char,Fo Char Char Char Char Char,Fotnot Char Char Char Char Char,Char Char"/>
    <w:basedOn w:val="DefaultParagraphFont"/>
    <w:link w:val="FootnoteText"/>
    <w:uiPriority w:val="99"/>
    <w:rsid w:val="00D6525F"/>
    <w:rPr>
      <w:rFonts w:eastAsiaTheme="minorHAnsi"/>
      <w:sz w:val="24"/>
      <w:szCs w:val="24"/>
      <w:lang w:eastAsia="en-US"/>
    </w:rPr>
  </w:style>
  <w:style w:type="character" w:styleId="FootnoteReference">
    <w:name w:val="footnote reference"/>
    <w:aliases w:val="E FNZ,-E Fußnotenzeichen,Footnote#"/>
    <w:basedOn w:val="DefaultParagraphFont"/>
    <w:uiPriority w:val="99"/>
    <w:rsid w:val="00D6525F"/>
    <w:rPr>
      <w:vertAlign w:val="superscript"/>
    </w:rPr>
  </w:style>
  <w:style w:type="paragraph" w:customStyle="1" w:styleId="Default">
    <w:name w:val="Default"/>
    <w:link w:val="DefaultChar"/>
    <w:rsid w:val="00D652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basedOn w:val="DefaultParagraphFont"/>
    <w:link w:val="Default"/>
    <w:locked/>
    <w:rsid w:val="00D6525F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81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C4959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37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167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A1677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D3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D2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D2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2E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A17C9B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586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905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4167</Characters>
  <Application>Microsoft Office Word</Application>
  <DocSecurity>4</DocSecurity>
  <Lines>94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Akihito Kono</dc:creator>
  <cp:lastModifiedBy>Tim Clairs</cp:lastModifiedBy>
  <cp:revision>2</cp:revision>
  <dcterms:created xsi:type="dcterms:W3CDTF">2012-06-20T10:25:00Z</dcterms:created>
  <dcterms:modified xsi:type="dcterms:W3CDTF">2012-06-20T10:25:00Z</dcterms:modified>
</cp:coreProperties>
</file>