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DA" w:rsidRPr="00D26FC6" w:rsidRDefault="008E55DA" w:rsidP="00E72A92">
      <w:pPr>
        <w:pStyle w:val="Title"/>
        <w:jc w:val="center"/>
        <w:rPr>
          <w:sz w:val="40"/>
          <w:szCs w:val="40"/>
        </w:rPr>
      </w:pPr>
      <w:bookmarkStart w:id="0" w:name="_GoBack"/>
      <w:bookmarkEnd w:id="0"/>
      <w:r w:rsidRPr="00D26FC6">
        <w:rPr>
          <w:sz w:val="40"/>
          <w:szCs w:val="40"/>
        </w:rPr>
        <w:t>REDD+ Readiness Roadmap</w:t>
      </w:r>
    </w:p>
    <w:p w:rsidR="008E55DA" w:rsidRPr="000A2439" w:rsidRDefault="008E55DA" w:rsidP="000A2439">
      <w:pPr>
        <w:pStyle w:val="Subtitle"/>
        <w:jc w:val="center"/>
        <w:rPr>
          <w:b/>
          <w:sz w:val="28"/>
          <w:szCs w:val="28"/>
        </w:rPr>
      </w:pPr>
      <w:r w:rsidRPr="00656B4D">
        <w:rPr>
          <w:b/>
          <w:sz w:val="28"/>
          <w:szCs w:val="28"/>
        </w:rPr>
        <w:t>Working Group 1</w:t>
      </w:r>
      <w:r w:rsidR="00604BCE">
        <w:rPr>
          <w:b/>
          <w:sz w:val="28"/>
          <w:szCs w:val="28"/>
        </w:rPr>
        <w:t xml:space="preserve"> (WG1)</w:t>
      </w:r>
      <w:r w:rsidRPr="00656B4D">
        <w:rPr>
          <w:b/>
          <w:sz w:val="28"/>
          <w:szCs w:val="28"/>
        </w:rPr>
        <w:t xml:space="preserve">: </w:t>
      </w:r>
      <w:r w:rsidR="000A2439" w:rsidRPr="000A2439">
        <w:rPr>
          <w:rFonts w:asciiTheme="minorHAnsi" w:hAnsiTheme="minorHAnsi" w:cstheme="minorHAnsi"/>
          <w:b/>
          <w:color w:val="4F81BD" w:themeColor="accent1"/>
          <w:sz w:val="28"/>
          <w:szCs w:val="28"/>
        </w:rPr>
        <w:t>National Forest Monitoring System (NFMS) and Forest Reference Emission Levels/Reference Levels (RELs/RLs)</w:t>
      </w:r>
    </w:p>
    <w:p w:rsidR="008E55DA" w:rsidRDefault="008E55DA" w:rsidP="000A2439"/>
    <w:p w:rsidR="000D390E" w:rsidRPr="00656B4D" w:rsidRDefault="000D390E" w:rsidP="000A2439"/>
    <w:p w:rsidR="008E55DA" w:rsidRPr="00656B4D" w:rsidRDefault="008E55DA" w:rsidP="000A2439">
      <w:pPr>
        <w:pStyle w:val="Subtitle"/>
        <w:jc w:val="center"/>
        <w:rPr>
          <w:b/>
          <w:sz w:val="32"/>
          <w:szCs w:val="32"/>
          <w:u w:val="single"/>
        </w:rPr>
      </w:pPr>
      <w:r w:rsidRPr="00656B4D">
        <w:rPr>
          <w:b/>
          <w:sz w:val="32"/>
          <w:szCs w:val="32"/>
          <w:u w:val="single"/>
        </w:rPr>
        <w:t xml:space="preserve">Terms of </w:t>
      </w:r>
      <w:r w:rsidR="000D390E">
        <w:rPr>
          <w:b/>
          <w:sz w:val="32"/>
          <w:szCs w:val="32"/>
          <w:u w:val="single"/>
        </w:rPr>
        <w:t>R</w:t>
      </w:r>
      <w:r w:rsidRPr="00656B4D">
        <w:rPr>
          <w:b/>
          <w:sz w:val="32"/>
          <w:szCs w:val="32"/>
          <w:u w:val="single"/>
        </w:rPr>
        <w:t>eference</w:t>
      </w:r>
    </w:p>
    <w:p w:rsidR="00023138" w:rsidRDefault="00023138" w:rsidP="000A2439"/>
    <w:p w:rsidR="00B36000" w:rsidRPr="002D2941" w:rsidRDefault="00B36000" w:rsidP="000A2439"/>
    <w:p w:rsidR="000D390E" w:rsidRDefault="000D390E" w:rsidP="000D390E">
      <w:pPr>
        <w:pStyle w:val="Heading1"/>
        <w:spacing w:before="0" w:after="0"/>
      </w:pPr>
      <w:r>
        <w:t>Background</w:t>
      </w:r>
    </w:p>
    <w:p w:rsidR="000D390E" w:rsidRDefault="000D390E" w:rsidP="000A2439">
      <w:pPr>
        <w:jc w:val="both"/>
        <w:rPr>
          <w:rFonts w:cstheme="minorHAnsi"/>
          <w:color w:val="000000" w:themeColor="text1"/>
        </w:rPr>
      </w:pPr>
    </w:p>
    <w:p w:rsidR="000D390E" w:rsidRDefault="000D390E" w:rsidP="00400107">
      <w:pPr>
        <w:spacing w:after="240"/>
        <w:jc w:val="both"/>
        <w:rPr>
          <w:rFonts w:cstheme="minorHAnsi"/>
          <w:color w:val="000000" w:themeColor="text1"/>
        </w:rPr>
      </w:pPr>
      <w:r>
        <w:rPr>
          <w:rFonts w:cstheme="minorHAnsi"/>
          <w:color w:val="000000" w:themeColor="text1"/>
        </w:rPr>
        <w:t>The REDD+ Readiness Roadmap</w:t>
      </w:r>
      <w:r w:rsidR="00F875A8">
        <w:rPr>
          <w:rFonts w:cstheme="minorHAnsi"/>
          <w:color w:val="000000" w:themeColor="text1"/>
        </w:rPr>
        <w:t xml:space="preserve"> will be drafted on the basis of input of several WGs, including this one, between now and the end of May 2013</w:t>
      </w:r>
      <w:r>
        <w:rPr>
          <w:rFonts w:cstheme="minorHAnsi"/>
          <w:color w:val="000000" w:themeColor="text1"/>
        </w:rPr>
        <w:t xml:space="preserve">. </w:t>
      </w:r>
      <w:r w:rsidR="00F875A8">
        <w:rPr>
          <w:rFonts w:cstheme="minorHAnsi"/>
          <w:color w:val="000000" w:themeColor="text1"/>
        </w:rPr>
        <w:t xml:space="preserve">The Roadmap will </w:t>
      </w:r>
      <w:r w:rsidR="00B36000">
        <w:rPr>
          <w:rFonts w:cstheme="minorHAnsi"/>
          <w:color w:val="000000" w:themeColor="text1"/>
        </w:rPr>
        <w:t xml:space="preserve">describe the </w:t>
      </w:r>
      <w:r w:rsidR="00B36000">
        <w:t xml:space="preserve">current situation in Pakistan with respect to activities, governance and capacity in the forest and land use sectors, but </w:t>
      </w:r>
      <w:r w:rsidR="00F875A8" w:rsidRPr="00B36000">
        <w:rPr>
          <w:rFonts w:cstheme="minorHAnsi"/>
          <w:color w:val="000000" w:themeColor="text1"/>
          <w:u w:val="single"/>
        </w:rPr>
        <w:t>not</w:t>
      </w:r>
      <w:r w:rsidR="00F875A8">
        <w:rPr>
          <w:rFonts w:cstheme="minorHAnsi"/>
          <w:color w:val="000000" w:themeColor="text1"/>
        </w:rPr>
        <w:t xml:space="preserve"> make recommendations on </w:t>
      </w:r>
      <w:r w:rsidR="00F875A8">
        <w:t>activities, governance and capacity in the forest and land use sectors</w:t>
      </w:r>
      <w:r w:rsidR="00B36000">
        <w:t>. R</w:t>
      </w:r>
      <w:r w:rsidR="00F875A8">
        <w:t xml:space="preserve">ather </w:t>
      </w:r>
      <w:r w:rsidR="00B36000">
        <w:t xml:space="preserve">it will </w:t>
      </w:r>
      <w:r w:rsidR="00F875A8" w:rsidRPr="00F875A8">
        <w:rPr>
          <w:b/>
        </w:rPr>
        <w:t>identify the issues</w:t>
      </w:r>
      <w:r w:rsidR="00F875A8">
        <w:t xml:space="preserve"> that need to be reviewed and possibly enhanced </w:t>
      </w:r>
      <w:r w:rsidR="00B36000">
        <w:t>thereafter</w:t>
      </w:r>
      <w:r w:rsidR="00B36000" w:rsidRPr="00B36000">
        <w:t xml:space="preserve"> </w:t>
      </w:r>
      <w:r w:rsidR="00B36000">
        <w:t xml:space="preserve">in the Roadmap implementation phase, </w:t>
      </w:r>
      <w:r w:rsidR="00F875A8">
        <w:t>to optimize Pakistan’s opportunity to access positive incentives under the future REDD+ mechanism that is currently being negotiated under the UNFCCC.</w:t>
      </w:r>
      <w:r w:rsidR="00F875A8">
        <w:rPr>
          <w:rFonts w:cstheme="minorHAnsi"/>
          <w:color w:val="000000" w:themeColor="text1"/>
        </w:rPr>
        <w:t xml:space="preserve"> </w:t>
      </w:r>
      <w:r>
        <w:rPr>
          <w:rFonts w:cstheme="minorHAnsi"/>
          <w:color w:val="000000" w:themeColor="text1"/>
        </w:rPr>
        <w:t>For more background on the REDD+ Readiness Roadmap see Annex 1.</w:t>
      </w:r>
    </w:p>
    <w:p w:rsidR="00400107" w:rsidRDefault="00400107" w:rsidP="00400107">
      <w:pPr>
        <w:spacing w:after="240"/>
        <w:jc w:val="both"/>
        <w:rPr>
          <w:rFonts w:cstheme="minorHAnsi"/>
          <w:color w:val="000000" w:themeColor="text1"/>
        </w:rPr>
      </w:pPr>
      <w:r>
        <w:rPr>
          <w:rFonts w:cstheme="minorHAnsi"/>
          <w:color w:val="000000" w:themeColor="text1"/>
        </w:rPr>
        <w:t xml:space="preserve">The UN-REDD Roadmap Process has been or is being undertaken is various countries and albeit that a particular structure of the Roadmap is not prescribed, </w:t>
      </w:r>
      <w:proofErr w:type="gramStart"/>
      <w:r>
        <w:rPr>
          <w:rFonts w:cstheme="minorHAnsi"/>
          <w:color w:val="000000" w:themeColor="text1"/>
        </w:rPr>
        <w:t>experience</w:t>
      </w:r>
      <w:proofErr w:type="gramEnd"/>
      <w:r>
        <w:rPr>
          <w:rFonts w:cstheme="minorHAnsi"/>
          <w:color w:val="000000" w:themeColor="text1"/>
        </w:rPr>
        <w:t xml:space="preserve"> has demonstrated that particular subjects do emerge in each </w:t>
      </w:r>
      <w:r w:rsidR="00B36000">
        <w:rPr>
          <w:rFonts w:cstheme="minorHAnsi"/>
          <w:color w:val="000000" w:themeColor="text1"/>
        </w:rPr>
        <w:t>of the cases to date</w:t>
      </w:r>
      <w:r>
        <w:rPr>
          <w:rFonts w:cstheme="minorHAnsi"/>
          <w:color w:val="000000" w:themeColor="text1"/>
        </w:rPr>
        <w:t xml:space="preserve">. </w:t>
      </w:r>
      <w:r w:rsidR="00B36000">
        <w:rPr>
          <w:rFonts w:cstheme="minorHAnsi"/>
          <w:color w:val="000000" w:themeColor="text1"/>
        </w:rPr>
        <w:t xml:space="preserve">Therefore, </w:t>
      </w:r>
      <w:r>
        <w:rPr>
          <w:rFonts w:cstheme="minorHAnsi"/>
          <w:color w:val="000000" w:themeColor="text1"/>
        </w:rPr>
        <w:t>Annex 2 contains a possible Table of Content for the Roadmap.</w:t>
      </w:r>
    </w:p>
    <w:p w:rsidR="000D390E" w:rsidRPr="000D390E" w:rsidRDefault="000D390E" w:rsidP="000A2439">
      <w:pPr>
        <w:jc w:val="both"/>
        <w:rPr>
          <w:rFonts w:cstheme="minorHAnsi"/>
          <w:color w:val="000000" w:themeColor="text1"/>
        </w:rPr>
      </w:pPr>
    </w:p>
    <w:p w:rsidR="00B037BF" w:rsidRDefault="000A2439" w:rsidP="00023138">
      <w:pPr>
        <w:pStyle w:val="Heading1"/>
      </w:pPr>
      <w:r w:rsidRPr="00FA0B83">
        <w:t>Objective</w:t>
      </w:r>
      <w:r w:rsidR="00023138">
        <w:t>s</w:t>
      </w:r>
      <w:r w:rsidRPr="00FA0B83">
        <w:t xml:space="preserve"> </w:t>
      </w:r>
    </w:p>
    <w:p w:rsidR="00FB2329" w:rsidRDefault="00B36000" w:rsidP="000A2439">
      <w:pPr>
        <w:jc w:val="both"/>
      </w:pPr>
      <w:r>
        <w:t>The objectives for this WG are related to two areas: the National Forest Monitoring System and Measurement, Reporting and Verification Functions (NFMS/MRV) and the construction of a Reference Emission Level / Reference Level</w:t>
      </w:r>
      <w:r w:rsidR="0092374C">
        <w:t xml:space="preserve"> (REL/RL)</w:t>
      </w:r>
      <w:r>
        <w:t>.</w:t>
      </w:r>
      <w:r>
        <w:rPr>
          <w:rStyle w:val="FootnoteReference"/>
        </w:rPr>
        <w:footnoteReference w:id="1"/>
      </w:r>
    </w:p>
    <w:p w:rsidR="004F74CA" w:rsidRDefault="004F74CA" w:rsidP="000A2439">
      <w:pPr>
        <w:jc w:val="both"/>
      </w:pPr>
    </w:p>
    <w:p w:rsidR="004F74CA" w:rsidRDefault="004F74CA" w:rsidP="000A2439">
      <w:pPr>
        <w:jc w:val="both"/>
        <w:rPr>
          <w:i/>
        </w:rPr>
      </w:pPr>
      <w:r w:rsidRPr="004F74CA">
        <w:rPr>
          <w:b/>
          <w:i/>
        </w:rPr>
        <w:t>Principle objectives</w:t>
      </w:r>
      <w:r>
        <w:rPr>
          <w:i/>
        </w:rPr>
        <w:t xml:space="preserve"> are</w:t>
      </w:r>
      <w:r w:rsidRPr="009020FC">
        <w:rPr>
          <w:i/>
        </w:rPr>
        <w:t xml:space="preserve">: </w:t>
      </w:r>
      <w:r>
        <w:rPr>
          <w:i/>
        </w:rPr>
        <w:t>1) to assess baseline national technical capacities and institutional arrangements related to the forest monitoring and measurement, reporting and verification (M&amp;MRV) functions of the national forest monitoring system (NFMS) for REDD+ activities; and, 2) to identify potential strategies for the development of forest RELs/RLs.</w:t>
      </w:r>
    </w:p>
    <w:p w:rsidR="004F74CA" w:rsidRDefault="004F74CA" w:rsidP="000A2439">
      <w:pPr>
        <w:jc w:val="both"/>
      </w:pPr>
    </w:p>
    <w:p w:rsidR="00B36000" w:rsidRPr="00B36000" w:rsidRDefault="00B36000" w:rsidP="000A2439">
      <w:pPr>
        <w:jc w:val="both"/>
      </w:pPr>
    </w:p>
    <w:p w:rsidR="004F74CA" w:rsidRDefault="004F74CA" w:rsidP="004F74CA">
      <w:pPr>
        <w:pStyle w:val="Heading1"/>
        <w:spacing w:before="0" w:after="0"/>
      </w:pPr>
      <w:r>
        <w:t xml:space="preserve">Issues to be </w:t>
      </w:r>
      <w:proofErr w:type="gramStart"/>
      <w:r>
        <w:t>Addressed</w:t>
      </w:r>
      <w:proofErr w:type="gramEnd"/>
      <w:r>
        <w:t xml:space="preserve"> by the Working Group</w:t>
      </w:r>
    </w:p>
    <w:p w:rsidR="004F74CA" w:rsidRDefault="004F74CA" w:rsidP="000A2439">
      <w:pPr>
        <w:jc w:val="both"/>
        <w:rPr>
          <w:b/>
        </w:rPr>
      </w:pPr>
    </w:p>
    <w:p w:rsidR="000E1866" w:rsidRPr="00FA0B83" w:rsidRDefault="000E1866" w:rsidP="000A2439">
      <w:pPr>
        <w:jc w:val="both"/>
        <w:rPr>
          <w:b/>
        </w:rPr>
      </w:pPr>
      <w:r w:rsidRPr="00FA0B83">
        <w:rPr>
          <w:b/>
        </w:rPr>
        <w:t>NFMS/MRV:</w:t>
      </w:r>
    </w:p>
    <w:p w:rsidR="002924B1" w:rsidRDefault="002924B1" w:rsidP="000E1866">
      <w:pPr>
        <w:pStyle w:val="ListParagraph"/>
        <w:numPr>
          <w:ilvl w:val="0"/>
          <w:numId w:val="28"/>
        </w:numPr>
        <w:jc w:val="both"/>
      </w:pPr>
      <w:r>
        <w:t>Provide material that describes the Forest and Land Use sectors in Pakistan</w:t>
      </w:r>
    </w:p>
    <w:p w:rsidR="0092374C" w:rsidRDefault="0092374C" w:rsidP="000E1866">
      <w:pPr>
        <w:pStyle w:val="ListParagraph"/>
        <w:numPr>
          <w:ilvl w:val="0"/>
          <w:numId w:val="28"/>
        </w:numPr>
        <w:jc w:val="both"/>
      </w:pPr>
      <w:r>
        <w:t>Describe and a</w:t>
      </w:r>
      <w:r w:rsidR="00B037BF" w:rsidRPr="00FA0B83">
        <w:t xml:space="preserve">ssess </w:t>
      </w:r>
      <w:r>
        <w:t>current techniques and approaches deployed in Pakistan for:</w:t>
      </w:r>
    </w:p>
    <w:p w:rsidR="0092374C" w:rsidRDefault="0092374C" w:rsidP="0092374C">
      <w:pPr>
        <w:pStyle w:val="ListParagraph"/>
        <w:numPr>
          <w:ilvl w:val="1"/>
          <w:numId w:val="28"/>
        </w:numPr>
        <w:jc w:val="both"/>
      </w:pPr>
      <w:proofErr w:type="spellStart"/>
      <w:r>
        <w:t>Foresty</w:t>
      </w:r>
      <w:proofErr w:type="spellEnd"/>
      <w:r>
        <w:t xml:space="preserve"> inventory work (on paper and in the field);</w:t>
      </w:r>
    </w:p>
    <w:p w:rsidR="0092374C" w:rsidRDefault="0092374C" w:rsidP="0092374C">
      <w:pPr>
        <w:pStyle w:val="ListParagraph"/>
        <w:numPr>
          <w:ilvl w:val="1"/>
          <w:numId w:val="28"/>
        </w:numPr>
        <w:jc w:val="both"/>
      </w:pPr>
      <w:r>
        <w:t>MRV and monitoring functions</w:t>
      </w:r>
    </w:p>
    <w:p w:rsidR="0092374C" w:rsidRDefault="0092374C" w:rsidP="0092374C">
      <w:pPr>
        <w:pStyle w:val="ListParagraph"/>
        <w:numPr>
          <w:ilvl w:val="1"/>
          <w:numId w:val="28"/>
        </w:numPr>
        <w:jc w:val="both"/>
      </w:pPr>
      <w:r>
        <w:t>Remote sensing and Geographic Information Systems</w:t>
      </w:r>
    </w:p>
    <w:p w:rsidR="00B037BF" w:rsidRDefault="0092374C" w:rsidP="000E1866">
      <w:pPr>
        <w:pStyle w:val="ListParagraph"/>
        <w:numPr>
          <w:ilvl w:val="0"/>
          <w:numId w:val="28"/>
        </w:numPr>
        <w:jc w:val="both"/>
      </w:pPr>
      <w:r>
        <w:t>Describe and a</w:t>
      </w:r>
      <w:r w:rsidRPr="00FA0B83">
        <w:t xml:space="preserve">ssess </w:t>
      </w:r>
      <w:r>
        <w:t xml:space="preserve">current </w:t>
      </w:r>
      <w:r w:rsidR="00B037BF" w:rsidRPr="00FA0B83">
        <w:t xml:space="preserve">capabilities </w:t>
      </w:r>
      <w:r>
        <w:t>and capacities for:</w:t>
      </w:r>
    </w:p>
    <w:p w:rsidR="0092374C" w:rsidRDefault="0092374C" w:rsidP="0092374C">
      <w:pPr>
        <w:pStyle w:val="ListParagraph"/>
        <w:numPr>
          <w:ilvl w:val="1"/>
          <w:numId w:val="28"/>
        </w:numPr>
        <w:jc w:val="both"/>
      </w:pPr>
      <w:proofErr w:type="spellStart"/>
      <w:r>
        <w:t>Foresty</w:t>
      </w:r>
      <w:proofErr w:type="spellEnd"/>
      <w:r>
        <w:t xml:space="preserve"> inventory work;</w:t>
      </w:r>
    </w:p>
    <w:p w:rsidR="0092374C" w:rsidRDefault="0092374C" w:rsidP="0092374C">
      <w:pPr>
        <w:pStyle w:val="ListParagraph"/>
        <w:numPr>
          <w:ilvl w:val="1"/>
          <w:numId w:val="28"/>
        </w:numPr>
        <w:jc w:val="both"/>
      </w:pPr>
      <w:r>
        <w:t>MRV and monitoring functions</w:t>
      </w:r>
    </w:p>
    <w:p w:rsidR="0092374C" w:rsidRDefault="0092374C" w:rsidP="0092374C">
      <w:pPr>
        <w:pStyle w:val="ListParagraph"/>
        <w:numPr>
          <w:ilvl w:val="1"/>
          <w:numId w:val="28"/>
        </w:numPr>
        <w:jc w:val="both"/>
      </w:pPr>
      <w:r>
        <w:t>Remote sensing and Geographic Information Systems</w:t>
      </w:r>
    </w:p>
    <w:p w:rsidR="0092374C" w:rsidRPr="00FA0B83" w:rsidRDefault="0092374C" w:rsidP="000E1866">
      <w:pPr>
        <w:pStyle w:val="ListParagraph"/>
        <w:numPr>
          <w:ilvl w:val="0"/>
          <w:numId w:val="28"/>
        </w:numPr>
        <w:jc w:val="both"/>
      </w:pPr>
      <w:r>
        <w:t xml:space="preserve">Identify possible gaps in </w:t>
      </w:r>
      <w:r w:rsidRPr="00FA0B83">
        <w:t xml:space="preserve">capabilities </w:t>
      </w:r>
      <w:r>
        <w:t>and capacities that need to be remedied</w:t>
      </w:r>
    </w:p>
    <w:p w:rsidR="00B037BF" w:rsidRPr="00FA0B83" w:rsidRDefault="0092374C" w:rsidP="000E1866">
      <w:pPr>
        <w:pStyle w:val="ListParagraph"/>
        <w:numPr>
          <w:ilvl w:val="0"/>
          <w:numId w:val="28"/>
        </w:numPr>
        <w:jc w:val="both"/>
      </w:pPr>
      <w:r>
        <w:t>Describe and a</w:t>
      </w:r>
      <w:r w:rsidRPr="00FA0B83">
        <w:t xml:space="preserve">ssess </w:t>
      </w:r>
      <w:r>
        <w:t xml:space="preserve">current </w:t>
      </w:r>
      <w:r w:rsidR="00B037BF" w:rsidRPr="00FA0B83">
        <w:t>institutional arrangements</w:t>
      </w:r>
      <w:r w:rsidR="002924B1">
        <w:t xml:space="preserve"> for the implementation of the NFMS/MRV and monitoring activities</w:t>
      </w:r>
    </w:p>
    <w:p w:rsidR="00B037BF" w:rsidRDefault="0092374C" w:rsidP="000E1866">
      <w:pPr>
        <w:pStyle w:val="ListParagraph"/>
        <w:numPr>
          <w:ilvl w:val="0"/>
          <w:numId w:val="28"/>
        </w:numPr>
        <w:jc w:val="both"/>
      </w:pPr>
      <w:r>
        <w:t>Identify issues related to the institutional arrangements that need to be reviewed and possibly revised in the Roadmap Implementation Phase.</w:t>
      </w:r>
    </w:p>
    <w:p w:rsidR="00FB2329" w:rsidRDefault="00FB2329" w:rsidP="0092374C">
      <w:pPr>
        <w:jc w:val="both"/>
      </w:pPr>
    </w:p>
    <w:p w:rsidR="0092374C" w:rsidRPr="00FA0B83" w:rsidRDefault="0092374C" w:rsidP="0092374C">
      <w:pPr>
        <w:jc w:val="both"/>
      </w:pPr>
    </w:p>
    <w:p w:rsidR="00B037BF" w:rsidRPr="00FA0B83" w:rsidRDefault="000E1866" w:rsidP="000A2439">
      <w:pPr>
        <w:jc w:val="both"/>
        <w:rPr>
          <w:b/>
        </w:rPr>
      </w:pPr>
      <w:r w:rsidRPr="00FA0B83">
        <w:rPr>
          <w:b/>
        </w:rPr>
        <w:t>REL/RL:</w:t>
      </w:r>
    </w:p>
    <w:p w:rsidR="002924B1" w:rsidRDefault="002F1E85" w:rsidP="002924B1">
      <w:pPr>
        <w:pStyle w:val="ListParagraph"/>
        <w:numPr>
          <w:ilvl w:val="0"/>
          <w:numId w:val="36"/>
        </w:numPr>
        <w:jc w:val="both"/>
      </w:pPr>
      <w:r>
        <w:t>P</w:t>
      </w:r>
      <w:r w:rsidR="002924B1">
        <w:t>rovide data and information that is available to describe and quantify:</w:t>
      </w:r>
    </w:p>
    <w:p w:rsidR="002924B1" w:rsidRDefault="002924B1" w:rsidP="002924B1">
      <w:pPr>
        <w:pStyle w:val="ListParagraph"/>
        <w:numPr>
          <w:ilvl w:val="0"/>
          <w:numId w:val="34"/>
        </w:numPr>
        <w:jc w:val="both"/>
      </w:pPr>
      <w:r>
        <w:t>Forest types:</w:t>
      </w:r>
    </w:p>
    <w:p w:rsidR="002924B1" w:rsidRDefault="002924B1" w:rsidP="002924B1">
      <w:pPr>
        <w:pStyle w:val="ListParagraph"/>
        <w:numPr>
          <w:ilvl w:val="1"/>
          <w:numId w:val="34"/>
        </w:numPr>
        <w:jc w:val="both"/>
      </w:pPr>
      <w:r>
        <w:t>Natural forests</w:t>
      </w:r>
    </w:p>
    <w:p w:rsidR="002924B1" w:rsidRDefault="002924B1" w:rsidP="002924B1">
      <w:pPr>
        <w:pStyle w:val="ListParagraph"/>
        <w:numPr>
          <w:ilvl w:val="1"/>
          <w:numId w:val="34"/>
        </w:numPr>
        <w:jc w:val="both"/>
      </w:pPr>
      <w:r>
        <w:t>Plantations</w:t>
      </w:r>
    </w:p>
    <w:p w:rsidR="002924B1" w:rsidRPr="005D108F" w:rsidRDefault="002924B1" w:rsidP="002924B1">
      <w:pPr>
        <w:pStyle w:val="ListParagraph"/>
        <w:numPr>
          <w:ilvl w:val="1"/>
          <w:numId w:val="34"/>
        </w:numPr>
        <w:jc w:val="both"/>
      </w:pPr>
      <w:r>
        <w:t>Mangroves, etc.</w:t>
      </w:r>
    </w:p>
    <w:p w:rsidR="002924B1" w:rsidRDefault="002924B1" w:rsidP="002924B1">
      <w:pPr>
        <w:pStyle w:val="ListParagraph"/>
        <w:numPr>
          <w:ilvl w:val="0"/>
          <w:numId w:val="34"/>
        </w:numPr>
        <w:jc w:val="both"/>
      </w:pPr>
      <w:r>
        <w:t>Carbon pools, Greenhouse Gases, Force Majeure</w:t>
      </w:r>
      <w:r w:rsidR="002551C9">
        <w:rPr>
          <w:rStyle w:val="FootnoteReference"/>
        </w:rPr>
        <w:footnoteReference w:id="2"/>
      </w:r>
    </w:p>
    <w:p w:rsidR="002924B1" w:rsidRDefault="002924B1" w:rsidP="002924B1">
      <w:pPr>
        <w:pStyle w:val="ListParagraph"/>
        <w:numPr>
          <w:ilvl w:val="0"/>
          <w:numId w:val="34"/>
        </w:numPr>
        <w:jc w:val="both"/>
      </w:pPr>
      <w:r>
        <w:t>Historic trends in emissions and deforestation</w:t>
      </w:r>
    </w:p>
    <w:p w:rsidR="002924B1" w:rsidRDefault="002F1E85" w:rsidP="002924B1">
      <w:pPr>
        <w:pStyle w:val="ListParagraph"/>
        <w:numPr>
          <w:ilvl w:val="0"/>
          <w:numId w:val="34"/>
        </w:numPr>
        <w:jc w:val="both"/>
      </w:pPr>
      <w:r>
        <w:t xml:space="preserve">Identify possible </w:t>
      </w:r>
      <w:r w:rsidR="002924B1">
        <w:t>REDD+ activities that can be undertaken</w:t>
      </w:r>
    </w:p>
    <w:p w:rsidR="002924B1" w:rsidRDefault="002F1E85" w:rsidP="002924B1">
      <w:pPr>
        <w:pStyle w:val="ListParagraph"/>
        <w:numPr>
          <w:ilvl w:val="0"/>
          <w:numId w:val="34"/>
        </w:numPr>
        <w:jc w:val="both"/>
      </w:pPr>
      <w:r>
        <w:t>Data and information relevant to make p</w:t>
      </w:r>
      <w:r w:rsidR="002924B1">
        <w:t>rojections:</w:t>
      </w:r>
    </w:p>
    <w:p w:rsidR="002924B1" w:rsidRPr="000677D2" w:rsidRDefault="002924B1" w:rsidP="002924B1">
      <w:pPr>
        <w:pStyle w:val="ListParagraph"/>
        <w:numPr>
          <w:ilvl w:val="1"/>
          <w:numId w:val="34"/>
        </w:numPr>
        <w:jc w:val="both"/>
      </w:pPr>
      <w:r w:rsidRPr="005D108F">
        <w:t xml:space="preserve">Approaches, methods, and models that </w:t>
      </w:r>
      <w:r w:rsidR="002F1E85">
        <w:t xml:space="preserve">are or </w:t>
      </w:r>
      <w:r w:rsidRPr="005D108F">
        <w:t>can be used</w:t>
      </w:r>
    </w:p>
    <w:p w:rsidR="002924B1" w:rsidRDefault="002924B1" w:rsidP="002924B1">
      <w:pPr>
        <w:pStyle w:val="ListParagraph"/>
        <w:numPr>
          <w:ilvl w:val="1"/>
          <w:numId w:val="34"/>
        </w:numPr>
        <w:jc w:val="both"/>
      </w:pPr>
      <w:r>
        <w:t>Harvesting rates, wood products</w:t>
      </w:r>
    </w:p>
    <w:p w:rsidR="002924B1" w:rsidRPr="005D108F" w:rsidRDefault="002924B1" w:rsidP="002924B1">
      <w:pPr>
        <w:pStyle w:val="ListParagraph"/>
        <w:numPr>
          <w:ilvl w:val="1"/>
          <w:numId w:val="34"/>
        </w:numPr>
        <w:jc w:val="both"/>
      </w:pPr>
      <w:r>
        <w:t>Age class structure of plantations</w:t>
      </w:r>
    </w:p>
    <w:p w:rsidR="002924B1" w:rsidRDefault="002924B1" w:rsidP="002924B1">
      <w:pPr>
        <w:jc w:val="both"/>
      </w:pPr>
    </w:p>
    <w:p w:rsidR="002F1E85" w:rsidRDefault="002924B1" w:rsidP="002B119F">
      <w:pPr>
        <w:pStyle w:val="ListParagraph"/>
        <w:numPr>
          <w:ilvl w:val="0"/>
          <w:numId w:val="36"/>
        </w:numPr>
        <w:jc w:val="both"/>
      </w:pPr>
      <w:r w:rsidRPr="00FA0B83">
        <w:t xml:space="preserve">Identify </w:t>
      </w:r>
      <w:r w:rsidR="002F1E85">
        <w:t>gaps in data</w:t>
      </w:r>
      <w:r w:rsidR="002B119F">
        <w:t>,</w:t>
      </w:r>
      <w:r w:rsidR="002F1E85">
        <w:t xml:space="preserve"> information</w:t>
      </w:r>
      <w:r w:rsidR="002B119F">
        <w:t xml:space="preserve"> and capacity</w:t>
      </w:r>
      <w:r w:rsidR="002F1E85">
        <w:t>, or, if that is not possible, d</w:t>
      </w:r>
      <w:r w:rsidR="002F1E85" w:rsidRPr="00FA0B83">
        <w:t xml:space="preserve">evelop a </w:t>
      </w:r>
      <w:proofErr w:type="spellStart"/>
      <w:r w:rsidR="002F1E85" w:rsidRPr="00FA0B83">
        <w:t>workplan</w:t>
      </w:r>
      <w:proofErr w:type="spellEnd"/>
      <w:r w:rsidR="002F1E85" w:rsidRPr="00FA0B83">
        <w:t xml:space="preserve"> to assess </w:t>
      </w:r>
      <w:r w:rsidR="002F1E85">
        <w:t xml:space="preserve">the </w:t>
      </w:r>
      <w:r w:rsidR="002F1E85" w:rsidRPr="00FA0B83">
        <w:t>available data and information</w:t>
      </w:r>
      <w:r w:rsidR="002F1E85">
        <w:t xml:space="preserve"> </w:t>
      </w:r>
    </w:p>
    <w:p w:rsidR="002924B1" w:rsidRDefault="002F1E85" w:rsidP="002B119F">
      <w:pPr>
        <w:pStyle w:val="ListParagraph"/>
        <w:numPr>
          <w:ilvl w:val="0"/>
          <w:numId w:val="36"/>
        </w:numPr>
        <w:jc w:val="both"/>
      </w:pPr>
      <w:r>
        <w:t xml:space="preserve">Identify </w:t>
      </w:r>
      <w:r w:rsidR="002924B1" w:rsidRPr="00FA0B83">
        <w:t>potential strategies for the development of forest RELs/RLs</w:t>
      </w:r>
      <w:r w:rsidR="002924B1">
        <w:t xml:space="preserve"> </w:t>
      </w:r>
      <w:r>
        <w:t>that addresses the above issues,</w:t>
      </w:r>
      <w:r w:rsidRPr="002F1E85">
        <w:t xml:space="preserve"> </w:t>
      </w:r>
      <w:r>
        <w:t>or, if that is not possible, d</w:t>
      </w:r>
      <w:r w:rsidRPr="00FA0B83">
        <w:t xml:space="preserve">evelop a </w:t>
      </w:r>
      <w:proofErr w:type="spellStart"/>
      <w:r w:rsidRPr="00FA0B83">
        <w:t>workplan</w:t>
      </w:r>
      <w:proofErr w:type="spellEnd"/>
      <w:r w:rsidRPr="00FA0B83">
        <w:t xml:space="preserve"> to</w:t>
      </w:r>
      <w:r w:rsidR="002924B1">
        <w:t xml:space="preserve"> </w:t>
      </w:r>
      <w:r>
        <w:t>identify the strategies.</w:t>
      </w:r>
    </w:p>
    <w:p w:rsidR="002B119F" w:rsidRPr="00FA0B83" w:rsidRDefault="002B119F" w:rsidP="002B119F">
      <w:pPr>
        <w:pStyle w:val="ListParagraph"/>
        <w:numPr>
          <w:ilvl w:val="0"/>
          <w:numId w:val="36"/>
        </w:numPr>
        <w:jc w:val="both"/>
      </w:pPr>
      <w:r>
        <w:t xml:space="preserve">Identify </w:t>
      </w:r>
      <w:r w:rsidRPr="00FA0B83">
        <w:t xml:space="preserve">potential strategies </w:t>
      </w:r>
      <w:r>
        <w:t>to remedy</w:t>
      </w:r>
      <w:r w:rsidRPr="00FA0B83">
        <w:t xml:space="preserve"> </w:t>
      </w:r>
      <w:r>
        <w:t>the capacity gaps to address the above issues,</w:t>
      </w:r>
      <w:r w:rsidRPr="002F1E85">
        <w:t xml:space="preserve"> </w:t>
      </w:r>
      <w:r>
        <w:t>or, if that is not possible, d</w:t>
      </w:r>
      <w:r w:rsidRPr="00FA0B83">
        <w:t xml:space="preserve">evelop a </w:t>
      </w:r>
      <w:proofErr w:type="spellStart"/>
      <w:r w:rsidRPr="00FA0B83">
        <w:t>workplan</w:t>
      </w:r>
      <w:proofErr w:type="spellEnd"/>
      <w:r w:rsidRPr="00FA0B83">
        <w:t xml:space="preserve"> to</w:t>
      </w:r>
      <w:r>
        <w:t xml:space="preserve"> do so.</w:t>
      </w:r>
    </w:p>
    <w:p w:rsidR="002924B1" w:rsidRDefault="002924B1" w:rsidP="002924B1">
      <w:pPr>
        <w:jc w:val="both"/>
      </w:pPr>
    </w:p>
    <w:p w:rsidR="002924B1" w:rsidRPr="00FA0B83" w:rsidRDefault="002B119F" w:rsidP="002924B1">
      <w:pPr>
        <w:jc w:val="both"/>
      </w:pPr>
      <w:r w:rsidRPr="00FA0B83">
        <w:rPr>
          <w:b/>
        </w:rPr>
        <w:t xml:space="preserve">NFMS/MRV </w:t>
      </w:r>
      <w:r>
        <w:rPr>
          <w:b/>
        </w:rPr>
        <w:t xml:space="preserve">and </w:t>
      </w:r>
      <w:r w:rsidRPr="00FA0B83">
        <w:rPr>
          <w:b/>
        </w:rPr>
        <w:t>REL/RL:</w:t>
      </w:r>
    </w:p>
    <w:p w:rsidR="002B119F" w:rsidRDefault="002B119F" w:rsidP="002B119F">
      <w:pPr>
        <w:jc w:val="both"/>
        <w:rPr>
          <w:rFonts w:cs="Arial"/>
        </w:rPr>
      </w:pPr>
      <w:r w:rsidRPr="002B119F">
        <w:rPr>
          <w:rFonts w:cs="Arial"/>
        </w:rPr>
        <w:lastRenderedPageBreak/>
        <w:t>Identify issues related to</w:t>
      </w:r>
      <w:r>
        <w:rPr>
          <w:rFonts w:cs="Arial"/>
        </w:rPr>
        <w:t>:</w:t>
      </w:r>
    </w:p>
    <w:p w:rsidR="002B119F" w:rsidRDefault="002B119F" w:rsidP="000A2439">
      <w:pPr>
        <w:pStyle w:val="ListParagraph"/>
        <w:numPr>
          <w:ilvl w:val="0"/>
          <w:numId w:val="38"/>
        </w:numPr>
        <w:jc w:val="both"/>
        <w:rPr>
          <w:rFonts w:cs="Arial"/>
        </w:rPr>
      </w:pPr>
      <w:proofErr w:type="gramStart"/>
      <w:r w:rsidRPr="002B119F">
        <w:rPr>
          <w:rFonts w:cs="Arial"/>
        </w:rPr>
        <w:t>the</w:t>
      </w:r>
      <w:proofErr w:type="gramEnd"/>
      <w:r w:rsidRPr="002B119F">
        <w:rPr>
          <w:rFonts w:cs="Arial"/>
        </w:rPr>
        <w:t xml:space="preserve"> h</w:t>
      </w:r>
      <w:r w:rsidR="000E1866" w:rsidRPr="002B119F">
        <w:rPr>
          <w:rFonts w:cs="Arial"/>
        </w:rPr>
        <w:t>uman, technical and financial resources</w:t>
      </w:r>
      <w:r w:rsidRPr="002B119F">
        <w:rPr>
          <w:rFonts w:cs="Arial"/>
        </w:rPr>
        <w:t xml:space="preserve"> required </w:t>
      </w:r>
    </w:p>
    <w:p w:rsidR="002B119F" w:rsidRDefault="000E1866" w:rsidP="000A2439">
      <w:pPr>
        <w:pStyle w:val="ListParagraph"/>
        <w:numPr>
          <w:ilvl w:val="0"/>
          <w:numId w:val="38"/>
        </w:numPr>
        <w:jc w:val="both"/>
        <w:rPr>
          <w:rFonts w:cs="Arial"/>
        </w:rPr>
      </w:pPr>
      <w:r w:rsidRPr="002B119F">
        <w:rPr>
          <w:rFonts w:cs="Arial"/>
        </w:rPr>
        <w:t>Access and security</w:t>
      </w:r>
    </w:p>
    <w:p w:rsidR="002B119F" w:rsidRDefault="00FA0B83" w:rsidP="002B119F">
      <w:pPr>
        <w:pStyle w:val="ListParagraph"/>
        <w:numPr>
          <w:ilvl w:val="0"/>
          <w:numId w:val="38"/>
        </w:numPr>
        <w:jc w:val="both"/>
        <w:rPr>
          <w:rFonts w:cs="Arial"/>
        </w:rPr>
      </w:pPr>
      <w:r w:rsidRPr="002B119F">
        <w:rPr>
          <w:rFonts w:cs="Arial"/>
        </w:rPr>
        <w:t xml:space="preserve">Land tenure </w:t>
      </w:r>
    </w:p>
    <w:p w:rsidR="00FA0B83" w:rsidRPr="002B119F" w:rsidRDefault="002B119F" w:rsidP="000A2439">
      <w:pPr>
        <w:pStyle w:val="ListParagraph"/>
        <w:numPr>
          <w:ilvl w:val="0"/>
          <w:numId w:val="38"/>
        </w:numPr>
        <w:jc w:val="both"/>
        <w:rPr>
          <w:rFonts w:cs="Arial"/>
        </w:rPr>
      </w:pPr>
      <w:r w:rsidRPr="002B119F">
        <w:rPr>
          <w:rFonts w:cs="Arial"/>
        </w:rPr>
        <w:t xml:space="preserve">Determining </w:t>
      </w:r>
      <w:r w:rsidR="000A2439" w:rsidRPr="002B119F">
        <w:rPr>
          <w:rFonts w:cs="Arial"/>
        </w:rPr>
        <w:t xml:space="preserve">national circumstances. </w:t>
      </w:r>
    </w:p>
    <w:p w:rsidR="00FA0B83" w:rsidRDefault="00FA0B83" w:rsidP="000A2439">
      <w:pPr>
        <w:jc w:val="both"/>
        <w:rPr>
          <w:rFonts w:cs="Arial"/>
        </w:rPr>
      </w:pPr>
    </w:p>
    <w:p w:rsidR="008E55DA" w:rsidRDefault="008E55DA" w:rsidP="000A2439"/>
    <w:p w:rsidR="00C574C7" w:rsidRDefault="00C574C7" w:rsidP="000A2439"/>
    <w:p w:rsidR="008E55DA" w:rsidRDefault="008E55DA" w:rsidP="000A2439">
      <w:pPr>
        <w:pStyle w:val="Heading1"/>
        <w:spacing w:before="0" w:after="0"/>
      </w:pPr>
      <w:r>
        <w:t>Outputs</w:t>
      </w:r>
    </w:p>
    <w:p w:rsidR="00E72A92" w:rsidRDefault="00E72A92" w:rsidP="000A2439">
      <w:pPr>
        <w:jc w:val="both"/>
      </w:pPr>
    </w:p>
    <w:p w:rsidR="00CE174C" w:rsidRPr="00CB5226" w:rsidRDefault="00FA0B83" w:rsidP="000A2439">
      <w:pPr>
        <w:jc w:val="both"/>
      </w:pPr>
      <w:r w:rsidRPr="00CB5226">
        <w:t>P</w:t>
      </w:r>
      <w:r w:rsidR="000A2439" w:rsidRPr="00CB5226">
        <w:t>reliminary gap analyses</w:t>
      </w:r>
      <w:r w:rsidR="002B119F">
        <w:t xml:space="preserve"> </w:t>
      </w:r>
      <w:r w:rsidR="002B119F" w:rsidRPr="00CB5226">
        <w:t>of</w:t>
      </w:r>
      <w:r w:rsidR="002B119F">
        <w:t>, and identification of critical issues related to</w:t>
      </w:r>
      <w:r w:rsidR="00CE174C" w:rsidRPr="00CB5226">
        <w:t>:</w:t>
      </w:r>
    </w:p>
    <w:p w:rsidR="00CE174C" w:rsidRPr="00CB5226" w:rsidRDefault="000A2439" w:rsidP="00CE174C">
      <w:pPr>
        <w:pStyle w:val="ListParagraph"/>
        <w:numPr>
          <w:ilvl w:val="0"/>
          <w:numId w:val="30"/>
        </w:numPr>
        <w:jc w:val="both"/>
      </w:pPr>
      <w:proofErr w:type="gramStart"/>
      <w:r w:rsidRPr="00CB5226">
        <w:t>remote</w:t>
      </w:r>
      <w:proofErr w:type="gramEnd"/>
      <w:r w:rsidRPr="00CB5226">
        <w:t xml:space="preserve"> sensing, forest inventory and GHG inventory capacities (identifying key gaps between national capacities and international guidance/best practice)</w:t>
      </w:r>
      <w:r w:rsidR="00FA0B83" w:rsidRPr="00CB5226">
        <w:t xml:space="preserve">, </w:t>
      </w:r>
      <w:r w:rsidR="00CE174C" w:rsidRPr="00CB5226">
        <w:t xml:space="preserve">including a </w:t>
      </w:r>
      <w:proofErr w:type="spellStart"/>
      <w:r w:rsidR="00CE174C" w:rsidRPr="00CB5226">
        <w:t>workplan</w:t>
      </w:r>
      <w:proofErr w:type="spellEnd"/>
      <w:r w:rsidR="00CE174C" w:rsidRPr="00CB5226">
        <w:t xml:space="preserve"> to design an agreed blueprint for a draft national NFMS/MRV framework, and action plan remedy the gaps; </w:t>
      </w:r>
      <w:r w:rsidR="00FA0B83" w:rsidRPr="00CB5226">
        <w:t>and</w:t>
      </w:r>
      <w:r w:rsidR="00CE174C" w:rsidRPr="00CB5226">
        <w:t>,</w:t>
      </w:r>
      <w:r w:rsidR="00FA0B83" w:rsidRPr="00CB5226">
        <w:t xml:space="preserve"> </w:t>
      </w:r>
    </w:p>
    <w:p w:rsidR="00FA0B83" w:rsidRPr="00CB5226" w:rsidRDefault="00FA0B83" w:rsidP="00CE174C">
      <w:pPr>
        <w:pStyle w:val="ListParagraph"/>
        <w:numPr>
          <w:ilvl w:val="0"/>
          <w:numId w:val="30"/>
        </w:numPr>
        <w:jc w:val="both"/>
      </w:pPr>
      <w:proofErr w:type="gramStart"/>
      <w:r w:rsidRPr="00CB5226">
        <w:t>modeling</w:t>
      </w:r>
      <w:proofErr w:type="gramEnd"/>
      <w:r w:rsidRPr="00CB5226">
        <w:t xml:space="preserve"> of national circumstances</w:t>
      </w:r>
      <w:r w:rsidR="002B119F">
        <w:t>;</w:t>
      </w:r>
      <w:r w:rsidR="00CE174C" w:rsidRPr="00CB5226">
        <w:t xml:space="preserve"> and</w:t>
      </w:r>
      <w:r w:rsidR="002B119F">
        <w:t>,</w:t>
      </w:r>
    </w:p>
    <w:p w:rsidR="00CE174C" w:rsidRPr="00CB5226" w:rsidRDefault="00CE174C" w:rsidP="00CE174C">
      <w:pPr>
        <w:pStyle w:val="ListParagraph"/>
        <w:numPr>
          <w:ilvl w:val="0"/>
          <w:numId w:val="30"/>
        </w:numPr>
        <w:jc w:val="both"/>
      </w:pPr>
      <w:proofErr w:type="gramStart"/>
      <w:r w:rsidRPr="00CB5226">
        <w:t>institutional</w:t>
      </w:r>
      <w:proofErr w:type="gramEnd"/>
      <w:r w:rsidRPr="00CB5226">
        <w:t xml:space="preserve"> arrangements, capacities, available resources and information, leading to a </w:t>
      </w:r>
      <w:proofErr w:type="spellStart"/>
      <w:r w:rsidRPr="00CB5226">
        <w:t>workplan</w:t>
      </w:r>
      <w:proofErr w:type="spellEnd"/>
      <w:r w:rsidRPr="00CB5226">
        <w:t xml:space="preserve"> to make suggestions for institutional reforms</w:t>
      </w:r>
      <w:r w:rsidR="002B119F">
        <w:t>, if appropriate</w:t>
      </w:r>
      <w:r w:rsidRPr="00CB5226">
        <w:t>.</w:t>
      </w:r>
    </w:p>
    <w:p w:rsidR="00FA0B83" w:rsidRPr="00CB5226" w:rsidRDefault="00FA0B83" w:rsidP="000A2439">
      <w:pPr>
        <w:jc w:val="both"/>
      </w:pPr>
    </w:p>
    <w:p w:rsidR="000A2439" w:rsidRDefault="000A2439" w:rsidP="000A2439"/>
    <w:p w:rsidR="00C574C7" w:rsidRPr="00CB5226" w:rsidRDefault="00C574C7" w:rsidP="000A2439"/>
    <w:p w:rsidR="008E55DA" w:rsidRDefault="008E55DA" w:rsidP="000A2439">
      <w:pPr>
        <w:pStyle w:val="Heading1"/>
        <w:spacing w:before="0" w:after="0"/>
      </w:pPr>
      <w:r>
        <w:t>Methods of Working</w:t>
      </w:r>
    </w:p>
    <w:p w:rsidR="000A2439" w:rsidRDefault="000A2439" w:rsidP="000A2439"/>
    <w:p w:rsidR="00CE174C" w:rsidRDefault="00EC2EC7" w:rsidP="00EC2EC7">
      <w:pPr>
        <w:jc w:val="both"/>
      </w:pPr>
      <w:r>
        <w:t xml:space="preserve">WG1 will meet for the first time in the week of 18 March 2013, and thereafter, on a ‘need to meet’ basis. The minimum number of meetings is 3 between 18 March and the end of May 2013. Deliverables are due by the latest on 17 May. The WG </w:t>
      </w:r>
      <w:r w:rsidR="00EC715B">
        <w:t xml:space="preserve">will devise </w:t>
      </w:r>
      <w:r>
        <w:t xml:space="preserve">its own </w:t>
      </w:r>
      <w:r w:rsidR="00EC715B">
        <w:t>method of working.</w:t>
      </w:r>
    </w:p>
    <w:p w:rsidR="000D390E" w:rsidRDefault="000D390E">
      <w:r>
        <w:br w:type="page"/>
      </w:r>
    </w:p>
    <w:p w:rsidR="008E55DA" w:rsidRDefault="008E55DA" w:rsidP="000A2439">
      <w:pPr>
        <w:jc w:val="both"/>
      </w:pPr>
    </w:p>
    <w:p w:rsidR="000D390E" w:rsidRPr="00D26FC6" w:rsidRDefault="000D390E" w:rsidP="000D390E">
      <w:pPr>
        <w:pStyle w:val="Title"/>
        <w:jc w:val="center"/>
        <w:rPr>
          <w:sz w:val="40"/>
          <w:szCs w:val="40"/>
        </w:rPr>
      </w:pPr>
      <w:r>
        <w:rPr>
          <w:sz w:val="40"/>
          <w:szCs w:val="40"/>
        </w:rPr>
        <w:t>Annex 1: the REDD+ Roadmap Process</w:t>
      </w:r>
    </w:p>
    <w:p w:rsidR="00922BF7" w:rsidRDefault="00922BF7" w:rsidP="000A2439">
      <w:pPr>
        <w:jc w:val="both"/>
      </w:pPr>
    </w:p>
    <w:p w:rsidR="000D390E" w:rsidRDefault="000D390E" w:rsidP="000A2439">
      <w:pPr>
        <w:jc w:val="both"/>
      </w:pPr>
      <w:r>
        <w:t>A REDD+ Readiness Roadmap is a country-specific, national document that:</w:t>
      </w:r>
    </w:p>
    <w:p w:rsidR="000D390E" w:rsidRDefault="000D390E" w:rsidP="000D390E">
      <w:pPr>
        <w:pStyle w:val="ListParagraph"/>
        <w:numPr>
          <w:ilvl w:val="0"/>
          <w:numId w:val="32"/>
        </w:numPr>
        <w:jc w:val="both"/>
      </w:pPr>
      <w:proofErr w:type="gramStart"/>
      <w:r>
        <w:t>sets</w:t>
      </w:r>
      <w:proofErr w:type="gramEnd"/>
      <w:r>
        <w:t xml:space="preserve"> out the current situation in a country with respect to activities, governance and capacity in the forest and land use sectors; and,</w:t>
      </w:r>
    </w:p>
    <w:p w:rsidR="000D390E" w:rsidRDefault="000D390E" w:rsidP="000D390E">
      <w:pPr>
        <w:pStyle w:val="ListParagraph"/>
        <w:numPr>
          <w:ilvl w:val="0"/>
          <w:numId w:val="32"/>
        </w:numPr>
        <w:jc w:val="both"/>
      </w:pPr>
      <w:proofErr w:type="gramStart"/>
      <w:r>
        <w:t>identifies</w:t>
      </w:r>
      <w:proofErr w:type="gramEnd"/>
      <w:r>
        <w:t xml:space="preserve"> the issues and activities that need to be addressed and implemented in order to prepare Pakistan for a national-level REDD+ program.</w:t>
      </w:r>
    </w:p>
    <w:p w:rsidR="000D390E" w:rsidRDefault="000D390E" w:rsidP="000D390E"/>
    <w:p w:rsidR="000D390E" w:rsidRDefault="000D390E" w:rsidP="00922BF7">
      <w:pPr>
        <w:jc w:val="both"/>
      </w:pPr>
      <w:r>
        <w:t xml:space="preserve">A REDD+ program is a voluntary, national-level strategy designed to access financial incentives through a future international climate change </w:t>
      </w:r>
      <w:r w:rsidR="00922BF7">
        <w:t xml:space="preserve">mitigation </w:t>
      </w:r>
      <w:r>
        <w:t>agreement under the UNFCCC, in return for demonstrated, verified</w:t>
      </w:r>
      <w:r w:rsidR="00922BF7">
        <w:t xml:space="preserve"> </w:t>
      </w:r>
      <w:r>
        <w:t>reductions in net Greenhouse Gas (GHG) emissions</w:t>
      </w:r>
      <w:r w:rsidR="00922BF7">
        <w:rPr>
          <w:rStyle w:val="FootnoteReference"/>
        </w:rPr>
        <w:footnoteReference w:id="3"/>
      </w:r>
      <w:r>
        <w:t xml:space="preserve"> </w:t>
      </w:r>
      <w:r w:rsidR="00922BF7">
        <w:t xml:space="preserve">resulting from </w:t>
      </w:r>
      <w:r>
        <w:t xml:space="preserve">the </w:t>
      </w:r>
      <w:r w:rsidR="00922BF7">
        <w:t xml:space="preserve">land use and </w:t>
      </w:r>
      <w:r>
        <w:t>forest sector</w:t>
      </w:r>
      <w:r w:rsidR="00922BF7">
        <w:t>s</w:t>
      </w:r>
      <w:r>
        <w:t xml:space="preserve">. The policies and measures to achieve these </w:t>
      </w:r>
      <w:r w:rsidR="00922BF7">
        <w:t xml:space="preserve">net emission </w:t>
      </w:r>
      <w:r>
        <w:t xml:space="preserve">reductions must largely be implemented at the local, or grassroots level, and be coordinated at national and sub-national levels of forest administration, according to the prevalent governance systems in the countries concerned. </w:t>
      </w:r>
    </w:p>
    <w:p w:rsidR="000D390E" w:rsidRDefault="000D390E" w:rsidP="00922BF7">
      <w:pPr>
        <w:jc w:val="both"/>
      </w:pPr>
      <w:r>
        <w:t xml:space="preserve">It will be possible for REDD+ programs to access incentives only when this </w:t>
      </w:r>
      <w:r w:rsidR="00922BF7">
        <w:t xml:space="preserve">future international climate change mitigation agreement under the UNFCCC </w:t>
      </w:r>
      <w:r>
        <w:t>has been finalized. In the meantime</w:t>
      </w:r>
      <w:r w:rsidR="00922BF7">
        <w:t xml:space="preserve"> however</w:t>
      </w:r>
      <w:r>
        <w:t>, countries can access support from various sources to get read</w:t>
      </w:r>
      <w:r w:rsidR="00922BF7">
        <w:t>y to implement a REDD+ program in due course</w:t>
      </w:r>
      <w:r>
        <w:t xml:space="preserve">.  </w:t>
      </w:r>
      <w:r w:rsidR="00922BF7">
        <w:t>This is often referred to as the “Readiness phase”, whereby a country prepares itself for the participation in this future REDD+ mechanism.</w:t>
      </w:r>
    </w:p>
    <w:p w:rsidR="000D390E" w:rsidRDefault="000D390E" w:rsidP="000D390E"/>
    <w:p w:rsidR="000D390E" w:rsidRDefault="000D390E" w:rsidP="00922BF7">
      <w:pPr>
        <w:jc w:val="both"/>
      </w:pPr>
      <w:r>
        <w:t xml:space="preserve">The Roadmap can serve </w:t>
      </w:r>
      <w:r w:rsidR="00DC56D1">
        <w:t>multiple</w:t>
      </w:r>
      <w:r w:rsidR="00922BF7">
        <w:t xml:space="preserve"> purposes. The elaboration of the Roadmap itself fa</w:t>
      </w:r>
      <w:r w:rsidR="00DC56D1">
        <w:t xml:space="preserve">cilitates a critical review of the land use and forest sectors, its governance, associated legislation, and the current performance. It can also function </w:t>
      </w:r>
      <w:r>
        <w:t xml:space="preserve">as the basis for planning REDD+ Readiness activities, allowing the government and other stakeholders to determine what can be done with existing resources, what additional financial and technical support is required, </w:t>
      </w:r>
      <w:r w:rsidR="00DC56D1">
        <w:t xml:space="preserve">which capacity needs to be build, how collaborations and enforcement can be strengthened, develop manners to engage stakeholders, optimize land use, </w:t>
      </w:r>
      <w:r>
        <w:t xml:space="preserve">and coordinate requests for this support to various agencies. Agencies which can provide such support include the UN Collaborative </w:t>
      </w:r>
      <w:proofErr w:type="spellStart"/>
      <w:r>
        <w:t>Programme</w:t>
      </w:r>
      <w:proofErr w:type="spellEnd"/>
      <w:r>
        <w:t xml:space="preserve"> on REDD+ (UN-REDD</w:t>
      </w:r>
      <w:r w:rsidR="00DC56D1">
        <w:t>:</w:t>
      </w:r>
      <w:r>
        <w:t xml:space="preserve"> </w:t>
      </w:r>
      <w:r w:rsidR="00DC56D1">
        <w:t xml:space="preserve">a joint venture of </w:t>
      </w:r>
      <w:r>
        <w:t>FAO, UNDP and UNEP</w:t>
      </w:r>
      <w:r w:rsidR="00DC56D1">
        <w:t>)</w:t>
      </w:r>
      <w:proofErr w:type="gramStart"/>
      <w:r>
        <w:t>;</w:t>
      </w:r>
      <w:proofErr w:type="gramEnd"/>
      <w:r>
        <w:t xml:space="preserve"> the World Bank’s Forest Carbon Partnership Facility (FCPF), bilateral </w:t>
      </w:r>
      <w:r w:rsidR="00DC56D1">
        <w:t xml:space="preserve">and multi-lateral </w:t>
      </w:r>
      <w:r>
        <w:t>donors</w:t>
      </w:r>
      <w:r w:rsidR="00DC56D1">
        <w:t>,</w:t>
      </w:r>
      <w:r>
        <w:t xml:space="preserve"> and private sector </w:t>
      </w:r>
      <w:r w:rsidR="00DC56D1">
        <w:t xml:space="preserve">entities and </w:t>
      </w:r>
      <w:r>
        <w:t>foundations</w:t>
      </w:r>
      <w:r w:rsidR="00DC56D1">
        <w:t xml:space="preserve"> and charitable </w:t>
      </w:r>
      <w:proofErr w:type="spellStart"/>
      <w:r w:rsidR="00DC56D1">
        <w:t>organisations</w:t>
      </w:r>
      <w:proofErr w:type="spellEnd"/>
      <w:r>
        <w:t>.</w:t>
      </w:r>
    </w:p>
    <w:p w:rsidR="00DC56D1" w:rsidRDefault="00DC56D1" w:rsidP="00DC56D1"/>
    <w:p w:rsidR="00DC56D1" w:rsidRDefault="000D390E" w:rsidP="00DC56D1">
      <w:pPr>
        <w:jc w:val="both"/>
      </w:pPr>
      <w:r>
        <w:t xml:space="preserve">The UN-REDD </w:t>
      </w:r>
      <w:proofErr w:type="spellStart"/>
      <w:r>
        <w:t>Programme</w:t>
      </w:r>
      <w:proofErr w:type="spellEnd"/>
      <w:r>
        <w:t xml:space="preserve"> has assisted various countries in Asia in the development of REDD+ Readiness Roadmap</w:t>
      </w:r>
      <w:r w:rsidR="00DC56D1">
        <w:t>s</w:t>
      </w:r>
      <w:r>
        <w:t xml:space="preserve">, including Cambodia, Bangladesh, Myanmar and Sri Lanka. Based on this experience, UN-REDD and the One UN JPE </w:t>
      </w:r>
      <w:r w:rsidR="00DC56D1">
        <w:lastRenderedPageBreak/>
        <w:t xml:space="preserve">in Pakistan </w:t>
      </w:r>
      <w:r>
        <w:t xml:space="preserve">have prepared a strategy for the Roadmap process and will provide financial support for its implementation. The process </w:t>
      </w:r>
      <w:r w:rsidR="00DC56D1">
        <w:t xml:space="preserve">is being </w:t>
      </w:r>
      <w:r>
        <w:t xml:space="preserve">facilitated by ICIMOD and WWF Pakistan, assisted by </w:t>
      </w:r>
      <w:r w:rsidR="00DC56D1">
        <w:t xml:space="preserve">Eveline Trines from Scope14+, </w:t>
      </w:r>
      <w:r>
        <w:t>an international consultant</w:t>
      </w:r>
      <w:r w:rsidR="00DC56D1">
        <w:t xml:space="preserve">. The REDD+ Roadmap process was launched officially with </w:t>
      </w:r>
      <w:r>
        <w:t xml:space="preserve">a national </w:t>
      </w:r>
      <w:r w:rsidR="00DC56D1">
        <w:t xml:space="preserve">consultative REDD+ </w:t>
      </w:r>
      <w:r>
        <w:t>Roadmap workshop on 21</w:t>
      </w:r>
      <w:r w:rsidRPr="00B0208F">
        <w:rPr>
          <w:vertAlign w:val="superscript"/>
        </w:rPr>
        <w:t>st</w:t>
      </w:r>
      <w:r>
        <w:t xml:space="preserve"> February 2013. </w:t>
      </w:r>
      <w:r w:rsidR="00DC56D1">
        <w:t>But in advance of that launch, several consultative and outreach meetings were held in various districts and provinces.</w:t>
      </w:r>
      <w:r>
        <w:t xml:space="preserve"> </w:t>
      </w:r>
    </w:p>
    <w:p w:rsidR="00DC56D1" w:rsidRDefault="00DC56D1" w:rsidP="00DC56D1">
      <w:pPr>
        <w:jc w:val="both"/>
      </w:pPr>
    </w:p>
    <w:p w:rsidR="000D390E" w:rsidRDefault="00DC56D1" w:rsidP="00DC56D1">
      <w:pPr>
        <w:jc w:val="both"/>
      </w:pPr>
      <w:proofErr w:type="gramStart"/>
      <w:r>
        <w:t>The REDD+ Roadmap will be compiled by Eveline Trines</w:t>
      </w:r>
      <w:proofErr w:type="gramEnd"/>
      <w:r>
        <w:t xml:space="preserve"> on the basis of information that is to be provided by various stakeholders. To that end 4 Working Groups (WGs) have been launched at the workshop on 21 February 2013. Those WGs will meet several times between now and the end of May 2013 and compile and make available relevant data and information in order to elaborate the REDD+ Roadmap. The completion of the draft REDD+ Roadmap is foreseen for June 2013, after which it will undergo a broad review </w:t>
      </w:r>
      <w:r w:rsidR="007E0214">
        <w:t>during a consultative process. Therefore, s</w:t>
      </w:r>
      <w:r w:rsidR="000D390E">
        <w:t>ubsequent steps in the process will be as follows:</w:t>
      </w:r>
    </w:p>
    <w:p w:rsidR="000D390E" w:rsidRDefault="000D390E" w:rsidP="007E0214">
      <w:pPr>
        <w:pStyle w:val="ListParagraph"/>
        <w:numPr>
          <w:ilvl w:val="0"/>
          <w:numId w:val="31"/>
        </w:numPr>
        <w:spacing w:after="200" w:line="276" w:lineRule="auto"/>
        <w:jc w:val="both"/>
      </w:pPr>
      <w:r>
        <w:t xml:space="preserve">Formation of four multi-stakeholder working groups to collect relevant information </w:t>
      </w:r>
      <w:r w:rsidR="007E0214">
        <w:t>and materials for the Roadmap;</w:t>
      </w:r>
    </w:p>
    <w:p w:rsidR="000D390E" w:rsidRDefault="000D390E" w:rsidP="007E0214">
      <w:pPr>
        <w:pStyle w:val="ListParagraph"/>
        <w:numPr>
          <w:ilvl w:val="0"/>
          <w:numId w:val="31"/>
        </w:numPr>
        <w:spacing w:after="200" w:line="276" w:lineRule="auto"/>
        <w:jc w:val="both"/>
      </w:pPr>
      <w:r>
        <w:t xml:space="preserve">Provincial workshops to </w:t>
      </w:r>
      <w:r w:rsidR="007E0214">
        <w:t>identify</w:t>
      </w:r>
      <w:r>
        <w:t xml:space="preserve"> governance issues and management arrangements for the REDD+ Readiness phase, locally-relevant drivers of deforestation and degradation and </w:t>
      </w:r>
      <w:r w:rsidR="007E0214">
        <w:t xml:space="preserve">identify </w:t>
      </w:r>
      <w:r>
        <w:t>potential strategies to address them</w:t>
      </w:r>
      <w:r w:rsidR="007E0214">
        <w:t>;</w:t>
      </w:r>
    </w:p>
    <w:p w:rsidR="000D390E" w:rsidRDefault="000D390E" w:rsidP="007E0214">
      <w:pPr>
        <w:pStyle w:val="ListParagraph"/>
        <w:numPr>
          <w:ilvl w:val="0"/>
          <w:numId w:val="31"/>
        </w:numPr>
        <w:spacing w:after="200" w:line="276" w:lineRule="auto"/>
        <w:jc w:val="both"/>
      </w:pPr>
      <w:r>
        <w:t>Collation of information and materials into a draft Roadmap document</w:t>
      </w:r>
      <w:r w:rsidR="007E0214">
        <w:t>;</w:t>
      </w:r>
    </w:p>
    <w:p w:rsidR="000D390E" w:rsidRDefault="000D390E" w:rsidP="007E0214">
      <w:pPr>
        <w:pStyle w:val="ListParagraph"/>
        <w:numPr>
          <w:ilvl w:val="0"/>
          <w:numId w:val="31"/>
        </w:numPr>
        <w:spacing w:after="200" w:line="276" w:lineRule="auto"/>
        <w:jc w:val="both"/>
      </w:pPr>
      <w:r>
        <w:t>National workshop for presentation and discussion of the draft</w:t>
      </w:r>
      <w:r w:rsidR="007E0214">
        <w:t xml:space="preserve"> REDD+</w:t>
      </w:r>
      <w:r>
        <w:t xml:space="preserve"> Roadmap (tentatively scheduled for June 2013)</w:t>
      </w:r>
      <w:r w:rsidR="007E0214">
        <w:t>; and,</w:t>
      </w:r>
    </w:p>
    <w:p w:rsidR="000D390E" w:rsidRDefault="000D390E" w:rsidP="007E0214">
      <w:pPr>
        <w:pStyle w:val="ListParagraph"/>
        <w:numPr>
          <w:ilvl w:val="0"/>
          <w:numId w:val="31"/>
        </w:numPr>
        <w:spacing w:after="200" w:line="276" w:lineRule="auto"/>
        <w:jc w:val="both"/>
      </w:pPr>
      <w:proofErr w:type="gramStart"/>
      <w:r>
        <w:t>Nationally-coordinated</w:t>
      </w:r>
      <w:proofErr w:type="gramEnd"/>
      <w:r>
        <w:t xml:space="preserve"> multi-stakeholder consultation process, and incorporation of resulting comments and amendments into a second draft Roadmap</w:t>
      </w:r>
      <w:r w:rsidR="007E0214">
        <w:t>.</w:t>
      </w:r>
    </w:p>
    <w:p w:rsidR="007E0214" w:rsidRDefault="007E0214" w:rsidP="007E0214">
      <w:pPr>
        <w:spacing w:after="200" w:line="276" w:lineRule="auto"/>
        <w:jc w:val="both"/>
      </w:pPr>
    </w:p>
    <w:p w:rsidR="007E0214" w:rsidRDefault="007E0214" w:rsidP="007E0214">
      <w:pPr>
        <w:spacing w:after="200" w:line="276" w:lineRule="auto"/>
        <w:jc w:val="both"/>
      </w:pPr>
    </w:p>
    <w:p w:rsidR="00400107" w:rsidRDefault="00400107">
      <w:r>
        <w:br w:type="page"/>
      </w:r>
    </w:p>
    <w:p w:rsidR="00400107" w:rsidRDefault="00400107" w:rsidP="00400107">
      <w:pPr>
        <w:jc w:val="both"/>
      </w:pPr>
    </w:p>
    <w:p w:rsidR="00400107" w:rsidRPr="00D26FC6" w:rsidRDefault="00400107" w:rsidP="00400107">
      <w:pPr>
        <w:pStyle w:val="Title"/>
        <w:jc w:val="center"/>
        <w:rPr>
          <w:sz w:val="40"/>
          <w:szCs w:val="40"/>
        </w:rPr>
      </w:pPr>
      <w:r>
        <w:rPr>
          <w:sz w:val="40"/>
          <w:szCs w:val="40"/>
        </w:rPr>
        <w:t>Annex 2: Possible Table of Content for the REDD+ Roadmap</w:t>
      </w:r>
    </w:p>
    <w:p w:rsidR="00400107" w:rsidRDefault="00400107" w:rsidP="00400107">
      <w:pPr>
        <w:jc w:val="both"/>
      </w:pPr>
    </w:p>
    <w:p w:rsidR="00402DBD" w:rsidRPr="00402DBD" w:rsidRDefault="00402DBD" w:rsidP="00402DBD">
      <w:pPr>
        <w:jc w:val="both"/>
        <w:rPr>
          <w:b/>
          <w:u w:val="single"/>
        </w:rPr>
      </w:pPr>
      <w:r w:rsidRPr="00402DBD">
        <w:rPr>
          <w:b/>
          <w:u w:val="single"/>
        </w:rPr>
        <w:t>Introduction</w:t>
      </w:r>
    </w:p>
    <w:p w:rsidR="00402DBD" w:rsidRPr="00402DBD" w:rsidRDefault="00402DBD" w:rsidP="00402DBD">
      <w:pPr>
        <w:jc w:val="both"/>
      </w:pPr>
      <w:r>
        <w:t>Country Profile</w:t>
      </w:r>
    </w:p>
    <w:p w:rsidR="00402DBD" w:rsidRPr="00402DBD" w:rsidRDefault="00402DBD" w:rsidP="00402DBD">
      <w:pPr>
        <w:jc w:val="both"/>
      </w:pPr>
      <w:r>
        <w:t>Pakistan and Climate Change</w:t>
      </w:r>
    </w:p>
    <w:p w:rsidR="00402DBD" w:rsidRPr="00402DBD" w:rsidRDefault="00402DBD" w:rsidP="00402DBD">
      <w:pPr>
        <w:jc w:val="both"/>
      </w:pPr>
      <w:r>
        <w:t>Pakistan Forest Sector</w:t>
      </w:r>
    </w:p>
    <w:p w:rsidR="00402DBD" w:rsidRPr="00402DBD" w:rsidRDefault="00402DBD" w:rsidP="00402DBD">
      <w:pPr>
        <w:jc w:val="both"/>
      </w:pPr>
      <w:r>
        <w:t>Background: International Framework for REDD+ Implementation</w:t>
      </w:r>
    </w:p>
    <w:p w:rsidR="00402DBD" w:rsidRDefault="00402DBD" w:rsidP="00402DBD">
      <w:pPr>
        <w:jc w:val="both"/>
      </w:pPr>
      <w:r>
        <w:t>Background: Pakistan REDD+ Readiness Roadmap</w:t>
      </w:r>
    </w:p>
    <w:p w:rsidR="00402DBD" w:rsidRPr="00402DBD" w:rsidRDefault="00402DBD" w:rsidP="00402DBD">
      <w:pPr>
        <w:jc w:val="both"/>
      </w:pPr>
    </w:p>
    <w:p w:rsidR="00402DBD" w:rsidRPr="00402DBD" w:rsidRDefault="00402DBD" w:rsidP="00402DBD">
      <w:pPr>
        <w:jc w:val="both"/>
        <w:rPr>
          <w:b/>
          <w:u w:val="single"/>
        </w:rPr>
      </w:pPr>
      <w:r w:rsidRPr="00402DBD">
        <w:rPr>
          <w:b/>
          <w:u w:val="single"/>
        </w:rPr>
        <w:t>Section 1: Management of REDD+ Readiness</w:t>
      </w:r>
    </w:p>
    <w:p w:rsidR="00402DBD" w:rsidRPr="00402DBD" w:rsidRDefault="00402DBD" w:rsidP="00402DBD">
      <w:pPr>
        <w:jc w:val="both"/>
      </w:pPr>
      <w:r>
        <w:t>Existing Climate Change policy framework in Pakistan</w:t>
      </w:r>
    </w:p>
    <w:p w:rsidR="00402DBD" w:rsidRPr="00402DBD" w:rsidRDefault="00402DBD" w:rsidP="00402DBD">
      <w:pPr>
        <w:jc w:val="both"/>
      </w:pPr>
      <w:r>
        <w:t>Key Policies and Laws relevant to Climate Change and Forests</w:t>
      </w:r>
    </w:p>
    <w:p w:rsidR="00402DBD" w:rsidRPr="00402DBD" w:rsidRDefault="00402DBD" w:rsidP="00402DBD">
      <w:pPr>
        <w:jc w:val="both"/>
      </w:pPr>
      <w:r>
        <w:t>Pre-existing government institutional framework</w:t>
      </w:r>
    </w:p>
    <w:p w:rsidR="00402DBD" w:rsidRPr="00402DBD" w:rsidRDefault="00402DBD" w:rsidP="00402DBD">
      <w:pPr>
        <w:jc w:val="both"/>
      </w:pPr>
      <w:r>
        <w:t>Pre-existing institutional framework for REDD+ Readiness</w:t>
      </w:r>
    </w:p>
    <w:p w:rsidR="00402DBD" w:rsidRPr="00402DBD" w:rsidRDefault="00402DBD" w:rsidP="00402DBD">
      <w:pPr>
        <w:jc w:val="both"/>
      </w:pPr>
      <w:r>
        <w:t>Potential Partners in REDD+ Roadmap</w:t>
      </w:r>
    </w:p>
    <w:p w:rsidR="00402DBD" w:rsidRPr="00402DBD" w:rsidRDefault="00402DBD" w:rsidP="00402DBD">
      <w:pPr>
        <w:jc w:val="both"/>
      </w:pPr>
      <w:r>
        <w:t>Gaps in Existing Management Structure</w:t>
      </w:r>
    </w:p>
    <w:p w:rsidR="00402DBD" w:rsidRDefault="00402DBD" w:rsidP="00402DBD">
      <w:pPr>
        <w:jc w:val="both"/>
      </w:pPr>
      <w:r>
        <w:t>Draft Proposal for Management of Readiness</w:t>
      </w:r>
    </w:p>
    <w:p w:rsidR="00402DBD" w:rsidRPr="00402DBD" w:rsidRDefault="00402DBD" w:rsidP="00402DBD">
      <w:pPr>
        <w:jc w:val="both"/>
      </w:pPr>
    </w:p>
    <w:p w:rsidR="00402DBD" w:rsidRPr="00402DBD" w:rsidRDefault="00402DBD" w:rsidP="00402DBD">
      <w:pPr>
        <w:jc w:val="both"/>
        <w:rPr>
          <w:b/>
          <w:u w:val="single"/>
        </w:rPr>
      </w:pPr>
      <w:r w:rsidRPr="00402DBD">
        <w:rPr>
          <w:b/>
          <w:u w:val="single"/>
        </w:rPr>
        <w:t>Section 2: Stakeholder Consultation and Participation</w:t>
      </w:r>
    </w:p>
    <w:p w:rsidR="00402DBD" w:rsidRPr="00402DBD" w:rsidRDefault="00402DBD" w:rsidP="00402DBD">
      <w:pPr>
        <w:jc w:val="both"/>
      </w:pPr>
      <w:r>
        <w:t>Stakeholder mapping and potential roles of stakeholders in REDD+</w:t>
      </w:r>
    </w:p>
    <w:p w:rsidR="00402DBD" w:rsidRPr="00402DBD" w:rsidRDefault="00402DBD" w:rsidP="00402DBD">
      <w:pPr>
        <w:jc w:val="both"/>
      </w:pPr>
      <w:r>
        <w:t>Background to Stakeholder Consultation in the forest sector</w:t>
      </w:r>
    </w:p>
    <w:p w:rsidR="00402DBD" w:rsidRPr="00402DBD" w:rsidRDefault="00402DBD" w:rsidP="00402DBD">
      <w:pPr>
        <w:jc w:val="both"/>
      </w:pPr>
      <w:r>
        <w:t>Stakeholder Consultation process to date</w:t>
      </w:r>
    </w:p>
    <w:p w:rsidR="00402DBD" w:rsidRPr="00402DBD" w:rsidRDefault="00402DBD" w:rsidP="00402DBD">
      <w:pPr>
        <w:jc w:val="both"/>
      </w:pPr>
      <w:r>
        <w:t>Planned Consultation Processes</w:t>
      </w:r>
    </w:p>
    <w:p w:rsidR="00402DBD" w:rsidRPr="00402DBD" w:rsidRDefault="00402DBD" w:rsidP="00402DBD">
      <w:pPr>
        <w:jc w:val="both"/>
      </w:pPr>
      <w:r>
        <w:t>Gender Inclusiveness</w:t>
      </w:r>
    </w:p>
    <w:p w:rsidR="00402DBD" w:rsidRDefault="00402DBD" w:rsidP="00402DBD">
      <w:pPr>
        <w:jc w:val="both"/>
      </w:pPr>
      <w:r>
        <w:t>Compliance with the Principles of FPIC</w:t>
      </w:r>
    </w:p>
    <w:p w:rsidR="00402DBD" w:rsidRPr="00402DBD" w:rsidRDefault="00402DBD" w:rsidP="00402DBD">
      <w:pPr>
        <w:jc w:val="both"/>
      </w:pPr>
    </w:p>
    <w:p w:rsidR="00402DBD" w:rsidRPr="000677D2" w:rsidRDefault="00402DBD" w:rsidP="000677D2">
      <w:pPr>
        <w:jc w:val="both"/>
        <w:rPr>
          <w:b/>
          <w:u w:val="single"/>
        </w:rPr>
      </w:pPr>
      <w:r w:rsidRPr="000677D2">
        <w:rPr>
          <w:b/>
          <w:u w:val="single"/>
        </w:rPr>
        <w:t>Section 3: Development and Selection of REDD+ Strategies</w:t>
      </w:r>
    </w:p>
    <w:p w:rsidR="00402DBD" w:rsidRPr="000677D2" w:rsidRDefault="00402DBD" w:rsidP="000677D2">
      <w:pPr>
        <w:jc w:val="both"/>
      </w:pPr>
      <w:r>
        <w:t>Initial Assessment of Drivers of Deforestation and Degradation</w:t>
      </w:r>
    </w:p>
    <w:p w:rsidR="00402DBD" w:rsidRPr="000677D2" w:rsidRDefault="00402DBD" w:rsidP="000677D2">
      <w:pPr>
        <w:jc w:val="both"/>
      </w:pPr>
      <w:r>
        <w:t>REDD+ strategy options per forest type (mountain forests, arid forest, mangroves, etc.)</w:t>
      </w:r>
    </w:p>
    <w:p w:rsidR="00402DBD" w:rsidRPr="000677D2" w:rsidRDefault="00402DBD" w:rsidP="000677D2">
      <w:pPr>
        <w:jc w:val="both"/>
      </w:pPr>
      <w:r>
        <w:t>Further</w:t>
      </w:r>
      <w:r w:rsidRPr="001D650F">
        <w:t xml:space="preserve"> Studies </w:t>
      </w:r>
      <w:r>
        <w:t>on</w:t>
      </w:r>
      <w:r w:rsidRPr="001D650F">
        <w:t xml:space="preserve"> </w:t>
      </w:r>
      <w:r>
        <w:t>drivers</w:t>
      </w:r>
      <w:r w:rsidRPr="001D650F">
        <w:t xml:space="preserve"> </w:t>
      </w:r>
      <w:r>
        <w:t>of</w:t>
      </w:r>
      <w:r w:rsidRPr="001D650F">
        <w:t xml:space="preserve"> </w:t>
      </w:r>
      <w:r>
        <w:t>deforestation</w:t>
      </w:r>
      <w:r w:rsidRPr="001D650F">
        <w:t xml:space="preserve"> </w:t>
      </w:r>
      <w:r>
        <w:t>and</w:t>
      </w:r>
      <w:r w:rsidRPr="001D650F">
        <w:t xml:space="preserve"> </w:t>
      </w:r>
      <w:r>
        <w:t>forest</w:t>
      </w:r>
      <w:r w:rsidRPr="001D650F">
        <w:t xml:space="preserve"> </w:t>
      </w:r>
      <w:r>
        <w:t>degradation</w:t>
      </w:r>
    </w:p>
    <w:p w:rsidR="00402DBD" w:rsidRPr="000677D2" w:rsidRDefault="00402DBD" w:rsidP="000677D2">
      <w:pPr>
        <w:jc w:val="both"/>
      </w:pPr>
      <w:r>
        <w:t>Assessment of Policies,</w:t>
      </w:r>
      <w:r w:rsidRPr="001D650F">
        <w:t xml:space="preserve"> </w:t>
      </w:r>
      <w:r>
        <w:t>Laws</w:t>
      </w:r>
      <w:r w:rsidRPr="001D650F">
        <w:t xml:space="preserve"> </w:t>
      </w:r>
      <w:r>
        <w:t>and</w:t>
      </w:r>
      <w:r w:rsidRPr="001D650F">
        <w:t xml:space="preserve"> </w:t>
      </w:r>
      <w:r>
        <w:t>Rules</w:t>
      </w:r>
    </w:p>
    <w:p w:rsidR="00402DBD" w:rsidRPr="000677D2" w:rsidRDefault="00402DBD" w:rsidP="000677D2">
      <w:pPr>
        <w:jc w:val="both"/>
      </w:pPr>
      <w:r>
        <w:t>REDD</w:t>
      </w:r>
      <w:r w:rsidRPr="001D650F">
        <w:t xml:space="preserve">+ </w:t>
      </w:r>
      <w:r>
        <w:t>Strategy Options</w:t>
      </w:r>
    </w:p>
    <w:p w:rsidR="00402DBD" w:rsidRPr="000677D2" w:rsidRDefault="00402DBD" w:rsidP="000677D2">
      <w:pPr>
        <w:jc w:val="both"/>
      </w:pPr>
      <w:r>
        <w:t>Feasibility Assessment of Potential REDD+ Strategies</w:t>
      </w:r>
    </w:p>
    <w:p w:rsidR="00402DBD" w:rsidRDefault="00402DBD" w:rsidP="000677D2">
      <w:pPr>
        <w:jc w:val="both"/>
      </w:pPr>
      <w:r>
        <w:t>Planning Process for REDD+ Strategy Implementation</w:t>
      </w:r>
    </w:p>
    <w:p w:rsidR="000677D2" w:rsidRPr="000677D2" w:rsidRDefault="000677D2" w:rsidP="000677D2">
      <w:pPr>
        <w:rPr>
          <w:rFonts w:eastAsiaTheme="minorEastAsia"/>
          <w:lang w:val="en-GB"/>
        </w:rPr>
      </w:pPr>
    </w:p>
    <w:p w:rsidR="00402DBD" w:rsidRPr="000677D2" w:rsidRDefault="00402DBD" w:rsidP="000677D2">
      <w:pPr>
        <w:jc w:val="both"/>
        <w:rPr>
          <w:b/>
          <w:u w:val="single"/>
        </w:rPr>
      </w:pPr>
      <w:r w:rsidRPr="000677D2">
        <w:rPr>
          <w:b/>
          <w:u w:val="single"/>
        </w:rPr>
        <w:t>Section 4: Implementation Framework and Safeguards</w:t>
      </w:r>
    </w:p>
    <w:p w:rsidR="00402DBD" w:rsidRPr="000677D2" w:rsidRDefault="00402DBD" w:rsidP="000677D2">
      <w:pPr>
        <w:jc w:val="both"/>
      </w:pPr>
      <w:r>
        <w:t>Objective of this component</w:t>
      </w:r>
    </w:p>
    <w:p w:rsidR="00402DBD" w:rsidRPr="000677D2" w:rsidRDefault="00402DBD" w:rsidP="000677D2">
      <w:pPr>
        <w:jc w:val="both"/>
      </w:pPr>
      <w:r>
        <w:t>Outcomes of this component</w:t>
      </w:r>
    </w:p>
    <w:p w:rsidR="00402DBD" w:rsidRPr="000677D2" w:rsidRDefault="00402DBD" w:rsidP="000677D2">
      <w:pPr>
        <w:jc w:val="both"/>
      </w:pPr>
      <w:r>
        <w:t>Elements of the REDD+ Implementation Framework</w:t>
      </w:r>
    </w:p>
    <w:p w:rsidR="00402DBD" w:rsidRPr="000677D2" w:rsidRDefault="00402DBD" w:rsidP="000677D2">
      <w:pPr>
        <w:jc w:val="both"/>
      </w:pPr>
      <w:r>
        <w:t>Operationalising the Institutional Structure</w:t>
      </w:r>
    </w:p>
    <w:p w:rsidR="00402DBD" w:rsidRPr="000677D2" w:rsidRDefault="00402DBD" w:rsidP="000677D2">
      <w:pPr>
        <w:jc w:val="both"/>
      </w:pPr>
      <w:r>
        <w:t>Legal Aspects</w:t>
      </w:r>
    </w:p>
    <w:p w:rsidR="00402DBD" w:rsidRPr="000677D2" w:rsidRDefault="00402DBD" w:rsidP="000677D2">
      <w:pPr>
        <w:jc w:val="both"/>
      </w:pPr>
      <w:r>
        <w:t>Clarifying land tenure and land use rights (including indigenous peoples’ rights)</w:t>
      </w:r>
      <w:r w:rsidRPr="000677D2">
        <w:t xml:space="preserve"> </w:t>
      </w:r>
    </w:p>
    <w:p w:rsidR="00402DBD" w:rsidRPr="000677D2" w:rsidRDefault="00402DBD" w:rsidP="000677D2">
      <w:pPr>
        <w:jc w:val="both"/>
      </w:pPr>
      <w:r>
        <w:lastRenderedPageBreak/>
        <w:t>Financial Aspects</w:t>
      </w:r>
    </w:p>
    <w:p w:rsidR="00402DBD" w:rsidRDefault="00402DBD" w:rsidP="000677D2">
      <w:pPr>
        <w:jc w:val="both"/>
      </w:pPr>
      <w:r>
        <w:t>Social and Environmental Safeguards</w:t>
      </w:r>
    </w:p>
    <w:p w:rsidR="000677D2" w:rsidRPr="000677D2" w:rsidRDefault="000677D2" w:rsidP="000677D2">
      <w:pPr>
        <w:jc w:val="both"/>
      </w:pPr>
    </w:p>
    <w:p w:rsidR="00402DBD" w:rsidRPr="000677D2" w:rsidRDefault="00402DBD" w:rsidP="000677D2">
      <w:pPr>
        <w:jc w:val="both"/>
        <w:rPr>
          <w:b/>
          <w:u w:val="single"/>
        </w:rPr>
      </w:pPr>
      <w:r w:rsidRPr="000677D2">
        <w:rPr>
          <w:b/>
          <w:u w:val="single"/>
        </w:rPr>
        <w:t xml:space="preserve">Section 5: Develop a National Forest Reference Emission Level (REL)/Reference Level (RL) </w:t>
      </w:r>
    </w:p>
    <w:p w:rsidR="00402DBD" w:rsidRPr="000677D2" w:rsidRDefault="00402DBD" w:rsidP="000677D2">
      <w:pPr>
        <w:jc w:val="both"/>
      </w:pPr>
      <w:r>
        <w:t>Introduction</w:t>
      </w:r>
    </w:p>
    <w:p w:rsidR="00402DBD" w:rsidRPr="000677D2" w:rsidRDefault="00402DBD" w:rsidP="000677D2">
      <w:pPr>
        <w:jc w:val="both"/>
      </w:pPr>
      <w:r>
        <w:t>Objectives</w:t>
      </w:r>
    </w:p>
    <w:p w:rsidR="00402DBD" w:rsidRDefault="00402DBD" w:rsidP="000677D2">
      <w:pPr>
        <w:jc w:val="both"/>
      </w:pPr>
      <w:r>
        <w:t>Data availability:</w:t>
      </w:r>
    </w:p>
    <w:p w:rsidR="00402DBD" w:rsidRDefault="00402DBD" w:rsidP="000677D2">
      <w:pPr>
        <w:pStyle w:val="ListParagraph"/>
        <w:numPr>
          <w:ilvl w:val="0"/>
          <w:numId w:val="34"/>
        </w:numPr>
        <w:jc w:val="both"/>
      </w:pPr>
      <w:r>
        <w:t>Natural forests</w:t>
      </w:r>
    </w:p>
    <w:p w:rsidR="00402DBD" w:rsidRDefault="00402DBD" w:rsidP="000677D2">
      <w:pPr>
        <w:pStyle w:val="ListParagraph"/>
        <w:numPr>
          <w:ilvl w:val="0"/>
          <w:numId w:val="34"/>
        </w:numPr>
        <w:jc w:val="both"/>
      </w:pPr>
      <w:r>
        <w:t>Plantations</w:t>
      </w:r>
    </w:p>
    <w:p w:rsidR="00402DBD" w:rsidRPr="005D108F" w:rsidRDefault="00402DBD" w:rsidP="000677D2">
      <w:pPr>
        <w:pStyle w:val="ListParagraph"/>
        <w:numPr>
          <w:ilvl w:val="0"/>
          <w:numId w:val="34"/>
        </w:numPr>
        <w:jc w:val="both"/>
      </w:pPr>
      <w:r>
        <w:t>Mangroves, etc.</w:t>
      </w:r>
    </w:p>
    <w:p w:rsidR="00402DBD" w:rsidRDefault="00402DBD" w:rsidP="000677D2">
      <w:pPr>
        <w:jc w:val="both"/>
      </w:pPr>
      <w:r>
        <w:t>Carbon pools, Greenhouse Gases, Force Majeure</w:t>
      </w:r>
    </w:p>
    <w:p w:rsidR="00402DBD" w:rsidRDefault="00402DBD" w:rsidP="000677D2">
      <w:pPr>
        <w:jc w:val="both"/>
      </w:pPr>
      <w:r>
        <w:t>Historic trends in emissions and deforestation</w:t>
      </w:r>
    </w:p>
    <w:p w:rsidR="00402DBD" w:rsidRDefault="00402DBD" w:rsidP="000677D2">
      <w:pPr>
        <w:jc w:val="both"/>
      </w:pPr>
      <w:r>
        <w:t>REDD+ activities that can be undertaken</w:t>
      </w:r>
    </w:p>
    <w:p w:rsidR="00402DBD" w:rsidRDefault="00402DBD" w:rsidP="000677D2">
      <w:pPr>
        <w:jc w:val="both"/>
      </w:pPr>
      <w:r>
        <w:t>Projections:</w:t>
      </w:r>
    </w:p>
    <w:p w:rsidR="00402DBD" w:rsidRPr="000677D2" w:rsidRDefault="00402DBD" w:rsidP="000677D2">
      <w:pPr>
        <w:pStyle w:val="ListParagraph"/>
        <w:numPr>
          <w:ilvl w:val="0"/>
          <w:numId w:val="35"/>
        </w:numPr>
        <w:jc w:val="both"/>
      </w:pPr>
      <w:r w:rsidRPr="005D108F">
        <w:t>Approaches, methods, and models that can be used</w:t>
      </w:r>
    </w:p>
    <w:p w:rsidR="00402DBD" w:rsidRDefault="00402DBD" w:rsidP="000677D2">
      <w:pPr>
        <w:pStyle w:val="ListParagraph"/>
        <w:numPr>
          <w:ilvl w:val="0"/>
          <w:numId w:val="35"/>
        </w:numPr>
        <w:jc w:val="both"/>
      </w:pPr>
      <w:r>
        <w:t>Harvesting rates, wood products</w:t>
      </w:r>
    </w:p>
    <w:p w:rsidR="00402DBD" w:rsidRPr="005D108F" w:rsidRDefault="00402DBD" w:rsidP="000677D2">
      <w:pPr>
        <w:pStyle w:val="ListParagraph"/>
        <w:numPr>
          <w:ilvl w:val="0"/>
          <w:numId w:val="35"/>
        </w:numPr>
        <w:jc w:val="both"/>
      </w:pPr>
      <w:r>
        <w:t>Age class structure of plantations</w:t>
      </w:r>
    </w:p>
    <w:p w:rsidR="000677D2" w:rsidRDefault="000677D2" w:rsidP="000677D2">
      <w:pPr>
        <w:jc w:val="both"/>
        <w:rPr>
          <w:b/>
          <w:u w:val="single"/>
        </w:rPr>
      </w:pPr>
    </w:p>
    <w:p w:rsidR="00402DBD" w:rsidRPr="000677D2" w:rsidRDefault="00402DBD" w:rsidP="000677D2">
      <w:pPr>
        <w:jc w:val="both"/>
        <w:rPr>
          <w:b/>
          <w:u w:val="single"/>
        </w:rPr>
      </w:pPr>
      <w:r w:rsidRPr="000677D2">
        <w:rPr>
          <w:b/>
          <w:u w:val="single"/>
        </w:rPr>
        <w:t>Section 6: Development of Monitoring and MRV systems</w:t>
      </w:r>
    </w:p>
    <w:p w:rsidR="00402DBD" w:rsidRPr="000677D2" w:rsidRDefault="00402DBD" w:rsidP="000677D2">
      <w:pPr>
        <w:jc w:val="both"/>
      </w:pPr>
      <w:r>
        <w:t>Institutional arrangements for the implementation of the NFMS/MRV activities</w:t>
      </w:r>
    </w:p>
    <w:p w:rsidR="00402DBD" w:rsidRPr="000677D2" w:rsidRDefault="002924B1" w:rsidP="000677D2">
      <w:pPr>
        <w:jc w:val="both"/>
      </w:pPr>
      <w:r>
        <w:t>Issues to be addressed in order to build</w:t>
      </w:r>
      <w:r w:rsidR="00402DBD">
        <w:t xml:space="preserve"> capacities to implement the GHG inventory for the forest sector</w:t>
      </w:r>
    </w:p>
    <w:p w:rsidR="00402DBD" w:rsidRPr="000677D2" w:rsidRDefault="002924B1" w:rsidP="000677D2">
      <w:pPr>
        <w:jc w:val="both"/>
      </w:pPr>
      <w:r>
        <w:t>Issues to be addressed in order to d</w:t>
      </w:r>
      <w:r w:rsidR="00402DBD">
        <w:t>evelop a Satellite Forest Monitoring System</w:t>
      </w:r>
    </w:p>
    <w:p w:rsidR="00402DBD" w:rsidRDefault="002924B1" w:rsidP="000677D2">
      <w:pPr>
        <w:jc w:val="both"/>
      </w:pPr>
      <w:r>
        <w:t>Issues to be addressed in order to d</w:t>
      </w:r>
      <w:r w:rsidR="00402DBD">
        <w:t>esign a National Forest Inventory</w:t>
      </w:r>
    </w:p>
    <w:p w:rsidR="00402DBD" w:rsidRDefault="002924B1" w:rsidP="000677D2">
      <w:pPr>
        <w:jc w:val="both"/>
      </w:pPr>
      <w:r>
        <w:t>Issues to be addressed in order to s</w:t>
      </w:r>
      <w:r w:rsidR="00402DBD">
        <w:t>upport scientific research on key issues</w:t>
      </w:r>
    </w:p>
    <w:p w:rsidR="000677D2" w:rsidRDefault="000677D2" w:rsidP="000677D2">
      <w:pPr>
        <w:rPr>
          <w:lang w:val="en-GB"/>
        </w:rPr>
      </w:pPr>
    </w:p>
    <w:p w:rsidR="000677D2" w:rsidRPr="000677D2" w:rsidRDefault="000677D2" w:rsidP="000677D2">
      <w:pPr>
        <w:rPr>
          <w:lang w:val="en-GB"/>
        </w:rPr>
      </w:pPr>
    </w:p>
    <w:p w:rsidR="007E0214" w:rsidRPr="00402DBD" w:rsidRDefault="007E0214" w:rsidP="007E0214">
      <w:pPr>
        <w:spacing w:after="200" w:line="276" w:lineRule="auto"/>
        <w:jc w:val="both"/>
        <w:rPr>
          <w:lang w:val="en-GB"/>
        </w:rPr>
      </w:pPr>
    </w:p>
    <w:p w:rsidR="007E0214" w:rsidRPr="007E0214" w:rsidRDefault="007E0214" w:rsidP="007E0214">
      <w:pPr>
        <w:spacing w:after="200" w:line="276" w:lineRule="auto"/>
        <w:jc w:val="center"/>
        <w:rPr>
          <w:sz w:val="56"/>
          <w:szCs w:val="56"/>
        </w:rPr>
      </w:pPr>
      <w:r w:rsidRPr="007E0214">
        <w:rPr>
          <w:sz w:val="56"/>
          <w:szCs w:val="56"/>
        </w:rPr>
        <w:sym w:font="Wingdings" w:char="F09A"/>
      </w:r>
    </w:p>
    <w:sectPr w:rsidR="007E0214" w:rsidRPr="007E0214" w:rsidSect="000D390E">
      <w:headerReference w:type="default" r:id="rId9"/>
      <w:pgSz w:w="11900" w:h="16840"/>
      <w:pgMar w:top="1843" w:right="164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AD" w:rsidRDefault="00CF50AD" w:rsidP="00656B4D">
      <w:r>
        <w:separator/>
      </w:r>
    </w:p>
  </w:endnote>
  <w:endnote w:type="continuationSeparator" w:id="0">
    <w:p w:rsidR="00CF50AD" w:rsidRDefault="00CF50AD" w:rsidP="0065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AD" w:rsidRDefault="00CF50AD" w:rsidP="00656B4D">
      <w:r>
        <w:separator/>
      </w:r>
    </w:p>
  </w:footnote>
  <w:footnote w:type="continuationSeparator" w:id="0">
    <w:p w:rsidR="00CF50AD" w:rsidRDefault="00CF50AD" w:rsidP="00656B4D">
      <w:r>
        <w:continuationSeparator/>
      </w:r>
    </w:p>
  </w:footnote>
  <w:footnote w:id="1">
    <w:p w:rsidR="00B36000" w:rsidRPr="00B36000" w:rsidRDefault="00B36000" w:rsidP="00B36000">
      <w:pPr>
        <w:pStyle w:val="FootnoteText"/>
        <w:ind w:left="720" w:hanging="720"/>
        <w:jc w:val="both"/>
        <w:rPr>
          <w:b/>
        </w:rPr>
      </w:pPr>
      <w:r>
        <w:rPr>
          <w:rStyle w:val="FootnoteReference"/>
        </w:rPr>
        <w:footnoteRef/>
      </w:r>
      <w:r>
        <w:t xml:space="preserve"> </w:t>
      </w:r>
      <w:r>
        <w:tab/>
        <w:t>The term REL is used in case the total net balance between emissions and removals results in a net emission (emissions &gt; removals) whilst the term RL is used in case the total net balance between emissions and removals results in a net removal (emissions &lt; removals).</w:t>
      </w:r>
    </w:p>
  </w:footnote>
  <w:footnote w:id="2">
    <w:p w:rsidR="002551C9" w:rsidRPr="002551C9" w:rsidRDefault="002551C9" w:rsidP="00C26347">
      <w:pPr>
        <w:pStyle w:val="FootnoteText"/>
        <w:ind w:left="720" w:hanging="720"/>
        <w:jc w:val="both"/>
      </w:pPr>
      <w:r>
        <w:rPr>
          <w:rStyle w:val="FootnoteReference"/>
        </w:rPr>
        <w:footnoteRef/>
      </w:r>
      <w:r>
        <w:t xml:space="preserve"> </w:t>
      </w:r>
      <w:r>
        <w:tab/>
      </w:r>
      <w:r w:rsidR="00C26347">
        <w:t xml:space="preserve">Force majeure: </w:t>
      </w:r>
      <w:proofErr w:type="gramStart"/>
      <w:r w:rsidRPr="00C26347">
        <w:t>extraordinary occurrences whose severity is</w:t>
      </w:r>
      <w:proofErr w:type="gramEnd"/>
      <w:r w:rsidRPr="00C26347">
        <w:t xml:space="preserve"> beyond the control of, and not materially influenced by a Party</w:t>
      </w:r>
      <w:r w:rsidR="00C26347">
        <w:t xml:space="preserve"> (e.g. floods, landslides, earthquakes, etc.)</w:t>
      </w:r>
    </w:p>
  </w:footnote>
  <w:footnote w:id="3">
    <w:p w:rsidR="00922BF7" w:rsidRPr="00922BF7" w:rsidRDefault="00922BF7" w:rsidP="00922BF7">
      <w:pPr>
        <w:pStyle w:val="FootnoteText"/>
        <w:ind w:left="720" w:hanging="720"/>
        <w:jc w:val="both"/>
      </w:pPr>
      <w:r>
        <w:rPr>
          <w:rStyle w:val="FootnoteReference"/>
        </w:rPr>
        <w:footnoteRef/>
      </w:r>
      <w:r>
        <w:t xml:space="preserve"> </w:t>
      </w:r>
      <w:r w:rsidRPr="00922BF7">
        <w:tab/>
      </w:r>
      <w:r w:rsidRPr="00922BF7">
        <w:rPr>
          <w:i/>
          <w:u w:val="single"/>
        </w:rPr>
        <w:t>Net</w:t>
      </w:r>
      <w:r w:rsidRPr="00922BF7">
        <w:t xml:space="preserve"> GHG emissions are emissions minus removals, meaning </w:t>
      </w:r>
      <w:r>
        <w:t>the result of (emissions from deforestation and forest degradation) minus (removals through forest conservation, enhancement of carbon stocks and sustainable forest management).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DA" w:rsidRDefault="00CE174C">
    <w:pPr>
      <w:pStyle w:val="Header"/>
    </w:pPr>
    <w:r>
      <w:rPr>
        <w:noProof/>
      </w:rPr>
      <mc:AlternateContent>
        <mc:Choice Requires="wps">
          <w:drawing>
            <wp:anchor distT="0" distB="0" distL="114300" distR="114300" simplePos="0" relativeHeight="251658240" behindDoc="0" locked="0" layoutInCell="0" allowOverlap="1" wp14:anchorId="59FD9628" wp14:editId="7076668D">
              <wp:simplePos x="0" y="0"/>
              <wp:positionH relativeFrom="margin">
                <wp:align>left</wp:align>
              </wp:positionH>
              <wp:positionV relativeFrom="page">
                <wp:posOffset>368300</wp:posOffset>
              </wp:positionV>
              <wp:extent cx="5114925" cy="7143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90E" w:rsidRDefault="008E55DA">
                          <w:pPr>
                            <w:jc w:val="right"/>
                          </w:pPr>
                          <w:r>
                            <w:t xml:space="preserve">Working Group 1: </w:t>
                          </w:r>
                          <w:r w:rsidR="000D390E">
                            <w:t>National Forest Monitoring System and Reference Emission Level / Reference Level:</w:t>
                          </w:r>
                        </w:p>
                        <w:p w:rsidR="008E55DA" w:rsidRDefault="008E55DA">
                          <w:pPr>
                            <w:jc w:val="right"/>
                          </w:pPr>
                          <w:r>
                            <w:t>Terms of Reference</w:t>
                          </w:r>
                        </w:p>
                        <w:p w:rsidR="000D390E" w:rsidRDefault="000D390E" w:rsidP="000D390E"/>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pt;width:402.75pt;height:61.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mesQIAALM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" o:allowincell="f" filled="f" stroked="f">
              <v:textbox style="mso-fit-shape-to-text:t" inset=",0,,0">
                <w:txbxContent>
                  <w:p w:rsidR="000D390E" w:rsidRDefault="008E55DA">
                    <w:pPr>
                      <w:jc w:val="right"/>
                    </w:pPr>
                    <w:r>
                      <w:t xml:space="preserve">Working Group 1: </w:t>
                    </w:r>
                    <w:r w:rsidR="000D390E">
                      <w:t>National Forest Monitoring System and Reference Emission Level / Reference Level:</w:t>
                    </w:r>
                  </w:p>
                  <w:p w:rsidR="008E55DA" w:rsidRDefault="008E55DA">
                    <w:pPr>
                      <w:jc w:val="right"/>
                    </w:pPr>
                    <w:r>
                      <w:t>Terms of Reference</w:t>
                    </w:r>
                  </w:p>
                  <w:p w:rsidR="000D390E" w:rsidRDefault="000D390E" w:rsidP="000D390E"/>
                </w:txbxContent>
              </v:textbox>
              <w10:wrap anchorx="margin" anchory="page"/>
            </v:shape>
          </w:pict>
        </mc:Fallback>
      </mc:AlternateContent>
    </w:r>
    <w:r>
      <w:rPr>
        <w:noProof/>
      </w:rPr>
      <mc:AlternateContent>
        <mc:Choice Requires="wps">
          <w:drawing>
            <wp:anchor distT="0" distB="0" distL="114300" distR="114300" simplePos="0" relativeHeight="251657216" behindDoc="0" locked="0" layoutInCell="0" allowOverlap="1" wp14:anchorId="09493041" wp14:editId="57CCD8FF">
              <wp:simplePos x="0" y="0"/>
              <wp:positionH relativeFrom="page">
                <wp:align>right</wp:align>
              </wp:positionH>
              <wp:positionV relativeFrom="page">
                <wp:posOffset>368300</wp:posOffset>
              </wp:positionV>
              <wp:extent cx="1143000"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7843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55DA" w:rsidRPr="005C16E6" w:rsidRDefault="00355DF5">
                          <w:pPr>
                            <w:rPr>
                              <w:color w:val="FFFFFF"/>
                            </w:rPr>
                          </w:pPr>
                          <w:r>
                            <w:fldChar w:fldCharType="begin"/>
                          </w:r>
                          <w:r w:rsidR="00697D3E">
                            <w:instrText xml:space="preserve"> PAGE   \* MERGEFORMAT </w:instrText>
                          </w:r>
                          <w:r>
                            <w:fldChar w:fldCharType="separate"/>
                          </w:r>
                          <w:r w:rsidR="003F6CCA" w:rsidRPr="003F6CCA">
                            <w:rPr>
                              <w:noProof/>
                              <w:color w:val="FFFFFF"/>
                            </w:rPr>
                            <w:t>2</w:t>
                          </w:r>
                          <w:r>
                            <w:rPr>
                              <w:noProof/>
                              <w:color w:val="FFFFFF"/>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8.8pt;margin-top:29pt;width:90pt;height:14.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" o:allowincell="f" fillcolor="#4f81bd" stroked="f">
              <v:textbox style="mso-fit-shape-to-text:t" inset=",0,,0">
                <w:txbxContent>
                  <w:p w:rsidR="008E55DA" w:rsidRPr="005C16E6" w:rsidRDefault="00355DF5">
                    <w:pPr>
                      <w:rPr>
                        <w:color w:val="FFFFFF"/>
                      </w:rPr>
                    </w:pPr>
                    <w:r>
                      <w:fldChar w:fldCharType="begin"/>
                    </w:r>
                    <w:r w:rsidR="00697D3E">
                      <w:instrText xml:space="preserve"> PAGE   \* MERGEFORMAT </w:instrText>
                    </w:r>
                    <w:r>
                      <w:fldChar w:fldCharType="separate"/>
                    </w:r>
                    <w:r w:rsidR="000779BE" w:rsidRPr="000779BE">
                      <w:rPr>
                        <w:noProof/>
                        <w:color w:val="FFFFFF"/>
                      </w:rPr>
                      <w:t>3</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E4E"/>
    <w:multiLevelType w:val="hybridMultilevel"/>
    <w:tmpl w:val="015215A4"/>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066155D1"/>
    <w:multiLevelType w:val="hybridMultilevel"/>
    <w:tmpl w:val="180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42AE6"/>
    <w:multiLevelType w:val="hybridMultilevel"/>
    <w:tmpl w:val="22603C18"/>
    <w:lvl w:ilvl="0" w:tplc="1E863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73290"/>
    <w:multiLevelType w:val="hybridMultilevel"/>
    <w:tmpl w:val="F83800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2272880"/>
    <w:multiLevelType w:val="hybridMultilevel"/>
    <w:tmpl w:val="D9B4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F00BC"/>
    <w:multiLevelType w:val="hybridMultilevel"/>
    <w:tmpl w:val="6090D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7474459"/>
    <w:multiLevelType w:val="hybridMultilevel"/>
    <w:tmpl w:val="6990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E728BB"/>
    <w:multiLevelType w:val="hybridMultilevel"/>
    <w:tmpl w:val="7A9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E093B"/>
    <w:multiLevelType w:val="hybridMultilevel"/>
    <w:tmpl w:val="577CC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22B66"/>
    <w:multiLevelType w:val="hybridMultilevel"/>
    <w:tmpl w:val="25E0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0E2E70"/>
    <w:multiLevelType w:val="hybridMultilevel"/>
    <w:tmpl w:val="75F82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E162F"/>
    <w:multiLevelType w:val="hybridMultilevel"/>
    <w:tmpl w:val="391665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CDF27E1"/>
    <w:multiLevelType w:val="hybridMultilevel"/>
    <w:tmpl w:val="9708A3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3E80A71"/>
    <w:multiLevelType w:val="hybridMultilevel"/>
    <w:tmpl w:val="70E6B0A0"/>
    <w:lvl w:ilvl="0" w:tplc="51B05CF0">
      <w:start w:val="1"/>
      <w:numFmt w:val="lowerRoman"/>
      <w:lvlText w:val="%1)"/>
      <w:lvlJc w:val="righ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92E49B5"/>
    <w:multiLevelType w:val="hybridMultilevel"/>
    <w:tmpl w:val="ACAA7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4E78AD"/>
    <w:multiLevelType w:val="hybridMultilevel"/>
    <w:tmpl w:val="ADAAC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AB5075"/>
    <w:multiLevelType w:val="hybridMultilevel"/>
    <w:tmpl w:val="8228BD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D99556F"/>
    <w:multiLevelType w:val="hybridMultilevel"/>
    <w:tmpl w:val="EED88D12"/>
    <w:lvl w:ilvl="0" w:tplc="04130017">
      <w:start w:val="1"/>
      <w:numFmt w:val="lowerLetter"/>
      <w:lvlText w:val="%1)"/>
      <w:lvlJc w:val="left"/>
      <w:pPr>
        <w:ind w:left="1080"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nsid w:val="3DB5046C"/>
    <w:multiLevelType w:val="hybridMultilevel"/>
    <w:tmpl w:val="6614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9B6336"/>
    <w:multiLevelType w:val="hybridMultilevel"/>
    <w:tmpl w:val="153635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FC66338"/>
    <w:multiLevelType w:val="hybridMultilevel"/>
    <w:tmpl w:val="D5A6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AE7C01"/>
    <w:multiLevelType w:val="hybridMultilevel"/>
    <w:tmpl w:val="FB1A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C25EB9"/>
    <w:multiLevelType w:val="hybridMultilevel"/>
    <w:tmpl w:val="4D2E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D868C7"/>
    <w:multiLevelType w:val="hybridMultilevel"/>
    <w:tmpl w:val="E470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352E78"/>
    <w:multiLevelType w:val="multilevel"/>
    <w:tmpl w:val="0C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5">
    <w:nsid w:val="569132B3"/>
    <w:multiLevelType w:val="hybridMultilevel"/>
    <w:tmpl w:val="1CD0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C774FA"/>
    <w:multiLevelType w:val="hybridMultilevel"/>
    <w:tmpl w:val="FA9A89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9DA402E"/>
    <w:multiLevelType w:val="hybridMultilevel"/>
    <w:tmpl w:val="F1E0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E664EF"/>
    <w:multiLevelType w:val="hybridMultilevel"/>
    <w:tmpl w:val="FC423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2AC1E29"/>
    <w:multiLevelType w:val="hybridMultilevel"/>
    <w:tmpl w:val="760AD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2D128C4"/>
    <w:multiLevelType w:val="hybridMultilevel"/>
    <w:tmpl w:val="2BC0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75027B"/>
    <w:multiLevelType w:val="hybridMultilevel"/>
    <w:tmpl w:val="1C2C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B344F1"/>
    <w:multiLevelType w:val="hybridMultilevel"/>
    <w:tmpl w:val="45A4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B44F05"/>
    <w:multiLevelType w:val="hybridMultilevel"/>
    <w:tmpl w:val="89585A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DFD5E5E"/>
    <w:multiLevelType w:val="hybridMultilevel"/>
    <w:tmpl w:val="27B0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1003AC"/>
    <w:multiLevelType w:val="hybridMultilevel"/>
    <w:tmpl w:val="0E3A2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A597F19"/>
    <w:multiLevelType w:val="hybridMultilevel"/>
    <w:tmpl w:val="B2F86498"/>
    <w:lvl w:ilvl="0" w:tplc="9A2889DE">
      <w:numFmt w:val="bullet"/>
      <w:lvlText w:val="-"/>
      <w:lvlJc w:val="left"/>
      <w:pPr>
        <w:ind w:left="1065" w:hanging="360"/>
      </w:pPr>
      <w:rPr>
        <w:rFonts w:ascii="Calibri" w:eastAsia="Calibri" w:hAnsi="Calibri"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7">
    <w:nsid w:val="7F1A59EE"/>
    <w:multiLevelType w:val="hybridMultilevel"/>
    <w:tmpl w:val="9A343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6"/>
  </w:num>
  <w:num w:numId="3">
    <w:abstractNumId w:val="0"/>
  </w:num>
  <w:num w:numId="4">
    <w:abstractNumId w:val="4"/>
  </w:num>
  <w:num w:numId="5">
    <w:abstractNumId w:val="8"/>
  </w:num>
  <w:num w:numId="6">
    <w:abstractNumId w:val="30"/>
  </w:num>
  <w:num w:numId="7">
    <w:abstractNumId w:val="25"/>
  </w:num>
  <w:num w:numId="8">
    <w:abstractNumId w:val="10"/>
  </w:num>
  <w:num w:numId="9">
    <w:abstractNumId w:val="31"/>
  </w:num>
  <w:num w:numId="10">
    <w:abstractNumId w:val="18"/>
  </w:num>
  <w:num w:numId="11">
    <w:abstractNumId w:val="34"/>
  </w:num>
  <w:num w:numId="12">
    <w:abstractNumId w:val="15"/>
  </w:num>
  <w:num w:numId="13">
    <w:abstractNumId w:val="35"/>
  </w:num>
  <w:num w:numId="14">
    <w:abstractNumId w:val="1"/>
  </w:num>
  <w:num w:numId="15">
    <w:abstractNumId w:val="27"/>
  </w:num>
  <w:num w:numId="16">
    <w:abstractNumId w:val="14"/>
  </w:num>
  <w:num w:numId="17">
    <w:abstractNumId w:val="22"/>
  </w:num>
  <w:num w:numId="18">
    <w:abstractNumId w:val="21"/>
  </w:num>
  <w:num w:numId="19">
    <w:abstractNumId w:val="9"/>
  </w:num>
  <w:num w:numId="20">
    <w:abstractNumId w:val="24"/>
  </w:num>
  <w:num w:numId="21">
    <w:abstractNumId w:val="12"/>
  </w:num>
  <w:num w:numId="22">
    <w:abstractNumId w:val="23"/>
  </w:num>
  <w:num w:numId="23">
    <w:abstractNumId w:val="16"/>
  </w:num>
  <w:num w:numId="24">
    <w:abstractNumId w:val="7"/>
  </w:num>
  <w:num w:numId="25">
    <w:abstractNumId w:val="37"/>
  </w:num>
  <w:num w:numId="26">
    <w:abstractNumId w:val="13"/>
  </w:num>
  <w:num w:numId="27">
    <w:abstractNumId w:val="32"/>
  </w:num>
  <w:num w:numId="28">
    <w:abstractNumId w:val="33"/>
  </w:num>
  <w:num w:numId="29">
    <w:abstractNumId w:val="29"/>
  </w:num>
  <w:num w:numId="30">
    <w:abstractNumId w:val="26"/>
  </w:num>
  <w:num w:numId="31">
    <w:abstractNumId w:val="2"/>
  </w:num>
  <w:num w:numId="32">
    <w:abstractNumId w:val="11"/>
  </w:num>
  <w:num w:numId="33">
    <w:abstractNumId w:val="36"/>
  </w:num>
  <w:num w:numId="34">
    <w:abstractNumId w:val="17"/>
  </w:num>
  <w:num w:numId="35">
    <w:abstractNumId w:val="28"/>
  </w:num>
  <w:num w:numId="36">
    <w:abstractNumId w:val="5"/>
  </w:num>
  <w:num w:numId="37">
    <w:abstractNumId w:val="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E0"/>
    <w:rsid w:val="00017E95"/>
    <w:rsid w:val="00023138"/>
    <w:rsid w:val="000251FC"/>
    <w:rsid w:val="00026526"/>
    <w:rsid w:val="00035382"/>
    <w:rsid w:val="000677D2"/>
    <w:rsid w:val="00070ADB"/>
    <w:rsid w:val="000779BE"/>
    <w:rsid w:val="000A2439"/>
    <w:rsid w:val="000C1ED7"/>
    <w:rsid w:val="000D390E"/>
    <w:rsid w:val="000D4D3D"/>
    <w:rsid w:val="000E1866"/>
    <w:rsid w:val="00122BEC"/>
    <w:rsid w:val="001614FB"/>
    <w:rsid w:val="001668D2"/>
    <w:rsid w:val="00171027"/>
    <w:rsid w:val="00171999"/>
    <w:rsid w:val="001740B4"/>
    <w:rsid w:val="00174F91"/>
    <w:rsid w:val="00177002"/>
    <w:rsid w:val="001801A2"/>
    <w:rsid w:val="00191CB1"/>
    <w:rsid w:val="00193BBF"/>
    <w:rsid w:val="00195D97"/>
    <w:rsid w:val="00197E04"/>
    <w:rsid w:val="001C42CD"/>
    <w:rsid w:val="001C48F2"/>
    <w:rsid w:val="001D1E46"/>
    <w:rsid w:val="001F1150"/>
    <w:rsid w:val="00210F7A"/>
    <w:rsid w:val="00221A81"/>
    <w:rsid w:val="002551C9"/>
    <w:rsid w:val="00264EC0"/>
    <w:rsid w:val="00277B1F"/>
    <w:rsid w:val="00282120"/>
    <w:rsid w:val="00282D33"/>
    <w:rsid w:val="002845CD"/>
    <w:rsid w:val="002924B1"/>
    <w:rsid w:val="00294C92"/>
    <w:rsid w:val="00295024"/>
    <w:rsid w:val="00297545"/>
    <w:rsid w:val="002A5DB8"/>
    <w:rsid w:val="002B119F"/>
    <w:rsid w:val="002C1450"/>
    <w:rsid w:val="002D2941"/>
    <w:rsid w:val="002E7CFB"/>
    <w:rsid w:val="002F1E85"/>
    <w:rsid w:val="002F4E05"/>
    <w:rsid w:val="00300C2D"/>
    <w:rsid w:val="00311427"/>
    <w:rsid w:val="003446FC"/>
    <w:rsid w:val="00353370"/>
    <w:rsid w:val="00355DF5"/>
    <w:rsid w:val="00366B60"/>
    <w:rsid w:val="00396EDD"/>
    <w:rsid w:val="003B06BE"/>
    <w:rsid w:val="003C24E8"/>
    <w:rsid w:val="003D43F8"/>
    <w:rsid w:val="003E0B6C"/>
    <w:rsid w:val="003F6CCA"/>
    <w:rsid w:val="003F6E69"/>
    <w:rsid w:val="00400107"/>
    <w:rsid w:val="00402DBD"/>
    <w:rsid w:val="00411E07"/>
    <w:rsid w:val="00421FB8"/>
    <w:rsid w:val="00442281"/>
    <w:rsid w:val="00447624"/>
    <w:rsid w:val="00467799"/>
    <w:rsid w:val="00490BA6"/>
    <w:rsid w:val="004C1294"/>
    <w:rsid w:val="004D41C4"/>
    <w:rsid w:val="004E119D"/>
    <w:rsid w:val="004E5320"/>
    <w:rsid w:val="004F74CA"/>
    <w:rsid w:val="00513394"/>
    <w:rsid w:val="00553C26"/>
    <w:rsid w:val="00566B79"/>
    <w:rsid w:val="00570155"/>
    <w:rsid w:val="005B2237"/>
    <w:rsid w:val="005C16E6"/>
    <w:rsid w:val="005D0F4F"/>
    <w:rsid w:val="005D4FB5"/>
    <w:rsid w:val="0060158C"/>
    <w:rsid w:val="00604BCE"/>
    <w:rsid w:val="006158AF"/>
    <w:rsid w:val="006220E4"/>
    <w:rsid w:val="00627112"/>
    <w:rsid w:val="00646A40"/>
    <w:rsid w:val="00656B4D"/>
    <w:rsid w:val="006603D2"/>
    <w:rsid w:val="00664D9F"/>
    <w:rsid w:val="00690BE5"/>
    <w:rsid w:val="00697D3E"/>
    <w:rsid w:val="006A0CA9"/>
    <w:rsid w:val="006D7257"/>
    <w:rsid w:val="006E04BB"/>
    <w:rsid w:val="00704583"/>
    <w:rsid w:val="007108D3"/>
    <w:rsid w:val="007320E4"/>
    <w:rsid w:val="007374EF"/>
    <w:rsid w:val="0076471F"/>
    <w:rsid w:val="00797389"/>
    <w:rsid w:val="007A73B9"/>
    <w:rsid w:val="007B1951"/>
    <w:rsid w:val="007B4123"/>
    <w:rsid w:val="007E0214"/>
    <w:rsid w:val="00823FE0"/>
    <w:rsid w:val="008255F1"/>
    <w:rsid w:val="0087613B"/>
    <w:rsid w:val="008B6048"/>
    <w:rsid w:val="008C71EA"/>
    <w:rsid w:val="008D2036"/>
    <w:rsid w:val="008E193E"/>
    <w:rsid w:val="008E55DA"/>
    <w:rsid w:val="008E772D"/>
    <w:rsid w:val="008F6997"/>
    <w:rsid w:val="009020FC"/>
    <w:rsid w:val="009056C0"/>
    <w:rsid w:val="00905A70"/>
    <w:rsid w:val="00922BF7"/>
    <w:rsid w:val="0092374C"/>
    <w:rsid w:val="00941DB8"/>
    <w:rsid w:val="009969D8"/>
    <w:rsid w:val="009A7B24"/>
    <w:rsid w:val="009B0EE1"/>
    <w:rsid w:val="009B5A93"/>
    <w:rsid w:val="009C50A1"/>
    <w:rsid w:val="009E7681"/>
    <w:rsid w:val="00A0373D"/>
    <w:rsid w:val="00A1303C"/>
    <w:rsid w:val="00A35DE0"/>
    <w:rsid w:val="00A56BD9"/>
    <w:rsid w:val="00A94E8E"/>
    <w:rsid w:val="00AA2C6D"/>
    <w:rsid w:val="00AB2F9D"/>
    <w:rsid w:val="00AB3DD5"/>
    <w:rsid w:val="00AB5041"/>
    <w:rsid w:val="00AC1CCE"/>
    <w:rsid w:val="00AD41ED"/>
    <w:rsid w:val="00AE7582"/>
    <w:rsid w:val="00B037BF"/>
    <w:rsid w:val="00B14D41"/>
    <w:rsid w:val="00B32BDB"/>
    <w:rsid w:val="00B36000"/>
    <w:rsid w:val="00B7246A"/>
    <w:rsid w:val="00B801B4"/>
    <w:rsid w:val="00BB0AE5"/>
    <w:rsid w:val="00BC2871"/>
    <w:rsid w:val="00BD3693"/>
    <w:rsid w:val="00C13522"/>
    <w:rsid w:val="00C26347"/>
    <w:rsid w:val="00C574C7"/>
    <w:rsid w:val="00C77AC8"/>
    <w:rsid w:val="00CB5226"/>
    <w:rsid w:val="00CE174C"/>
    <w:rsid w:val="00CE5DA4"/>
    <w:rsid w:val="00CE60B0"/>
    <w:rsid w:val="00CF50AD"/>
    <w:rsid w:val="00D01189"/>
    <w:rsid w:val="00D26FC6"/>
    <w:rsid w:val="00D33F49"/>
    <w:rsid w:val="00D353AC"/>
    <w:rsid w:val="00D662D2"/>
    <w:rsid w:val="00D87934"/>
    <w:rsid w:val="00D91149"/>
    <w:rsid w:val="00D91B5D"/>
    <w:rsid w:val="00D93398"/>
    <w:rsid w:val="00D96369"/>
    <w:rsid w:val="00DC3A28"/>
    <w:rsid w:val="00DC56D1"/>
    <w:rsid w:val="00DE607D"/>
    <w:rsid w:val="00DE6333"/>
    <w:rsid w:val="00E01CD6"/>
    <w:rsid w:val="00E278CD"/>
    <w:rsid w:val="00E431B0"/>
    <w:rsid w:val="00E530B1"/>
    <w:rsid w:val="00E55E21"/>
    <w:rsid w:val="00E72A92"/>
    <w:rsid w:val="00EB28AB"/>
    <w:rsid w:val="00EC2EC7"/>
    <w:rsid w:val="00EC715B"/>
    <w:rsid w:val="00ED1F9A"/>
    <w:rsid w:val="00F108CA"/>
    <w:rsid w:val="00F12C50"/>
    <w:rsid w:val="00F349D1"/>
    <w:rsid w:val="00F4269E"/>
    <w:rsid w:val="00F55DAF"/>
    <w:rsid w:val="00F837CB"/>
    <w:rsid w:val="00F86F79"/>
    <w:rsid w:val="00F875A8"/>
    <w:rsid w:val="00FA0B83"/>
    <w:rsid w:val="00FA569D"/>
    <w:rsid w:val="00FB2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E46"/>
    <w:rPr>
      <w:sz w:val="24"/>
      <w:szCs w:val="24"/>
    </w:rPr>
  </w:style>
  <w:style w:type="paragraph" w:styleId="Heading1">
    <w:name w:val="heading 1"/>
    <w:basedOn w:val="Normal"/>
    <w:next w:val="Normal"/>
    <w:link w:val="Heading1Char"/>
    <w:uiPriority w:val="99"/>
    <w:qFormat/>
    <w:rsid w:val="00D01189"/>
    <w:pPr>
      <w:keepNext/>
      <w:keepLines/>
      <w:numPr>
        <w:numId w:val="20"/>
      </w:numPr>
      <w:spacing w:before="120" w:after="120"/>
      <w:contextualSpacing/>
      <w:outlineLvl w:val="0"/>
    </w:pPr>
    <w:rPr>
      <w:rFonts w:ascii="Calibri" w:hAnsi="Calibri"/>
      <w:b/>
      <w:bCs/>
      <w:color w:val="345A8A"/>
      <w:sz w:val="32"/>
      <w:szCs w:val="32"/>
    </w:rPr>
  </w:style>
  <w:style w:type="paragraph" w:styleId="Heading2">
    <w:name w:val="heading 2"/>
    <w:basedOn w:val="Normal"/>
    <w:next w:val="Normal"/>
    <w:link w:val="Heading2Char"/>
    <w:uiPriority w:val="99"/>
    <w:qFormat/>
    <w:rsid w:val="00411E07"/>
    <w:pPr>
      <w:keepNext/>
      <w:keepLines/>
      <w:numPr>
        <w:ilvl w:val="1"/>
        <w:numId w:val="20"/>
      </w:numPr>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9"/>
    <w:qFormat/>
    <w:rsid w:val="007A73B9"/>
    <w:pPr>
      <w:keepNext/>
      <w:keepLines/>
      <w:numPr>
        <w:ilvl w:val="2"/>
        <w:numId w:val="20"/>
      </w:numPr>
      <w:spacing w:before="200"/>
      <w:outlineLvl w:val="2"/>
    </w:pPr>
    <w:rPr>
      <w:rFonts w:ascii="Calibri" w:hAnsi="Calibri"/>
      <w:b/>
      <w:bCs/>
      <w:i/>
      <w:color w:val="4F81BD"/>
    </w:rPr>
  </w:style>
  <w:style w:type="paragraph" w:styleId="Heading4">
    <w:name w:val="heading 4"/>
    <w:basedOn w:val="Normal"/>
    <w:next w:val="Normal"/>
    <w:link w:val="Heading4Char"/>
    <w:uiPriority w:val="99"/>
    <w:qFormat/>
    <w:rsid w:val="00D01189"/>
    <w:pPr>
      <w:keepNext/>
      <w:keepLines/>
      <w:numPr>
        <w:ilvl w:val="3"/>
        <w:numId w:val="20"/>
      </w:numPr>
      <w:spacing w:before="200"/>
      <w:outlineLvl w:val="3"/>
    </w:pPr>
    <w:rPr>
      <w:rFonts w:ascii="Calibri" w:hAnsi="Calibri"/>
      <w:b/>
      <w:bCs/>
      <w:i/>
      <w:iCs/>
      <w:color w:val="4F81BD"/>
    </w:rPr>
  </w:style>
  <w:style w:type="paragraph" w:styleId="Heading5">
    <w:name w:val="heading 5"/>
    <w:basedOn w:val="Normal"/>
    <w:next w:val="Normal"/>
    <w:link w:val="Heading5Char"/>
    <w:uiPriority w:val="99"/>
    <w:qFormat/>
    <w:rsid w:val="00D01189"/>
    <w:pPr>
      <w:keepNext/>
      <w:keepLines/>
      <w:numPr>
        <w:ilvl w:val="4"/>
        <w:numId w:val="20"/>
      </w:numPr>
      <w:spacing w:before="200"/>
      <w:outlineLvl w:val="4"/>
    </w:pPr>
    <w:rPr>
      <w:rFonts w:ascii="Calibri" w:hAnsi="Calibri"/>
      <w:color w:val="243F60"/>
    </w:rPr>
  </w:style>
  <w:style w:type="paragraph" w:styleId="Heading6">
    <w:name w:val="heading 6"/>
    <w:basedOn w:val="Normal"/>
    <w:next w:val="Normal"/>
    <w:link w:val="Heading6Char"/>
    <w:uiPriority w:val="99"/>
    <w:qFormat/>
    <w:rsid w:val="00D01189"/>
    <w:pPr>
      <w:keepNext/>
      <w:keepLines/>
      <w:numPr>
        <w:ilvl w:val="5"/>
        <w:numId w:val="20"/>
      </w:numPr>
      <w:spacing w:before="200"/>
      <w:outlineLvl w:val="5"/>
    </w:pPr>
    <w:rPr>
      <w:rFonts w:ascii="Calibri" w:hAnsi="Calibri"/>
      <w:i/>
      <w:iCs/>
      <w:color w:val="243F60"/>
    </w:rPr>
  </w:style>
  <w:style w:type="paragraph" w:styleId="Heading7">
    <w:name w:val="heading 7"/>
    <w:basedOn w:val="Normal"/>
    <w:next w:val="Normal"/>
    <w:link w:val="Heading7Char"/>
    <w:uiPriority w:val="99"/>
    <w:qFormat/>
    <w:rsid w:val="00D01189"/>
    <w:pPr>
      <w:keepNext/>
      <w:keepLines/>
      <w:numPr>
        <w:ilvl w:val="6"/>
        <w:numId w:val="20"/>
      </w:numPr>
      <w:spacing w:before="200"/>
      <w:outlineLvl w:val="6"/>
    </w:pPr>
    <w:rPr>
      <w:rFonts w:ascii="Calibri" w:hAnsi="Calibri"/>
      <w:i/>
      <w:iCs/>
      <w:color w:val="404040"/>
    </w:rPr>
  </w:style>
  <w:style w:type="paragraph" w:styleId="Heading8">
    <w:name w:val="heading 8"/>
    <w:basedOn w:val="Normal"/>
    <w:next w:val="Normal"/>
    <w:link w:val="Heading8Char"/>
    <w:uiPriority w:val="99"/>
    <w:qFormat/>
    <w:rsid w:val="00D01189"/>
    <w:pPr>
      <w:keepNext/>
      <w:keepLines/>
      <w:numPr>
        <w:ilvl w:val="7"/>
        <w:numId w:val="20"/>
      </w:numPr>
      <w:spacing w:before="200"/>
      <w:outlineLvl w:val="7"/>
    </w:pPr>
    <w:rPr>
      <w:rFonts w:ascii="Calibri" w:hAnsi="Calibri"/>
      <w:color w:val="404040"/>
      <w:sz w:val="20"/>
      <w:szCs w:val="20"/>
    </w:rPr>
  </w:style>
  <w:style w:type="paragraph" w:styleId="Heading9">
    <w:name w:val="heading 9"/>
    <w:basedOn w:val="Normal"/>
    <w:next w:val="Normal"/>
    <w:link w:val="Heading9Char"/>
    <w:uiPriority w:val="99"/>
    <w:qFormat/>
    <w:rsid w:val="00D01189"/>
    <w:pPr>
      <w:keepNext/>
      <w:keepLines/>
      <w:numPr>
        <w:ilvl w:val="8"/>
        <w:numId w:val="20"/>
      </w:numPr>
      <w:spacing w:before="20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189"/>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411E07"/>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7A73B9"/>
    <w:rPr>
      <w:rFonts w:ascii="Calibri" w:hAnsi="Calibri" w:cs="Times New Roman"/>
      <w:b/>
      <w:bCs/>
      <w:i/>
      <w:color w:val="4F81BD"/>
    </w:rPr>
  </w:style>
  <w:style w:type="character" w:customStyle="1" w:styleId="Heading4Char">
    <w:name w:val="Heading 4 Char"/>
    <w:basedOn w:val="DefaultParagraphFont"/>
    <w:link w:val="Heading4"/>
    <w:uiPriority w:val="99"/>
    <w:semiHidden/>
    <w:locked/>
    <w:rsid w:val="00D01189"/>
    <w:rPr>
      <w:rFonts w:ascii="Calibri" w:hAnsi="Calibri" w:cs="Times New Roman"/>
      <w:b/>
      <w:bCs/>
      <w:i/>
      <w:iCs/>
      <w:color w:val="4F81BD"/>
    </w:rPr>
  </w:style>
  <w:style w:type="character" w:customStyle="1" w:styleId="Heading5Char">
    <w:name w:val="Heading 5 Char"/>
    <w:basedOn w:val="DefaultParagraphFont"/>
    <w:link w:val="Heading5"/>
    <w:uiPriority w:val="99"/>
    <w:semiHidden/>
    <w:locked/>
    <w:rsid w:val="00D01189"/>
    <w:rPr>
      <w:rFonts w:ascii="Calibri" w:hAnsi="Calibri" w:cs="Times New Roman"/>
      <w:color w:val="243F60"/>
    </w:rPr>
  </w:style>
  <w:style w:type="character" w:customStyle="1" w:styleId="Heading6Char">
    <w:name w:val="Heading 6 Char"/>
    <w:basedOn w:val="DefaultParagraphFont"/>
    <w:link w:val="Heading6"/>
    <w:uiPriority w:val="99"/>
    <w:semiHidden/>
    <w:locked/>
    <w:rsid w:val="00D01189"/>
    <w:rPr>
      <w:rFonts w:ascii="Calibri" w:hAnsi="Calibri" w:cs="Times New Roman"/>
      <w:i/>
      <w:iCs/>
      <w:color w:val="243F60"/>
    </w:rPr>
  </w:style>
  <w:style w:type="character" w:customStyle="1" w:styleId="Heading7Char">
    <w:name w:val="Heading 7 Char"/>
    <w:basedOn w:val="DefaultParagraphFont"/>
    <w:link w:val="Heading7"/>
    <w:uiPriority w:val="99"/>
    <w:semiHidden/>
    <w:locked/>
    <w:rsid w:val="00D01189"/>
    <w:rPr>
      <w:rFonts w:ascii="Calibri" w:hAnsi="Calibri" w:cs="Times New Roman"/>
      <w:i/>
      <w:iCs/>
      <w:color w:val="404040"/>
    </w:rPr>
  </w:style>
  <w:style w:type="character" w:customStyle="1" w:styleId="Heading8Char">
    <w:name w:val="Heading 8 Char"/>
    <w:basedOn w:val="DefaultParagraphFont"/>
    <w:link w:val="Heading8"/>
    <w:uiPriority w:val="99"/>
    <w:semiHidden/>
    <w:locked/>
    <w:rsid w:val="00D01189"/>
    <w:rPr>
      <w:rFonts w:ascii="Calibri" w:hAnsi="Calibri" w:cs="Times New Roman"/>
      <w:color w:val="404040"/>
      <w:sz w:val="20"/>
      <w:szCs w:val="20"/>
    </w:rPr>
  </w:style>
  <w:style w:type="character" w:customStyle="1" w:styleId="Heading9Char">
    <w:name w:val="Heading 9 Char"/>
    <w:basedOn w:val="DefaultParagraphFont"/>
    <w:link w:val="Heading9"/>
    <w:uiPriority w:val="99"/>
    <w:semiHidden/>
    <w:locked/>
    <w:rsid w:val="00D01189"/>
    <w:rPr>
      <w:rFonts w:ascii="Calibri" w:hAnsi="Calibri" w:cs="Times New Roman"/>
      <w:i/>
      <w:iCs/>
      <w:color w:val="404040"/>
      <w:sz w:val="20"/>
      <w:szCs w:val="20"/>
    </w:rPr>
  </w:style>
  <w:style w:type="paragraph" w:styleId="Title">
    <w:name w:val="Title"/>
    <w:basedOn w:val="Normal"/>
    <w:next w:val="Normal"/>
    <w:link w:val="TitleChar"/>
    <w:uiPriority w:val="99"/>
    <w:qFormat/>
    <w:rsid w:val="007B1951"/>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uiPriority w:val="99"/>
    <w:locked/>
    <w:rsid w:val="007B1951"/>
    <w:rPr>
      <w:rFonts w:ascii="Calibri" w:hAnsi="Calibri" w:cs="Times New Roman"/>
      <w:color w:val="17365D"/>
      <w:spacing w:val="5"/>
      <w:kern w:val="28"/>
      <w:sz w:val="52"/>
      <w:szCs w:val="52"/>
    </w:rPr>
  </w:style>
  <w:style w:type="paragraph" w:styleId="Subtitle">
    <w:name w:val="Subtitle"/>
    <w:basedOn w:val="Normal"/>
    <w:next w:val="Normal"/>
    <w:link w:val="SubtitleChar"/>
    <w:uiPriority w:val="99"/>
    <w:qFormat/>
    <w:rsid w:val="007B1951"/>
    <w:pPr>
      <w:numPr>
        <w:ilvl w:val="1"/>
      </w:numPr>
    </w:pPr>
    <w:rPr>
      <w:rFonts w:ascii="Calibri" w:hAnsi="Calibri"/>
      <w:i/>
      <w:iCs/>
      <w:color w:val="4F81BD"/>
      <w:spacing w:val="15"/>
    </w:rPr>
  </w:style>
  <w:style w:type="character" w:customStyle="1" w:styleId="SubtitleChar">
    <w:name w:val="Subtitle Char"/>
    <w:basedOn w:val="DefaultParagraphFont"/>
    <w:link w:val="Subtitle"/>
    <w:uiPriority w:val="99"/>
    <w:locked/>
    <w:rsid w:val="007B1951"/>
    <w:rPr>
      <w:rFonts w:ascii="Calibri" w:hAnsi="Calibri" w:cs="Times New Roman"/>
      <w:i/>
      <w:iCs/>
      <w:color w:val="4F81BD"/>
      <w:spacing w:val="15"/>
    </w:rPr>
  </w:style>
  <w:style w:type="table" w:styleId="TableGrid">
    <w:name w:val="Table Grid"/>
    <w:basedOn w:val="TableNormal"/>
    <w:uiPriority w:val="99"/>
    <w:rsid w:val="001F1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20FC"/>
    <w:pPr>
      <w:ind w:left="720"/>
      <w:contextualSpacing/>
    </w:pPr>
  </w:style>
  <w:style w:type="paragraph" w:styleId="Header">
    <w:name w:val="header"/>
    <w:basedOn w:val="Normal"/>
    <w:link w:val="HeaderChar"/>
    <w:uiPriority w:val="99"/>
    <w:semiHidden/>
    <w:rsid w:val="00656B4D"/>
    <w:pPr>
      <w:tabs>
        <w:tab w:val="center" w:pos="4513"/>
        <w:tab w:val="right" w:pos="9026"/>
      </w:tabs>
    </w:pPr>
  </w:style>
  <w:style w:type="character" w:customStyle="1" w:styleId="HeaderChar">
    <w:name w:val="Header Char"/>
    <w:basedOn w:val="DefaultParagraphFont"/>
    <w:link w:val="Header"/>
    <w:uiPriority w:val="99"/>
    <w:semiHidden/>
    <w:locked/>
    <w:rsid w:val="00656B4D"/>
    <w:rPr>
      <w:rFonts w:cs="Times New Roman"/>
    </w:rPr>
  </w:style>
  <w:style w:type="paragraph" w:styleId="Footer">
    <w:name w:val="footer"/>
    <w:basedOn w:val="Normal"/>
    <w:link w:val="FooterChar"/>
    <w:uiPriority w:val="99"/>
    <w:semiHidden/>
    <w:rsid w:val="00656B4D"/>
    <w:pPr>
      <w:tabs>
        <w:tab w:val="center" w:pos="4513"/>
        <w:tab w:val="right" w:pos="9026"/>
      </w:tabs>
    </w:pPr>
  </w:style>
  <w:style w:type="character" w:customStyle="1" w:styleId="FooterChar">
    <w:name w:val="Footer Char"/>
    <w:basedOn w:val="DefaultParagraphFont"/>
    <w:link w:val="Footer"/>
    <w:uiPriority w:val="99"/>
    <w:semiHidden/>
    <w:locked/>
    <w:rsid w:val="00656B4D"/>
    <w:rPr>
      <w:rFonts w:cs="Times New Roman"/>
    </w:rPr>
  </w:style>
  <w:style w:type="paragraph" w:styleId="DocumentMap">
    <w:name w:val="Document Map"/>
    <w:basedOn w:val="Normal"/>
    <w:link w:val="DocumentMapChar"/>
    <w:uiPriority w:val="99"/>
    <w:semiHidden/>
    <w:rsid w:val="00D0118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01189"/>
    <w:rPr>
      <w:rFonts w:ascii="Tahoma" w:hAnsi="Tahoma" w:cs="Tahoma"/>
      <w:sz w:val="16"/>
      <w:szCs w:val="16"/>
    </w:rPr>
  </w:style>
  <w:style w:type="paragraph" w:styleId="FootnoteText">
    <w:name w:val="footnote text"/>
    <w:basedOn w:val="Normal"/>
    <w:link w:val="FootnoteTextChar"/>
    <w:uiPriority w:val="99"/>
    <w:rsid w:val="00D26FC6"/>
    <w:rPr>
      <w:sz w:val="20"/>
      <w:szCs w:val="20"/>
      <w:lang w:val="en-GB"/>
    </w:rPr>
  </w:style>
  <w:style w:type="character" w:customStyle="1" w:styleId="FootnoteTextChar">
    <w:name w:val="Footnote Text Char"/>
    <w:basedOn w:val="DefaultParagraphFont"/>
    <w:link w:val="FootnoteText"/>
    <w:uiPriority w:val="99"/>
    <w:locked/>
    <w:rsid w:val="00D26FC6"/>
    <w:rPr>
      <w:rFonts w:eastAsia="Times New Roman" w:cs="Times New Roman"/>
      <w:sz w:val="20"/>
      <w:szCs w:val="20"/>
      <w:lang w:val="en-GB"/>
    </w:rPr>
  </w:style>
  <w:style w:type="character" w:styleId="FootnoteReference">
    <w:name w:val="footnote reference"/>
    <w:basedOn w:val="DefaultParagraphFont"/>
    <w:uiPriority w:val="99"/>
    <w:semiHidden/>
    <w:rsid w:val="00D26FC6"/>
    <w:rPr>
      <w:rFonts w:cs="Times New Roman"/>
      <w:vertAlign w:val="superscript"/>
    </w:rPr>
  </w:style>
  <w:style w:type="character" w:styleId="CommentReference">
    <w:name w:val="annotation reference"/>
    <w:basedOn w:val="DefaultParagraphFont"/>
    <w:uiPriority w:val="99"/>
    <w:semiHidden/>
    <w:rsid w:val="00421FB8"/>
    <w:rPr>
      <w:rFonts w:cs="Times New Roman"/>
      <w:sz w:val="16"/>
      <w:szCs w:val="16"/>
    </w:rPr>
  </w:style>
  <w:style w:type="paragraph" w:styleId="CommentText">
    <w:name w:val="annotation text"/>
    <w:basedOn w:val="Normal"/>
    <w:link w:val="CommentTextChar"/>
    <w:uiPriority w:val="99"/>
    <w:semiHidden/>
    <w:rsid w:val="00421FB8"/>
    <w:rPr>
      <w:sz w:val="20"/>
      <w:szCs w:val="20"/>
    </w:rPr>
  </w:style>
  <w:style w:type="character" w:customStyle="1" w:styleId="CommentTextChar">
    <w:name w:val="Comment Text Char"/>
    <w:basedOn w:val="DefaultParagraphFont"/>
    <w:link w:val="CommentText"/>
    <w:uiPriority w:val="99"/>
    <w:semiHidden/>
    <w:rsid w:val="008749B8"/>
    <w:rPr>
      <w:sz w:val="20"/>
      <w:szCs w:val="20"/>
    </w:rPr>
  </w:style>
  <w:style w:type="paragraph" w:styleId="CommentSubject">
    <w:name w:val="annotation subject"/>
    <w:basedOn w:val="CommentText"/>
    <w:next w:val="CommentText"/>
    <w:link w:val="CommentSubjectChar"/>
    <w:uiPriority w:val="99"/>
    <w:semiHidden/>
    <w:rsid w:val="00421FB8"/>
    <w:rPr>
      <w:b/>
      <w:bCs/>
    </w:rPr>
  </w:style>
  <w:style w:type="character" w:customStyle="1" w:styleId="CommentSubjectChar">
    <w:name w:val="Comment Subject Char"/>
    <w:basedOn w:val="CommentTextChar"/>
    <w:link w:val="CommentSubject"/>
    <w:uiPriority w:val="99"/>
    <w:semiHidden/>
    <w:rsid w:val="008749B8"/>
    <w:rPr>
      <w:b/>
      <w:bCs/>
      <w:sz w:val="20"/>
      <w:szCs w:val="20"/>
    </w:rPr>
  </w:style>
  <w:style w:type="paragraph" w:styleId="BalloonText">
    <w:name w:val="Balloon Text"/>
    <w:basedOn w:val="Normal"/>
    <w:link w:val="BalloonTextChar"/>
    <w:uiPriority w:val="99"/>
    <w:semiHidden/>
    <w:rsid w:val="00421FB8"/>
    <w:rPr>
      <w:rFonts w:ascii="Tahoma" w:hAnsi="Tahoma" w:cs="Tahoma"/>
      <w:sz w:val="16"/>
      <w:szCs w:val="16"/>
    </w:rPr>
  </w:style>
  <w:style w:type="character" w:customStyle="1" w:styleId="BalloonTextChar">
    <w:name w:val="Balloon Text Char"/>
    <w:basedOn w:val="DefaultParagraphFont"/>
    <w:link w:val="BalloonText"/>
    <w:uiPriority w:val="99"/>
    <w:semiHidden/>
    <w:rsid w:val="008749B8"/>
    <w:rPr>
      <w:rFonts w:ascii="Times New Roman" w:hAnsi="Times New Roman"/>
      <w:sz w:val="0"/>
      <w:szCs w:val="0"/>
    </w:rPr>
  </w:style>
  <w:style w:type="character" w:styleId="Emphasis">
    <w:name w:val="Emphasis"/>
    <w:basedOn w:val="DefaultParagraphFont"/>
    <w:qFormat/>
    <w:locked/>
    <w:rsid w:val="00B037BF"/>
    <w:rPr>
      <w:i/>
      <w:iCs/>
    </w:rPr>
  </w:style>
  <w:style w:type="paragraph" w:styleId="TOC1">
    <w:name w:val="toc 1"/>
    <w:basedOn w:val="Normal"/>
    <w:next w:val="Normal"/>
    <w:autoRedefine/>
    <w:uiPriority w:val="39"/>
    <w:unhideWhenUsed/>
    <w:qFormat/>
    <w:locked/>
    <w:rsid w:val="00402DBD"/>
    <w:pPr>
      <w:spacing w:before="120" w:line="276" w:lineRule="auto"/>
    </w:pPr>
    <w:rPr>
      <w:rFonts w:asciiTheme="minorHAnsi" w:eastAsia="Calibri" w:hAnsiTheme="minorHAnsi"/>
      <w:b/>
      <w:lang w:val="en-GB"/>
    </w:rPr>
  </w:style>
  <w:style w:type="paragraph" w:styleId="TOC2">
    <w:name w:val="toc 2"/>
    <w:basedOn w:val="Normal"/>
    <w:next w:val="Normal"/>
    <w:autoRedefine/>
    <w:uiPriority w:val="39"/>
    <w:unhideWhenUsed/>
    <w:qFormat/>
    <w:locked/>
    <w:rsid w:val="00402DBD"/>
    <w:pPr>
      <w:spacing w:line="276" w:lineRule="auto"/>
      <w:ind w:left="220"/>
    </w:pPr>
    <w:rPr>
      <w:rFonts w:asciiTheme="minorHAnsi" w:eastAsia="Calibri" w:hAnsiTheme="minorHAnsi"/>
      <w:b/>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E46"/>
    <w:rPr>
      <w:sz w:val="24"/>
      <w:szCs w:val="24"/>
    </w:rPr>
  </w:style>
  <w:style w:type="paragraph" w:styleId="Heading1">
    <w:name w:val="heading 1"/>
    <w:basedOn w:val="Normal"/>
    <w:next w:val="Normal"/>
    <w:link w:val="Heading1Char"/>
    <w:uiPriority w:val="99"/>
    <w:qFormat/>
    <w:rsid w:val="00D01189"/>
    <w:pPr>
      <w:keepNext/>
      <w:keepLines/>
      <w:numPr>
        <w:numId w:val="20"/>
      </w:numPr>
      <w:spacing w:before="120" w:after="120"/>
      <w:contextualSpacing/>
      <w:outlineLvl w:val="0"/>
    </w:pPr>
    <w:rPr>
      <w:rFonts w:ascii="Calibri" w:hAnsi="Calibri"/>
      <w:b/>
      <w:bCs/>
      <w:color w:val="345A8A"/>
      <w:sz w:val="32"/>
      <w:szCs w:val="32"/>
    </w:rPr>
  </w:style>
  <w:style w:type="paragraph" w:styleId="Heading2">
    <w:name w:val="heading 2"/>
    <w:basedOn w:val="Normal"/>
    <w:next w:val="Normal"/>
    <w:link w:val="Heading2Char"/>
    <w:uiPriority w:val="99"/>
    <w:qFormat/>
    <w:rsid w:val="00411E07"/>
    <w:pPr>
      <w:keepNext/>
      <w:keepLines/>
      <w:numPr>
        <w:ilvl w:val="1"/>
        <w:numId w:val="20"/>
      </w:numPr>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9"/>
    <w:qFormat/>
    <w:rsid w:val="007A73B9"/>
    <w:pPr>
      <w:keepNext/>
      <w:keepLines/>
      <w:numPr>
        <w:ilvl w:val="2"/>
        <w:numId w:val="20"/>
      </w:numPr>
      <w:spacing w:before="200"/>
      <w:outlineLvl w:val="2"/>
    </w:pPr>
    <w:rPr>
      <w:rFonts w:ascii="Calibri" w:hAnsi="Calibri"/>
      <w:b/>
      <w:bCs/>
      <w:i/>
      <w:color w:val="4F81BD"/>
    </w:rPr>
  </w:style>
  <w:style w:type="paragraph" w:styleId="Heading4">
    <w:name w:val="heading 4"/>
    <w:basedOn w:val="Normal"/>
    <w:next w:val="Normal"/>
    <w:link w:val="Heading4Char"/>
    <w:uiPriority w:val="99"/>
    <w:qFormat/>
    <w:rsid w:val="00D01189"/>
    <w:pPr>
      <w:keepNext/>
      <w:keepLines/>
      <w:numPr>
        <w:ilvl w:val="3"/>
        <w:numId w:val="20"/>
      </w:numPr>
      <w:spacing w:before="200"/>
      <w:outlineLvl w:val="3"/>
    </w:pPr>
    <w:rPr>
      <w:rFonts w:ascii="Calibri" w:hAnsi="Calibri"/>
      <w:b/>
      <w:bCs/>
      <w:i/>
      <w:iCs/>
      <w:color w:val="4F81BD"/>
    </w:rPr>
  </w:style>
  <w:style w:type="paragraph" w:styleId="Heading5">
    <w:name w:val="heading 5"/>
    <w:basedOn w:val="Normal"/>
    <w:next w:val="Normal"/>
    <w:link w:val="Heading5Char"/>
    <w:uiPriority w:val="99"/>
    <w:qFormat/>
    <w:rsid w:val="00D01189"/>
    <w:pPr>
      <w:keepNext/>
      <w:keepLines/>
      <w:numPr>
        <w:ilvl w:val="4"/>
        <w:numId w:val="20"/>
      </w:numPr>
      <w:spacing w:before="200"/>
      <w:outlineLvl w:val="4"/>
    </w:pPr>
    <w:rPr>
      <w:rFonts w:ascii="Calibri" w:hAnsi="Calibri"/>
      <w:color w:val="243F60"/>
    </w:rPr>
  </w:style>
  <w:style w:type="paragraph" w:styleId="Heading6">
    <w:name w:val="heading 6"/>
    <w:basedOn w:val="Normal"/>
    <w:next w:val="Normal"/>
    <w:link w:val="Heading6Char"/>
    <w:uiPriority w:val="99"/>
    <w:qFormat/>
    <w:rsid w:val="00D01189"/>
    <w:pPr>
      <w:keepNext/>
      <w:keepLines/>
      <w:numPr>
        <w:ilvl w:val="5"/>
        <w:numId w:val="20"/>
      </w:numPr>
      <w:spacing w:before="200"/>
      <w:outlineLvl w:val="5"/>
    </w:pPr>
    <w:rPr>
      <w:rFonts w:ascii="Calibri" w:hAnsi="Calibri"/>
      <w:i/>
      <w:iCs/>
      <w:color w:val="243F60"/>
    </w:rPr>
  </w:style>
  <w:style w:type="paragraph" w:styleId="Heading7">
    <w:name w:val="heading 7"/>
    <w:basedOn w:val="Normal"/>
    <w:next w:val="Normal"/>
    <w:link w:val="Heading7Char"/>
    <w:uiPriority w:val="99"/>
    <w:qFormat/>
    <w:rsid w:val="00D01189"/>
    <w:pPr>
      <w:keepNext/>
      <w:keepLines/>
      <w:numPr>
        <w:ilvl w:val="6"/>
        <w:numId w:val="20"/>
      </w:numPr>
      <w:spacing w:before="200"/>
      <w:outlineLvl w:val="6"/>
    </w:pPr>
    <w:rPr>
      <w:rFonts w:ascii="Calibri" w:hAnsi="Calibri"/>
      <w:i/>
      <w:iCs/>
      <w:color w:val="404040"/>
    </w:rPr>
  </w:style>
  <w:style w:type="paragraph" w:styleId="Heading8">
    <w:name w:val="heading 8"/>
    <w:basedOn w:val="Normal"/>
    <w:next w:val="Normal"/>
    <w:link w:val="Heading8Char"/>
    <w:uiPriority w:val="99"/>
    <w:qFormat/>
    <w:rsid w:val="00D01189"/>
    <w:pPr>
      <w:keepNext/>
      <w:keepLines/>
      <w:numPr>
        <w:ilvl w:val="7"/>
        <w:numId w:val="20"/>
      </w:numPr>
      <w:spacing w:before="200"/>
      <w:outlineLvl w:val="7"/>
    </w:pPr>
    <w:rPr>
      <w:rFonts w:ascii="Calibri" w:hAnsi="Calibri"/>
      <w:color w:val="404040"/>
      <w:sz w:val="20"/>
      <w:szCs w:val="20"/>
    </w:rPr>
  </w:style>
  <w:style w:type="paragraph" w:styleId="Heading9">
    <w:name w:val="heading 9"/>
    <w:basedOn w:val="Normal"/>
    <w:next w:val="Normal"/>
    <w:link w:val="Heading9Char"/>
    <w:uiPriority w:val="99"/>
    <w:qFormat/>
    <w:rsid w:val="00D01189"/>
    <w:pPr>
      <w:keepNext/>
      <w:keepLines/>
      <w:numPr>
        <w:ilvl w:val="8"/>
        <w:numId w:val="20"/>
      </w:numPr>
      <w:spacing w:before="20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189"/>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411E07"/>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7A73B9"/>
    <w:rPr>
      <w:rFonts w:ascii="Calibri" w:hAnsi="Calibri" w:cs="Times New Roman"/>
      <w:b/>
      <w:bCs/>
      <w:i/>
      <w:color w:val="4F81BD"/>
    </w:rPr>
  </w:style>
  <w:style w:type="character" w:customStyle="1" w:styleId="Heading4Char">
    <w:name w:val="Heading 4 Char"/>
    <w:basedOn w:val="DefaultParagraphFont"/>
    <w:link w:val="Heading4"/>
    <w:uiPriority w:val="99"/>
    <w:semiHidden/>
    <w:locked/>
    <w:rsid w:val="00D01189"/>
    <w:rPr>
      <w:rFonts w:ascii="Calibri" w:hAnsi="Calibri" w:cs="Times New Roman"/>
      <w:b/>
      <w:bCs/>
      <w:i/>
      <w:iCs/>
      <w:color w:val="4F81BD"/>
    </w:rPr>
  </w:style>
  <w:style w:type="character" w:customStyle="1" w:styleId="Heading5Char">
    <w:name w:val="Heading 5 Char"/>
    <w:basedOn w:val="DefaultParagraphFont"/>
    <w:link w:val="Heading5"/>
    <w:uiPriority w:val="99"/>
    <w:semiHidden/>
    <w:locked/>
    <w:rsid w:val="00D01189"/>
    <w:rPr>
      <w:rFonts w:ascii="Calibri" w:hAnsi="Calibri" w:cs="Times New Roman"/>
      <w:color w:val="243F60"/>
    </w:rPr>
  </w:style>
  <w:style w:type="character" w:customStyle="1" w:styleId="Heading6Char">
    <w:name w:val="Heading 6 Char"/>
    <w:basedOn w:val="DefaultParagraphFont"/>
    <w:link w:val="Heading6"/>
    <w:uiPriority w:val="99"/>
    <w:semiHidden/>
    <w:locked/>
    <w:rsid w:val="00D01189"/>
    <w:rPr>
      <w:rFonts w:ascii="Calibri" w:hAnsi="Calibri" w:cs="Times New Roman"/>
      <w:i/>
      <w:iCs/>
      <w:color w:val="243F60"/>
    </w:rPr>
  </w:style>
  <w:style w:type="character" w:customStyle="1" w:styleId="Heading7Char">
    <w:name w:val="Heading 7 Char"/>
    <w:basedOn w:val="DefaultParagraphFont"/>
    <w:link w:val="Heading7"/>
    <w:uiPriority w:val="99"/>
    <w:semiHidden/>
    <w:locked/>
    <w:rsid w:val="00D01189"/>
    <w:rPr>
      <w:rFonts w:ascii="Calibri" w:hAnsi="Calibri" w:cs="Times New Roman"/>
      <w:i/>
      <w:iCs/>
      <w:color w:val="404040"/>
    </w:rPr>
  </w:style>
  <w:style w:type="character" w:customStyle="1" w:styleId="Heading8Char">
    <w:name w:val="Heading 8 Char"/>
    <w:basedOn w:val="DefaultParagraphFont"/>
    <w:link w:val="Heading8"/>
    <w:uiPriority w:val="99"/>
    <w:semiHidden/>
    <w:locked/>
    <w:rsid w:val="00D01189"/>
    <w:rPr>
      <w:rFonts w:ascii="Calibri" w:hAnsi="Calibri" w:cs="Times New Roman"/>
      <w:color w:val="404040"/>
      <w:sz w:val="20"/>
      <w:szCs w:val="20"/>
    </w:rPr>
  </w:style>
  <w:style w:type="character" w:customStyle="1" w:styleId="Heading9Char">
    <w:name w:val="Heading 9 Char"/>
    <w:basedOn w:val="DefaultParagraphFont"/>
    <w:link w:val="Heading9"/>
    <w:uiPriority w:val="99"/>
    <w:semiHidden/>
    <w:locked/>
    <w:rsid w:val="00D01189"/>
    <w:rPr>
      <w:rFonts w:ascii="Calibri" w:hAnsi="Calibri" w:cs="Times New Roman"/>
      <w:i/>
      <w:iCs/>
      <w:color w:val="404040"/>
      <w:sz w:val="20"/>
      <w:szCs w:val="20"/>
    </w:rPr>
  </w:style>
  <w:style w:type="paragraph" w:styleId="Title">
    <w:name w:val="Title"/>
    <w:basedOn w:val="Normal"/>
    <w:next w:val="Normal"/>
    <w:link w:val="TitleChar"/>
    <w:uiPriority w:val="99"/>
    <w:qFormat/>
    <w:rsid w:val="007B1951"/>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uiPriority w:val="99"/>
    <w:locked/>
    <w:rsid w:val="007B1951"/>
    <w:rPr>
      <w:rFonts w:ascii="Calibri" w:hAnsi="Calibri" w:cs="Times New Roman"/>
      <w:color w:val="17365D"/>
      <w:spacing w:val="5"/>
      <w:kern w:val="28"/>
      <w:sz w:val="52"/>
      <w:szCs w:val="52"/>
    </w:rPr>
  </w:style>
  <w:style w:type="paragraph" w:styleId="Subtitle">
    <w:name w:val="Subtitle"/>
    <w:basedOn w:val="Normal"/>
    <w:next w:val="Normal"/>
    <w:link w:val="SubtitleChar"/>
    <w:uiPriority w:val="99"/>
    <w:qFormat/>
    <w:rsid w:val="007B1951"/>
    <w:pPr>
      <w:numPr>
        <w:ilvl w:val="1"/>
      </w:numPr>
    </w:pPr>
    <w:rPr>
      <w:rFonts w:ascii="Calibri" w:hAnsi="Calibri"/>
      <w:i/>
      <w:iCs/>
      <w:color w:val="4F81BD"/>
      <w:spacing w:val="15"/>
    </w:rPr>
  </w:style>
  <w:style w:type="character" w:customStyle="1" w:styleId="SubtitleChar">
    <w:name w:val="Subtitle Char"/>
    <w:basedOn w:val="DefaultParagraphFont"/>
    <w:link w:val="Subtitle"/>
    <w:uiPriority w:val="99"/>
    <w:locked/>
    <w:rsid w:val="007B1951"/>
    <w:rPr>
      <w:rFonts w:ascii="Calibri" w:hAnsi="Calibri" w:cs="Times New Roman"/>
      <w:i/>
      <w:iCs/>
      <w:color w:val="4F81BD"/>
      <w:spacing w:val="15"/>
    </w:rPr>
  </w:style>
  <w:style w:type="table" w:styleId="TableGrid">
    <w:name w:val="Table Grid"/>
    <w:basedOn w:val="TableNormal"/>
    <w:uiPriority w:val="99"/>
    <w:rsid w:val="001F1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20FC"/>
    <w:pPr>
      <w:ind w:left="720"/>
      <w:contextualSpacing/>
    </w:pPr>
  </w:style>
  <w:style w:type="paragraph" w:styleId="Header">
    <w:name w:val="header"/>
    <w:basedOn w:val="Normal"/>
    <w:link w:val="HeaderChar"/>
    <w:uiPriority w:val="99"/>
    <w:semiHidden/>
    <w:rsid w:val="00656B4D"/>
    <w:pPr>
      <w:tabs>
        <w:tab w:val="center" w:pos="4513"/>
        <w:tab w:val="right" w:pos="9026"/>
      </w:tabs>
    </w:pPr>
  </w:style>
  <w:style w:type="character" w:customStyle="1" w:styleId="HeaderChar">
    <w:name w:val="Header Char"/>
    <w:basedOn w:val="DefaultParagraphFont"/>
    <w:link w:val="Header"/>
    <w:uiPriority w:val="99"/>
    <w:semiHidden/>
    <w:locked/>
    <w:rsid w:val="00656B4D"/>
    <w:rPr>
      <w:rFonts w:cs="Times New Roman"/>
    </w:rPr>
  </w:style>
  <w:style w:type="paragraph" w:styleId="Footer">
    <w:name w:val="footer"/>
    <w:basedOn w:val="Normal"/>
    <w:link w:val="FooterChar"/>
    <w:uiPriority w:val="99"/>
    <w:semiHidden/>
    <w:rsid w:val="00656B4D"/>
    <w:pPr>
      <w:tabs>
        <w:tab w:val="center" w:pos="4513"/>
        <w:tab w:val="right" w:pos="9026"/>
      </w:tabs>
    </w:pPr>
  </w:style>
  <w:style w:type="character" w:customStyle="1" w:styleId="FooterChar">
    <w:name w:val="Footer Char"/>
    <w:basedOn w:val="DefaultParagraphFont"/>
    <w:link w:val="Footer"/>
    <w:uiPriority w:val="99"/>
    <w:semiHidden/>
    <w:locked/>
    <w:rsid w:val="00656B4D"/>
    <w:rPr>
      <w:rFonts w:cs="Times New Roman"/>
    </w:rPr>
  </w:style>
  <w:style w:type="paragraph" w:styleId="DocumentMap">
    <w:name w:val="Document Map"/>
    <w:basedOn w:val="Normal"/>
    <w:link w:val="DocumentMapChar"/>
    <w:uiPriority w:val="99"/>
    <w:semiHidden/>
    <w:rsid w:val="00D0118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01189"/>
    <w:rPr>
      <w:rFonts w:ascii="Tahoma" w:hAnsi="Tahoma" w:cs="Tahoma"/>
      <w:sz w:val="16"/>
      <w:szCs w:val="16"/>
    </w:rPr>
  </w:style>
  <w:style w:type="paragraph" w:styleId="FootnoteText">
    <w:name w:val="footnote text"/>
    <w:basedOn w:val="Normal"/>
    <w:link w:val="FootnoteTextChar"/>
    <w:uiPriority w:val="99"/>
    <w:rsid w:val="00D26FC6"/>
    <w:rPr>
      <w:sz w:val="20"/>
      <w:szCs w:val="20"/>
      <w:lang w:val="en-GB"/>
    </w:rPr>
  </w:style>
  <w:style w:type="character" w:customStyle="1" w:styleId="FootnoteTextChar">
    <w:name w:val="Footnote Text Char"/>
    <w:basedOn w:val="DefaultParagraphFont"/>
    <w:link w:val="FootnoteText"/>
    <w:uiPriority w:val="99"/>
    <w:locked/>
    <w:rsid w:val="00D26FC6"/>
    <w:rPr>
      <w:rFonts w:eastAsia="Times New Roman" w:cs="Times New Roman"/>
      <w:sz w:val="20"/>
      <w:szCs w:val="20"/>
      <w:lang w:val="en-GB"/>
    </w:rPr>
  </w:style>
  <w:style w:type="character" w:styleId="FootnoteReference">
    <w:name w:val="footnote reference"/>
    <w:basedOn w:val="DefaultParagraphFont"/>
    <w:uiPriority w:val="99"/>
    <w:semiHidden/>
    <w:rsid w:val="00D26FC6"/>
    <w:rPr>
      <w:rFonts w:cs="Times New Roman"/>
      <w:vertAlign w:val="superscript"/>
    </w:rPr>
  </w:style>
  <w:style w:type="character" w:styleId="CommentReference">
    <w:name w:val="annotation reference"/>
    <w:basedOn w:val="DefaultParagraphFont"/>
    <w:uiPriority w:val="99"/>
    <w:semiHidden/>
    <w:rsid w:val="00421FB8"/>
    <w:rPr>
      <w:rFonts w:cs="Times New Roman"/>
      <w:sz w:val="16"/>
      <w:szCs w:val="16"/>
    </w:rPr>
  </w:style>
  <w:style w:type="paragraph" w:styleId="CommentText">
    <w:name w:val="annotation text"/>
    <w:basedOn w:val="Normal"/>
    <w:link w:val="CommentTextChar"/>
    <w:uiPriority w:val="99"/>
    <w:semiHidden/>
    <w:rsid w:val="00421FB8"/>
    <w:rPr>
      <w:sz w:val="20"/>
      <w:szCs w:val="20"/>
    </w:rPr>
  </w:style>
  <w:style w:type="character" w:customStyle="1" w:styleId="CommentTextChar">
    <w:name w:val="Comment Text Char"/>
    <w:basedOn w:val="DefaultParagraphFont"/>
    <w:link w:val="CommentText"/>
    <w:uiPriority w:val="99"/>
    <w:semiHidden/>
    <w:rsid w:val="008749B8"/>
    <w:rPr>
      <w:sz w:val="20"/>
      <w:szCs w:val="20"/>
    </w:rPr>
  </w:style>
  <w:style w:type="paragraph" w:styleId="CommentSubject">
    <w:name w:val="annotation subject"/>
    <w:basedOn w:val="CommentText"/>
    <w:next w:val="CommentText"/>
    <w:link w:val="CommentSubjectChar"/>
    <w:uiPriority w:val="99"/>
    <w:semiHidden/>
    <w:rsid w:val="00421FB8"/>
    <w:rPr>
      <w:b/>
      <w:bCs/>
    </w:rPr>
  </w:style>
  <w:style w:type="character" w:customStyle="1" w:styleId="CommentSubjectChar">
    <w:name w:val="Comment Subject Char"/>
    <w:basedOn w:val="CommentTextChar"/>
    <w:link w:val="CommentSubject"/>
    <w:uiPriority w:val="99"/>
    <w:semiHidden/>
    <w:rsid w:val="008749B8"/>
    <w:rPr>
      <w:b/>
      <w:bCs/>
      <w:sz w:val="20"/>
      <w:szCs w:val="20"/>
    </w:rPr>
  </w:style>
  <w:style w:type="paragraph" w:styleId="BalloonText">
    <w:name w:val="Balloon Text"/>
    <w:basedOn w:val="Normal"/>
    <w:link w:val="BalloonTextChar"/>
    <w:uiPriority w:val="99"/>
    <w:semiHidden/>
    <w:rsid w:val="00421FB8"/>
    <w:rPr>
      <w:rFonts w:ascii="Tahoma" w:hAnsi="Tahoma" w:cs="Tahoma"/>
      <w:sz w:val="16"/>
      <w:szCs w:val="16"/>
    </w:rPr>
  </w:style>
  <w:style w:type="character" w:customStyle="1" w:styleId="BalloonTextChar">
    <w:name w:val="Balloon Text Char"/>
    <w:basedOn w:val="DefaultParagraphFont"/>
    <w:link w:val="BalloonText"/>
    <w:uiPriority w:val="99"/>
    <w:semiHidden/>
    <w:rsid w:val="008749B8"/>
    <w:rPr>
      <w:rFonts w:ascii="Times New Roman" w:hAnsi="Times New Roman"/>
      <w:sz w:val="0"/>
      <w:szCs w:val="0"/>
    </w:rPr>
  </w:style>
  <w:style w:type="character" w:styleId="Emphasis">
    <w:name w:val="Emphasis"/>
    <w:basedOn w:val="DefaultParagraphFont"/>
    <w:qFormat/>
    <w:locked/>
    <w:rsid w:val="00B037BF"/>
    <w:rPr>
      <w:i/>
      <w:iCs/>
    </w:rPr>
  </w:style>
  <w:style w:type="paragraph" w:styleId="TOC1">
    <w:name w:val="toc 1"/>
    <w:basedOn w:val="Normal"/>
    <w:next w:val="Normal"/>
    <w:autoRedefine/>
    <w:uiPriority w:val="39"/>
    <w:unhideWhenUsed/>
    <w:qFormat/>
    <w:locked/>
    <w:rsid w:val="00402DBD"/>
    <w:pPr>
      <w:spacing w:before="120" w:line="276" w:lineRule="auto"/>
    </w:pPr>
    <w:rPr>
      <w:rFonts w:asciiTheme="minorHAnsi" w:eastAsia="Calibri" w:hAnsiTheme="minorHAnsi"/>
      <w:b/>
      <w:lang w:val="en-GB"/>
    </w:rPr>
  </w:style>
  <w:style w:type="paragraph" w:styleId="TOC2">
    <w:name w:val="toc 2"/>
    <w:basedOn w:val="Normal"/>
    <w:next w:val="Normal"/>
    <w:autoRedefine/>
    <w:uiPriority w:val="39"/>
    <w:unhideWhenUsed/>
    <w:qFormat/>
    <w:locked/>
    <w:rsid w:val="00402DBD"/>
    <w:pPr>
      <w:spacing w:line="276" w:lineRule="auto"/>
      <w:ind w:left="220"/>
    </w:pPr>
    <w:rPr>
      <w:rFonts w:asciiTheme="minorHAnsi" w:eastAsia="Calibri" w:hAnsiTheme="minorHAnsi"/>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45CB5-5552-454B-BF0D-67E7AF35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1749</Words>
  <Characters>9971</Characters>
  <Application>Microsoft Macintosh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Myanmar REDD+ Readiness Roadmap</vt:lpstr>
      <vt:lpstr>Myanmar REDD+ Readiness Roadmap</vt:lpstr>
    </vt:vector>
  </TitlesOfParts>
  <Company>FAO of the UN</Company>
  <LinksUpToDate>false</LinksUpToDate>
  <CharactersWithSpaces>11697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Myanmar REDD+ Readiness Roadmap</dc:title>
  <dc:creator>Lisa Ogle</dc:creator>
  <cp:lastModifiedBy>Ben Vickers</cp:lastModifiedBy>
  <cp:revision>2</cp:revision>
  <dcterms:created xsi:type="dcterms:W3CDTF">2013-06-04T03:47:00Z</dcterms:created>
  <dcterms:modified xsi:type="dcterms:W3CDTF">2013-06-04T03:47:00Z</dcterms:modified>
</cp:coreProperties>
</file>