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3B" w:rsidRPr="00E26045" w:rsidRDefault="00D9153B" w:rsidP="00D9153B">
      <w:pPr>
        <w:rPr>
          <w:rFonts w:ascii="Arial" w:hAnsi="Arial"/>
          <w:color w:val="000000"/>
          <w:spacing w:val="-2"/>
        </w:rPr>
      </w:pPr>
    </w:p>
    <w:p w:rsidR="00D9153B" w:rsidRPr="00E26045" w:rsidRDefault="00D9153B" w:rsidP="00D9153B">
      <w:pPr>
        <w:rPr>
          <w:color w:val="000000"/>
          <w:sz w:val="6"/>
        </w:rPr>
        <w:sectPr w:rsidR="00D9153B" w:rsidRPr="00E26045" w:rsidSect="004410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Sect"/>
          </w:footnotePr>
          <w:endnotePr>
            <w:numFmt w:val="decimal"/>
            <w:numStart w:val="7"/>
          </w:endnotePr>
          <w:pgSz w:w="12240" w:h="15840" w:code="1"/>
          <w:pgMar w:top="1742" w:right="1195" w:bottom="1898" w:left="1195" w:header="576" w:footer="1030" w:gutter="0"/>
          <w:pgNumType w:start="1"/>
          <w:cols w:space="720"/>
          <w:titlePg/>
        </w:sectPr>
      </w:pPr>
    </w:p>
    <w:p w:rsidR="002A0DB2" w:rsidRPr="003626E3" w:rsidRDefault="002A0DB2" w:rsidP="002A0DB2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240" w:lineRule="exact"/>
        <w:ind w:right="1260"/>
        <w:rPr>
          <w:b/>
          <w:color w:val="000000"/>
        </w:rPr>
      </w:pPr>
      <w:r>
        <w:rPr>
          <w:b/>
          <w:color w:val="000000"/>
        </w:rPr>
        <w:lastRenderedPageBreak/>
        <w:t xml:space="preserve">Second regular </w:t>
      </w:r>
      <w:r w:rsidRPr="003626E3">
        <w:rPr>
          <w:b/>
          <w:color w:val="000000"/>
        </w:rPr>
        <w:t>session 2011</w:t>
      </w:r>
    </w:p>
    <w:p w:rsidR="002A0DB2" w:rsidRPr="003626E3" w:rsidRDefault="002A0DB2" w:rsidP="002A0DB2">
      <w:pPr>
        <w:pStyle w:val="NoteLevel2"/>
        <w:spacing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6-9 September</w:t>
      </w:r>
      <w:r w:rsidRPr="003626E3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2011, New York</w:t>
      </w:r>
    </w:p>
    <w:p w:rsidR="002A0DB2" w:rsidRPr="003626E3" w:rsidRDefault="002A0DB2" w:rsidP="002A0DB2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240" w:lineRule="exact"/>
        <w:ind w:right="1260"/>
        <w:rPr>
          <w:color w:val="000000"/>
        </w:rPr>
      </w:pPr>
      <w:r w:rsidRPr="003626E3">
        <w:rPr>
          <w:color w:val="000000"/>
        </w:rPr>
        <w:t xml:space="preserve">Item </w:t>
      </w:r>
      <w:r w:rsidR="00974FC2">
        <w:rPr>
          <w:color w:val="000000"/>
        </w:rPr>
        <w:t>3</w:t>
      </w:r>
      <w:r w:rsidRPr="003626E3">
        <w:rPr>
          <w:color w:val="000000"/>
        </w:rPr>
        <w:t xml:space="preserve"> of the provisional agenda</w:t>
      </w:r>
    </w:p>
    <w:p w:rsidR="002A0DB2" w:rsidRPr="003626E3" w:rsidRDefault="002A0DB2" w:rsidP="002A0DB2">
      <w:pPr>
        <w:spacing w:line="240" w:lineRule="exact"/>
        <w:ind w:right="1260"/>
        <w:rPr>
          <w:b/>
          <w:color w:val="000000"/>
        </w:rPr>
      </w:pPr>
      <w:r w:rsidRPr="003626E3">
        <w:rPr>
          <w:b/>
          <w:color w:val="000000"/>
        </w:rPr>
        <w:t xml:space="preserve">Country </w:t>
      </w:r>
      <w:proofErr w:type="spellStart"/>
      <w:r w:rsidRPr="003626E3">
        <w:rPr>
          <w:b/>
          <w:color w:val="000000"/>
        </w:rPr>
        <w:t>programmes</w:t>
      </w:r>
      <w:proofErr w:type="spellEnd"/>
      <w:r w:rsidRPr="003626E3">
        <w:rPr>
          <w:b/>
          <w:color w:val="000000"/>
        </w:rPr>
        <w:t xml:space="preserve"> and related matters</w:t>
      </w:r>
    </w:p>
    <w:p w:rsidR="00D9153B" w:rsidRPr="00E26045" w:rsidRDefault="00D9153B" w:rsidP="00D9153B">
      <w:pPr>
        <w:pStyle w:val="SingleTxt"/>
        <w:spacing w:after="0" w:line="120" w:lineRule="exact"/>
        <w:rPr>
          <w:color w:val="000000"/>
          <w:sz w:val="10"/>
        </w:rPr>
      </w:pPr>
    </w:p>
    <w:p w:rsidR="00D9153B" w:rsidRPr="00E26045" w:rsidRDefault="00D9153B" w:rsidP="00D9153B">
      <w:pPr>
        <w:pStyle w:val="SingleTxt"/>
        <w:spacing w:after="0" w:line="120" w:lineRule="exact"/>
        <w:rPr>
          <w:color w:val="000000"/>
          <w:sz w:val="10"/>
        </w:rPr>
      </w:pPr>
    </w:p>
    <w:p w:rsidR="00D9153B" w:rsidRPr="00E26045" w:rsidRDefault="00D9153B" w:rsidP="00D9153B">
      <w:pPr>
        <w:pStyle w:val="SingleTxt"/>
        <w:spacing w:after="0" w:line="120" w:lineRule="exact"/>
        <w:rPr>
          <w:color w:val="000000"/>
          <w:sz w:val="10"/>
        </w:rPr>
      </w:pPr>
    </w:p>
    <w:p w:rsidR="00D9153B" w:rsidRPr="00E26045" w:rsidRDefault="00D9153B" w:rsidP="00D9153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color w:val="000000"/>
        </w:rPr>
      </w:pPr>
      <w:r w:rsidRPr="00E26045">
        <w:rPr>
          <w:color w:val="000000"/>
        </w:rPr>
        <w:tab/>
      </w:r>
    </w:p>
    <w:p w:rsidR="00D9153B" w:rsidRPr="00E26045" w:rsidRDefault="00D9153B" w:rsidP="00D9153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jc w:val="center"/>
        <w:rPr>
          <w:color w:val="000000"/>
        </w:rPr>
      </w:pPr>
      <w:r w:rsidRPr="00E26045">
        <w:rPr>
          <w:color w:val="000000"/>
        </w:rPr>
        <w:t xml:space="preserve">Draft country programme document for </w:t>
      </w:r>
      <w:r w:rsidR="003E6DFD">
        <w:rPr>
          <w:color w:val="000000"/>
        </w:rPr>
        <w:t>the Republic of Suriname (2012-2016)</w:t>
      </w:r>
      <w:r w:rsidRPr="00E26045">
        <w:rPr>
          <w:color w:val="000000"/>
        </w:rPr>
        <w:br/>
      </w:r>
    </w:p>
    <w:p w:rsidR="00D9153B" w:rsidRPr="00E26045" w:rsidRDefault="00D9153B" w:rsidP="00D9153B">
      <w:pPr>
        <w:pStyle w:val="SingleTxt"/>
        <w:spacing w:after="0" w:line="120" w:lineRule="exact"/>
        <w:rPr>
          <w:color w:val="000000"/>
          <w:sz w:val="10"/>
        </w:rPr>
      </w:pPr>
    </w:p>
    <w:p w:rsidR="00D9153B" w:rsidRPr="00E26045" w:rsidRDefault="00D9153B" w:rsidP="00D9153B">
      <w:pPr>
        <w:pStyle w:val="SingleTxt"/>
        <w:spacing w:after="0" w:line="120" w:lineRule="exact"/>
        <w:rPr>
          <w:color w:val="000000"/>
          <w:sz w:val="10"/>
        </w:rPr>
      </w:pPr>
    </w:p>
    <w:p w:rsidR="00D9153B" w:rsidRPr="00E26045" w:rsidRDefault="00D9153B" w:rsidP="00D9153B">
      <w:pPr>
        <w:pStyle w:val="SingleTxt"/>
        <w:spacing w:after="0" w:line="120" w:lineRule="exact"/>
        <w:rPr>
          <w:color w:val="000000"/>
          <w:sz w:val="10"/>
        </w:rPr>
      </w:pPr>
    </w:p>
    <w:p w:rsidR="00D9153B" w:rsidRPr="004B4A49" w:rsidRDefault="00D9153B" w:rsidP="00D9153B">
      <w:pPr>
        <w:pStyle w:val="HCh"/>
        <w:spacing w:after="120"/>
        <w:rPr>
          <w:b w:val="0"/>
          <w:i/>
          <w:color w:val="000000"/>
          <w:sz w:val="24"/>
          <w:lang w:val="fr-FR"/>
        </w:rPr>
      </w:pPr>
      <w:r w:rsidRPr="004B4A49">
        <w:rPr>
          <w:b w:val="0"/>
          <w:i/>
          <w:color w:val="000000"/>
          <w:sz w:val="24"/>
          <w:lang w:val="en-US"/>
        </w:rPr>
        <w:t xml:space="preserve"> </w:t>
      </w:r>
      <w:r w:rsidRPr="004B4A49">
        <w:rPr>
          <w:b w:val="0"/>
          <w:i/>
          <w:color w:val="000000"/>
          <w:sz w:val="24"/>
          <w:lang w:val="fr-FR"/>
        </w:rPr>
        <w:t>Contents</w:t>
      </w:r>
    </w:p>
    <w:tbl>
      <w:tblPr>
        <w:tblW w:w="9270" w:type="dxa"/>
        <w:tblInd w:w="1008" w:type="dxa"/>
        <w:tblLayout w:type="fixed"/>
        <w:tblLook w:val="01E0"/>
      </w:tblPr>
      <w:tblGrid>
        <w:gridCol w:w="900"/>
        <w:gridCol w:w="6475"/>
        <w:gridCol w:w="1240"/>
        <w:gridCol w:w="655"/>
      </w:tblGrid>
      <w:tr w:rsidR="00D9153B" w:rsidRPr="00E26045">
        <w:tc>
          <w:tcPr>
            <w:tcW w:w="900" w:type="dxa"/>
          </w:tcPr>
          <w:p w:rsidR="00D9153B" w:rsidRPr="00E26045" w:rsidRDefault="00D9153B" w:rsidP="00441061">
            <w:pPr>
              <w:spacing w:after="60"/>
              <w:rPr>
                <w:color w:val="000000"/>
              </w:rPr>
            </w:pPr>
          </w:p>
        </w:tc>
        <w:tc>
          <w:tcPr>
            <w:tcW w:w="6475" w:type="dxa"/>
          </w:tcPr>
          <w:p w:rsidR="00D9153B" w:rsidRPr="00E26045" w:rsidRDefault="00D9153B" w:rsidP="00441061">
            <w:pPr>
              <w:spacing w:after="60"/>
              <w:rPr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vAlign w:val="center"/>
          </w:tcPr>
          <w:p w:rsidR="00D9153B" w:rsidRPr="00E26045" w:rsidRDefault="00D9153B" w:rsidP="00441061">
            <w:pPr>
              <w:spacing w:after="60"/>
              <w:jc w:val="right"/>
              <w:rPr>
                <w:i/>
                <w:color w:val="000000"/>
                <w:sz w:val="17"/>
                <w:szCs w:val="17"/>
              </w:rPr>
            </w:pPr>
            <w:r w:rsidRPr="00E26045">
              <w:rPr>
                <w:i/>
                <w:color w:val="000000"/>
                <w:sz w:val="17"/>
                <w:szCs w:val="17"/>
              </w:rPr>
              <w:t>Paragraphs</w:t>
            </w:r>
          </w:p>
        </w:tc>
        <w:tc>
          <w:tcPr>
            <w:tcW w:w="655" w:type="dxa"/>
            <w:vAlign w:val="center"/>
          </w:tcPr>
          <w:p w:rsidR="00D9153B" w:rsidRPr="00E26045" w:rsidRDefault="00D9153B" w:rsidP="00441061">
            <w:pPr>
              <w:spacing w:after="60"/>
              <w:jc w:val="right"/>
              <w:rPr>
                <w:i/>
                <w:color w:val="000000"/>
                <w:sz w:val="17"/>
                <w:szCs w:val="17"/>
              </w:rPr>
            </w:pPr>
            <w:r w:rsidRPr="00E26045">
              <w:rPr>
                <w:i/>
                <w:color w:val="000000"/>
                <w:sz w:val="17"/>
                <w:szCs w:val="17"/>
              </w:rPr>
              <w:t>Page</w:t>
            </w:r>
          </w:p>
        </w:tc>
      </w:tr>
      <w:tr w:rsidR="00D9153B" w:rsidRPr="00E26045">
        <w:trPr>
          <w:trHeight w:val="382"/>
        </w:trPr>
        <w:tc>
          <w:tcPr>
            <w:tcW w:w="900" w:type="dxa"/>
            <w:vAlign w:val="center"/>
          </w:tcPr>
          <w:p w:rsidR="00D9153B" w:rsidRPr="00E26045" w:rsidRDefault="00D9153B" w:rsidP="00441061">
            <w:pPr>
              <w:spacing w:after="60"/>
              <w:rPr>
                <w:color w:val="000000"/>
              </w:rPr>
            </w:pPr>
            <w:r w:rsidRPr="00E26045">
              <w:rPr>
                <w:color w:val="000000"/>
              </w:rPr>
              <w:t>I.</w:t>
            </w:r>
          </w:p>
        </w:tc>
        <w:tc>
          <w:tcPr>
            <w:tcW w:w="6475" w:type="dxa"/>
            <w:vAlign w:val="center"/>
          </w:tcPr>
          <w:p w:rsidR="00D9153B" w:rsidRPr="00E26045" w:rsidRDefault="00D9153B" w:rsidP="00FD04EB">
            <w:pPr>
              <w:spacing w:after="120"/>
              <w:rPr>
                <w:color w:val="000000"/>
              </w:rPr>
            </w:pPr>
            <w:r w:rsidRPr="00E26045">
              <w:rPr>
                <w:color w:val="000000"/>
              </w:rPr>
              <w:t>Situation analysis……………………………………………</w:t>
            </w:r>
            <w:r w:rsidR="00CC2F01">
              <w:rPr>
                <w:color w:val="000000"/>
              </w:rPr>
              <w:t>…</w:t>
            </w:r>
            <w:r w:rsidRPr="00E26045">
              <w:rPr>
                <w:color w:val="000000"/>
              </w:rPr>
              <w:t>…</w:t>
            </w:r>
            <w:r w:rsidR="008C7649" w:rsidRPr="00E26045">
              <w:rPr>
                <w:color w:val="000000"/>
              </w:rPr>
              <w:t>…</w:t>
            </w:r>
            <w:r w:rsidRPr="00E26045">
              <w:rPr>
                <w:color w:val="000000"/>
              </w:rPr>
              <w:t>…………</w:t>
            </w:r>
          </w:p>
        </w:tc>
        <w:tc>
          <w:tcPr>
            <w:tcW w:w="1240" w:type="dxa"/>
            <w:vAlign w:val="center"/>
          </w:tcPr>
          <w:p w:rsidR="00D9153B" w:rsidRPr="00E26045" w:rsidRDefault="000837FB" w:rsidP="00441061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1-6</w:t>
            </w:r>
          </w:p>
        </w:tc>
        <w:tc>
          <w:tcPr>
            <w:tcW w:w="655" w:type="dxa"/>
            <w:vAlign w:val="center"/>
          </w:tcPr>
          <w:p w:rsidR="00D9153B" w:rsidRPr="00E26045" w:rsidRDefault="000837FB" w:rsidP="00441061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9153B" w:rsidRPr="00E26045">
        <w:tc>
          <w:tcPr>
            <w:tcW w:w="900" w:type="dxa"/>
            <w:vAlign w:val="center"/>
          </w:tcPr>
          <w:p w:rsidR="00D9153B" w:rsidRPr="00E26045" w:rsidRDefault="00D9153B" w:rsidP="00441061">
            <w:pPr>
              <w:spacing w:after="60"/>
              <w:rPr>
                <w:color w:val="000000"/>
              </w:rPr>
            </w:pPr>
            <w:r w:rsidRPr="00E26045">
              <w:rPr>
                <w:color w:val="000000"/>
              </w:rPr>
              <w:t>II.</w:t>
            </w:r>
          </w:p>
        </w:tc>
        <w:tc>
          <w:tcPr>
            <w:tcW w:w="6475" w:type="dxa"/>
            <w:vAlign w:val="center"/>
          </w:tcPr>
          <w:p w:rsidR="00D9153B" w:rsidRPr="00E26045" w:rsidRDefault="00D9153B" w:rsidP="00FD04EB">
            <w:pPr>
              <w:spacing w:after="120"/>
              <w:rPr>
                <w:color w:val="000000"/>
              </w:rPr>
            </w:pPr>
            <w:r w:rsidRPr="00E26045">
              <w:rPr>
                <w:color w:val="000000"/>
              </w:rPr>
              <w:t>Past cooperation and lessons learned………………………</w:t>
            </w:r>
            <w:r w:rsidR="00CC2F01">
              <w:rPr>
                <w:color w:val="000000"/>
              </w:rPr>
              <w:t>…..</w:t>
            </w:r>
            <w:r w:rsidRPr="00E26045">
              <w:rPr>
                <w:color w:val="000000"/>
              </w:rPr>
              <w:t>…………</w:t>
            </w:r>
            <w:r w:rsidR="008C7649" w:rsidRPr="00E26045">
              <w:rPr>
                <w:color w:val="000000"/>
              </w:rPr>
              <w:t>……</w:t>
            </w:r>
          </w:p>
        </w:tc>
        <w:tc>
          <w:tcPr>
            <w:tcW w:w="1240" w:type="dxa"/>
            <w:vAlign w:val="center"/>
          </w:tcPr>
          <w:p w:rsidR="00D9153B" w:rsidRPr="00E26045" w:rsidRDefault="00F64787" w:rsidP="00441061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655" w:type="dxa"/>
            <w:vAlign w:val="center"/>
          </w:tcPr>
          <w:p w:rsidR="00D9153B" w:rsidRPr="00E26045" w:rsidRDefault="004B4A49" w:rsidP="00220955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9153B" w:rsidRPr="00E26045">
        <w:tc>
          <w:tcPr>
            <w:tcW w:w="900" w:type="dxa"/>
            <w:vAlign w:val="center"/>
          </w:tcPr>
          <w:p w:rsidR="00D9153B" w:rsidRPr="00E26045" w:rsidRDefault="00D9153B" w:rsidP="00441061">
            <w:pPr>
              <w:spacing w:after="60"/>
              <w:rPr>
                <w:color w:val="000000"/>
              </w:rPr>
            </w:pPr>
            <w:r w:rsidRPr="00E26045">
              <w:rPr>
                <w:color w:val="000000"/>
              </w:rPr>
              <w:t>III.</w:t>
            </w:r>
          </w:p>
        </w:tc>
        <w:tc>
          <w:tcPr>
            <w:tcW w:w="6475" w:type="dxa"/>
            <w:vAlign w:val="center"/>
          </w:tcPr>
          <w:p w:rsidR="00D9153B" w:rsidRPr="00E26045" w:rsidRDefault="00D9153B" w:rsidP="00FD04EB">
            <w:pPr>
              <w:spacing w:after="120"/>
              <w:rPr>
                <w:color w:val="000000"/>
              </w:rPr>
            </w:pPr>
            <w:r w:rsidRPr="00E26045">
              <w:rPr>
                <w:color w:val="000000"/>
              </w:rPr>
              <w:t>Proposed programme…………………………………………</w:t>
            </w:r>
            <w:r w:rsidR="00CC2F01">
              <w:rPr>
                <w:color w:val="000000"/>
              </w:rPr>
              <w:t>….</w:t>
            </w:r>
            <w:r w:rsidRPr="00E26045">
              <w:rPr>
                <w:color w:val="000000"/>
              </w:rPr>
              <w:t>………….</w:t>
            </w:r>
            <w:r w:rsidR="008C7649" w:rsidRPr="00E26045">
              <w:rPr>
                <w:color w:val="000000"/>
              </w:rPr>
              <w:t>…</w:t>
            </w:r>
          </w:p>
        </w:tc>
        <w:tc>
          <w:tcPr>
            <w:tcW w:w="1240" w:type="dxa"/>
            <w:vAlign w:val="center"/>
          </w:tcPr>
          <w:p w:rsidR="00867F7C" w:rsidRDefault="00F64787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12-</w:t>
            </w:r>
            <w:r w:rsidR="007F6E66">
              <w:rPr>
                <w:color w:val="000000"/>
              </w:rPr>
              <w:t>19</w:t>
            </w:r>
          </w:p>
        </w:tc>
        <w:tc>
          <w:tcPr>
            <w:tcW w:w="655" w:type="dxa"/>
            <w:vAlign w:val="center"/>
          </w:tcPr>
          <w:p w:rsidR="00D9153B" w:rsidRPr="00E26045" w:rsidRDefault="00220955" w:rsidP="000B2373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9153B" w:rsidRPr="00E26045">
        <w:tc>
          <w:tcPr>
            <w:tcW w:w="900" w:type="dxa"/>
            <w:vAlign w:val="center"/>
          </w:tcPr>
          <w:p w:rsidR="00D9153B" w:rsidRPr="00E26045" w:rsidRDefault="00CC2F01" w:rsidP="00441061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9153B" w:rsidRPr="00E26045">
              <w:rPr>
                <w:color w:val="000000"/>
              </w:rPr>
              <w:t>V.</w:t>
            </w:r>
          </w:p>
        </w:tc>
        <w:tc>
          <w:tcPr>
            <w:tcW w:w="6475" w:type="dxa"/>
            <w:vAlign w:val="center"/>
          </w:tcPr>
          <w:p w:rsidR="00D9153B" w:rsidRPr="00E26045" w:rsidRDefault="00D9153B" w:rsidP="00FD04EB">
            <w:pPr>
              <w:spacing w:after="120"/>
              <w:rPr>
                <w:color w:val="000000"/>
              </w:rPr>
            </w:pPr>
            <w:r w:rsidRPr="00E26045">
              <w:rPr>
                <w:color w:val="000000"/>
              </w:rPr>
              <w:t xml:space="preserve">Programme management, </w:t>
            </w:r>
            <w:r w:rsidR="00CC2F01">
              <w:rPr>
                <w:color w:val="000000"/>
              </w:rPr>
              <w:t xml:space="preserve">monitoring and </w:t>
            </w:r>
            <w:r w:rsidRPr="00E26045">
              <w:rPr>
                <w:color w:val="000000"/>
              </w:rPr>
              <w:t>evaluation…</w:t>
            </w:r>
            <w:r w:rsidR="00CC2F01">
              <w:rPr>
                <w:color w:val="000000"/>
              </w:rPr>
              <w:t>…..</w:t>
            </w:r>
            <w:r w:rsidRPr="00E26045">
              <w:rPr>
                <w:color w:val="000000"/>
              </w:rPr>
              <w:t>…………………</w:t>
            </w:r>
          </w:p>
        </w:tc>
        <w:tc>
          <w:tcPr>
            <w:tcW w:w="1240" w:type="dxa"/>
            <w:vAlign w:val="center"/>
          </w:tcPr>
          <w:p w:rsidR="00D9153B" w:rsidRPr="00E26045" w:rsidRDefault="00F64787" w:rsidP="00441061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F6E66">
              <w:rPr>
                <w:color w:val="000000"/>
              </w:rPr>
              <w:t>0</w:t>
            </w:r>
            <w:r>
              <w:rPr>
                <w:color w:val="000000"/>
              </w:rPr>
              <w:t>-2</w:t>
            </w:r>
            <w:r w:rsidR="007F6E66">
              <w:rPr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9153B" w:rsidRPr="00E26045" w:rsidRDefault="00F64787" w:rsidP="00441061">
            <w:pPr>
              <w:spacing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9153B" w:rsidRPr="00E26045">
        <w:tc>
          <w:tcPr>
            <w:tcW w:w="900" w:type="dxa"/>
            <w:vAlign w:val="center"/>
          </w:tcPr>
          <w:p w:rsidR="00D9153B" w:rsidRPr="00E26045" w:rsidRDefault="00D9153B" w:rsidP="00441061">
            <w:pPr>
              <w:spacing w:after="120"/>
              <w:rPr>
                <w:color w:val="000000"/>
              </w:rPr>
            </w:pPr>
          </w:p>
        </w:tc>
        <w:tc>
          <w:tcPr>
            <w:tcW w:w="6475" w:type="dxa"/>
            <w:vAlign w:val="center"/>
          </w:tcPr>
          <w:p w:rsidR="00D9153B" w:rsidRPr="00E26045" w:rsidRDefault="00D9153B" w:rsidP="00441061">
            <w:pPr>
              <w:spacing w:after="120"/>
              <w:rPr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D9153B" w:rsidRPr="00E26045" w:rsidRDefault="00D9153B" w:rsidP="00441061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655" w:type="dxa"/>
            <w:vAlign w:val="center"/>
          </w:tcPr>
          <w:p w:rsidR="00D9153B" w:rsidRPr="00E26045" w:rsidRDefault="00D9153B" w:rsidP="00441061">
            <w:pPr>
              <w:spacing w:after="120"/>
              <w:jc w:val="right"/>
              <w:rPr>
                <w:color w:val="000000"/>
              </w:rPr>
            </w:pPr>
          </w:p>
        </w:tc>
      </w:tr>
      <w:tr w:rsidR="00D9153B" w:rsidRPr="00E26045">
        <w:tc>
          <w:tcPr>
            <w:tcW w:w="900" w:type="dxa"/>
            <w:vAlign w:val="center"/>
          </w:tcPr>
          <w:p w:rsidR="00D9153B" w:rsidRPr="00E26045" w:rsidRDefault="00D9153B" w:rsidP="003664C0">
            <w:pPr>
              <w:rPr>
                <w:color w:val="000000"/>
              </w:rPr>
            </w:pPr>
            <w:r w:rsidRPr="00E26045">
              <w:rPr>
                <w:color w:val="000000"/>
              </w:rPr>
              <w:t xml:space="preserve">Annex </w:t>
            </w:r>
          </w:p>
        </w:tc>
        <w:tc>
          <w:tcPr>
            <w:tcW w:w="6475" w:type="dxa"/>
            <w:vAlign w:val="center"/>
          </w:tcPr>
          <w:p w:rsidR="00D9153B" w:rsidRPr="00E26045" w:rsidRDefault="00D9153B" w:rsidP="003664C0">
            <w:pPr>
              <w:rPr>
                <w:color w:val="000000"/>
              </w:rPr>
            </w:pPr>
            <w:r w:rsidRPr="00E26045">
              <w:rPr>
                <w:color w:val="000000"/>
              </w:rPr>
              <w:t>Results and resources framework ………</w:t>
            </w:r>
            <w:r w:rsidR="008C7649" w:rsidRPr="00E26045">
              <w:rPr>
                <w:color w:val="000000"/>
              </w:rPr>
              <w:t>……………………………………</w:t>
            </w:r>
          </w:p>
        </w:tc>
        <w:tc>
          <w:tcPr>
            <w:tcW w:w="1240" w:type="dxa"/>
            <w:vAlign w:val="center"/>
          </w:tcPr>
          <w:p w:rsidR="00D9153B" w:rsidRPr="00E26045" w:rsidRDefault="00D9153B" w:rsidP="00441061">
            <w:pPr>
              <w:jc w:val="right"/>
              <w:rPr>
                <w:color w:val="000000"/>
              </w:rPr>
            </w:pPr>
          </w:p>
        </w:tc>
        <w:tc>
          <w:tcPr>
            <w:tcW w:w="655" w:type="dxa"/>
            <w:vAlign w:val="center"/>
          </w:tcPr>
          <w:p w:rsidR="00D9153B" w:rsidRPr="00E26045" w:rsidRDefault="007F30D8" w:rsidP="000B2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9153B" w:rsidRPr="00E26045">
        <w:trPr>
          <w:trHeight w:val="418"/>
        </w:trPr>
        <w:tc>
          <w:tcPr>
            <w:tcW w:w="900" w:type="dxa"/>
            <w:vAlign w:val="center"/>
          </w:tcPr>
          <w:p w:rsidR="00D9153B" w:rsidRPr="00E26045" w:rsidRDefault="00D9153B" w:rsidP="00441061">
            <w:pPr>
              <w:rPr>
                <w:color w:val="000000"/>
              </w:rPr>
            </w:pPr>
          </w:p>
        </w:tc>
        <w:tc>
          <w:tcPr>
            <w:tcW w:w="6475" w:type="dxa"/>
            <w:vAlign w:val="center"/>
          </w:tcPr>
          <w:p w:rsidR="00D9153B" w:rsidRPr="00E26045" w:rsidRDefault="00D9153B" w:rsidP="00441061">
            <w:pPr>
              <w:rPr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D9153B" w:rsidRPr="00E26045" w:rsidRDefault="00D9153B" w:rsidP="00441061">
            <w:pPr>
              <w:jc w:val="right"/>
              <w:rPr>
                <w:color w:val="000000"/>
              </w:rPr>
            </w:pPr>
          </w:p>
        </w:tc>
        <w:tc>
          <w:tcPr>
            <w:tcW w:w="655" w:type="dxa"/>
            <w:vAlign w:val="center"/>
          </w:tcPr>
          <w:p w:rsidR="00D9153B" w:rsidRPr="00E26045" w:rsidRDefault="00D9153B" w:rsidP="00441061">
            <w:pPr>
              <w:jc w:val="right"/>
              <w:rPr>
                <w:color w:val="000000"/>
              </w:rPr>
            </w:pPr>
          </w:p>
        </w:tc>
      </w:tr>
    </w:tbl>
    <w:p w:rsidR="005841A3" w:rsidRDefault="005841A3" w:rsidP="008C7649"/>
    <w:p w:rsidR="00867F7C" w:rsidRPr="00974FC2" w:rsidRDefault="005841A3" w:rsidP="00974FC2">
      <w:pPr>
        <w:tabs>
          <w:tab w:val="left" w:pos="1260"/>
        </w:tabs>
        <w:spacing w:after="120"/>
        <w:ind w:firstLine="720"/>
        <w:rPr>
          <w:b/>
          <w:color w:val="000000"/>
          <w:sz w:val="24"/>
          <w:szCs w:val="24"/>
        </w:rPr>
      </w:pPr>
      <w:r>
        <w:br w:type="page"/>
      </w:r>
      <w:r w:rsidR="00974FC2" w:rsidRPr="00974FC2">
        <w:rPr>
          <w:b/>
          <w:sz w:val="24"/>
          <w:szCs w:val="24"/>
        </w:rPr>
        <w:lastRenderedPageBreak/>
        <w:t>I.</w:t>
      </w:r>
      <w:r w:rsidR="00D47945" w:rsidRPr="00974FC2">
        <w:rPr>
          <w:b/>
          <w:color w:val="000000"/>
          <w:sz w:val="24"/>
          <w:szCs w:val="24"/>
        </w:rPr>
        <w:t xml:space="preserve"> </w:t>
      </w:r>
      <w:r w:rsidR="00D47945" w:rsidRPr="00974FC2">
        <w:rPr>
          <w:b/>
          <w:color w:val="000000"/>
          <w:sz w:val="24"/>
          <w:szCs w:val="24"/>
        </w:rPr>
        <w:tab/>
      </w:r>
      <w:r w:rsidR="008C7649" w:rsidRPr="00974FC2">
        <w:rPr>
          <w:b/>
          <w:color w:val="000000"/>
          <w:sz w:val="24"/>
          <w:szCs w:val="24"/>
        </w:rPr>
        <w:t>Situation analysis</w:t>
      </w:r>
    </w:p>
    <w:p w:rsidR="00867F7C" w:rsidRDefault="007F294D" w:rsidP="00376DA9">
      <w:pPr>
        <w:spacing w:after="120"/>
        <w:ind w:left="1267" w:right="1267"/>
        <w:jc w:val="both"/>
        <w:rPr>
          <w:color w:val="333333"/>
        </w:rPr>
      </w:pPr>
      <w:r>
        <w:rPr>
          <w:color w:val="333333"/>
        </w:rPr>
        <w:t xml:space="preserve">1. </w:t>
      </w:r>
      <w:r w:rsidR="00D50C89" w:rsidRPr="007F294D">
        <w:rPr>
          <w:color w:val="333333"/>
        </w:rPr>
        <w:t xml:space="preserve">Suriname is ranked 94 out of 169 countries in the </w:t>
      </w:r>
      <w:r w:rsidR="00867D87">
        <w:rPr>
          <w:color w:val="333333"/>
        </w:rPr>
        <w:t xml:space="preserve">2010 </w:t>
      </w:r>
      <w:r w:rsidR="00D50C89" w:rsidRPr="007F294D">
        <w:rPr>
          <w:color w:val="333333"/>
        </w:rPr>
        <w:t>UNDP human development index, with a value of 0.646</w:t>
      </w:r>
      <w:r w:rsidR="00020121">
        <w:rPr>
          <w:color w:val="333333"/>
        </w:rPr>
        <w:t xml:space="preserve">. This puts the country in </w:t>
      </w:r>
      <w:r w:rsidR="00D50C89" w:rsidRPr="007F294D">
        <w:rPr>
          <w:color w:val="333333"/>
        </w:rPr>
        <w:t>“</w:t>
      </w:r>
      <w:r w:rsidR="00020121" w:rsidRPr="007F294D">
        <w:rPr>
          <w:color w:val="333333"/>
        </w:rPr>
        <w:t>medium human developme</w:t>
      </w:r>
      <w:r w:rsidR="00D50C89" w:rsidRPr="007F294D">
        <w:rPr>
          <w:color w:val="333333"/>
        </w:rPr>
        <w:t>nt”</w:t>
      </w:r>
      <w:r w:rsidR="00020121">
        <w:rPr>
          <w:color w:val="333333"/>
        </w:rPr>
        <w:t xml:space="preserve"> category</w:t>
      </w:r>
      <w:r w:rsidR="00D50C89" w:rsidRPr="007F294D">
        <w:rPr>
          <w:color w:val="333333"/>
        </w:rPr>
        <w:t>. According to the Multidimensional Poverty Index, 7.5</w:t>
      </w:r>
      <w:r w:rsidR="00171795">
        <w:rPr>
          <w:color w:val="333333"/>
        </w:rPr>
        <w:t xml:space="preserve"> per cent</w:t>
      </w:r>
      <w:r w:rsidR="00D50C89" w:rsidRPr="007F294D">
        <w:rPr>
          <w:color w:val="333333"/>
        </w:rPr>
        <w:t xml:space="preserve"> of the population is poor</w:t>
      </w:r>
      <w:r w:rsidR="00867D87">
        <w:rPr>
          <w:color w:val="333333"/>
        </w:rPr>
        <w:t>. Four</w:t>
      </w:r>
      <w:r w:rsidR="00D50C89" w:rsidRPr="007F294D">
        <w:rPr>
          <w:color w:val="333333"/>
        </w:rPr>
        <w:t xml:space="preserve"> out of 10 persons </w:t>
      </w:r>
      <w:r w:rsidR="00867D87">
        <w:rPr>
          <w:color w:val="333333"/>
        </w:rPr>
        <w:t>are subject to</w:t>
      </w:r>
      <w:r w:rsidR="00D50C89" w:rsidRPr="007F294D">
        <w:rPr>
          <w:color w:val="333333"/>
        </w:rPr>
        <w:t xml:space="preserve"> intense deprivation. </w:t>
      </w:r>
      <w:r w:rsidR="006C712C" w:rsidRPr="00C42E03">
        <w:t xml:space="preserve">Poverty in Suriname is closely related to limited access to </w:t>
      </w:r>
      <w:r w:rsidR="006C712C">
        <w:t xml:space="preserve">services, </w:t>
      </w:r>
      <w:r w:rsidR="006C712C" w:rsidRPr="00C42E03">
        <w:t xml:space="preserve">employment opportunities and </w:t>
      </w:r>
      <w:r w:rsidR="006C712C">
        <w:t xml:space="preserve">livelihood </w:t>
      </w:r>
      <w:r w:rsidR="006C712C" w:rsidRPr="00C42E03">
        <w:t>asset</w:t>
      </w:r>
      <w:r w:rsidR="006C712C">
        <w:t>s</w:t>
      </w:r>
      <w:r w:rsidR="006C712C" w:rsidRPr="00C42E03">
        <w:t>.</w:t>
      </w:r>
      <w:r w:rsidR="00171795">
        <w:t xml:space="preserve"> </w:t>
      </w:r>
      <w:r w:rsidR="00D50C89" w:rsidRPr="007F294D">
        <w:rPr>
          <w:color w:val="333333"/>
        </w:rPr>
        <w:t xml:space="preserve">Significant progress has been made towards </w:t>
      </w:r>
      <w:r w:rsidR="00020121">
        <w:rPr>
          <w:color w:val="333333"/>
        </w:rPr>
        <w:t>achieving Millennium Development Goals (</w:t>
      </w:r>
      <w:r w:rsidR="00D50C89" w:rsidRPr="007F294D">
        <w:rPr>
          <w:color w:val="333333"/>
        </w:rPr>
        <w:t>MDG</w:t>
      </w:r>
      <w:r w:rsidR="00020121">
        <w:rPr>
          <w:color w:val="333333"/>
        </w:rPr>
        <w:t>s)</w:t>
      </w:r>
      <w:r w:rsidR="00D50C89" w:rsidRPr="007F294D">
        <w:rPr>
          <w:color w:val="333333"/>
        </w:rPr>
        <w:t xml:space="preserve"> 2, 4 </w:t>
      </w:r>
      <w:r w:rsidR="00020121">
        <w:rPr>
          <w:color w:val="333333"/>
        </w:rPr>
        <w:t>and</w:t>
      </w:r>
      <w:r w:rsidR="00D50C89" w:rsidRPr="007F294D">
        <w:rPr>
          <w:color w:val="333333"/>
        </w:rPr>
        <w:t xml:space="preserve"> 6</w:t>
      </w:r>
      <w:r w:rsidR="0065406E">
        <w:rPr>
          <w:color w:val="333333"/>
        </w:rPr>
        <w:t>. P</w:t>
      </w:r>
      <w:r w:rsidR="00D50C89" w:rsidRPr="007F294D">
        <w:rPr>
          <w:color w:val="333333"/>
        </w:rPr>
        <w:t xml:space="preserve">rogress </w:t>
      </w:r>
      <w:r w:rsidR="0065406E">
        <w:rPr>
          <w:color w:val="333333"/>
        </w:rPr>
        <w:t xml:space="preserve">has been </w:t>
      </w:r>
      <w:r w:rsidR="00D50C89" w:rsidRPr="007F294D">
        <w:rPr>
          <w:color w:val="333333"/>
        </w:rPr>
        <w:t xml:space="preserve">uneven </w:t>
      </w:r>
      <w:r w:rsidR="0065406E">
        <w:rPr>
          <w:color w:val="333333"/>
        </w:rPr>
        <w:t>o</w:t>
      </w:r>
      <w:r w:rsidR="00D50C89" w:rsidRPr="007F294D">
        <w:rPr>
          <w:color w:val="333333"/>
        </w:rPr>
        <w:t>n MDG</w:t>
      </w:r>
      <w:r w:rsidR="0065406E">
        <w:rPr>
          <w:color w:val="333333"/>
        </w:rPr>
        <w:t>s</w:t>
      </w:r>
      <w:r w:rsidR="00D50C89" w:rsidRPr="007F294D">
        <w:rPr>
          <w:color w:val="333333"/>
        </w:rPr>
        <w:t xml:space="preserve"> 1, 3, 5 and 7. </w:t>
      </w:r>
      <w:r w:rsidR="001A6FD3">
        <w:rPr>
          <w:color w:val="333333"/>
        </w:rPr>
        <w:t xml:space="preserve">The </w:t>
      </w:r>
      <w:r w:rsidR="00E31837">
        <w:rPr>
          <w:color w:val="333333"/>
        </w:rPr>
        <w:t xml:space="preserve">HIV </w:t>
      </w:r>
      <w:r w:rsidR="001A6FD3">
        <w:rPr>
          <w:color w:val="333333"/>
        </w:rPr>
        <w:t xml:space="preserve">prevalence rate </w:t>
      </w:r>
      <w:r w:rsidR="0065406E">
        <w:rPr>
          <w:color w:val="333333"/>
        </w:rPr>
        <w:t xml:space="preserve">among adults </w:t>
      </w:r>
      <w:r w:rsidR="001A6FD3">
        <w:rPr>
          <w:color w:val="333333"/>
        </w:rPr>
        <w:t>was 1.0</w:t>
      </w:r>
      <w:r w:rsidR="00171795">
        <w:rPr>
          <w:color w:val="333333"/>
        </w:rPr>
        <w:t xml:space="preserve"> per cent</w:t>
      </w:r>
      <w:r w:rsidR="001A6FD3">
        <w:rPr>
          <w:color w:val="333333"/>
        </w:rPr>
        <w:t xml:space="preserve"> in 2009, with women and girls recording the highest number of new infections in 2008. </w:t>
      </w:r>
      <w:r w:rsidR="00D50C89" w:rsidRPr="007F294D">
        <w:rPr>
          <w:color w:val="333333"/>
        </w:rPr>
        <w:t xml:space="preserve">Women still suffer major disadvantages in the </w:t>
      </w:r>
      <w:proofErr w:type="spellStart"/>
      <w:r w:rsidR="00D50C89" w:rsidRPr="007F294D">
        <w:rPr>
          <w:color w:val="333333"/>
        </w:rPr>
        <w:t>labo</w:t>
      </w:r>
      <w:r w:rsidR="004A1CAD">
        <w:rPr>
          <w:color w:val="333333"/>
        </w:rPr>
        <w:t>u</w:t>
      </w:r>
      <w:r w:rsidR="00D50C89" w:rsidRPr="007F294D">
        <w:rPr>
          <w:color w:val="333333"/>
        </w:rPr>
        <w:t>r</w:t>
      </w:r>
      <w:proofErr w:type="spellEnd"/>
      <w:r w:rsidR="00D50C89" w:rsidRPr="007F294D">
        <w:rPr>
          <w:color w:val="333333"/>
        </w:rPr>
        <w:t xml:space="preserve"> markets</w:t>
      </w:r>
      <w:r w:rsidR="00CA6C10">
        <w:rPr>
          <w:color w:val="333333"/>
        </w:rPr>
        <w:t xml:space="preserve"> and</w:t>
      </w:r>
      <w:r w:rsidR="00D50C89" w:rsidRPr="007F294D">
        <w:rPr>
          <w:color w:val="333333"/>
        </w:rPr>
        <w:t xml:space="preserve"> are underrepresented in the high</w:t>
      </w:r>
      <w:r w:rsidR="00867D87">
        <w:rPr>
          <w:color w:val="333333"/>
        </w:rPr>
        <w:t>er</w:t>
      </w:r>
      <w:r w:rsidR="00D50C89" w:rsidRPr="007F294D">
        <w:rPr>
          <w:color w:val="333333"/>
        </w:rPr>
        <w:t xml:space="preserve"> levels of the political system, especially in Parliament</w:t>
      </w:r>
      <w:r w:rsidR="00CA6C10">
        <w:rPr>
          <w:color w:val="333333"/>
        </w:rPr>
        <w:t>. They are</w:t>
      </w:r>
      <w:r w:rsidR="00D50C89" w:rsidRPr="007F294D">
        <w:rPr>
          <w:color w:val="333333"/>
        </w:rPr>
        <w:t xml:space="preserve"> </w:t>
      </w:r>
      <w:r w:rsidR="00376E8A" w:rsidRPr="007F294D">
        <w:rPr>
          <w:color w:val="333333"/>
        </w:rPr>
        <w:t xml:space="preserve">at great risk of domestic violence and increasingly vulnerable to HIV and other sexually transmitted </w:t>
      </w:r>
      <w:r w:rsidR="00376E8A">
        <w:rPr>
          <w:color w:val="333333"/>
        </w:rPr>
        <w:t>diseases</w:t>
      </w:r>
      <w:r w:rsidR="00867D87">
        <w:rPr>
          <w:color w:val="333333"/>
        </w:rPr>
        <w:t>. Women are</w:t>
      </w:r>
      <w:r w:rsidR="00D50C89" w:rsidRPr="007F294D">
        <w:rPr>
          <w:color w:val="333333"/>
        </w:rPr>
        <w:t xml:space="preserve"> not </w:t>
      </w:r>
      <w:r w:rsidR="00867D87">
        <w:rPr>
          <w:color w:val="333333"/>
        </w:rPr>
        <w:t xml:space="preserve">yet </w:t>
      </w:r>
      <w:r w:rsidR="00D50C89" w:rsidRPr="007F294D">
        <w:rPr>
          <w:color w:val="333333"/>
        </w:rPr>
        <w:t xml:space="preserve">empowered to make their </w:t>
      </w:r>
      <w:r w:rsidR="00CA6C10">
        <w:rPr>
          <w:color w:val="333333"/>
        </w:rPr>
        <w:t xml:space="preserve">full </w:t>
      </w:r>
      <w:r w:rsidR="00D50C89" w:rsidRPr="007F294D">
        <w:rPr>
          <w:color w:val="333333"/>
        </w:rPr>
        <w:t>contribution to economic and social development.</w:t>
      </w:r>
      <w:r w:rsidR="00364945">
        <w:rPr>
          <w:color w:val="333333"/>
        </w:rPr>
        <w:t xml:space="preserve"> </w:t>
      </w:r>
    </w:p>
    <w:p w:rsidR="007A6113" w:rsidRDefault="007F294D" w:rsidP="002D18B4">
      <w:pPr>
        <w:spacing w:after="120"/>
        <w:ind w:left="1267" w:right="1267"/>
        <w:jc w:val="both"/>
      </w:pPr>
      <w:r>
        <w:t xml:space="preserve">2. </w:t>
      </w:r>
      <w:r w:rsidR="00376E8A">
        <w:t>U</w:t>
      </w:r>
      <w:r w:rsidR="00F772AB" w:rsidRPr="00C42E03">
        <w:t>nderlying development</w:t>
      </w:r>
      <w:r w:rsidR="007A6113">
        <w:t xml:space="preserve"> obstacles </w:t>
      </w:r>
      <w:r w:rsidR="00F772AB" w:rsidRPr="00C42E03">
        <w:t xml:space="preserve">to </w:t>
      </w:r>
      <w:r w:rsidR="007A6113">
        <w:t xml:space="preserve">the </w:t>
      </w:r>
      <w:r w:rsidR="00F772AB" w:rsidRPr="00C42E03">
        <w:t xml:space="preserve">achievement of the MDGs </w:t>
      </w:r>
      <w:r w:rsidR="006C712C">
        <w:t>include:</w:t>
      </w:r>
      <w:r w:rsidR="00171795">
        <w:t xml:space="preserve"> </w:t>
      </w:r>
      <w:r w:rsidR="001636BF">
        <w:t>i</w:t>
      </w:r>
      <w:r w:rsidR="006C712C">
        <w:t>nadequate p</w:t>
      </w:r>
      <w:r w:rsidR="00F772AB" w:rsidRPr="00C42E03">
        <w:t>olicies and legal frameworks to ensure rights-based, sustainable human development</w:t>
      </w:r>
      <w:r w:rsidR="006C712C">
        <w:t>;</w:t>
      </w:r>
      <w:r w:rsidR="00171795">
        <w:t xml:space="preserve"> </w:t>
      </w:r>
      <w:r w:rsidR="006C712C">
        <w:t>weak</w:t>
      </w:r>
      <w:r w:rsidR="006C712C" w:rsidRPr="00C42E03">
        <w:t xml:space="preserve"> </w:t>
      </w:r>
      <w:r w:rsidR="00F772AB" w:rsidRPr="00C42E03">
        <w:t xml:space="preserve">consensus, knowledge and skills to </w:t>
      </w:r>
      <w:r w:rsidR="00376E8A">
        <w:t>pursue</w:t>
      </w:r>
      <w:r w:rsidR="00376E8A" w:rsidRPr="00C42E03">
        <w:t xml:space="preserve"> </w:t>
      </w:r>
      <w:r w:rsidR="00F772AB" w:rsidRPr="00C42E03">
        <w:t xml:space="preserve">a human-rights based approach </w:t>
      </w:r>
      <w:r w:rsidR="00376E8A">
        <w:t>to poverty reduction</w:t>
      </w:r>
      <w:r w:rsidR="001636BF">
        <w:t>;</w:t>
      </w:r>
      <w:r w:rsidR="00F772AB" w:rsidRPr="00C42E03">
        <w:t xml:space="preserve"> </w:t>
      </w:r>
      <w:r w:rsidR="001636BF">
        <w:t>insufficient</w:t>
      </w:r>
      <w:r w:rsidR="001636BF" w:rsidRPr="00C42E03">
        <w:t xml:space="preserve"> </w:t>
      </w:r>
      <w:r w:rsidR="00867D87">
        <w:t xml:space="preserve">public-sector </w:t>
      </w:r>
      <w:r w:rsidR="00F772AB" w:rsidRPr="00C42E03">
        <w:t xml:space="preserve">institutional capacity to plan, implement, monitor and </w:t>
      </w:r>
      <w:r w:rsidR="00376E8A">
        <w:t xml:space="preserve">efficiently </w:t>
      </w:r>
      <w:r w:rsidR="00F772AB" w:rsidRPr="00C42E03">
        <w:t>deliver quality</w:t>
      </w:r>
      <w:r w:rsidR="00246049">
        <w:t xml:space="preserve"> </w:t>
      </w:r>
      <w:proofErr w:type="spellStart"/>
      <w:r w:rsidR="00246049">
        <w:t>programmes</w:t>
      </w:r>
      <w:proofErr w:type="spellEnd"/>
      <w:r w:rsidR="001636BF">
        <w:t>;</w:t>
      </w:r>
      <w:r w:rsidR="00171795">
        <w:t xml:space="preserve"> </w:t>
      </w:r>
      <w:r w:rsidR="00246049">
        <w:t xml:space="preserve">inadequate </w:t>
      </w:r>
      <w:r w:rsidR="00F772AB" w:rsidRPr="00C42E03">
        <w:t>coordination</w:t>
      </w:r>
      <w:r w:rsidR="00376E8A">
        <w:t xml:space="preserve"> </w:t>
      </w:r>
      <w:r w:rsidR="00246049">
        <w:t xml:space="preserve">capacity </w:t>
      </w:r>
      <w:r w:rsidR="00376E8A">
        <w:t xml:space="preserve">for </w:t>
      </w:r>
      <w:r w:rsidR="00F772AB" w:rsidRPr="00C42E03">
        <w:t>mobilization of</w:t>
      </w:r>
      <w:r w:rsidR="00246049">
        <w:t xml:space="preserve"> external</w:t>
      </w:r>
      <w:r w:rsidR="00F772AB" w:rsidRPr="00C42E03">
        <w:t xml:space="preserve"> resources for development</w:t>
      </w:r>
      <w:r w:rsidR="001636BF">
        <w:t>; and</w:t>
      </w:r>
      <w:r w:rsidR="00F772AB" w:rsidRPr="00C42E03">
        <w:t xml:space="preserve"> </w:t>
      </w:r>
      <w:r w:rsidR="00246049">
        <w:t>insufficient</w:t>
      </w:r>
      <w:r w:rsidR="00246049" w:rsidRPr="00C42E03">
        <w:t xml:space="preserve"> </w:t>
      </w:r>
      <w:r w:rsidR="001636BF">
        <w:t xml:space="preserve">and uneven use of </w:t>
      </w:r>
      <w:r w:rsidR="00F772AB" w:rsidRPr="00C42E03">
        <w:t>data to sustain evidence-based policy development and management.</w:t>
      </w:r>
    </w:p>
    <w:p w:rsidR="00867F7C" w:rsidRDefault="007F294D" w:rsidP="0033241B">
      <w:pPr>
        <w:spacing w:after="120"/>
        <w:ind w:left="1267" w:right="1267"/>
        <w:jc w:val="both"/>
      </w:pPr>
      <w:r>
        <w:rPr>
          <w:color w:val="333333"/>
        </w:rPr>
        <w:t xml:space="preserve">3. </w:t>
      </w:r>
      <w:r w:rsidR="00D50C89" w:rsidRPr="00C42E03">
        <w:rPr>
          <w:color w:val="333333"/>
        </w:rPr>
        <w:t>The economy is dominated by the mining industry, with exports of alumina, gold and oil accounting for about 85</w:t>
      </w:r>
      <w:r w:rsidR="00171795">
        <w:rPr>
          <w:color w:val="333333"/>
        </w:rPr>
        <w:t xml:space="preserve"> per cent</w:t>
      </w:r>
      <w:r w:rsidR="00D50C89" w:rsidRPr="00C42E03">
        <w:rPr>
          <w:color w:val="333333"/>
        </w:rPr>
        <w:t xml:space="preserve"> of exports and 25</w:t>
      </w:r>
      <w:r w:rsidR="00171795">
        <w:rPr>
          <w:color w:val="333333"/>
        </w:rPr>
        <w:t xml:space="preserve"> per cent</w:t>
      </w:r>
      <w:r w:rsidR="00D50C89" w:rsidRPr="00C42E03">
        <w:rPr>
          <w:color w:val="333333"/>
        </w:rPr>
        <w:t xml:space="preserve"> of </w:t>
      </w:r>
      <w:r w:rsidR="00B76799">
        <w:rPr>
          <w:color w:val="333333"/>
        </w:rPr>
        <w:t>G</w:t>
      </w:r>
      <w:r w:rsidR="00D50C89" w:rsidRPr="00C42E03">
        <w:rPr>
          <w:color w:val="333333"/>
        </w:rPr>
        <w:t>overnment revenues. The informal economy</w:t>
      </w:r>
      <w:r w:rsidR="00B76799">
        <w:rPr>
          <w:color w:val="333333"/>
        </w:rPr>
        <w:t xml:space="preserve"> – which involves </w:t>
      </w:r>
      <w:r w:rsidR="00D50C89" w:rsidRPr="00C42E03">
        <w:rPr>
          <w:color w:val="333333"/>
        </w:rPr>
        <w:t>remittances, small</w:t>
      </w:r>
      <w:r w:rsidR="00B76799">
        <w:rPr>
          <w:color w:val="333333"/>
        </w:rPr>
        <w:t>-</w:t>
      </w:r>
      <w:r w:rsidR="00D50C89" w:rsidRPr="00C42E03">
        <w:rPr>
          <w:color w:val="333333"/>
        </w:rPr>
        <w:t xml:space="preserve">scale gold mining, wood production, </w:t>
      </w:r>
      <w:r w:rsidR="00376E8A">
        <w:rPr>
          <w:color w:val="333333"/>
        </w:rPr>
        <w:t xml:space="preserve">narcotics trafficking </w:t>
      </w:r>
      <w:r w:rsidR="00D50C89" w:rsidRPr="00C42E03">
        <w:rPr>
          <w:color w:val="333333"/>
        </w:rPr>
        <w:t xml:space="preserve">and </w:t>
      </w:r>
      <w:r w:rsidR="00376E8A">
        <w:rPr>
          <w:color w:val="333333"/>
        </w:rPr>
        <w:t xml:space="preserve">other </w:t>
      </w:r>
      <w:r w:rsidR="00D50C89" w:rsidRPr="00C42E03">
        <w:rPr>
          <w:color w:val="333333"/>
        </w:rPr>
        <w:t>illegal activities</w:t>
      </w:r>
      <w:r w:rsidR="00B76799">
        <w:rPr>
          <w:color w:val="333333"/>
        </w:rPr>
        <w:t xml:space="preserve"> – con</w:t>
      </w:r>
      <w:r w:rsidR="00E564A6">
        <w:rPr>
          <w:color w:val="333333"/>
        </w:rPr>
        <w:t>tribute</w:t>
      </w:r>
      <w:r w:rsidR="00867D87">
        <w:rPr>
          <w:color w:val="333333"/>
        </w:rPr>
        <w:t>s</w:t>
      </w:r>
      <w:r w:rsidR="00E564A6">
        <w:rPr>
          <w:color w:val="333333"/>
        </w:rPr>
        <w:t> </w:t>
      </w:r>
      <w:r w:rsidR="00D50C89" w:rsidRPr="00C42E03">
        <w:rPr>
          <w:color w:val="333333"/>
        </w:rPr>
        <w:t xml:space="preserve">an estimated 17.5 per cent to real </w:t>
      </w:r>
      <w:r w:rsidR="00B76799">
        <w:rPr>
          <w:color w:val="333333"/>
        </w:rPr>
        <w:t>gross domestic product (</w:t>
      </w:r>
      <w:r w:rsidR="00D50C89" w:rsidRPr="00C42E03">
        <w:rPr>
          <w:color w:val="333333"/>
        </w:rPr>
        <w:t>GDP</w:t>
      </w:r>
      <w:r w:rsidR="00B76799">
        <w:rPr>
          <w:color w:val="333333"/>
        </w:rPr>
        <w:t>)</w:t>
      </w:r>
      <w:r w:rsidR="00376E8A">
        <w:rPr>
          <w:color w:val="333333"/>
        </w:rPr>
        <w:t xml:space="preserve">. </w:t>
      </w:r>
      <w:r w:rsidR="00E53D46">
        <w:rPr>
          <w:color w:val="333333"/>
        </w:rPr>
        <w:t xml:space="preserve">The </w:t>
      </w:r>
      <w:r w:rsidR="00B76799">
        <w:rPr>
          <w:color w:val="333333"/>
        </w:rPr>
        <w:t>G</w:t>
      </w:r>
      <w:r w:rsidR="00E53D46">
        <w:rPr>
          <w:color w:val="333333"/>
        </w:rPr>
        <w:t xml:space="preserve">overnment has </w:t>
      </w:r>
      <w:r w:rsidR="00B76799">
        <w:rPr>
          <w:color w:val="333333"/>
        </w:rPr>
        <w:t>noted</w:t>
      </w:r>
      <w:r w:rsidR="00E53D46">
        <w:rPr>
          <w:color w:val="333333"/>
        </w:rPr>
        <w:t xml:space="preserve"> the need to increase agricultural production and exports</w:t>
      </w:r>
      <w:r w:rsidR="00B76799">
        <w:rPr>
          <w:color w:val="333333"/>
        </w:rPr>
        <w:t xml:space="preserve"> and to</w:t>
      </w:r>
      <w:r w:rsidR="00E53D46">
        <w:rPr>
          <w:color w:val="333333"/>
        </w:rPr>
        <w:t xml:space="preserve"> promot</w:t>
      </w:r>
      <w:r w:rsidR="00B76799">
        <w:rPr>
          <w:color w:val="333333"/>
        </w:rPr>
        <w:t>e</w:t>
      </w:r>
      <w:r w:rsidR="00E53D46">
        <w:rPr>
          <w:color w:val="333333"/>
        </w:rPr>
        <w:t xml:space="preserve"> value</w:t>
      </w:r>
      <w:r w:rsidR="00B76799">
        <w:rPr>
          <w:color w:val="333333"/>
        </w:rPr>
        <w:t>-</w:t>
      </w:r>
      <w:r w:rsidR="00E53D46">
        <w:rPr>
          <w:color w:val="333333"/>
        </w:rPr>
        <w:t xml:space="preserve">added industries and manufacturing </w:t>
      </w:r>
      <w:r w:rsidR="00B76799">
        <w:rPr>
          <w:color w:val="333333"/>
        </w:rPr>
        <w:t xml:space="preserve">so as to </w:t>
      </w:r>
      <w:r w:rsidR="00E53D46">
        <w:rPr>
          <w:color w:val="333333"/>
        </w:rPr>
        <w:t>ensur</w:t>
      </w:r>
      <w:r w:rsidR="00B76799">
        <w:rPr>
          <w:color w:val="333333"/>
        </w:rPr>
        <w:t>e</w:t>
      </w:r>
      <w:r w:rsidR="00E53D46">
        <w:rPr>
          <w:color w:val="333333"/>
        </w:rPr>
        <w:t xml:space="preserve"> sustainable economic growth.</w:t>
      </w:r>
      <w:r w:rsidR="00D50C89" w:rsidRPr="00C42E03">
        <w:rPr>
          <w:color w:val="333333"/>
        </w:rPr>
        <w:t xml:space="preserve"> </w:t>
      </w:r>
    </w:p>
    <w:p w:rsidR="00867F7C" w:rsidRDefault="007F294D">
      <w:pPr>
        <w:spacing w:after="120"/>
        <w:ind w:left="1267" w:right="1267"/>
        <w:jc w:val="both"/>
        <w:rPr>
          <w:noProof/>
        </w:rPr>
      </w:pPr>
      <w:r>
        <w:t xml:space="preserve">4. </w:t>
      </w:r>
      <w:r w:rsidR="00E53D46">
        <w:t>T</w:t>
      </w:r>
      <w:r w:rsidR="001636BF">
        <w:t xml:space="preserve">he </w:t>
      </w:r>
      <w:r w:rsidR="00F44083" w:rsidRPr="00C42E03">
        <w:t xml:space="preserve">Government </w:t>
      </w:r>
      <w:r w:rsidR="001636BF">
        <w:t xml:space="preserve">has </w:t>
      </w:r>
      <w:r w:rsidR="00E53D46">
        <w:t>also committed to</w:t>
      </w:r>
      <w:r w:rsidR="00F44083" w:rsidRPr="00C42E03">
        <w:t xml:space="preserve"> improving the macroeconomic, legal and business environments to stimulate investments and</w:t>
      </w:r>
      <w:r w:rsidR="00171795">
        <w:t xml:space="preserve"> </w:t>
      </w:r>
      <w:r w:rsidR="001636BF">
        <w:t>opportuniti</w:t>
      </w:r>
      <w:r w:rsidR="008D2254">
        <w:t>e</w:t>
      </w:r>
      <w:r w:rsidR="001636BF">
        <w:t>s</w:t>
      </w:r>
      <w:r w:rsidR="00F44083" w:rsidRPr="00C42E03">
        <w:t xml:space="preserve"> for small-scale entrepreneurs, </w:t>
      </w:r>
      <w:r w:rsidR="001636BF">
        <w:t>especially</w:t>
      </w:r>
      <w:r w:rsidR="001636BF" w:rsidRPr="00C42E03">
        <w:t xml:space="preserve"> </w:t>
      </w:r>
      <w:r w:rsidR="00F44083" w:rsidRPr="00C42E03">
        <w:t>i</w:t>
      </w:r>
      <w:r w:rsidR="00CE441C">
        <w:t>n the</w:t>
      </w:r>
      <w:r w:rsidR="00F44083" w:rsidRPr="00C42E03">
        <w:t xml:space="preserve"> </w:t>
      </w:r>
      <w:r w:rsidR="009652F5">
        <w:t>i</w:t>
      </w:r>
      <w:r w:rsidR="00F44083" w:rsidRPr="00C42E03">
        <w:t xml:space="preserve">nterior of the country. Improvements </w:t>
      </w:r>
      <w:r w:rsidR="00754E87">
        <w:t>in</w:t>
      </w:r>
      <w:r w:rsidR="00F44083" w:rsidRPr="00C42E03">
        <w:t xml:space="preserve"> the physical infrastructure and </w:t>
      </w:r>
      <w:r w:rsidR="00754E87">
        <w:t>in</w:t>
      </w:r>
      <w:r w:rsidR="009652F5">
        <w:t xml:space="preserve"> the provision of </w:t>
      </w:r>
      <w:r w:rsidR="00F44083" w:rsidRPr="00C42E03">
        <w:t xml:space="preserve">energy, as well as enhanced access to investment capital and guaranteeing property rights, </w:t>
      </w:r>
      <w:r w:rsidR="001636BF">
        <w:t>are</w:t>
      </w:r>
      <w:r w:rsidR="00F44083" w:rsidRPr="00C42E03">
        <w:t xml:space="preserve"> key factors in this regard.</w:t>
      </w:r>
      <w:r w:rsidR="00171795">
        <w:t xml:space="preserve"> </w:t>
      </w:r>
      <w:r w:rsidR="00F44083" w:rsidRPr="00C42E03">
        <w:rPr>
          <w:noProof/>
        </w:rPr>
        <w:t>Unemployment</w:t>
      </w:r>
      <w:r w:rsidR="009652F5">
        <w:rPr>
          <w:noProof/>
        </w:rPr>
        <w:t>,</w:t>
      </w:r>
      <w:r w:rsidR="00F44083" w:rsidRPr="00C42E03">
        <w:rPr>
          <w:noProof/>
        </w:rPr>
        <w:t xml:space="preserve"> especially youth unemployment</w:t>
      </w:r>
      <w:r w:rsidR="009652F5">
        <w:rPr>
          <w:noProof/>
        </w:rPr>
        <w:t>,</w:t>
      </w:r>
      <w:r w:rsidR="00F44083" w:rsidRPr="00C42E03">
        <w:rPr>
          <w:noProof/>
        </w:rPr>
        <w:t xml:space="preserve"> is one of the major challenges for development in Suriname</w:t>
      </w:r>
      <w:r w:rsidR="009652F5">
        <w:rPr>
          <w:noProof/>
        </w:rPr>
        <w:t xml:space="preserve">. An </w:t>
      </w:r>
      <w:r w:rsidR="00E53D46">
        <w:rPr>
          <w:noProof/>
        </w:rPr>
        <w:t xml:space="preserve">estimated </w:t>
      </w:r>
      <w:r w:rsidR="00E564A6">
        <w:rPr>
          <w:noProof/>
        </w:rPr>
        <w:t>20</w:t>
      </w:r>
      <w:r w:rsidR="009652F5">
        <w:rPr>
          <w:noProof/>
        </w:rPr>
        <w:t xml:space="preserve"> to</w:t>
      </w:r>
      <w:r w:rsidR="00E564A6">
        <w:rPr>
          <w:noProof/>
        </w:rPr>
        <w:t xml:space="preserve"> 33</w:t>
      </w:r>
      <w:r w:rsidR="00171795">
        <w:rPr>
          <w:noProof/>
        </w:rPr>
        <w:t xml:space="preserve"> per cent</w:t>
      </w:r>
      <w:r w:rsidR="00E564A6">
        <w:rPr>
          <w:noProof/>
        </w:rPr>
        <w:t xml:space="preserve"> </w:t>
      </w:r>
      <w:r w:rsidR="009652F5">
        <w:rPr>
          <w:noProof/>
        </w:rPr>
        <w:t xml:space="preserve">of </w:t>
      </w:r>
      <w:r w:rsidR="00E53D46">
        <w:rPr>
          <w:noProof/>
        </w:rPr>
        <w:t>18</w:t>
      </w:r>
      <w:r w:rsidR="009652F5">
        <w:rPr>
          <w:noProof/>
        </w:rPr>
        <w:t>-</w:t>
      </w:r>
      <w:r w:rsidR="00E53D46">
        <w:rPr>
          <w:noProof/>
        </w:rPr>
        <w:t>25</w:t>
      </w:r>
      <w:r w:rsidR="009652F5">
        <w:rPr>
          <w:noProof/>
        </w:rPr>
        <w:t>-year-olds are unemployed</w:t>
      </w:r>
      <w:r w:rsidR="00F44083" w:rsidRPr="00C42E03">
        <w:rPr>
          <w:noProof/>
        </w:rPr>
        <w:t>.</w:t>
      </w:r>
    </w:p>
    <w:p w:rsidR="00867F7C" w:rsidRDefault="007F294D">
      <w:pPr>
        <w:spacing w:after="120"/>
        <w:ind w:left="1267" w:right="1267"/>
        <w:jc w:val="both"/>
        <w:rPr>
          <w:color w:val="333333"/>
        </w:rPr>
      </w:pPr>
      <w:r>
        <w:t xml:space="preserve">5. </w:t>
      </w:r>
      <w:r w:rsidR="00D50C89" w:rsidRPr="00C42E03">
        <w:t xml:space="preserve">The Government is implementing a decentralization process in pilot districts, </w:t>
      </w:r>
      <w:r w:rsidR="00F44083" w:rsidRPr="00C42E03">
        <w:t xml:space="preserve">but this has </w:t>
      </w:r>
      <w:r w:rsidR="00D50C89" w:rsidRPr="00C42E03">
        <w:t xml:space="preserve">yet </w:t>
      </w:r>
      <w:r w:rsidR="00066264">
        <w:t xml:space="preserve">to </w:t>
      </w:r>
      <w:r w:rsidR="00D50C89" w:rsidRPr="00C42E03">
        <w:t xml:space="preserve">result in bringing major decision-making closer to the district level. </w:t>
      </w:r>
      <w:r w:rsidR="00E564A6" w:rsidRPr="00C42E03">
        <w:t>Attempts at public sector reform have not yet had a visible impact.</w:t>
      </w:r>
      <w:r w:rsidR="00171795">
        <w:t xml:space="preserve"> </w:t>
      </w:r>
      <w:r w:rsidR="00992399">
        <w:t>The Government has committed to addressing corrupt practices</w:t>
      </w:r>
      <w:r w:rsidR="00F44083" w:rsidRPr="00C42E03">
        <w:t xml:space="preserve"> at various levels</w:t>
      </w:r>
      <w:r w:rsidR="004E1409">
        <w:t>,</w:t>
      </w:r>
      <w:r w:rsidR="00F14E61">
        <w:t xml:space="preserve"> and anti-corruption legislation is high on the agenda</w:t>
      </w:r>
      <w:r w:rsidR="00992399">
        <w:t>.</w:t>
      </w:r>
      <w:r w:rsidR="00171795">
        <w:t xml:space="preserve"> </w:t>
      </w:r>
      <w:r w:rsidR="008D2254">
        <w:t>Crime is</w:t>
      </w:r>
      <w:r w:rsidR="00F772AB" w:rsidRPr="00C42E03">
        <w:rPr>
          <w:color w:val="333333"/>
        </w:rPr>
        <w:t xml:space="preserve"> still comparatively low, </w:t>
      </w:r>
      <w:r w:rsidR="00754E87">
        <w:rPr>
          <w:color w:val="333333"/>
        </w:rPr>
        <w:t>but</w:t>
      </w:r>
      <w:r w:rsidR="008D2254">
        <w:rPr>
          <w:color w:val="333333"/>
        </w:rPr>
        <w:t xml:space="preserve"> </w:t>
      </w:r>
      <w:r w:rsidR="00F772AB" w:rsidRPr="00C42E03">
        <w:rPr>
          <w:color w:val="333333"/>
        </w:rPr>
        <w:t xml:space="preserve">crime associated with </w:t>
      </w:r>
      <w:proofErr w:type="spellStart"/>
      <w:r w:rsidR="00F772AB" w:rsidRPr="00C42E03">
        <w:rPr>
          <w:color w:val="333333"/>
        </w:rPr>
        <w:t>narcotrafficking</w:t>
      </w:r>
      <w:proofErr w:type="spellEnd"/>
      <w:r w:rsidR="004E1409">
        <w:rPr>
          <w:color w:val="333333"/>
        </w:rPr>
        <w:t>,</w:t>
      </w:r>
      <w:r w:rsidR="00F772AB" w:rsidRPr="00C42E03">
        <w:rPr>
          <w:color w:val="333333"/>
        </w:rPr>
        <w:t xml:space="preserve"> and </w:t>
      </w:r>
      <w:r w:rsidR="004E1409">
        <w:rPr>
          <w:color w:val="333333"/>
        </w:rPr>
        <w:t xml:space="preserve">with </w:t>
      </w:r>
      <w:r w:rsidR="00F772AB" w:rsidRPr="00C42E03">
        <w:rPr>
          <w:color w:val="333333"/>
        </w:rPr>
        <w:t>other drivers such as unemployment, is cause for concern.</w:t>
      </w:r>
      <w:r w:rsidR="00171795">
        <w:rPr>
          <w:color w:val="333333"/>
        </w:rPr>
        <w:t xml:space="preserve"> </w:t>
      </w:r>
    </w:p>
    <w:p w:rsidR="00867F7C" w:rsidRDefault="007F294D" w:rsidP="00974FC2">
      <w:pPr>
        <w:spacing w:after="120"/>
        <w:ind w:left="1267" w:right="1267"/>
        <w:jc w:val="both"/>
      </w:pPr>
      <w:r>
        <w:t xml:space="preserve">6. </w:t>
      </w:r>
      <w:r w:rsidR="008865D6">
        <w:rPr>
          <w:color w:val="333333"/>
        </w:rPr>
        <w:t xml:space="preserve">The major environmental challenges include: </w:t>
      </w:r>
      <w:r w:rsidR="004E1409">
        <w:rPr>
          <w:color w:val="333333"/>
        </w:rPr>
        <w:t>s</w:t>
      </w:r>
      <w:r w:rsidR="008865D6" w:rsidRPr="00C42E03">
        <w:rPr>
          <w:color w:val="333333"/>
        </w:rPr>
        <w:t xml:space="preserve">oil and surface water </w:t>
      </w:r>
      <w:r w:rsidR="008865D6">
        <w:rPr>
          <w:color w:val="333333"/>
        </w:rPr>
        <w:t xml:space="preserve">pollution; </w:t>
      </w:r>
      <w:r w:rsidR="008865D6" w:rsidRPr="00C42E03">
        <w:rPr>
          <w:color w:val="333333"/>
        </w:rPr>
        <w:t>inadequate</w:t>
      </w:r>
      <w:r w:rsidR="00246049">
        <w:rPr>
          <w:color w:val="333333"/>
        </w:rPr>
        <w:t xml:space="preserve"> facilities for </w:t>
      </w:r>
      <w:r w:rsidR="008865D6" w:rsidRPr="00C42E03">
        <w:rPr>
          <w:color w:val="333333"/>
        </w:rPr>
        <w:t>solid</w:t>
      </w:r>
      <w:r w:rsidR="004E1409">
        <w:rPr>
          <w:color w:val="333333"/>
        </w:rPr>
        <w:t>-</w:t>
      </w:r>
      <w:r w:rsidR="008865D6" w:rsidRPr="00C42E03">
        <w:rPr>
          <w:color w:val="333333"/>
        </w:rPr>
        <w:t xml:space="preserve">waste disposal; </w:t>
      </w:r>
      <w:r w:rsidR="008865D6">
        <w:rPr>
          <w:color w:val="333333"/>
        </w:rPr>
        <w:t>land degradation caused by</w:t>
      </w:r>
      <w:r w:rsidR="008865D6" w:rsidRPr="00C42E03">
        <w:rPr>
          <w:color w:val="333333"/>
        </w:rPr>
        <w:t xml:space="preserve"> illegal gold mining and logging</w:t>
      </w:r>
      <w:r w:rsidR="008865D6">
        <w:rPr>
          <w:color w:val="333333"/>
        </w:rPr>
        <w:t>; soil erosion caused by unsound agricultural practices, sea level rise and loss of mangrove</w:t>
      </w:r>
      <w:r w:rsidR="00CE441C">
        <w:rPr>
          <w:color w:val="333333"/>
        </w:rPr>
        <w:t>s</w:t>
      </w:r>
      <w:r w:rsidR="004E1409">
        <w:rPr>
          <w:color w:val="333333"/>
        </w:rPr>
        <w:t xml:space="preserve"> </w:t>
      </w:r>
      <w:r w:rsidR="008865D6">
        <w:rPr>
          <w:color w:val="333333"/>
        </w:rPr>
        <w:t>particularly in the coastal districts</w:t>
      </w:r>
      <w:r w:rsidR="00101331">
        <w:rPr>
          <w:color w:val="333333"/>
        </w:rPr>
        <w:t xml:space="preserve">; and weak capacity to implement, monitor and deliver environmental services and mainstream environment into </w:t>
      </w:r>
      <w:proofErr w:type="spellStart"/>
      <w:r w:rsidR="00101331">
        <w:rPr>
          <w:color w:val="333333"/>
        </w:rPr>
        <w:t>sectoral</w:t>
      </w:r>
      <w:proofErr w:type="spellEnd"/>
      <w:r w:rsidR="00101331">
        <w:rPr>
          <w:color w:val="333333"/>
        </w:rPr>
        <w:t xml:space="preserve"> policies and </w:t>
      </w:r>
      <w:proofErr w:type="spellStart"/>
      <w:r w:rsidR="00101331">
        <w:rPr>
          <w:color w:val="333333"/>
        </w:rPr>
        <w:t>programmes</w:t>
      </w:r>
      <w:proofErr w:type="spellEnd"/>
      <w:r w:rsidR="008865D6">
        <w:rPr>
          <w:color w:val="333333"/>
        </w:rPr>
        <w:t>.</w:t>
      </w:r>
      <w:r w:rsidR="00171795">
        <w:rPr>
          <w:color w:val="333333"/>
        </w:rPr>
        <w:t xml:space="preserve"> </w:t>
      </w:r>
      <w:r w:rsidR="00992399">
        <w:rPr>
          <w:color w:val="333333"/>
        </w:rPr>
        <w:t>Suriname is</w:t>
      </w:r>
      <w:r w:rsidR="00992399" w:rsidRPr="00C42E03">
        <w:rPr>
          <w:color w:val="333333"/>
        </w:rPr>
        <w:t xml:space="preserve"> </w:t>
      </w:r>
      <w:r w:rsidR="00D50C89" w:rsidRPr="00C42E03">
        <w:rPr>
          <w:color w:val="333333"/>
        </w:rPr>
        <w:t xml:space="preserve">committed to environmental protection, </w:t>
      </w:r>
      <w:r w:rsidR="00992399">
        <w:rPr>
          <w:color w:val="333333"/>
        </w:rPr>
        <w:t>and is reviewing options for</w:t>
      </w:r>
      <w:r w:rsidR="00D50C89" w:rsidRPr="00C42E03">
        <w:rPr>
          <w:color w:val="333333"/>
        </w:rPr>
        <w:t xml:space="preserve"> participating in financing mechanisms such as RED</w:t>
      </w:r>
      <w:r w:rsidR="003B2FAC">
        <w:rPr>
          <w:color w:val="333333"/>
        </w:rPr>
        <w:t>D</w:t>
      </w:r>
      <w:r w:rsidR="00CE441C">
        <w:rPr>
          <w:color w:val="333333"/>
        </w:rPr>
        <w:t>-plus</w:t>
      </w:r>
      <w:r w:rsidR="00D50C89" w:rsidRPr="00C42E03">
        <w:rPr>
          <w:color w:val="333333"/>
        </w:rPr>
        <w:t>.</w:t>
      </w:r>
    </w:p>
    <w:p w:rsidR="008C7649" w:rsidRPr="000B2373" w:rsidRDefault="008C7649" w:rsidP="000B2373">
      <w:pPr>
        <w:tabs>
          <w:tab w:val="left" w:pos="1620"/>
        </w:tabs>
        <w:spacing w:after="120"/>
        <w:ind w:left="1267" w:right="1267" w:hanging="720"/>
        <w:jc w:val="both"/>
        <w:rPr>
          <w:b/>
          <w:color w:val="000000"/>
          <w:sz w:val="24"/>
          <w:szCs w:val="24"/>
        </w:rPr>
      </w:pPr>
      <w:r w:rsidRPr="000B2373">
        <w:rPr>
          <w:b/>
          <w:color w:val="000000"/>
          <w:sz w:val="24"/>
          <w:szCs w:val="24"/>
        </w:rPr>
        <w:t xml:space="preserve">II. </w:t>
      </w:r>
      <w:r w:rsidRPr="000B2373">
        <w:rPr>
          <w:b/>
          <w:color w:val="000000"/>
          <w:sz w:val="24"/>
          <w:szCs w:val="24"/>
        </w:rPr>
        <w:tab/>
        <w:t>Past cooperation and lessons learned</w:t>
      </w:r>
    </w:p>
    <w:p w:rsidR="00867F7C" w:rsidRDefault="007F294D" w:rsidP="0033241B">
      <w:pPr>
        <w:spacing w:after="120"/>
        <w:ind w:left="1267" w:right="1267"/>
        <w:jc w:val="both"/>
      </w:pPr>
      <w:r>
        <w:t xml:space="preserve">7. </w:t>
      </w:r>
      <w:r w:rsidR="00CC293A">
        <w:t>T</w:t>
      </w:r>
      <w:r w:rsidR="00CC293A" w:rsidRPr="00376DA9">
        <w:t xml:space="preserve">he </w:t>
      </w:r>
      <w:r w:rsidR="00CC293A" w:rsidRPr="0033241B">
        <w:t>UNDP</w:t>
      </w:r>
      <w:r w:rsidR="00301322">
        <w:t xml:space="preserve"> country programme document </w:t>
      </w:r>
      <w:r w:rsidR="009C0788">
        <w:t xml:space="preserve">for </w:t>
      </w:r>
      <w:r w:rsidR="00CC293A" w:rsidRPr="0033241B">
        <w:t>2008-2011</w:t>
      </w:r>
      <w:r w:rsidR="00301322" w:rsidRPr="0033241B">
        <w:t xml:space="preserve"> </w:t>
      </w:r>
      <w:r w:rsidR="00CC293A">
        <w:t>support</w:t>
      </w:r>
      <w:r w:rsidR="00AA2BE7">
        <w:t>ed</w:t>
      </w:r>
      <w:r w:rsidR="00CC293A">
        <w:t xml:space="preserve"> nationally led </w:t>
      </w:r>
      <w:proofErr w:type="spellStart"/>
      <w:r w:rsidR="00CC293A">
        <w:t>programmes</w:t>
      </w:r>
      <w:proofErr w:type="spellEnd"/>
      <w:r w:rsidR="00CC293A">
        <w:t xml:space="preserve"> in two of the three </w:t>
      </w:r>
      <w:r w:rsidR="00733452" w:rsidRPr="00733452">
        <w:t xml:space="preserve">United Nations Development Assistance Framework </w:t>
      </w:r>
      <w:r w:rsidR="00733452">
        <w:lastRenderedPageBreak/>
        <w:t>(</w:t>
      </w:r>
      <w:r w:rsidR="00CC293A">
        <w:t>UNDAF</w:t>
      </w:r>
      <w:r w:rsidR="00733452">
        <w:t>)</w:t>
      </w:r>
      <w:r w:rsidR="00CC293A">
        <w:t xml:space="preserve"> outcome areas</w:t>
      </w:r>
      <w:r w:rsidR="00733452">
        <w:t>:</w:t>
      </w:r>
      <w:r w:rsidR="00CC293A">
        <w:t xml:space="preserve"> outcome 1</w:t>
      </w:r>
      <w:r w:rsidR="009C0788">
        <w:t xml:space="preserve"> (</w:t>
      </w:r>
      <w:r w:rsidR="00CC293A">
        <w:t>pro-poor policy development, focusing on the MDGs</w:t>
      </w:r>
      <w:r w:rsidR="009C0788">
        <w:t>,</w:t>
      </w:r>
      <w:r w:rsidR="00CC293A">
        <w:t xml:space="preserve"> poverty reduction, energy and environment</w:t>
      </w:r>
      <w:r w:rsidR="009C0788">
        <w:t>)</w:t>
      </w:r>
      <w:r w:rsidR="00CC293A">
        <w:t>; and outcome 2</w:t>
      </w:r>
      <w:r w:rsidR="009C0788">
        <w:t xml:space="preserve"> (</w:t>
      </w:r>
      <w:r w:rsidR="00CC293A">
        <w:t>good governance</w:t>
      </w:r>
      <w:r w:rsidR="009C0788">
        <w:t>)</w:t>
      </w:r>
      <w:r w:rsidR="00CC293A">
        <w:t xml:space="preserve">. </w:t>
      </w:r>
    </w:p>
    <w:p w:rsidR="00867F7C" w:rsidRPr="0033241B" w:rsidRDefault="00AA2BE7" w:rsidP="0033241B">
      <w:pPr>
        <w:spacing w:after="120"/>
        <w:ind w:left="1267" w:right="1267"/>
        <w:jc w:val="both"/>
      </w:pPr>
      <w:r>
        <w:t>8.</w:t>
      </w:r>
      <w:r>
        <w:rPr>
          <w:i/>
        </w:rPr>
        <w:t xml:space="preserve"> </w:t>
      </w:r>
      <w:r w:rsidR="0075088B" w:rsidRPr="00C42E03">
        <w:rPr>
          <w:i/>
        </w:rPr>
        <w:t>Energy &amp; Environment</w:t>
      </w:r>
      <w:r w:rsidR="00742E3A">
        <w:rPr>
          <w:i/>
        </w:rPr>
        <w:t>.</w:t>
      </w:r>
      <w:r w:rsidR="0075088B" w:rsidRPr="00C42E03">
        <w:t xml:space="preserve"> </w:t>
      </w:r>
      <w:r w:rsidR="00E564A6">
        <w:t>UNDP</w:t>
      </w:r>
      <w:r w:rsidR="0075088B" w:rsidRPr="00C42E03">
        <w:t xml:space="preserve"> </w:t>
      </w:r>
      <w:r w:rsidR="00754FBB">
        <w:t xml:space="preserve">supported </w:t>
      </w:r>
      <w:r w:rsidR="006F1D31">
        <w:t xml:space="preserve">capacity building for sound environmental management, response to climate change and disaster management. This included </w:t>
      </w:r>
      <w:r w:rsidR="00754FBB">
        <w:t>preparation of</w:t>
      </w:r>
      <w:r w:rsidR="00E564A6">
        <w:t xml:space="preserve"> </w:t>
      </w:r>
      <w:r w:rsidR="0075088B" w:rsidRPr="00C42E03">
        <w:t>biodiversity</w:t>
      </w:r>
      <w:r w:rsidR="006F1D31">
        <w:t xml:space="preserve">, </w:t>
      </w:r>
      <w:r w:rsidR="0075088B" w:rsidRPr="00C42E03">
        <w:t>climate change</w:t>
      </w:r>
      <w:r w:rsidR="006F1D31">
        <w:t>, adaptation and mitigation</w:t>
      </w:r>
      <w:r w:rsidR="0075088B" w:rsidRPr="00C42E03">
        <w:t xml:space="preserve"> action </w:t>
      </w:r>
      <w:r w:rsidR="00754FBB">
        <w:t xml:space="preserve">plans; building </w:t>
      </w:r>
      <w:r w:rsidR="00F14E61">
        <w:t xml:space="preserve">institutional and operational </w:t>
      </w:r>
      <w:r w:rsidR="00754FBB">
        <w:t xml:space="preserve">capacity to phase out </w:t>
      </w:r>
      <w:r w:rsidR="0075088B" w:rsidRPr="00C42E03">
        <w:t>ozone</w:t>
      </w:r>
      <w:r w:rsidR="00F00871">
        <w:t>-</w:t>
      </w:r>
      <w:r w:rsidR="0075088B" w:rsidRPr="00C42E03">
        <w:t>depleting substances</w:t>
      </w:r>
      <w:r w:rsidR="00754FBB">
        <w:t xml:space="preserve">; </w:t>
      </w:r>
      <w:r w:rsidR="003C74AD">
        <w:t>strengthening capacity in the agriculture sector for eliminating the use of persistent organic pollutants (POPs);</w:t>
      </w:r>
      <w:r w:rsidR="00754FBB">
        <w:t xml:space="preserve"> </w:t>
      </w:r>
      <w:r w:rsidR="00F14E61">
        <w:t xml:space="preserve">production </w:t>
      </w:r>
      <w:r w:rsidR="00754FBB">
        <w:t xml:space="preserve">of </w:t>
      </w:r>
      <w:r w:rsidR="003C74AD">
        <w:t>t</w:t>
      </w:r>
      <w:r w:rsidR="00F00871">
        <w:t>he second national co</w:t>
      </w:r>
      <w:r w:rsidR="003C74AD">
        <w:t xml:space="preserve">mmunication to the </w:t>
      </w:r>
      <w:r w:rsidR="00171795">
        <w:t xml:space="preserve">United Nations </w:t>
      </w:r>
      <w:r w:rsidR="003C74AD">
        <w:t>Framework Convention on Climate Change (UNFCCC</w:t>
      </w:r>
      <w:r w:rsidR="00F00871">
        <w:t>)</w:t>
      </w:r>
      <w:r w:rsidR="00F14E61">
        <w:t xml:space="preserve">; and </w:t>
      </w:r>
      <w:r w:rsidR="0075088B" w:rsidRPr="00C42E03">
        <w:t xml:space="preserve">preparation of a </w:t>
      </w:r>
      <w:r w:rsidR="00F00871" w:rsidRPr="00C42E03">
        <w:t>national capacity self-ass</w:t>
      </w:r>
      <w:r w:rsidR="0075088B" w:rsidRPr="00C42E03">
        <w:t xml:space="preserve">essment for implementation of the major international environmental conventions. </w:t>
      </w:r>
      <w:r w:rsidR="00754FBB">
        <w:t xml:space="preserve">UNDP </w:t>
      </w:r>
      <w:r w:rsidR="006F1D31">
        <w:t xml:space="preserve">also </w:t>
      </w:r>
      <w:r w:rsidR="00754FBB">
        <w:t xml:space="preserve">supported </w:t>
      </w:r>
      <w:r w:rsidR="00F14E61">
        <w:t>the response</w:t>
      </w:r>
      <w:r w:rsidR="00754FBB">
        <w:t xml:space="preserve"> to </w:t>
      </w:r>
      <w:r w:rsidR="0075088B" w:rsidRPr="00C42E03">
        <w:t xml:space="preserve">the flooding disaster </w:t>
      </w:r>
      <w:r w:rsidR="005503C1">
        <w:t>of</w:t>
      </w:r>
      <w:r w:rsidR="0075088B" w:rsidRPr="00C42E03">
        <w:t xml:space="preserve"> 2008</w:t>
      </w:r>
      <w:r w:rsidR="00F14E61">
        <w:t>;</w:t>
      </w:r>
      <w:r w:rsidR="005503C1">
        <w:t xml:space="preserve"> establishment of </w:t>
      </w:r>
      <w:r w:rsidR="00754FBB">
        <w:t>an early flood</w:t>
      </w:r>
      <w:r w:rsidR="00F00871">
        <w:t>-</w:t>
      </w:r>
      <w:r w:rsidR="00754FBB">
        <w:t xml:space="preserve">warning system; and </w:t>
      </w:r>
      <w:r w:rsidR="005503C1">
        <w:t>preparation of</w:t>
      </w:r>
      <w:r w:rsidR="00754FBB">
        <w:t xml:space="preserve"> an early recovery strategy and action plan</w:t>
      </w:r>
      <w:r w:rsidR="0075088B" w:rsidRPr="00C42E03">
        <w:t>.</w:t>
      </w:r>
      <w:r w:rsidR="00495A38">
        <w:t xml:space="preserve"> </w:t>
      </w:r>
    </w:p>
    <w:p w:rsidR="00867F7C" w:rsidRDefault="00AA2BE7" w:rsidP="0033241B">
      <w:pPr>
        <w:spacing w:after="120"/>
        <w:ind w:left="1267" w:right="1267"/>
        <w:jc w:val="both"/>
      </w:pPr>
      <w:r>
        <w:t>9</w:t>
      </w:r>
      <w:r w:rsidR="007F294D">
        <w:t xml:space="preserve">. </w:t>
      </w:r>
      <w:r w:rsidR="0075088B" w:rsidRPr="00C42E03">
        <w:rPr>
          <w:i/>
        </w:rPr>
        <w:t>MDGs and poverty reduction</w:t>
      </w:r>
      <w:r w:rsidR="00F00871">
        <w:rPr>
          <w:i/>
        </w:rPr>
        <w:t>.</w:t>
      </w:r>
      <w:r w:rsidR="00171795">
        <w:t xml:space="preserve"> </w:t>
      </w:r>
      <w:r w:rsidR="005503C1">
        <w:t>UNDP support focused on building capacity to produce data for analysis, planning and monitoring of human development interventions and MDG achievement.</w:t>
      </w:r>
      <w:r w:rsidR="00171795">
        <w:t xml:space="preserve"> </w:t>
      </w:r>
      <w:r w:rsidR="005503C1">
        <w:t>This included support for preparation of the 2009</w:t>
      </w:r>
      <w:r w:rsidR="0075088B" w:rsidRPr="00C42E03">
        <w:t xml:space="preserve"> MDG </w:t>
      </w:r>
      <w:r w:rsidR="00D547F0">
        <w:t>p</w:t>
      </w:r>
      <w:r w:rsidR="0075088B" w:rsidRPr="00C42E03">
        <w:t xml:space="preserve">rogress </w:t>
      </w:r>
      <w:r w:rsidR="00D547F0">
        <w:t>r</w:t>
      </w:r>
      <w:r w:rsidR="0075088B" w:rsidRPr="00C42E03">
        <w:t>eport</w:t>
      </w:r>
      <w:r w:rsidR="005503C1">
        <w:t>;</w:t>
      </w:r>
      <w:r w:rsidR="006F1D31">
        <w:t xml:space="preserve"> preparation of</w:t>
      </w:r>
      <w:r w:rsidR="003C74AD">
        <w:t xml:space="preserve"> </w:t>
      </w:r>
      <w:r w:rsidR="003C74AD" w:rsidRPr="00C42E03">
        <w:t>a baseline study on the situation of social statistics</w:t>
      </w:r>
      <w:r w:rsidR="003C74AD">
        <w:t>;</w:t>
      </w:r>
      <w:r w:rsidR="003C74AD" w:rsidRPr="00C42E03">
        <w:t xml:space="preserve"> </w:t>
      </w:r>
      <w:r w:rsidR="006F1D31">
        <w:t xml:space="preserve">support for a conference on poverty measurement; </w:t>
      </w:r>
      <w:r w:rsidR="002572D6">
        <w:t xml:space="preserve">and </w:t>
      </w:r>
      <w:r w:rsidR="0075088B" w:rsidRPr="00C42E03">
        <w:t>awareness</w:t>
      </w:r>
      <w:r w:rsidR="005503C1">
        <w:t>-raising</w:t>
      </w:r>
      <w:r w:rsidR="0075088B" w:rsidRPr="00C42E03">
        <w:t xml:space="preserve"> </w:t>
      </w:r>
      <w:r w:rsidR="003C74AD">
        <w:t xml:space="preserve">among policy-makers </w:t>
      </w:r>
      <w:r w:rsidR="0075088B" w:rsidRPr="00C42E03">
        <w:t xml:space="preserve">on the </w:t>
      </w:r>
      <w:r w:rsidR="003C74AD">
        <w:t>use of social statistics for development planning</w:t>
      </w:r>
      <w:r w:rsidR="002572D6">
        <w:t xml:space="preserve"> </w:t>
      </w:r>
      <w:r w:rsidR="003C74AD">
        <w:t xml:space="preserve">and monitoring progress in achieving the </w:t>
      </w:r>
      <w:r w:rsidR="00C42E03" w:rsidRPr="00C42E03">
        <w:t>MDG</w:t>
      </w:r>
      <w:r w:rsidR="003C74AD">
        <w:t>s</w:t>
      </w:r>
      <w:r w:rsidR="00BD26F0">
        <w:t>.</w:t>
      </w:r>
      <w:r w:rsidR="00171795">
        <w:t xml:space="preserve"> </w:t>
      </w:r>
      <w:r w:rsidR="00C42E03" w:rsidRPr="00C42E03">
        <w:t>UNDP also</w:t>
      </w:r>
      <w:r w:rsidR="002572D6">
        <w:t xml:space="preserve"> supported </w:t>
      </w:r>
      <w:r w:rsidR="002572D6" w:rsidRPr="00C42E03">
        <w:t xml:space="preserve">capacity strengthening for the delivery of the social safety net </w:t>
      </w:r>
      <w:proofErr w:type="spellStart"/>
      <w:r w:rsidR="002572D6" w:rsidRPr="00C42E03">
        <w:t>programmes</w:t>
      </w:r>
      <w:proofErr w:type="spellEnd"/>
      <w:r w:rsidR="002572D6">
        <w:t xml:space="preserve"> and</w:t>
      </w:r>
      <w:r w:rsidR="00C42E03" w:rsidRPr="00C42E03">
        <w:t xml:space="preserve"> capacity building </w:t>
      </w:r>
      <w:r w:rsidR="002572D6">
        <w:t>of</w:t>
      </w:r>
      <w:r w:rsidR="00C42E03" w:rsidRPr="00C42E03">
        <w:t xml:space="preserve"> </w:t>
      </w:r>
      <w:r w:rsidR="00D547F0">
        <w:t>non-governmental organization</w:t>
      </w:r>
      <w:r w:rsidR="00C42E03" w:rsidRPr="00C42E03">
        <w:t xml:space="preserve">s working with people </w:t>
      </w:r>
      <w:r w:rsidR="000C7834">
        <w:t>l</w:t>
      </w:r>
      <w:r w:rsidR="00C42E03" w:rsidRPr="00C42E03">
        <w:t xml:space="preserve">iving with </w:t>
      </w:r>
      <w:r w:rsidR="00C42E03" w:rsidRPr="0033241B">
        <w:t>HIV/AIDS</w:t>
      </w:r>
      <w:r w:rsidR="00C42E03" w:rsidRPr="00376DA9">
        <w:t>.</w:t>
      </w:r>
    </w:p>
    <w:p w:rsidR="00867F7C" w:rsidRDefault="00AA2BE7" w:rsidP="0033241B">
      <w:pPr>
        <w:spacing w:after="120"/>
        <w:ind w:left="1267" w:right="1267"/>
        <w:jc w:val="both"/>
      </w:pPr>
      <w:r>
        <w:t>10</w:t>
      </w:r>
      <w:r w:rsidR="007F294D">
        <w:t>.</w:t>
      </w:r>
      <w:r>
        <w:t xml:space="preserve"> </w:t>
      </w:r>
      <w:r w:rsidR="0075088B" w:rsidRPr="00C42E03">
        <w:rPr>
          <w:i/>
        </w:rPr>
        <w:t>Democratic Governance</w:t>
      </w:r>
      <w:r w:rsidR="00742E3A">
        <w:rPr>
          <w:i/>
        </w:rPr>
        <w:t>.</w:t>
      </w:r>
      <w:r w:rsidR="00C42E03" w:rsidRPr="00C42E03">
        <w:t xml:space="preserve"> </w:t>
      </w:r>
      <w:r w:rsidR="00742E3A">
        <w:t xml:space="preserve">UNDP supported </w:t>
      </w:r>
      <w:r w:rsidR="009B2747">
        <w:t>building capacity</w:t>
      </w:r>
      <w:r w:rsidR="0075088B" w:rsidRPr="00C42E03">
        <w:t xml:space="preserve"> </w:t>
      </w:r>
      <w:r w:rsidR="00C42E03" w:rsidRPr="00C42E03">
        <w:t>for</w:t>
      </w:r>
      <w:r w:rsidR="0075088B" w:rsidRPr="00C42E03">
        <w:t xml:space="preserve"> promotion and protection of human rights</w:t>
      </w:r>
      <w:r w:rsidR="002572D6">
        <w:t xml:space="preserve"> and strengthening democracy</w:t>
      </w:r>
      <w:r w:rsidR="0075088B" w:rsidRPr="00C42E03">
        <w:t xml:space="preserve">. </w:t>
      </w:r>
      <w:r w:rsidR="005503C1">
        <w:t>Th</w:t>
      </w:r>
      <w:r w:rsidR="002572D6">
        <w:t>is</w:t>
      </w:r>
      <w:r w:rsidR="005503C1">
        <w:t xml:space="preserve"> included </w:t>
      </w:r>
      <w:r w:rsidR="00742E3A">
        <w:t xml:space="preserve">training and </w:t>
      </w:r>
      <w:r w:rsidR="0075088B" w:rsidRPr="00C42E03">
        <w:t>awareness</w:t>
      </w:r>
      <w:r w:rsidR="00BD26F0">
        <w:t>-</w:t>
      </w:r>
      <w:r w:rsidR="0075088B" w:rsidRPr="00C42E03">
        <w:t xml:space="preserve">raising </w:t>
      </w:r>
      <w:r w:rsidR="00CF34D8">
        <w:t xml:space="preserve">activities </w:t>
      </w:r>
      <w:r w:rsidR="003C74AD">
        <w:t xml:space="preserve">among </w:t>
      </w:r>
      <w:r w:rsidR="0075088B" w:rsidRPr="00C42E03">
        <w:t>non</w:t>
      </w:r>
      <w:r w:rsidR="003C74AD">
        <w:t>-</w:t>
      </w:r>
      <w:r w:rsidR="0075088B" w:rsidRPr="00C42E03">
        <w:t>governmental and grassroot</w:t>
      </w:r>
      <w:r w:rsidR="005503C1">
        <w:t>s</w:t>
      </w:r>
      <w:r w:rsidR="0075088B" w:rsidRPr="00C42E03">
        <w:t xml:space="preserve"> organizations</w:t>
      </w:r>
      <w:r w:rsidR="00742E3A">
        <w:t xml:space="preserve"> to better prepare them to promote human rights and education among their constituents</w:t>
      </w:r>
      <w:r w:rsidR="00BD26F0">
        <w:t>. It also included</w:t>
      </w:r>
      <w:r w:rsidR="002572D6">
        <w:t xml:space="preserve"> access</w:t>
      </w:r>
      <w:r w:rsidR="00BD26F0">
        <w:t>-</w:t>
      </w:r>
      <w:r w:rsidR="002572D6">
        <w:t>to</w:t>
      </w:r>
      <w:r w:rsidR="00BD26F0">
        <w:t>-</w:t>
      </w:r>
      <w:r w:rsidR="002572D6">
        <w:t xml:space="preserve">justice </w:t>
      </w:r>
      <w:r w:rsidR="00E52BAA">
        <w:t>ou</w:t>
      </w:r>
      <w:r w:rsidR="0075088B" w:rsidRPr="00C42E03">
        <w:t>treach campaigns for the general public</w:t>
      </w:r>
      <w:r w:rsidR="006571B1">
        <w:t>, campaigns that focused</w:t>
      </w:r>
      <w:r w:rsidR="00C42E03" w:rsidRPr="00C42E03">
        <w:t xml:space="preserve"> on</w:t>
      </w:r>
      <w:r w:rsidR="0075088B" w:rsidRPr="00C42E03">
        <w:t xml:space="preserve"> </w:t>
      </w:r>
      <w:r w:rsidR="002572D6">
        <w:t>legislation and recourse to the law</w:t>
      </w:r>
      <w:r w:rsidR="006571B1">
        <w:t>. There was</w:t>
      </w:r>
      <w:r w:rsidR="00E52BAA">
        <w:t xml:space="preserve"> </w:t>
      </w:r>
      <w:r w:rsidR="00742E3A">
        <w:t>a</w:t>
      </w:r>
      <w:r w:rsidR="000C7834">
        <w:t xml:space="preserve"> </w:t>
      </w:r>
      <w:r w:rsidR="00742E3A">
        <w:t xml:space="preserve">voter education programme </w:t>
      </w:r>
      <w:r w:rsidR="00E52BAA">
        <w:t xml:space="preserve">and </w:t>
      </w:r>
      <w:r w:rsidR="00742E3A">
        <w:t xml:space="preserve">training for officials responsible for </w:t>
      </w:r>
      <w:r w:rsidR="000C7834">
        <w:t xml:space="preserve">conducting </w:t>
      </w:r>
      <w:r w:rsidR="00742E3A">
        <w:t>elections</w:t>
      </w:r>
      <w:r w:rsidR="000C7834">
        <w:t xml:space="preserve"> 2010</w:t>
      </w:r>
      <w:r w:rsidR="006571B1">
        <w:t>, as well as</w:t>
      </w:r>
      <w:r w:rsidR="002572D6">
        <w:t xml:space="preserve"> </w:t>
      </w:r>
      <w:r w:rsidR="00742E3A">
        <w:t xml:space="preserve">technical briefings for parliamentarians and </w:t>
      </w:r>
      <w:r w:rsidR="0075088B" w:rsidRPr="00C42E03">
        <w:t xml:space="preserve">institutional strengthening of the Parliament </w:t>
      </w:r>
      <w:r w:rsidR="00742E3A">
        <w:t xml:space="preserve">to </w:t>
      </w:r>
      <w:r w:rsidR="00755721">
        <w:t xml:space="preserve">help it </w:t>
      </w:r>
      <w:r w:rsidR="00742E3A">
        <w:t>undertake its legislative, oversight and representational functions</w:t>
      </w:r>
      <w:r w:rsidR="0075088B" w:rsidRPr="00C42E03">
        <w:t>.</w:t>
      </w:r>
      <w:r w:rsidR="00742E3A">
        <w:t xml:space="preserve"> </w:t>
      </w:r>
    </w:p>
    <w:p w:rsidR="00867F7C" w:rsidRDefault="00AA2BE7" w:rsidP="0033241B">
      <w:pPr>
        <w:spacing w:after="240"/>
        <w:ind w:left="1267" w:right="1267"/>
        <w:jc w:val="both"/>
      </w:pPr>
      <w:r>
        <w:t>11</w:t>
      </w:r>
      <w:r w:rsidR="007F294D">
        <w:t xml:space="preserve">. </w:t>
      </w:r>
      <w:r w:rsidR="009B2747" w:rsidRPr="00551EB8">
        <w:rPr>
          <w:i/>
        </w:rPr>
        <w:t xml:space="preserve">Lessons </w:t>
      </w:r>
      <w:r w:rsidR="0075088B" w:rsidRPr="00551EB8">
        <w:rPr>
          <w:i/>
        </w:rPr>
        <w:t>learned</w:t>
      </w:r>
      <w:r w:rsidR="00551EB8">
        <w:t>.</w:t>
      </w:r>
      <w:r w:rsidR="00171795">
        <w:t xml:space="preserve"> </w:t>
      </w:r>
      <w:r w:rsidR="00E52BAA">
        <w:t>Preliminary findings of t</w:t>
      </w:r>
      <w:r w:rsidR="00551EB8">
        <w:t xml:space="preserve">he UNDAF </w:t>
      </w:r>
      <w:r w:rsidR="00495A38">
        <w:t>e</w:t>
      </w:r>
      <w:r w:rsidR="00551EB8">
        <w:t xml:space="preserve">valuation concluded that </w:t>
      </w:r>
      <w:r w:rsidR="003210A9" w:rsidRPr="00C42E03">
        <w:t>the concentration on the MDGs and human rights ha</w:t>
      </w:r>
      <w:r w:rsidR="00755721">
        <w:t>d</w:t>
      </w:r>
      <w:r w:rsidR="003210A9" w:rsidRPr="00C42E03">
        <w:t xml:space="preserve"> been highly appropriate</w:t>
      </w:r>
      <w:r w:rsidR="00755721">
        <w:t xml:space="preserve"> and</w:t>
      </w:r>
      <w:r w:rsidR="003210A9">
        <w:t xml:space="preserve"> support</w:t>
      </w:r>
      <w:r w:rsidR="00755721">
        <w:t xml:space="preserve">ive of </w:t>
      </w:r>
      <w:r w:rsidR="003210A9" w:rsidRPr="00C42E03">
        <w:t>the Government’s national development plan</w:t>
      </w:r>
      <w:r w:rsidR="003210A9">
        <w:t>s</w:t>
      </w:r>
      <w:r w:rsidR="00755721">
        <w:t>. T</w:t>
      </w:r>
      <w:r w:rsidR="003210A9" w:rsidRPr="00C42E03">
        <w:t xml:space="preserve">his </w:t>
      </w:r>
      <w:r w:rsidR="003210A9">
        <w:t xml:space="preserve">should remain a </w:t>
      </w:r>
      <w:r w:rsidR="003210A9" w:rsidRPr="00C42E03">
        <w:t>focus for UNDP for the coming cycle.</w:t>
      </w:r>
      <w:r w:rsidR="003210A9">
        <w:t xml:space="preserve"> The </w:t>
      </w:r>
      <w:r w:rsidR="00495A38">
        <w:t>e</w:t>
      </w:r>
      <w:r w:rsidR="003210A9">
        <w:t xml:space="preserve">valuation also indicated that </w:t>
      </w:r>
      <w:r w:rsidR="00551EB8">
        <w:t>to</w:t>
      </w:r>
      <w:r w:rsidR="0075088B" w:rsidRPr="00C42E03">
        <w:t xml:space="preserve"> achieve maximum impact UNDP </w:t>
      </w:r>
      <w:r w:rsidR="009B2747">
        <w:t xml:space="preserve">should </w:t>
      </w:r>
      <w:r w:rsidR="0075088B" w:rsidRPr="00C42E03">
        <w:t xml:space="preserve">use </w:t>
      </w:r>
      <w:r w:rsidR="00755721">
        <w:t xml:space="preserve">the </w:t>
      </w:r>
      <w:r w:rsidR="0075088B" w:rsidRPr="00C42E03">
        <w:t>sc</w:t>
      </w:r>
      <w:r w:rsidR="009B2747">
        <w:t>arce resources mo</w:t>
      </w:r>
      <w:r w:rsidR="000C7834">
        <w:t>re</w:t>
      </w:r>
      <w:r w:rsidR="009B2747">
        <w:t xml:space="preserve"> effectively and </w:t>
      </w:r>
      <w:r w:rsidR="000C7834">
        <w:t xml:space="preserve">collaborate </w:t>
      </w:r>
      <w:r w:rsidR="009B2747">
        <w:t>with other</w:t>
      </w:r>
      <w:r w:rsidR="0075088B" w:rsidRPr="00C42E03">
        <w:t xml:space="preserve"> </w:t>
      </w:r>
      <w:r w:rsidR="00171795">
        <w:t xml:space="preserve">United Nations </w:t>
      </w:r>
      <w:r w:rsidR="009B2747">
        <w:t xml:space="preserve">agencies </w:t>
      </w:r>
      <w:r w:rsidR="00551EB8">
        <w:t>under the Delivering as One agenda.</w:t>
      </w:r>
      <w:r w:rsidR="00171795">
        <w:t xml:space="preserve"> </w:t>
      </w:r>
      <w:r w:rsidR="000C7834">
        <w:t xml:space="preserve">The </w:t>
      </w:r>
      <w:r w:rsidR="00734266">
        <w:t>e</w:t>
      </w:r>
      <w:r w:rsidR="000C7834">
        <w:t xml:space="preserve">valuation noted that </w:t>
      </w:r>
      <w:r w:rsidR="007E7897">
        <w:t xml:space="preserve">a good deal of </w:t>
      </w:r>
      <w:r w:rsidR="00551EB8">
        <w:t xml:space="preserve">progress has been made </w:t>
      </w:r>
      <w:r w:rsidR="007E7897">
        <w:t xml:space="preserve">as regards </w:t>
      </w:r>
      <w:r w:rsidR="00551EB8">
        <w:t>common premises and services</w:t>
      </w:r>
      <w:r w:rsidR="007E7897">
        <w:t>,</w:t>
      </w:r>
      <w:r w:rsidR="00551EB8">
        <w:t xml:space="preserve"> </w:t>
      </w:r>
      <w:r w:rsidR="003210A9">
        <w:t xml:space="preserve">but </w:t>
      </w:r>
      <w:r w:rsidR="00551EB8">
        <w:t xml:space="preserve">not enough </w:t>
      </w:r>
      <w:r w:rsidR="007E7897">
        <w:t xml:space="preserve">on </w:t>
      </w:r>
      <w:r w:rsidR="00551EB8">
        <w:t>joint programming.</w:t>
      </w:r>
      <w:r w:rsidR="00171795">
        <w:t xml:space="preserve"> </w:t>
      </w:r>
      <w:r w:rsidR="00CF34D8">
        <w:t xml:space="preserve">In the </w:t>
      </w:r>
      <w:r w:rsidR="00495A38">
        <w:t xml:space="preserve">case of the environment and energy </w:t>
      </w:r>
      <w:r w:rsidR="009B2747">
        <w:t>portfolio</w:t>
      </w:r>
      <w:r w:rsidR="003A057B">
        <w:t>,</w:t>
      </w:r>
      <w:r w:rsidR="009B2747">
        <w:t xml:space="preserve"> </w:t>
      </w:r>
      <w:r w:rsidR="00CF34D8">
        <w:t xml:space="preserve">greater effort needs to be exerted to take advantage of </w:t>
      </w:r>
      <w:r w:rsidR="009B2747">
        <w:t xml:space="preserve">synergies with </w:t>
      </w:r>
      <w:r w:rsidR="00CF34D8">
        <w:t>non-resident</w:t>
      </w:r>
      <w:r w:rsidR="009B2747">
        <w:t xml:space="preserve"> </w:t>
      </w:r>
      <w:r w:rsidR="00171795">
        <w:t xml:space="preserve">United Nations </w:t>
      </w:r>
      <w:r w:rsidR="009B2747">
        <w:t xml:space="preserve">agencies </w:t>
      </w:r>
      <w:r w:rsidR="00CF34D8">
        <w:t xml:space="preserve">such as </w:t>
      </w:r>
      <w:r w:rsidR="00734266">
        <w:t xml:space="preserve">the </w:t>
      </w:r>
      <w:r w:rsidR="00734266" w:rsidRPr="006D66FB">
        <w:t>United Nations Environment Programme</w:t>
      </w:r>
      <w:r w:rsidR="00CF34D8">
        <w:t>,</w:t>
      </w:r>
      <w:r w:rsidR="00734266">
        <w:t xml:space="preserve"> </w:t>
      </w:r>
      <w:r w:rsidR="00734266" w:rsidRPr="006D66FB">
        <w:t>Food and Agriculture Organization</w:t>
      </w:r>
      <w:r w:rsidR="00CF34D8">
        <w:t xml:space="preserve"> and </w:t>
      </w:r>
      <w:r w:rsidR="00734266" w:rsidRPr="006D66FB">
        <w:t>United Nations Industrial Development Organization</w:t>
      </w:r>
      <w:r w:rsidR="00CF34D8">
        <w:t xml:space="preserve">, </w:t>
      </w:r>
      <w:r w:rsidR="009B2747">
        <w:t>a</w:t>
      </w:r>
      <w:r w:rsidR="003A057B">
        <w:t>s well as</w:t>
      </w:r>
      <w:r w:rsidR="009B2747">
        <w:t xml:space="preserve"> </w:t>
      </w:r>
      <w:r w:rsidR="00CF34D8">
        <w:t xml:space="preserve">other partners such as </w:t>
      </w:r>
      <w:r w:rsidR="009B2747">
        <w:t xml:space="preserve">the </w:t>
      </w:r>
      <w:r w:rsidR="009D582F" w:rsidRPr="009D582F">
        <w:t>Inter-American Development Bank</w:t>
      </w:r>
      <w:r w:rsidR="009D582F">
        <w:t xml:space="preserve"> (</w:t>
      </w:r>
      <w:r w:rsidR="009B2747">
        <w:t>IDB</w:t>
      </w:r>
      <w:r w:rsidR="009D582F">
        <w:t>)</w:t>
      </w:r>
      <w:r w:rsidR="009B2747">
        <w:t>.</w:t>
      </w:r>
      <w:r w:rsidR="007F294D">
        <w:t xml:space="preserve"> </w:t>
      </w:r>
      <w:r w:rsidR="000C7834">
        <w:t>T</w:t>
      </w:r>
      <w:r w:rsidR="00E80F2D">
        <w:t>he annual UNDAF reviews and evaluation findings</w:t>
      </w:r>
      <w:r w:rsidR="0075088B" w:rsidRPr="00C42E03">
        <w:t xml:space="preserve"> </w:t>
      </w:r>
      <w:r w:rsidR="00E80F2D">
        <w:t xml:space="preserve">suggest </w:t>
      </w:r>
      <w:r w:rsidR="0075088B" w:rsidRPr="00C42E03">
        <w:t xml:space="preserve">that many of </w:t>
      </w:r>
      <w:r w:rsidR="000C7834">
        <w:t>the capacity</w:t>
      </w:r>
      <w:r w:rsidR="00F37BFA">
        <w:t>-</w:t>
      </w:r>
      <w:r w:rsidR="000C7834">
        <w:t>building activities for stakeholders w</w:t>
      </w:r>
      <w:r w:rsidR="0075088B" w:rsidRPr="00C42E03">
        <w:t>ere one-time events that did not substantially contribute to buil</w:t>
      </w:r>
      <w:r w:rsidR="00551EB8">
        <w:t>ding capacity of individual</w:t>
      </w:r>
      <w:r w:rsidR="00F37BFA">
        <w:t>s</w:t>
      </w:r>
      <w:r w:rsidR="00551EB8">
        <w:t xml:space="preserve"> or </w:t>
      </w:r>
      <w:r w:rsidR="0075088B" w:rsidRPr="00C42E03">
        <w:t>institut</w:t>
      </w:r>
      <w:r w:rsidR="00551EB8">
        <w:t>ion</w:t>
      </w:r>
      <w:r w:rsidR="00F37BFA">
        <w:t>s</w:t>
      </w:r>
      <w:r w:rsidR="0075088B" w:rsidRPr="00C42E03">
        <w:t xml:space="preserve">. </w:t>
      </w:r>
      <w:r w:rsidR="000C7834">
        <w:t>This suggests</w:t>
      </w:r>
      <w:r w:rsidR="00551EB8">
        <w:t xml:space="preserve"> that </w:t>
      </w:r>
      <w:r w:rsidR="0075088B" w:rsidRPr="00C42E03">
        <w:t xml:space="preserve">future training activities </w:t>
      </w:r>
      <w:r w:rsidR="00F37BFA">
        <w:t>need to be ongoing</w:t>
      </w:r>
      <w:r w:rsidR="00551EB8">
        <w:t>.</w:t>
      </w:r>
      <w:r w:rsidR="00CF34D8">
        <w:t xml:space="preserve"> The </w:t>
      </w:r>
      <w:r w:rsidR="00DE0C1F" w:rsidRPr="00F6785F">
        <w:t>harmonized approach to cash transfers</w:t>
      </w:r>
      <w:r w:rsidR="00DE0C1F" w:rsidDel="00DE0C1F">
        <w:t xml:space="preserve"> </w:t>
      </w:r>
      <w:r w:rsidR="00CF34D8">
        <w:t>(HACT) encountered some challenges</w:t>
      </w:r>
      <w:r w:rsidR="00F37BFA">
        <w:t xml:space="preserve"> as regards the </w:t>
      </w:r>
      <w:r w:rsidR="00CF34D8">
        <w:t xml:space="preserve">completing </w:t>
      </w:r>
      <w:r w:rsidR="00F37BFA">
        <w:t xml:space="preserve">of </w:t>
      </w:r>
      <w:r w:rsidR="00CF34D8">
        <w:t>the forms</w:t>
      </w:r>
      <w:r w:rsidR="00F37BFA">
        <w:t>. This</w:t>
      </w:r>
      <w:r w:rsidR="003210A9">
        <w:t xml:space="preserve"> suggests </w:t>
      </w:r>
      <w:r w:rsidR="00CF34D8">
        <w:t>the need to engage in continuous training and close mentoring.</w:t>
      </w:r>
      <w:r w:rsidR="00171795">
        <w:t xml:space="preserve"> </w:t>
      </w:r>
    </w:p>
    <w:p w:rsidR="00867F7C" w:rsidRDefault="008C7649" w:rsidP="000B2373">
      <w:pPr>
        <w:pStyle w:val="Heading2"/>
        <w:numPr>
          <w:ilvl w:val="0"/>
          <w:numId w:val="23"/>
        </w:numPr>
        <w:spacing w:after="120"/>
        <w:ind w:left="1267" w:right="12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C7649">
        <w:rPr>
          <w:rFonts w:ascii="Times New Roman" w:hAnsi="Times New Roman"/>
          <w:bCs/>
          <w:color w:val="000000"/>
          <w:sz w:val="24"/>
          <w:szCs w:val="24"/>
        </w:rPr>
        <w:lastRenderedPageBreak/>
        <w:t>Proposed programme</w:t>
      </w:r>
    </w:p>
    <w:p w:rsidR="00867F7C" w:rsidRDefault="00AA2BE7" w:rsidP="0033241B">
      <w:pPr>
        <w:spacing w:after="120"/>
        <w:ind w:left="1267" w:right="1267"/>
        <w:jc w:val="both"/>
      </w:pPr>
      <w:r>
        <w:t>12. The UNDP</w:t>
      </w:r>
      <w:r w:rsidR="00F174AC">
        <w:t xml:space="preserve"> country programme document for</w:t>
      </w:r>
      <w:r>
        <w:t xml:space="preserve"> 2012</w:t>
      </w:r>
      <w:r w:rsidR="00F174AC">
        <w:t>-</w:t>
      </w:r>
      <w:r>
        <w:t>201</w:t>
      </w:r>
      <w:r w:rsidR="003210A9">
        <w:t>6</w:t>
      </w:r>
      <w:r>
        <w:t xml:space="preserve"> responds to continuing needs outlined in the </w:t>
      </w:r>
      <w:r w:rsidR="002C1310">
        <w:t>dr</w:t>
      </w:r>
      <w:r w:rsidR="00376DA9">
        <w:t>aft common country ass</w:t>
      </w:r>
      <w:r>
        <w:t>essment and in the Government’s sector and national development plans.</w:t>
      </w:r>
      <w:r w:rsidR="00171795">
        <w:t xml:space="preserve"> </w:t>
      </w:r>
      <w:r>
        <w:t>I</w:t>
      </w:r>
      <w:r w:rsidR="00222C2F">
        <w:t xml:space="preserve">t is embedded in </w:t>
      </w:r>
      <w:r>
        <w:t>the thru</w:t>
      </w:r>
      <w:r w:rsidR="00222C2F">
        <w:t xml:space="preserve">st of the UNDAF in supporting </w:t>
      </w:r>
      <w:r>
        <w:t xml:space="preserve">coordinated and coherent </w:t>
      </w:r>
      <w:r w:rsidR="00171795">
        <w:t xml:space="preserve">United Nations </w:t>
      </w:r>
      <w:r>
        <w:t>contribution</w:t>
      </w:r>
      <w:r w:rsidR="00222C2F">
        <w:t>s</w:t>
      </w:r>
      <w:r>
        <w:t xml:space="preserve"> to Suriname’s development aspirations</w:t>
      </w:r>
      <w:r w:rsidR="00222C2F">
        <w:t>.</w:t>
      </w:r>
      <w:r w:rsidR="00171795">
        <w:t xml:space="preserve"> </w:t>
      </w:r>
      <w:r w:rsidR="00222C2F">
        <w:t xml:space="preserve">The </w:t>
      </w:r>
      <w:r w:rsidR="00F174AC">
        <w:t>country programme</w:t>
      </w:r>
      <w:r w:rsidR="00222C2F">
        <w:t xml:space="preserve"> will support national development</w:t>
      </w:r>
      <w:r w:rsidR="00171795">
        <w:t xml:space="preserve"> </w:t>
      </w:r>
      <w:r w:rsidR="00222C2F">
        <w:t>in three</w:t>
      </w:r>
      <w:r>
        <w:t xml:space="preserve"> areas</w:t>
      </w:r>
      <w:r w:rsidR="00222C2F">
        <w:t>: (</w:t>
      </w:r>
      <w:r>
        <w:t xml:space="preserve"> </w:t>
      </w:r>
      <w:proofErr w:type="spellStart"/>
      <w:r w:rsidR="00222C2F">
        <w:t>i</w:t>
      </w:r>
      <w:proofErr w:type="spellEnd"/>
      <w:r w:rsidR="00222C2F">
        <w:t xml:space="preserve">) </w:t>
      </w:r>
      <w:r w:rsidR="00013155">
        <w:t>i</w:t>
      </w:r>
      <w:r>
        <w:t>mproving the quality of democratic governance</w:t>
      </w:r>
      <w:r w:rsidR="00222C2F">
        <w:t>, human rights</w:t>
      </w:r>
      <w:r>
        <w:t xml:space="preserve"> and </w:t>
      </w:r>
      <w:r w:rsidR="000D7C71">
        <w:t xml:space="preserve">the </w:t>
      </w:r>
      <w:r>
        <w:t xml:space="preserve">efficiency and effectiveness of public management; </w:t>
      </w:r>
      <w:r w:rsidR="00222C2F">
        <w:t xml:space="preserve">(ii) reducing poverty and inequality, improving access to and enjoyment </w:t>
      </w:r>
      <w:r w:rsidR="00A537C5">
        <w:t>of social</w:t>
      </w:r>
      <w:r w:rsidR="00222C2F">
        <w:t xml:space="preserve"> services</w:t>
      </w:r>
      <w:r w:rsidR="00A537C5">
        <w:t>, social protection and housing</w:t>
      </w:r>
      <w:r w:rsidR="00222C2F">
        <w:t xml:space="preserve"> for the most vulnerable and disadvantaged; </w:t>
      </w:r>
      <w:r>
        <w:t xml:space="preserve">and </w:t>
      </w:r>
      <w:r w:rsidR="00222C2F">
        <w:t xml:space="preserve">(iii) </w:t>
      </w:r>
      <w:r>
        <w:t xml:space="preserve">promoting </w:t>
      </w:r>
      <w:r w:rsidR="003210A9">
        <w:t>sustainable</w:t>
      </w:r>
      <w:r>
        <w:t xml:space="preserve"> environmental </w:t>
      </w:r>
      <w:r w:rsidR="003210A9">
        <w:t>management</w:t>
      </w:r>
      <w:r>
        <w:t xml:space="preserve"> </w:t>
      </w:r>
      <w:r w:rsidR="00222C2F">
        <w:t xml:space="preserve">and </w:t>
      </w:r>
      <w:r>
        <w:t>building capacity for participating in international environmental processes and benefiting from emerging climate</w:t>
      </w:r>
      <w:r w:rsidR="00376DA9">
        <w:t>-change-</w:t>
      </w:r>
      <w:r w:rsidR="000D7C71">
        <w:t xml:space="preserve">related </w:t>
      </w:r>
      <w:r>
        <w:t>financing mechanisms.</w:t>
      </w:r>
      <w:r w:rsidR="00A537C5">
        <w:t xml:space="preserve"> </w:t>
      </w:r>
      <w:r>
        <w:t xml:space="preserve"> </w:t>
      </w:r>
    </w:p>
    <w:p w:rsidR="00867F7C" w:rsidRDefault="00F17D41" w:rsidP="0033241B">
      <w:pPr>
        <w:spacing w:after="120"/>
        <w:ind w:left="1627" w:right="1627"/>
        <w:jc w:val="both"/>
        <w:rPr>
          <w:color w:val="000000"/>
        </w:rPr>
      </w:pPr>
      <w:r w:rsidRPr="0033241B">
        <w:rPr>
          <w:b/>
        </w:rPr>
        <w:t>A.</w:t>
      </w:r>
      <w:r w:rsidR="00F45DE7" w:rsidRPr="0033241B">
        <w:rPr>
          <w:b/>
        </w:rPr>
        <w:t xml:space="preserve"> </w:t>
      </w:r>
      <w:r w:rsidR="00A528D0" w:rsidRPr="00F17D41">
        <w:rPr>
          <w:b/>
          <w:u w:val="single"/>
        </w:rPr>
        <w:t>Outcome Area 1</w:t>
      </w:r>
      <w:r w:rsidR="000D7C71">
        <w:rPr>
          <w:b/>
        </w:rPr>
        <w:t>:</w:t>
      </w:r>
      <w:r w:rsidR="00A528D0" w:rsidRPr="00F17D41">
        <w:rPr>
          <w:b/>
        </w:rPr>
        <w:t xml:space="preserve"> </w:t>
      </w:r>
      <w:r w:rsidR="00C42E03" w:rsidRPr="00F17D41">
        <w:rPr>
          <w:b/>
        </w:rPr>
        <w:t xml:space="preserve">By 2016 public institutions, civil society and the general public are empowered and possess the capacities, competencies and tools for: improved efficiency and accountability in public management; enhanced responsiveness </w:t>
      </w:r>
      <w:r w:rsidR="00244A7B">
        <w:rPr>
          <w:b/>
        </w:rPr>
        <w:t xml:space="preserve">of democratic governance institutions </w:t>
      </w:r>
      <w:r w:rsidR="00C42E03" w:rsidRPr="00F17D41">
        <w:rPr>
          <w:b/>
        </w:rPr>
        <w:t>and participation in representative and legislative processes, policy</w:t>
      </w:r>
      <w:r w:rsidR="00954CEE">
        <w:rPr>
          <w:b/>
        </w:rPr>
        <w:t xml:space="preserve">making </w:t>
      </w:r>
      <w:r w:rsidR="00C42E03" w:rsidRPr="00F17D41">
        <w:rPr>
          <w:b/>
        </w:rPr>
        <w:t>and decision-making; and demonstr</w:t>
      </w:r>
      <w:r w:rsidR="00376DA9">
        <w:rPr>
          <w:b/>
        </w:rPr>
        <w:t>able</w:t>
      </w:r>
      <w:r w:rsidR="00C42E03" w:rsidRPr="00F17D41">
        <w:rPr>
          <w:b/>
        </w:rPr>
        <w:t xml:space="preserve"> improvements in </w:t>
      </w:r>
      <w:r w:rsidR="00011323">
        <w:rPr>
          <w:b/>
        </w:rPr>
        <w:t>access to justice</w:t>
      </w:r>
      <w:r w:rsidR="00C678F4">
        <w:rPr>
          <w:b/>
        </w:rPr>
        <w:t>, citizen security</w:t>
      </w:r>
      <w:r w:rsidR="00011323">
        <w:rPr>
          <w:b/>
        </w:rPr>
        <w:t xml:space="preserve"> and </w:t>
      </w:r>
      <w:r w:rsidR="00C42E03" w:rsidRPr="00F17D41">
        <w:rPr>
          <w:b/>
        </w:rPr>
        <w:t xml:space="preserve">the promotion and protection of </w:t>
      </w:r>
      <w:r w:rsidR="00EF754B">
        <w:rPr>
          <w:b/>
        </w:rPr>
        <w:t xml:space="preserve">human </w:t>
      </w:r>
      <w:r w:rsidR="00C42E03" w:rsidRPr="00F17D41">
        <w:rPr>
          <w:b/>
        </w:rPr>
        <w:t>rights and well-being.</w:t>
      </w:r>
      <w:r w:rsidR="00171795">
        <w:rPr>
          <w:b/>
        </w:rPr>
        <w:t xml:space="preserve"> </w:t>
      </w:r>
    </w:p>
    <w:p w:rsidR="00867F7C" w:rsidRDefault="007F294D" w:rsidP="0033241B">
      <w:pPr>
        <w:spacing w:after="120"/>
        <w:ind w:left="1267" w:right="1267"/>
        <w:jc w:val="both"/>
      </w:pPr>
      <w:r>
        <w:t xml:space="preserve">13. </w:t>
      </w:r>
      <w:r w:rsidR="006B2861">
        <w:t>G</w:t>
      </w:r>
      <w:r w:rsidR="00C42E03" w:rsidRPr="00F90779">
        <w:t xml:space="preserve">overnment </w:t>
      </w:r>
      <w:r w:rsidR="006B2861">
        <w:t xml:space="preserve">will be supported </w:t>
      </w:r>
      <w:r w:rsidR="00C42E03" w:rsidRPr="00F90779">
        <w:t>in its efforts</w:t>
      </w:r>
      <w:r w:rsidR="00985CF1">
        <w:t xml:space="preserve"> </w:t>
      </w:r>
      <w:r w:rsidR="00985CF1" w:rsidRPr="00F90779">
        <w:t>to streamline and professionalize the pu</w:t>
      </w:r>
      <w:r w:rsidR="00985CF1">
        <w:t>blic sector</w:t>
      </w:r>
      <w:r w:rsidR="00C42E03" w:rsidRPr="00F90779">
        <w:t>.</w:t>
      </w:r>
      <w:r w:rsidR="00364945">
        <w:t xml:space="preserve"> </w:t>
      </w:r>
      <w:r w:rsidR="00BD6AD8">
        <w:t xml:space="preserve">UNDP will also continue </w:t>
      </w:r>
      <w:r w:rsidR="00106BCF">
        <w:t xml:space="preserve">to </w:t>
      </w:r>
      <w:r w:rsidR="00BD6AD8">
        <w:t xml:space="preserve">support strengthening planning, coordination and monitoring </w:t>
      </w:r>
      <w:r w:rsidR="0002695D">
        <w:t>of development activities</w:t>
      </w:r>
      <w:r w:rsidR="006D5C26">
        <w:t xml:space="preserve">; </w:t>
      </w:r>
      <w:r w:rsidR="0002695D">
        <w:t>capacity</w:t>
      </w:r>
      <w:r w:rsidR="006D5C26">
        <w:t xml:space="preserve"> building</w:t>
      </w:r>
      <w:r w:rsidR="0002695D">
        <w:t xml:space="preserve"> to </w:t>
      </w:r>
      <w:proofErr w:type="gramStart"/>
      <w:r w:rsidR="0002695D">
        <w:t>generate,</w:t>
      </w:r>
      <w:proofErr w:type="gramEnd"/>
      <w:r w:rsidR="0002695D">
        <w:t xml:space="preserve"> </w:t>
      </w:r>
      <w:proofErr w:type="spellStart"/>
      <w:r w:rsidR="0002695D">
        <w:t>analy</w:t>
      </w:r>
      <w:r w:rsidR="00106BCF">
        <w:t>s</w:t>
      </w:r>
      <w:r w:rsidR="0002695D">
        <w:t>e</w:t>
      </w:r>
      <w:proofErr w:type="spellEnd"/>
      <w:r w:rsidR="0002695D">
        <w:t xml:space="preserve"> and use statistics and data for planning and decision-making</w:t>
      </w:r>
      <w:r w:rsidR="00106BCF">
        <w:t>. The organization will also support,</w:t>
      </w:r>
      <w:r w:rsidR="006D5C26">
        <w:t xml:space="preserve"> as needed, </w:t>
      </w:r>
      <w:r w:rsidR="00106BCF">
        <w:t xml:space="preserve">the </w:t>
      </w:r>
      <w:r w:rsidR="006D5C26">
        <w:t>development of a proxy means test for better targeting of social safety nets.</w:t>
      </w:r>
      <w:r w:rsidR="00171795">
        <w:t xml:space="preserve"> </w:t>
      </w:r>
      <w:r w:rsidR="00436435">
        <w:t>UNDP will support capacity building to manage and coordinate development assistance</w:t>
      </w:r>
      <w:r w:rsidR="00106BCF">
        <w:t>,</w:t>
      </w:r>
      <w:r w:rsidR="00436435">
        <w:t xml:space="preserve"> and with the wider </w:t>
      </w:r>
      <w:r w:rsidR="00171795">
        <w:t xml:space="preserve">United Nations </w:t>
      </w:r>
      <w:r w:rsidR="00436435">
        <w:t xml:space="preserve">system will also support the </w:t>
      </w:r>
      <w:r w:rsidR="00B1311F">
        <w:t>G</w:t>
      </w:r>
      <w:r w:rsidR="00436435">
        <w:t xml:space="preserve">overnment in implementing and monitoring the </w:t>
      </w:r>
      <w:r w:rsidR="00311F10">
        <w:t>multi-annual development plan</w:t>
      </w:r>
      <w:r w:rsidR="00E14D78">
        <w:t>. Further, UNDP will support</w:t>
      </w:r>
      <w:r w:rsidR="006B2861">
        <w:t xml:space="preserve"> a pilot programme on the use of information and communications technologies (ICTs) to deliver information and </w:t>
      </w:r>
      <w:r w:rsidR="00311F10">
        <w:t xml:space="preserve">services </w:t>
      </w:r>
      <w:r w:rsidR="008E0EE9">
        <w:t xml:space="preserve">to interior districts </w:t>
      </w:r>
      <w:r w:rsidR="006B2861">
        <w:t>and communities.</w:t>
      </w:r>
      <w:r w:rsidR="00364945">
        <w:t xml:space="preserve"> </w:t>
      </w:r>
    </w:p>
    <w:p w:rsidR="00867F7C" w:rsidRDefault="007F294D" w:rsidP="0033241B">
      <w:pPr>
        <w:spacing w:after="120"/>
        <w:ind w:left="1267" w:right="1267"/>
        <w:jc w:val="both"/>
        <w:rPr>
          <w:b/>
          <w:u w:val="single"/>
        </w:rPr>
      </w:pPr>
      <w:r>
        <w:t xml:space="preserve">14. </w:t>
      </w:r>
      <w:r w:rsidR="00DC0DFD">
        <w:t xml:space="preserve">The </w:t>
      </w:r>
      <w:r w:rsidR="006B2861">
        <w:t>G</w:t>
      </w:r>
      <w:r w:rsidR="00C42E03" w:rsidRPr="00F90779">
        <w:t xml:space="preserve">overnment </w:t>
      </w:r>
      <w:r w:rsidR="006B2861">
        <w:t xml:space="preserve">will be assisted </w:t>
      </w:r>
      <w:r w:rsidR="00C42E03" w:rsidRPr="00F90779">
        <w:t xml:space="preserve">in its efforts to </w:t>
      </w:r>
      <w:r w:rsidR="00985CF1">
        <w:t>strengthen</w:t>
      </w:r>
      <w:r w:rsidR="00C42E03" w:rsidRPr="00F90779">
        <w:t xml:space="preserve"> human rights</w:t>
      </w:r>
      <w:r w:rsidR="00DC0DFD">
        <w:t xml:space="preserve"> and</w:t>
      </w:r>
      <w:r w:rsidR="00C42E03" w:rsidRPr="00F90779">
        <w:t xml:space="preserve"> access to the justice system and to combat corruption</w:t>
      </w:r>
      <w:r w:rsidR="005339C4">
        <w:t>.</w:t>
      </w:r>
      <w:r w:rsidR="00171795">
        <w:t xml:space="preserve"> </w:t>
      </w:r>
      <w:r w:rsidR="005339C4">
        <w:t>Strategies to be utilized will include</w:t>
      </w:r>
      <w:r w:rsidR="00C42E03" w:rsidRPr="00F90779">
        <w:t xml:space="preserve"> technical assistance </w:t>
      </w:r>
      <w:r w:rsidR="00985CF1">
        <w:t xml:space="preserve">for </w:t>
      </w:r>
      <w:r w:rsidR="00C42E03" w:rsidRPr="00F90779">
        <w:t>ratification and implementation of human rights and anti</w:t>
      </w:r>
      <w:r w:rsidR="00811308">
        <w:t>-</w:t>
      </w:r>
      <w:r w:rsidR="00C42E03" w:rsidRPr="00F90779">
        <w:t xml:space="preserve">corruption conventions; </w:t>
      </w:r>
      <w:r w:rsidR="005339C4">
        <w:t xml:space="preserve">short-term training to </w:t>
      </w:r>
      <w:r w:rsidR="00C42E03" w:rsidRPr="00F90779">
        <w:t>enhance the capacity of duty bearers to more effectively protect rights</w:t>
      </w:r>
      <w:r w:rsidR="00A537C5">
        <w:t>;</w:t>
      </w:r>
      <w:r w:rsidR="00C42E03" w:rsidRPr="00F90779">
        <w:t xml:space="preserve"> and more targeted advocacy and human </w:t>
      </w:r>
      <w:r w:rsidR="00A537C5">
        <w:t>rights</w:t>
      </w:r>
      <w:r w:rsidR="00BD6AD8">
        <w:t xml:space="preserve"> education and awareness</w:t>
      </w:r>
      <w:r w:rsidR="00C42E03" w:rsidRPr="00F90779">
        <w:t>.</w:t>
      </w:r>
      <w:r w:rsidR="00171795">
        <w:t xml:space="preserve"> </w:t>
      </w:r>
      <w:r w:rsidR="00C42E03" w:rsidRPr="00F90779">
        <w:t>UNDP will also provide support to enhance the capac</w:t>
      </w:r>
      <w:r w:rsidR="00985CF1">
        <w:t xml:space="preserve">ities of </w:t>
      </w:r>
      <w:r w:rsidR="00DC0DFD">
        <w:t>the m</w:t>
      </w:r>
      <w:r w:rsidR="00985CF1">
        <w:t xml:space="preserve">embers and staff </w:t>
      </w:r>
      <w:r w:rsidR="00C42E03" w:rsidRPr="00F90779">
        <w:t xml:space="preserve">of </w:t>
      </w:r>
      <w:r w:rsidR="005339C4">
        <w:t>P</w:t>
      </w:r>
      <w:r w:rsidR="00C42E03" w:rsidRPr="00F90779">
        <w:t xml:space="preserve">arliament to enable </w:t>
      </w:r>
      <w:r w:rsidR="00B10B11">
        <w:t>the institution t</w:t>
      </w:r>
      <w:r w:rsidR="00C42E03" w:rsidRPr="00F90779">
        <w:t xml:space="preserve">o </w:t>
      </w:r>
      <w:r w:rsidR="00985CF1">
        <w:t xml:space="preserve">more efficiently and effectively </w:t>
      </w:r>
      <w:r w:rsidR="00B10B11">
        <w:t>fulfill its</w:t>
      </w:r>
      <w:r w:rsidR="00985CF1">
        <w:t xml:space="preserve"> legislative, oversight and representational functions</w:t>
      </w:r>
      <w:r w:rsidR="00C42E03" w:rsidRPr="00F90779">
        <w:t>.</w:t>
      </w:r>
      <w:r w:rsidR="00171795">
        <w:t xml:space="preserve"> </w:t>
      </w:r>
    </w:p>
    <w:p w:rsidR="00867F7C" w:rsidRDefault="007F294D" w:rsidP="0033241B">
      <w:pPr>
        <w:spacing w:after="120"/>
        <w:ind w:left="1627" w:right="1627"/>
        <w:jc w:val="both"/>
        <w:rPr>
          <w:b/>
          <w:u w:val="single"/>
        </w:rPr>
      </w:pPr>
      <w:r w:rsidRPr="0033241B">
        <w:rPr>
          <w:b/>
        </w:rPr>
        <w:t xml:space="preserve">B. </w:t>
      </w:r>
      <w:r w:rsidR="00A528D0">
        <w:rPr>
          <w:b/>
          <w:u w:val="single"/>
        </w:rPr>
        <w:t>Outcome Area 2</w:t>
      </w:r>
      <w:r w:rsidR="00A528D0" w:rsidRPr="0033241B">
        <w:rPr>
          <w:b/>
        </w:rPr>
        <w:t xml:space="preserve">: </w:t>
      </w:r>
      <w:r w:rsidR="00A528D0" w:rsidRPr="00A528D0">
        <w:rPr>
          <w:b/>
        </w:rPr>
        <w:t>By 2016 public institutions are strengthened and possess the capacities, policy frameworks and tools to</w:t>
      </w:r>
      <w:r w:rsidR="00BD6AD8">
        <w:rPr>
          <w:b/>
        </w:rPr>
        <w:t>:</w:t>
      </w:r>
      <w:r w:rsidR="00A528D0" w:rsidRPr="00A528D0">
        <w:rPr>
          <w:b/>
        </w:rPr>
        <w:t xml:space="preserve"> target and deliver improved services to</w:t>
      </w:r>
      <w:r w:rsidR="005339C4">
        <w:rPr>
          <w:b/>
        </w:rPr>
        <w:t xml:space="preserve"> identified vulnerable groups</w:t>
      </w:r>
      <w:r w:rsidR="00236BE2">
        <w:rPr>
          <w:b/>
        </w:rPr>
        <w:t>,</w:t>
      </w:r>
      <w:r w:rsidR="00BD6AD8">
        <w:rPr>
          <w:b/>
        </w:rPr>
        <w:t xml:space="preserve"> </w:t>
      </w:r>
      <w:r w:rsidR="0002695D">
        <w:rPr>
          <w:b/>
        </w:rPr>
        <w:t xml:space="preserve">and </w:t>
      </w:r>
      <w:r w:rsidR="00BD6AD8">
        <w:rPr>
          <w:b/>
        </w:rPr>
        <w:t xml:space="preserve">develop and deliver </w:t>
      </w:r>
      <w:r w:rsidR="00236BE2">
        <w:rPr>
          <w:b/>
        </w:rPr>
        <w:t xml:space="preserve">to identified vulnerable and underserved groups and individuals </w:t>
      </w:r>
      <w:proofErr w:type="spellStart"/>
      <w:r w:rsidR="00BD6AD8">
        <w:rPr>
          <w:b/>
        </w:rPr>
        <w:t>programmes</w:t>
      </w:r>
      <w:proofErr w:type="spellEnd"/>
      <w:r w:rsidR="00A528D0" w:rsidRPr="00A528D0">
        <w:rPr>
          <w:b/>
        </w:rPr>
        <w:t xml:space="preserve"> </w:t>
      </w:r>
      <w:r w:rsidR="00BD6AD8">
        <w:rPr>
          <w:b/>
        </w:rPr>
        <w:t>for</w:t>
      </w:r>
      <w:r w:rsidR="00A528D0" w:rsidRPr="00A528D0">
        <w:rPr>
          <w:b/>
        </w:rPr>
        <w:t xml:space="preserve"> </w:t>
      </w:r>
      <w:r w:rsidR="005339C4">
        <w:rPr>
          <w:b/>
        </w:rPr>
        <w:t xml:space="preserve">income generation and sustainable </w:t>
      </w:r>
      <w:r w:rsidR="00A528D0" w:rsidRPr="00A528D0">
        <w:rPr>
          <w:b/>
        </w:rPr>
        <w:t>livelihoods</w:t>
      </w:r>
      <w:r w:rsidR="005339C4">
        <w:rPr>
          <w:b/>
        </w:rPr>
        <w:t xml:space="preserve">, </w:t>
      </w:r>
      <w:r w:rsidR="00A528D0" w:rsidRPr="00A528D0">
        <w:rPr>
          <w:b/>
        </w:rPr>
        <w:t>life and employment skills, social protection, social housing, affordable energy and food security</w:t>
      </w:r>
      <w:r w:rsidR="00236BE2">
        <w:rPr>
          <w:b/>
        </w:rPr>
        <w:t>.</w:t>
      </w:r>
      <w:r w:rsidR="00311F10">
        <w:rPr>
          <w:b/>
        </w:rPr>
        <w:t xml:space="preserve"> </w:t>
      </w:r>
    </w:p>
    <w:p w:rsidR="00867F7C" w:rsidRDefault="007F294D" w:rsidP="0033241B">
      <w:pPr>
        <w:spacing w:after="120"/>
        <w:ind w:left="1267" w:right="1267"/>
        <w:jc w:val="both"/>
      </w:pPr>
      <w:r>
        <w:t xml:space="preserve">15. </w:t>
      </w:r>
      <w:r w:rsidR="006B2861">
        <w:t>S</w:t>
      </w:r>
      <w:r w:rsidR="00985CF1">
        <w:t xml:space="preserve">upport </w:t>
      </w:r>
      <w:r w:rsidR="006B2861">
        <w:t xml:space="preserve">will be provided for </w:t>
      </w:r>
      <w:r w:rsidR="00A528D0" w:rsidRPr="006143F5">
        <w:t>skills training</w:t>
      </w:r>
      <w:r w:rsidR="00985CF1">
        <w:t>,</w:t>
      </w:r>
      <w:r w:rsidR="00A528D0" w:rsidRPr="006143F5">
        <w:t xml:space="preserve"> productivity-enhancing </w:t>
      </w:r>
      <w:r w:rsidR="005339C4">
        <w:t xml:space="preserve">initiatives </w:t>
      </w:r>
      <w:r w:rsidR="00A528D0" w:rsidRPr="006143F5">
        <w:t>and employment</w:t>
      </w:r>
      <w:r w:rsidR="00F424E3">
        <w:t>-</w:t>
      </w:r>
      <w:r w:rsidR="00A528D0" w:rsidRPr="006143F5">
        <w:t xml:space="preserve">generation </w:t>
      </w:r>
      <w:proofErr w:type="spellStart"/>
      <w:r w:rsidR="00A528D0" w:rsidRPr="006143F5">
        <w:t>programmes</w:t>
      </w:r>
      <w:proofErr w:type="spellEnd"/>
      <w:r w:rsidR="00A528D0" w:rsidRPr="006143F5">
        <w:t xml:space="preserve"> for</w:t>
      </w:r>
      <w:r w:rsidR="00F424E3">
        <w:t>:</w:t>
      </w:r>
      <w:r w:rsidR="00A528D0" w:rsidRPr="006143F5">
        <w:t xml:space="preserve"> </w:t>
      </w:r>
      <w:r w:rsidR="00CA164C">
        <w:t xml:space="preserve">youth, </w:t>
      </w:r>
      <w:r w:rsidR="00985CF1">
        <w:t xml:space="preserve">persons with </w:t>
      </w:r>
      <w:r w:rsidR="00A528D0" w:rsidRPr="006143F5">
        <w:t>low</w:t>
      </w:r>
      <w:r w:rsidR="00985CF1">
        <w:t xml:space="preserve"> levels of education,</w:t>
      </w:r>
      <w:r w:rsidR="00194450">
        <w:t xml:space="preserve"> </w:t>
      </w:r>
      <w:r w:rsidR="00A528D0" w:rsidRPr="006143F5">
        <w:t xml:space="preserve">unskilled and semi-skilled </w:t>
      </w:r>
      <w:r w:rsidR="00CA164C">
        <w:t>workers,</w:t>
      </w:r>
      <w:r w:rsidR="00A528D0" w:rsidRPr="006143F5">
        <w:t xml:space="preserve"> and vulnerable women. </w:t>
      </w:r>
      <w:r w:rsidR="00580D8A">
        <w:t xml:space="preserve">UNDP will </w:t>
      </w:r>
      <w:r w:rsidR="00A528D0" w:rsidRPr="006143F5">
        <w:t xml:space="preserve">also </w:t>
      </w:r>
      <w:r w:rsidR="00580D8A">
        <w:t xml:space="preserve">support developing </w:t>
      </w:r>
      <w:r w:rsidR="00A528D0" w:rsidRPr="006143F5">
        <w:t>enabling framework</w:t>
      </w:r>
      <w:r w:rsidR="00580D8A">
        <w:t>s</w:t>
      </w:r>
      <w:r w:rsidR="00A528D0" w:rsidRPr="006143F5">
        <w:t xml:space="preserve"> for </w:t>
      </w:r>
      <w:r w:rsidR="00CA164C">
        <w:t>s</w:t>
      </w:r>
      <w:r w:rsidR="00A528D0" w:rsidRPr="006143F5">
        <w:t>mall</w:t>
      </w:r>
      <w:r w:rsidR="00580D8A">
        <w:t xml:space="preserve"> and</w:t>
      </w:r>
      <w:r w:rsidR="00A528D0" w:rsidRPr="006143F5">
        <w:t xml:space="preserve"> </w:t>
      </w:r>
      <w:r w:rsidR="00CA164C">
        <w:t>m</w:t>
      </w:r>
      <w:r w:rsidR="00A528D0" w:rsidRPr="006143F5">
        <w:t>edium</w:t>
      </w:r>
      <w:r w:rsidR="00CA164C">
        <w:t>-</w:t>
      </w:r>
      <w:r w:rsidR="00580D8A">
        <w:t>size</w:t>
      </w:r>
      <w:r w:rsidR="00A52806">
        <w:t>d</w:t>
      </w:r>
      <w:r w:rsidR="00580D8A">
        <w:t xml:space="preserve"> </w:t>
      </w:r>
      <w:r w:rsidR="00CA164C">
        <w:t>e</w:t>
      </w:r>
      <w:r w:rsidR="00A528D0" w:rsidRPr="006143F5">
        <w:t>nterprises</w:t>
      </w:r>
      <w:r w:rsidR="00580D8A">
        <w:t xml:space="preserve"> </w:t>
      </w:r>
      <w:r w:rsidR="00CA164C">
        <w:t xml:space="preserve">in order to promote </w:t>
      </w:r>
      <w:r w:rsidR="00580D8A">
        <w:t>employment creation and income generation</w:t>
      </w:r>
      <w:r w:rsidR="00CA164C">
        <w:t>. In addition, the organization will support</w:t>
      </w:r>
      <w:r w:rsidR="00471562">
        <w:t xml:space="preserve"> </w:t>
      </w:r>
      <w:proofErr w:type="spellStart"/>
      <w:r w:rsidR="00753447">
        <w:t>programmes</w:t>
      </w:r>
      <w:proofErr w:type="spellEnd"/>
      <w:r w:rsidR="00753447">
        <w:t xml:space="preserve"> in </w:t>
      </w:r>
      <w:r w:rsidR="00CA164C">
        <w:t xml:space="preserve">the fields of </w:t>
      </w:r>
      <w:r w:rsidR="00753447">
        <w:t>sustainable energy and food security</w:t>
      </w:r>
      <w:r w:rsidR="006B2861">
        <w:t>.</w:t>
      </w:r>
      <w:r w:rsidR="00F45DE7">
        <w:t xml:space="preserve"> </w:t>
      </w:r>
    </w:p>
    <w:p w:rsidR="00867F7C" w:rsidRDefault="007F294D" w:rsidP="0033241B">
      <w:pPr>
        <w:spacing w:after="120"/>
        <w:ind w:left="1267" w:right="1267"/>
        <w:jc w:val="both"/>
        <w:rPr>
          <w:color w:val="000000"/>
        </w:rPr>
      </w:pPr>
      <w:r>
        <w:t xml:space="preserve">16. </w:t>
      </w:r>
      <w:r w:rsidR="00194450">
        <w:rPr>
          <w:rFonts w:cs="Calibri"/>
          <w:color w:val="000000"/>
          <w:lang w:eastAsia="es-CO"/>
        </w:rPr>
        <w:t>A</w:t>
      </w:r>
      <w:r w:rsidR="005339C4" w:rsidRPr="00967836">
        <w:rPr>
          <w:rFonts w:cs="Calibri"/>
          <w:color w:val="000000"/>
          <w:lang w:eastAsia="es-CO"/>
        </w:rPr>
        <w:t xml:space="preserve">ssistance </w:t>
      </w:r>
      <w:r w:rsidR="00194450">
        <w:rPr>
          <w:rFonts w:cs="Calibri"/>
          <w:color w:val="000000"/>
          <w:lang w:eastAsia="es-CO"/>
        </w:rPr>
        <w:t>will be provided</w:t>
      </w:r>
      <w:r w:rsidR="00CA164C">
        <w:rPr>
          <w:rFonts w:cs="Calibri"/>
          <w:color w:val="000000"/>
          <w:lang w:eastAsia="es-CO"/>
        </w:rPr>
        <w:t xml:space="preserve"> to:</w:t>
      </w:r>
      <w:r w:rsidR="005339C4">
        <w:rPr>
          <w:rFonts w:cs="Calibri"/>
          <w:color w:val="000000"/>
          <w:lang w:eastAsia="es-CO"/>
        </w:rPr>
        <w:t xml:space="preserve"> </w:t>
      </w:r>
      <w:r w:rsidR="0002695D">
        <w:rPr>
          <w:rFonts w:cs="Calibri"/>
          <w:color w:val="000000"/>
          <w:lang w:eastAsia="es-CO"/>
        </w:rPr>
        <w:t xml:space="preserve">build capacity for research, database management and monitoring of the housing sector; </w:t>
      </w:r>
      <w:r w:rsidR="005339C4" w:rsidRPr="00967836">
        <w:rPr>
          <w:rFonts w:cs="Calibri"/>
          <w:color w:val="000000"/>
          <w:lang w:eastAsia="es-CO"/>
        </w:rPr>
        <w:t>develop</w:t>
      </w:r>
      <w:r w:rsidR="0002695D">
        <w:rPr>
          <w:rFonts w:cs="Calibri"/>
          <w:color w:val="000000"/>
          <w:lang w:eastAsia="es-CO"/>
        </w:rPr>
        <w:t xml:space="preserve"> s</w:t>
      </w:r>
      <w:r w:rsidR="005339C4" w:rsidRPr="00967836">
        <w:rPr>
          <w:rFonts w:cs="Calibri"/>
          <w:color w:val="000000"/>
          <w:lang w:eastAsia="es-CO"/>
        </w:rPr>
        <w:t xml:space="preserve">ocial housing </w:t>
      </w:r>
      <w:proofErr w:type="spellStart"/>
      <w:r w:rsidR="0033241B" w:rsidRPr="00967836">
        <w:rPr>
          <w:rFonts w:cs="Calibri"/>
          <w:color w:val="000000"/>
          <w:lang w:eastAsia="es-CO"/>
        </w:rPr>
        <w:t>program</w:t>
      </w:r>
      <w:r w:rsidR="0033241B">
        <w:rPr>
          <w:rFonts w:cs="Calibri"/>
          <w:color w:val="000000"/>
          <w:lang w:eastAsia="es-CO"/>
        </w:rPr>
        <w:t>me</w:t>
      </w:r>
      <w:r w:rsidR="0033241B" w:rsidRPr="00967836">
        <w:rPr>
          <w:rFonts w:cs="Calibri"/>
          <w:color w:val="000000"/>
          <w:lang w:eastAsia="es-CO"/>
        </w:rPr>
        <w:t>s</w:t>
      </w:r>
      <w:proofErr w:type="spellEnd"/>
      <w:r w:rsidR="005339C4" w:rsidRPr="00967836">
        <w:rPr>
          <w:rFonts w:cs="Calibri"/>
          <w:color w:val="000000"/>
          <w:lang w:eastAsia="es-CO"/>
        </w:rPr>
        <w:t xml:space="preserve"> targeting the poorest and </w:t>
      </w:r>
      <w:r w:rsidR="005339C4">
        <w:rPr>
          <w:rFonts w:cs="Calibri"/>
          <w:color w:val="000000"/>
          <w:lang w:eastAsia="es-CO"/>
        </w:rPr>
        <w:t xml:space="preserve">most </w:t>
      </w:r>
      <w:r w:rsidR="005339C4" w:rsidRPr="00967836">
        <w:rPr>
          <w:rFonts w:cs="Calibri"/>
          <w:color w:val="000000"/>
          <w:lang w:eastAsia="es-CO"/>
        </w:rPr>
        <w:t>vulnerable groups</w:t>
      </w:r>
      <w:r w:rsidR="0002695D">
        <w:rPr>
          <w:rFonts w:cs="Calibri"/>
          <w:color w:val="000000"/>
          <w:lang w:eastAsia="es-CO"/>
        </w:rPr>
        <w:t xml:space="preserve">; and </w:t>
      </w:r>
      <w:r w:rsidR="00A528D0" w:rsidRPr="00967836">
        <w:rPr>
          <w:rFonts w:cs="Calibri"/>
          <w:color w:val="000000"/>
          <w:lang w:eastAsia="es-CO"/>
        </w:rPr>
        <w:t xml:space="preserve">improve coordination and synergies among public and private stakeholders in the social housing sector. </w:t>
      </w:r>
    </w:p>
    <w:p w:rsidR="00867F7C" w:rsidRDefault="007F294D" w:rsidP="0033241B">
      <w:pPr>
        <w:spacing w:after="120"/>
        <w:ind w:left="1267" w:right="1267"/>
        <w:jc w:val="both"/>
      </w:pPr>
      <w:r>
        <w:lastRenderedPageBreak/>
        <w:t xml:space="preserve">17. </w:t>
      </w:r>
      <w:r w:rsidR="00CA164C">
        <w:t xml:space="preserve">The </w:t>
      </w:r>
      <w:r w:rsidR="00194450">
        <w:t>Government will be</w:t>
      </w:r>
      <w:r w:rsidR="0002695D">
        <w:t xml:space="preserve"> </w:t>
      </w:r>
      <w:r w:rsidR="00194450">
        <w:t xml:space="preserve">assisted in </w:t>
      </w:r>
      <w:r w:rsidR="00F54C84">
        <w:t>developing a MDG</w:t>
      </w:r>
      <w:r w:rsidR="00CA164C">
        <w:t xml:space="preserve"> acceleration str</w:t>
      </w:r>
      <w:r w:rsidR="00F54C84">
        <w:t xml:space="preserve">ategy </w:t>
      </w:r>
      <w:r w:rsidR="00CA164C">
        <w:t xml:space="preserve">to address </w:t>
      </w:r>
      <w:r w:rsidR="00F54C84">
        <w:t xml:space="preserve">MDGs </w:t>
      </w:r>
      <w:r w:rsidR="004671BB">
        <w:t xml:space="preserve">on which progress has been slow. These Goals involve </w:t>
      </w:r>
      <w:r w:rsidR="00F54C84">
        <w:t xml:space="preserve">poverty reduction, </w:t>
      </w:r>
      <w:r w:rsidR="00194450">
        <w:t>gender equality and women’s empowerment,</w:t>
      </w:r>
      <w:r w:rsidR="00171795">
        <w:t xml:space="preserve"> </w:t>
      </w:r>
      <w:r w:rsidR="00F54C84">
        <w:t>maternal mortality and environmental sustainability</w:t>
      </w:r>
      <w:r w:rsidR="00F0691B">
        <w:t xml:space="preserve">. UNDP will </w:t>
      </w:r>
      <w:r w:rsidR="000F26DD">
        <w:t xml:space="preserve">support </w:t>
      </w:r>
      <w:r w:rsidR="00DE68DB">
        <w:t xml:space="preserve">the </w:t>
      </w:r>
      <w:r w:rsidR="00DD1663">
        <w:t>implement</w:t>
      </w:r>
      <w:r w:rsidR="00DE68DB">
        <w:t>ation of</w:t>
      </w:r>
      <w:r w:rsidR="00DD1663">
        <w:t xml:space="preserve"> </w:t>
      </w:r>
      <w:proofErr w:type="spellStart"/>
      <w:r w:rsidR="00DD1663">
        <w:t>programmes</w:t>
      </w:r>
      <w:proofErr w:type="spellEnd"/>
      <w:r w:rsidR="00DD1663">
        <w:t xml:space="preserve"> to ensure faster progress towards achieving </w:t>
      </w:r>
      <w:r w:rsidR="00DE68DB">
        <w:t xml:space="preserve">these Goals </w:t>
      </w:r>
      <w:r w:rsidR="00F0691B">
        <w:t>by 2015</w:t>
      </w:r>
      <w:r w:rsidR="00DD1663">
        <w:t>.</w:t>
      </w:r>
      <w:r w:rsidR="00171795">
        <w:t xml:space="preserve"> </w:t>
      </w:r>
      <w:r w:rsidR="00DD1663">
        <w:t xml:space="preserve">UNDP will </w:t>
      </w:r>
      <w:r w:rsidR="00E975E0">
        <w:t xml:space="preserve">also </w:t>
      </w:r>
      <w:r w:rsidR="00DD1663">
        <w:t>support the production of MDG progress report</w:t>
      </w:r>
      <w:r w:rsidR="000F26DD">
        <w:t>s</w:t>
      </w:r>
      <w:r w:rsidR="00DD1663">
        <w:t xml:space="preserve"> </w:t>
      </w:r>
      <w:r w:rsidR="00A817CF">
        <w:t xml:space="preserve">which present the </w:t>
      </w:r>
      <w:r w:rsidR="00DD1663">
        <w:t xml:space="preserve">national progress, achievements and lessons learned. </w:t>
      </w:r>
    </w:p>
    <w:p w:rsidR="00867F7C" w:rsidRDefault="007F294D" w:rsidP="0033241B">
      <w:pPr>
        <w:spacing w:after="120"/>
        <w:ind w:left="1627" w:right="1627"/>
        <w:jc w:val="both"/>
        <w:rPr>
          <w:b/>
        </w:rPr>
      </w:pPr>
      <w:r w:rsidRPr="0033241B">
        <w:rPr>
          <w:b/>
        </w:rPr>
        <w:t xml:space="preserve">C. </w:t>
      </w:r>
      <w:r w:rsidR="00872DB7">
        <w:rPr>
          <w:b/>
          <w:u w:val="single"/>
        </w:rPr>
        <w:t>Outcome Area 3</w:t>
      </w:r>
      <w:r w:rsidR="00872DB7" w:rsidRPr="0033241B">
        <w:rPr>
          <w:b/>
        </w:rPr>
        <w:t xml:space="preserve">: </w:t>
      </w:r>
      <w:r w:rsidR="00872DB7" w:rsidRPr="00872DB7">
        <w:rPr>
          <w:b/>
        </w:rPr>
        <w:t>By 2016 public and relevant national</w:t>
      </w:r>
      <w:r w:rsidR="001D463B">
        <w:rPr>
          <w:b/>
        </w:rPr>
        <w:t>-level</w:t>
      </w:r>
      <w:r w:rsidR="00872DB7" w:rsidRPr="00872DB7">
        <w:rPr>
          <w:b/>
        </w:rPr>
        <w:t xml:space="preserve"> institutions are strengthened and possess the institutional capacities, </w:t>
      </w:r>
      <w:r w:rsidR="00A14CE2">
        <w:rPr>
          <w:b/>
        </w:rPr>
        <w:t xml:space="preserve">management instruments, </w:t>
      </w:r>
      <w:r w:rsidR="00872DB7" w:rsidRPr="00872DB7">
        <w:rPr>
          <w:b/>
        </w:rPr>
        <w:t>policy frameworks and competencies to</w:t>
      </w:r>
      <w:r w:rsidR="007D7C4B">
        <w:rPr>
          <w:b/>
        </w:rPr>
        <w:t>:</w:t>
      </w:r>
      <w:r w:rsidR="00872DB7" w:rsidRPr="00872DB7">
        <w:rPr>
          <w:b/>
        </w:rPr>
        <w:t xml:space="preserve"> promote environmentally sustainable </w:t>
      </w:r>
      <w:r w:rsidR="006D5C26">
        <w:rPr>
          <w:b/>
        </w:rPr>
        <w:t>development</w:t>
      </w:r>
      <w:r w:rsidR="00270A2F">
        <w:rPr>
          <w:b/>
        </w:rPr>
        <w:t>;</w:t>
      </w:r>
      <w:r w:rsidR="00872DB7" w:rsidRPr="00872DB7">
        <w:rPr>
          <w:b/>
        </w:rPr>
        <w:t xml:space="preserve"> adapt to and mitigate the impacts of climate change on the most vulnerable</w:t>
      </w:r>
      <w:r w:rsidR="00270A2F">
        <w:rPr>
          <w:b/>
        </w:rPr>
        <w:t>;</w:t>
      </w:r>
      <w:r w:rsidR="00872DB7" w:rsidRPr="00872DB7">
        <w:rPr>
          <w:b/>
        </w:rPr>
        <w:t xml:space="preserve"> and prepare for and empower vulnerable communities to respond to natural disasters and other anthropogenic-induced hazards.</w:t>
      </w:r>
    </w:p>
    <w:p w:rsidR="00867F7C" w:rsidRDefault="007F294D" w:rsidP="0033241B">
      <w:pPr>
        <w:spacing w:after="120"/>
        <w:ind w:left="1267" w:right="1267"/>
        <w:jc w:val="both"/>
        <w:rPr>
          <w:lang w:val="en-GB"/>
        </w:rPr>
      </w:pPr>
      <w:r>
        <w:rPr>
          <w:lang w:val="en-GB"/>
        </w:rPr>
        <w:t>1</w:t>
      </w:r>
      <w:r w:rsidR="00436435">
        <w:rPr>
          <w:lang w:val="en-GB"/>
        </w:rPr>
        <w:t>8</w:t>
      </w:r>
      <w:r>
        <w:rPr>
          <w:lang w:val="en-GB"/>
        </w:rPr>
        <w:t>.</w:t>
      </w:r>
      <w:r w:rsidR="00171795">
        <w:rPr>
          <w:lang w:val="en-GB"/>
        </w:rPr>
        <w:t xml:space="preserve"> </w:t>
      </w:r>
      <w:r w:rsidR="00194450">
        <w:rPr>
          <w:lang w:val="en-GB"/>
        </w:rPr>
        <w:t xml:space="preserve">Support will be provided for </w:t>
      </w:r>
      <w:r w:rsidR="00872DB7">
        <w:rPr>
          <w:lang w:val="en-GB"/>
        </w:rPr>
        <w:t xml:space="preserve">enhancing the capacities of Government </w:t>
      </w:r>
      <w:r w:rsidR="00270A2F">
        <w:rPr>
          <w:lang w:val="en-GB"/>
        </w:rPr>
        <w:t xml:space="preserve">and other national actors for </w:t>
      </w:r>
      <w:r w:rsidR="00872DB7">
        <w:rPr>
          <w:lang w:val="en-GB"/>
        </w:rPr>
        <w:t xml:space="preserve">maintaining </w:t>
      </w:r>
      <w:r w:rsidR="008F1586">
        <w:rPr>
          <w:lang w:val="en-GB"/>
        </w:rPr>
        <w:t xml:space="preserve">the </w:t>
      </w:r>
      <w:r w:rsidR="00872DB7" w:rsidRPr="00F419C1">
        <w:rPr>
          <w:lang w:val="en-GB"/>
        </w:rPr>
        <w:t xml:space="preserve">natural capital </w:t>
      </w:r>
      <w:r w:rsidR="00F54C84">
        <w:rPr>
          <w:lang w:val="en-GB"/>
        </w:rPr>
        <w:t xml:space="preserve">and ecological </w:t>
      </w:r>
      <w:r w:rsidR="00872DB7">
        <w:rPr>
          <w:lang w:val="en-GB"/>
        </w:rPr>
        <w:t xml:space="preserve">services </w:t>
      </w:r>
      <w:r w:rsidR="00F54C84">
        <w:rPr>
          <w:lang w:val="en-GB"/>
        </w:rPr>
        <w:t xml:space="preserve">provided by Suriname’s varied ecosystems, </w:t>
      </w:r>
      <w:r w:rsidR="00872DB7">
        <w:rPr>
          <w:lang w:val="en-GB"/>
        </w:rPr>
        <w:t xml:space="preserve">and </w:t>
      </w:r>
      <w:r w:rsidR="008F1586">
        <w:rPr>
          <w:lang w:val="en-GB"/>
        </w:rPr>
        <w:t xml:space="preserve">for </w:t>
      </w:r>
      <w:r w:rsidR="00872DB7" w:rsidRPr="00F419C1">
        <w:rPr>
          <w:lang w:val="en-GB"/>
        </w:rPr>
        <w:t xml:space="preserve">building resilience to adapt </w:t>
      </w:r>
      <w:r w:rsidR="00F54C84">
        <w:rPr>
          <w:lang w:val="en-GB"/>
        </w:rPr>
        <w:t xml:space="preserve">and mitigate </w:t>
      </w:r>
      <w:r w:rsidR="00872DB7" w:rsidRPr="00F419C1">
        <w:rPr>
          <w:lang w:val="en-GB"/>
        </w:rPr>
        <w:t xml:space="preserve">the effects of climate change. </w:t>
      </w:r>
      <w:r w:rsidR="00F54C84">
        <w:rPr>
          <w:lang w:val="en-GB"/>
        </w:rPr>
        <w:t xml:space="preserve">UNDP will provide </w:t>
      </w:r>
      <w:r w:rsidR="00194450">
        <w:rPr>
          <w:lang w:val="en-GB"/>
        </w:rPr>
        <w:t xml:space="preserve">assistance </w:t>
      </w:r>
      <w:r w:rsidR="008F1586">
        <w:rPr>
          <w:lang w:val="en-GB"/>
        </w:rPr>
        <w:t xml:space="preserve">in the management of </w:t>
      </w:r>
      <w:r w:rsidR="00F54C84">
        <w:rPr>
          <w:lang w:val="en-GB"/>
        </w:rPr>
        <w:t>coastal protected areas</w:t>
      </w:r>
      <w:r w:rsidR="008F1586">
        <w:rPr>
          <w:lang w:val="en-GB"/>
        </w:rPr>
        <w:t xml:space="preserve"> and of</w:t>
      </w:r>
      <w:r w:rsidR="00F54C84">
        <w:rPr>
          <w:lang w:val="en-GB"/>
        </w:rPr>
        <w:t xml:space="preserve"> watershed</w:t>
      </w:r>
      <w:r w:rsidR="008F1586">
        <w:rPr>
          <w:lang w:val="en-GB"/>
        </w:rPr>
        <w:t>s</w:t>
      </w:r>
      <w:r w:rsidR="00F54C84">
        <w:rPr>
          <w:lang w:val="en-GB"/>
        </w:rPr>
        <w:t xml:space="preserve"> and water resources</w:t>
      </w:r>
      <w:r w:rsidR="008F1586">
        <w:rPr>
          <w:lang w:val="en-GB"/>
        </w:rPr>
        <w:t xml:space="preserve">. On request it will help </w:t>
      </w:r>
      <w:r w:rsidR="001B2DD5">
        <w:rPr>
          <w:lang w:val="en-GB"/>
        </w:rPr>
        <w:t xml:space="preserve">build capacity to monitor and manage the negative impacts of extractive activities </w:t>
      </w:r>
      <w:r w:rsidR="007324D7">
        <w:rPr>
          <w:lang w:val="en-GB"/>
        </w:rPr>
        <w:t>involved in</w:t>
      </w:r>
      <w:r w:rsidR="001B2DD5">
        <w:rPr>
          <w:lang w:val="en-GB"/>
        </w:rPr>
        <w:t xml:space="preserve"> small-scale gold mining, bauxite and oil production</w:t>
      </w:r>
      <w:r w:rsidR="007324D7">
        <w:rPr>
          <w:lang w:val="en-GB"/>
        </w:rPr>
        <w:t xml:space="preserve">. </w:t>
      </w:r>
      <w:r w:rsidR="0085030F">
        <w:rPr>
          <w:lang w:val="en-GB"/>
        </w:rPr>
        <w:t>UNDP will also be prepared to support</w:t>
      </w:r>
      <w:r w:rsidR="001B2DD5">
        <w:rPr>
          <w:lang w:val="en-GB"/>
        </w:rPr>
        <w:t xml:space="preserve"> </w:t>
      </w:r>
      <w:r w:rsidR="00270A2F">
        <w:rPr>
          <w:lang w:val="en-GB"/>
        </w:rPr>
        <w:t xml:space="preserve">programmes </w:t>
      </w:r>
      <w:r w:rsidR="001B2DD5">
        <w:rPr>
          <w:lang w:val="en-GB"/>
        </w:rPr>
        <w:t xml:space="preserve">to phase out the use of pesticides and harmful chemicals in agriculture, and </w:t>
      </w:r>
      <w:r w:rsidR="0085030F">
        <w:rPr>
          <w:lang w:val="en-GB"/>
        </w:rPr>
        <w:t xml:space="preserve">of </w:t>
      </w:r>
      <w:r w:rsidR="001B2DD5">
        <w:rPr>
          <w:lang w:val="en-GB"/>
        </w:rPr>
        <w:t>ozone</w:t>
      </w:r>
      <w:r w:rsidR="0085030F">
        <w:rPr>
          <w:lang w:val="en-GB"/>
        </w:rPr>
        <w:t>-</w:t>
      </w:r>
      <w:r w:rsidR="001B2DD5">
        <w:rPr>
          <w:lang w:val="en-GB"/>
        </w:rPr>
        <w:t>depleting substances used in industrial and commercial activities.</w:t>
      </w:r>
      <w:r w:rsidR="00171795">
        <w:rPr>
          <w:lang w:val="en-GB"/>
        </w:rPr>
        <w:t xml:space="preserve"> </w:t>
      </w:r>
    </w:p>
    <w:p w:rsidR="00867F7C" w:rsidRDefault="00436435" w:rsidP="00974FC2">
      <w:pPr>
        <w:spacing w:after="120"/>
        <w:ind w:left="1267" w:right="1267"/>
        <w:jc w:val="both"/>
        <w:rPr>
          <w:color w:val="000000"/>
          <w:lang w:val="en-GB"/>
        </w:rPr>
      </w:pPr>
      <w:r>
        <w:rPr>
          <w:lang w:val="en-GB"/>
        </w:rPr>
        <w:t>19</w:t>
      </w:r>
      <w:r w:rsidR="007F294D">
        <w:rPr>
          <w:lang w:val="en-GB"/>
        </w:rPr>
        <w:t xml:space="preserve">. </w:t>
      </w:r>
      <w:r w:rsidR="004E2680">
        <w:rPr>
          <w:lang w:val="en-GB"/>
        </w:rPr>
        <w:t>Support will provided for t</w:t>
      </w:r>
      <w:r w:rsidR="00872DB7">
        <w:rPr>
          <w:lang w:val="en-GB"/>
        </w:rPr>
        <w:t xml:space="preserve">argeted </w:t>
      </w:r>
      <w:r w:rsidR="00872DB7" w:rsidRPr="00F419C1">
        <w:rPr>
          <w:lang w:val="en-GB"/>
        </w:rPr>
        <w:t>interventions in the area</w:t>
      </w:r>
      <w:r w:rsidR="00872DB7">
        <w:rPr>
          <w:lang w:val="en-GB"/>
        </w:rPr>
        <w:t>s</w:t>
      </w:r>
      <w:r w:rsidR="00872DB7" w:rsidRPr="00F419C1">
        <w:rPr>
          <w:lang w:val="en-GB"/>
        </w:rPr>
        <w:t xml:space="preserve"> of </w:t>
      </w:r>
      <w:r w:rsidR="00872DB7">
        <w:t>integrated chemicals management</w:t>
      </w:r>
      <w:r w:rsidR="00872DB7">
        <w:rPr>
          <w:lang w:val="en-GB"/>
        </w:rPr>
        <w:t xml:space="preserve">, </w:t>
      </w:r>
      <w:r w:rsidR="006247AE">
        <w:rPr>
          <w:lang w:val="en-GB"/>
        </w:rPr>
        <w:t>sustainable</w:t>
      </w:r>
      <w:r w:rsidR="00872DB7">
        <w:t xml:space="preserve"> land management and spatial planning, </w:t>
      </w:r>
      <w:r w:rsidR="00872DB7" w:rsidRPr="00D77ED4">
        <w:rPr>
          <w:lang w:val="en-GB"/>
        </w:rPr>
        <w:t>conservation and sustainable use of biodiversity</w:t>
      </w:r>
      <w:r w:rsidR="00872DB7">
        <w:t xml:space="preserve">, </w:t>
      </w:r>
      <w:r w:rsidR="006247AE">
        <w:t>c</w:t>
      </w:r>
      <w:r w:rsidR="00872DB7">
        <w:t>apacity building for disaster preparedness an</w:t>
      </w:r>
      <w:r w:rsidR="006247AE">
        <w:t>d response and early recovery, and s</w:t>
      </w:r>
      <w:r w:rsidR="00872DB7">
        <w:t xml:space="preserve">ustainable </w:t>
      </w:r>
      <w:r w:rsidR="006247AE">
        <w:t>e</w:t>
      </w:r>
      <w:r w:rsidR="00872DB7">
        <w:t>nergy policy.</w:t>
      </w:r>
      <w:r w:rsidR="00171795">
        <w:t xml:space="preserve"> </w:t>
      </w:r>
      <w:r w:rsidR="00356C14">
        <w:t>On request s</w:t>
      </w:r>
      <w:r w:rsidR="00F54C84">
        <w:t xml:space="preserve">upport </w:t>
      </w:r>
      <w:r w:rsidR="00194450">
        <w:t xml:space="preserve">will </w:t>
      </w:r>
      <w:r w:rsidR="00356C14">
        <w:t xml:space="preserve">also </w:t>
      </w:r>
      <w:r w:rsidR="00194450">
        <w:t xml:space="preserve">be provided </w:t>
      </w:r>
      <w:r w:rsidR="00F54C84">
        <w:t>to access multilateral trust funds such as</w:t>
      </w:r>
      <w:r w:rsidR="00026951">
        <w:t xml:space="preserve"> those connected with</w:t>
      </w:r>
      <w:r w:rsidR="00F54C84">
        <w:t xml:space="preserve"> the </w:t>
      </w:r>
      <w:r w:rsidR="004510EA" w:rsidRPr="006D66FB">
        <w:t>Global Environment Facility</w:t>
      </w:r>
      <w:r w:rsidR="004510EA">
        <w:t xml:space="preserve"> (</w:t>
      </w:r>
      <w:r w:rsidR="00F54C84">
        <w:t>GEF</w:t>
      </w:r>
      <w:r w:rsidR="004510EA">
        <w:t>)</w:t>
      </w:r>
      <w:r w:rsidR="00F54C84">
        <w:t xml:space="preserve"> and</w:t>
      </w:r>
      <w:r w:rsidR="004510EA">
        <w:t xml:space="preserve"> the</w:t>
      </w:r>
      <w:r w:rsidR="00F54C84">
        <w:t xml:space="preserve"> Montreal Protocol</w:t>
      </w:r>
      <w:r w:rsidR="00F17354">
        <w:t>,</w:t>
      </w:r>
      <w:r w:rsidR="00F54C84">
        <w:t xml:space="preserve"> and to facilitate access to emerging global financing modalities such as the Adaptation Fund, REDD</w:t>
      </w:r>
      <w:r w:rsidR="00A52806">
        <w:t>-plus</w:t>
      </w:r>
      <w:r w:rsidR="00F54C84">
        <w:t xml:space="preserve">, </w:t>
      </w:r>
      <w:r w:rsidR="00F17354">
        <w:t>carbon emissions trading and the clean development mechanism.</w:t>
      </w:r>
      <w:r w:rsidR="00171795">
        <w:t xml:space="preserve"> </w:t>
      </w:r>
    </w:p>
    <w:p w:rsidR="00867F7C" w:rsidRDefault="008C7649" w:rsidP="000B2373">
      <w:pPr>
        <w:pStyle w:val="Heading1"/>
        <w:numPr>
          <w:ilvl w:val="0"/>
          <w:numId w:val="23"/>
        </w:numPr>
        <w:tabs>
          <w:tab w:val="left" w:pos="1260"/>
          <w:tab w:val="left" w:pos="1800"/>
        </w:tabs>
        <w:spacing w:after="120"/>
        <w:ind w:left="1267" w:right="1267"/>
        <w:jc w:val="both"/>
        <w:rPr>
          <w:rFonts w:ascii="Times New Roman" w:hAnsi="Times New Roman"/>
          <w:color w:val="000000"/>
          <w:sz w:val="24"/>
          <w:szCs w:val="24"/>
        </w:rPr>
      </w:pPr>
      <w:r w:rsidRPr="008C7649">
        <w:rPr>
          <w:rFonts w:ascii="Times New Roman" w:hAnsi="Times New Roman"/>
          <w:color w:val="000000"/>
          <w:sz w:val="24"/>
          <w:szCs w:val="24"/>
        </w:rPr>
        <w:t>Programme management, monitoring and evaluation</w:t>
      </w:r>
    </w:p>
    <w:p w:rsidR="00867F7C" w:rsidRDefault="00DB2327" w:rsidP="0033241B">
      <w:pPr>
        <w:spacing w:after="120"/>
        <w:ind w:left="1267" w:right="1267"/>
        <w:jc w:val="both"/>
      </w:pPr>
      <w:r>
        <w:t>2</w:t>
      </w:r>
      <w:r w:rsidR="00E638FC">
        <w:t>0</w:t>
      </w:r>
      <w:r>
        <w:t>.</w:t>
      </w:r>
      <w:r w:rsidR="00E638FC">
        <w:t xml:space="preserve"> </w:t>
      </w:r>
      <w:r>
        <w:t>The programme</w:t>
      </w:r>
      <w:r w:rsidR="00471562">
        <w:t xml:space="preserve"> will be implemented using the national execution modality with UNDP providing implementation support on request.</w:t>
      </w:r>
      <w:r w:rsidR="00171795">
        <w:t xml:space="preserve"> </w:t>
      </w:r>
      <w:r w:rsidR="008D6FCB">
        <w:t xml:space="preserve">The </w:t>
      </w:r>
      <w:r w:rsidR="00471562">
        <w:t xml:space="preserve">HACT will be more resolutely </w:t>
      </w:r>
      <w:r w:rsidR="008D6FCB">
        <w:t>adop</w:t>
      </w:r>
      <w:r w:rsidR="00A640AC">
        <w:t>ted</w:t>
      </w:r>
      <w:r w:rsidR="008D6FCB">
        <w:t xml:space="preserve">, with </w:t>
      </w:r>
      <w:r w:rsidR="00471562">
        <w:t xml:space="preserve">the advance of funds modality </w:t>
      </w:r>
      <w:r w:rsidR="008D6FCB">
        <w:t xml:space="preserve">used </w:t>
      </w:r>
      <w:r w:rsidR="00471562">
        <w:t>as much as</w:t>
      </w:r>
      <w:r w:rsidR="00E31837">
        <w:t xml:space="preserve"> possible</w:t>
      </w:r>
      <w:r w:rsidR="00471562">
        <w:t xml:space="preserve">. </w:t>
      </w:r>
      <w:r w:rsidR="00237CC7">
        <w:t>Direct implementation will be used only where it adds value.</w:t>
      </w:r>
      <w:r w:rsidR="00171795">
        <w:t xml:space="preserve"> </w:t>
      </w:r>
      <w:r w:rsidR="006A5B73">
        <w:t xml:space="preserve">UNDP will expand </w:t>
      </w:r>
      <w:r w:rsidR="00E31837">
        <w:t>staff levels</w:t>
      </w:r>
      <w:r w:rsidR="006A5B73">
        <w:t xml:space="preserve"> and strengthen its systems to ensure </w:t>
      </w:r>
      <w:r w:rsidR="00E31837">
        <w:t>continued provision of</w:t>
      </w:r>
      <w:r w:rsidR="006A5B73">
        <w:t xml:space="preserve"> value</w:t>
      </w:r>
      <w:r w:rsidR="008D6FCB">
        <w:t>-</w:t>
      </w:r>
      <w:r w:rsidR="006A5B73">
        <w:t>added development support and services</w:t>
      </w:r>
      <w:r w:rsidR="00244A7B">
        <w:t>.</w:t>
      </w:r>
      <w:r w:rsidR="00171795">
        <w:t xml:space="preserve"> </w:t>
      </w:r>
      <w:r w:rsidR="00244A7B">
        <w:t xml:space="preserve">UNDP </w:t>
      </w:r>
      <w:r w:rsidR="00471562">
        <w:t>will continue to support the Delivering as O</w:t>
      </w:r>
      <w:r w:rsidR="00237CC7">
        <w:t>ne agenda in Suriname, with a greater emphasis on joint programming and implementation.</w:t>
      </w:r>
      <w:r w:rsidR="00171795">
        <w:t xml:space="preserve"> </w:t>
      </w:r>
    </w:p>
    <w:p w:rsidR="00867F7C" w:rsidRDefault="00237CC7" w:rsidP="0033241B">
      <w:pPr>
        <w:tabs>
          <w:tab w:val="num" w:pos="1260"/>
          <w:tab w:val="left" w:pos="1620"/>
        </w:tabs>
        <w:suppressAutoHyphens/>
        <w:spacing w:after="120"/>
        <w:ind w:left="1267" w:right="1267"/>
        <w:jc w:val="both"/>
      </w:pPr>
      <w:r>
        <w:t>2</w:t>
      </w:r>
      <w:r w:rsidR="00436435">
        <w:t>1</w:t>
      </w:r>
      <w:r>
        <w:t>.</w:t>
      </w:r>
      <w:r w:rsidR="00171795">
        <w:t xml:space="preserve"> </w:t>
      </w:r>
      <w:r>
        <w:t>Emphasis will be placed on strengthening risk assessment and management practices for effective programme design, monitoring and evaluation</w:t>
      </w:r>
      <w:r w:rsidR="00436435">
        <w:t xml:space="preserve">, and </w:t>
      </w:r>
      <w:r w:rsidR="008D6FCB">
        <w:t xml:space="preserve">on </w:t>
      </w:r>
      <w:r w:rsidR="00436435">
        <w:t xml:space="preserve">the </w:t>
      </w:r>
      <w:r>
        <w:t xml:space="preserve">use of the Atlas </w:t>
      </w:r>
      <w:r w:rsidR="008D6FCB">
        <w:t>p</w:t>
      </w:r>
      <w:r>
        <w:t>roject</w:t>
      </w:r>
      <w:r w:rsidR="008D6FCB">
        <w:t>-</w:t>
      </w:r>
      <w:r>
        <w:t>management module</w:t>
      </w:r>
      <w:r w:rsidR="00436435">
        <w:t>.</w:t>
      </w:r>
      <w:r>
        <w:t xml:space="preserve"> </w:t>
      </w:r>
      <w:r w:rsidR="00436435">
        <w:t>Project, cluster and outcome evaluations will be undertaken with greater frequency</w:t>
      </w:r>
      <w:r w:rsidR="00E638FC">
        <w:t>.</w:t>
      </w:r>
      <w:r w:rsidR="00436435">
        <w:t xml:space="preserve"> </w:t>
      </w:r>
      <w:r w:rsidR="00E638FC">
        <w:t xml:space="preserve">UNDP monitoring and evaluation </w:t>
      </w:r>
      <w:r>
        <w:t>process</w:t>
      </w:r>
      <w:r w:rsidR="00945916">
        <w:t>es</w:t>
      </w:r>
      <w:r>
        <w:t xml:space="preserve"> will be aligned to the UNDAF monitoring and evaluation</w:t>
      </w:r>
      <w:r w:rsidR="00E638FC">
        <w:t xml:space="preserve"> plan for improved synergies</w:t>
      </w:r>
      <w:r>
        <w:t xml:space="preserve">. </w:t>
      </w:r>
      <w:r w:rsidR="00945916">
        <w:t>Support will also be provided for producing</w:t>
      </w:r>
      <w:r>
        <w:t xml:space="preserve"> national MDG</w:t>
      </w:r>
      <w:r w:rsidR="008D6FCB">
        <w:t xml:space="preserve">s </w:t>
      </w:r>
      <w:r>
        <w:t>and H</w:t>
      </w:r>
      <w:r w:rsidR="008D6FCB">
        <w:t xml:space="preserve">uman Development </w:t>
      </w:r>
      <w:r>
        <w:t>reports as the basis for monitoring progress in specific outcome areas.</w:t>
      </w:r>
    </w:p>
    <w:p w:rsidR="00867F7C" w:rsidRDefault="00945916" w:rsidP="0033241B">
      <w:pPr>
        <w:tabs>
          <w:tab w:val="num" w:pos="1260"/>
          <w:tab w:val="left" w:pos="1620"/>
        </w:tabs>
        <w:suppressAutoHyphens/>
        <w:spacing w:after="120"/>
        <w:ind w:left="1267" w:right="1267"/>
        <w:jc w:val="both"/>
      </w:pPr>
      <w:r>
        <w:t>2</w:t>
      </w:r>
      <w:r w:rsidR="00436435">
        <w:t>2</w:t>
      </w:r>
      <w:r>
        <w:t xml:space="preserve">. UNDP will </w:t>
      </w:r>
      <w:r w:rsidR="006A5B73">
        <w:t>seek</w:t>
      </w:r>
      <w:r>
        <w:t xml:space="preserve"> to secure funding from </w:t>
      </w:r>
      <w:r w:rsidR="00A64664">
        <w:t xml:space="preserve">United Nations and </w:t>
      </w:r>
      <w:r>
        <w:t>UNDP trust funds</w:t>
      </w:r>
      <w:r w:rsidR="00A64664">
        <w:t>. This will be done</w:t>
      </w:r>
      <w:r w:rsidR="006A5B73">
        <w:t xml:space="preserve"> </w:t>
      </w:r>
      <w:r w:rsidR="00A64664">
        <w:t xml:space="preserve">in </w:t>
      </w:r>
      <w:r>
        <w:t>parallel</w:t>
      </w:r>
      <w:r w:rsidR="00A64664">
        <w:t xml:space="preserve"> with a Government</w:t>
      </w:r>
      <w:r>
        <w:t xml:space="preserve"> effort to secure funding</w:t>
      </w:r>
      <w:r w:rsidR="00A64664">
        <w:t xml:space="preserve"> for implementing the country programme</w:t>
      </w:r>
      <w:r>
        <w:t xml:space="preserve"> from bilateral </w:t>
      </w:r>
      <w:r w:rsidR="00A64664">
        <w:t xml:space="preserve">sources as well as </w:t>
      </w:r>
      <w:r w:rsidR="00B076A3">
        <w:t xml:space="preserve">from </w:t>
      </w:r>
      <w:r>
        <w:t>other multilateral sources and its own resources.</w:t>
      </w:r>
      <w:r w:rsidR="00171795">
        <w:t xml:space="preserve"> </w:t>
      </w:r>
      <w:r w:rsidR="00127081">
        <w:t xml:space="preserve">On request </w:t>
      </w:r>
      <w:r>
        <w:t xml:space="preserve">UNDP will </w:t>
      </w:r>
      <w:r w:rsidR="00B076A3">
        <w:t>help</w:t>
      </w:r>
      <w:r>
        <w:t xml:space="preserve"> </w:t>
      </w:r>
      <w:r w:rsidR="00A64664">
        <w:t>the G</w:t>
      </w:r>
      <w:r>
        <w:t>overnment prepar</w:t>
      </w:r>
      <w:r w:rsidR="00B076A3">
        <w:t>e</w:t>
      </w:r>
      <w:r>
        <w:t xml:space="preserve"> the</w:t>
      </w:r>
      <w:r w:rsidR="006A5B73">
        <w:t xml:space="preserve"> required funding documents and </w:t>
      </w:r>
      <w:r>
        <w:t xml:space="preserve">develop strategies for accessing and managing </w:t>
      </w:r>
      <w:r w:rsidR="006A5B73">
        <w:t>development inflows.</w:t>
      </w:r>
      <w:r>
        <w:t xml:space="preserve"> </w:t>
      </w:r>
    </w:p>
    <w:p w:rsidR="00D9153B" w:rsidRPr="008C7649" w:rsidRDefault="00D9153B" w:rsidP="008C7649">
      <w:pPr>
        <w:sectPr w:rsidR="00D9153B" w:rsidRPr="008C7649" w:rsidSect="005841A3">
          <w:footnotePr>
            <w:numRestart w:val="eachSect"/>
          </w:footnotePr>
          <w:endnotePr>
            <w:numFmt w:val="decimal"/>
            <w:numStart w:val="7"/>
          </w:endnotePr>
          <w:type w:val="continuous"/>
          <w:pgSz w:w="12240" w:h="15840" w:code="1"/>
          <w:pgMar w:top="1170" w:right="1195" w:bottom="1440" w:left="1195" w:header="576" w:footer="1037" w:gutter="0"/>
          <w:cols w:space="720"/>
          <w:noEndnote/>
          <w:titlePg/>
          <w:docGrid w:linePitch="272"/>
        </w:sectPr>
      </w:pPr>
    </w:p>
    <w:p w:rsidR="00C94FF5" w:rsidRDefault="00C94FF5" w:rsidP="00C94FF5">
      <w:pPr>
        <w:pStyle w:val="Heading4"/>
        <w:spacing w:after="120"/>
        <w:rPr>
          <w:rFonts w:ascii="Times New Roman" w:hAnsi="Times New Roman"/>
          <w:bCs/>
          <w:color w:val="000000"/>
          <w:sz w:val="24"/>
          <w:szCs w:val="24"/>
        </w:rPr>
      </w:pPr>
      <w:r w:rsidRPr="00FA406D">
        <w:rPr>
          <w:rFonts w:ascii="Times New Roman" w:hAnsi="Times New Roman"/>
          <w:bCs/>
          <w:color w:val="000000"/>
          <w:sz w:val="24"/>
          <w:szCs w:val="24"/>
        </w:rPr>
        <w:lastRenderedPageBreak/>
        <w:t>Annex.</w:t>
      </w:r>
      <w:r w:rsidR="00974F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406D">
        <w:rPr>
          <w:rFonts w:ascii="Times New Roman" w:hAnsi="Times New Roman"/>
          <w:bCs/>
          <w:color w:val="000000"/>
          <w:sz w:val="24"/>
          <w:szCs w:val="24"/>
        </w:rPr>
        <w:t xml:space="preserve">UNDP results and resources framework for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Suriname, </w:t>
      </w:r>
      <w:r w:rsidRPr="00FA406D">
        <w:rPr>
          <w:rFonts w:ascii="Times New Roman" w:hAnsi="Times New Roman"/>
          <w:bCs/>
          <w:color w:val="000000"/>
          <w:sz w:val="24"/>
          <w:szCs w:val="24"/>
        </w:rPr>
        <w:t>2012-2016</w:t>
      </w:r>
    </w:p>
    <w:p w:rsidR="00D9153B" w:rsidRPr="00E26045" w:rsidRDefault="00C94FF5" w:rsidP="00C94FF5">
      <w:pPr>
        <w:pStyle w:val="Heading4"/>
        <w:spacing w:after="120"/>
        <w:rPr>
          <w:rFonts w:ascii="Times New Roman" w:hAnsi="Times New Roman"/>
          <w:bCs/>
          <w:color w:val="000000"/>
          <w:sz w:val="20"/>
        </w:rPr>
      </w:pPr>
      <w:r w:rsidRPr="00CB4D26">
        <w:rPr>
          <w:rFonts w:ascii="Times New Roman" w:hAnsi="Times New Roman"/>
          <w:b w:val="0"/>
          <w:bCs/>
          <w:color w:val="000000"/>
          <w:sz w:val="20"/>
        </w:rPr>
        <w:t>Resources for 2012-201</w:t>
      </w:r>
      <w:r>
        <w:rPr>
          <w:rFonts w:ascii="Times New Roman" w:hAnsi="Times New Roman"/>
          <w:b w:val="0"/>
          <w:bCs/>
          <w:color w:val="000000"/>
          <w:sz w:val="20"/>
        </w:rPr>
        <w:t>6</w:t>
      </w:r>
      <w:r w:rsidRPr="00CB4D26">
        <w:rPr>
          <w:rFonts w:ascii="Times New Roman" w:hAnsi="Times New Roman"/>
          <w:b w:val="0"/>
          <w:bCs/>
          <w:color w:val="000000"/>
          <w:sz w:val="20"/>
        </w:rPr>
        <w:t>: Regular: $</w:t>
      </w:r>
      <w:r w:rsidR="000F4C39">
        <w:rPr>
          <w:rFonts w:ascii="Times New Roman" w:hAnsi="Times New Roman"/>
          <w:b w:val="0"/>
          <w:bCs/>
          <w:color w:val="000000"/>
          <w:sz w:val="20"/>
        </w:rPr>
        <w:t>672</w:t>
      </w:r>
      <w:r>
        <w:rPr>
          <w:rFonts w:ascii="Times New Roman" w:hAnsi="Times New Roman"/>
          <w:b w:val="0"/>
          <w:bCs/>
          <w:color w:val="000000"/>
          <w:sz w:val="20"/>
        </w:rPr>
        <w:t>,000</w:t>
      </w:r>
      <w:r w:rsidRPr="00CB4D26">
        <w:rPr>
          <w:rFonts w:ascii="Times New Roman" w:hAnsi="Times New Roman"/>
          <w:b w:val="0"/>
          <w:bCs/>
          <w:color w:val="000000"/>
          <w:sz w:val="20"/>
        </w:rPr>
        <w:t>; Other: $</w:t>
      </w:r>
      <w:r w:rsidR="000F4C39">
        <w:rPr>
          <w:rFonts w:ascii="Times New Roman" w:hAnsi="Times New Roman"/>
          <w:b w:val="0"/>
          <w:bCs/>
          <w:color w:val="000000"/>
          <w:sz w:val="20"/>
        </w:rPr>
        <w:t>1</w:t>
      </w:r>
      <w:r w:rsidR="008B6905">
        <w:rPr>
          <w:rFonts w:ascii="Times New Roman" w:hAnsi="Times New Roman"/>
          <w:b w:val="0"/>
          <w:bCs/>
          <w:color w:val="000000"/>
          <w:sz w:val="20"/>
        </w:rPr>
        <w:t>4</w:t>
      </w:r>
      <w:r>
        <w:rPr>
          <w:rFonts w:ascii="Times New Roman" w:hAnsi="Times New Roman"/>
          <w:b w:val="0"/>
          <w:bCs/>
          <w:color w:val="000000"/>
          <w:sz w:val="20"/>
        </w:rPr>
        <w:t>,000,000</w:t>
      </w:r>
      <w:r w:rsidRPr="00CB4D26">
        <w:rPr>
          <w:rFonts w:ascii="Times New Roman" w:hAnsi="Times New Roman"/>
          <w:b w:val="0"/>
          <w:bCs/>
          <w:color w:val="000000"/>
          <w:sz w:val="20"/>
        </w:rPr>
        <w:t>; Total: $</w:t>
      </w:r>
      <w:r>
        <w:rPr>
          <w:rFonts w:ascii="Times New Roman" w:hAnsi="Times New Roman"/>
          <w:b w:val="0"/>
          <w:bCs/>
          <w:color w:val="000000"/>
          <w:sz w:val="20"/>
        </w:rPr>
        <w:t>1</w:t>
      </w:r>
      <w:r w:rsidR="008B6905">
        <w:rPr>
          <w:rFonts w:ascii="Times New Roman" w:hAnsi="Times New Roman"/>
          <w:b w:val="0"/>
          <w:bCs/>
          <w:color w:val="000000"/>
          <w:sz w:val="20"/>
        </w:rPr>
        <w:t>4</w:t>
      </w:r>
      <w:r>
        <w:rPr>
          <w:rFonts w:ascii="Times New Roman" w:hAnsi="Times New Roman"/>
          <w:b w:val="0"/>
          <w:bCs/>
          <w:color w:val="000000"/>
          <w:sz w:val="20"/>
        </w:rPr>
        <w:t>,</w:t>
      </w:r>
      <w:r w:rsidR="008B6905">
        <w:rPr>
          <w:rFonts w:ascii="Times New Roman" w:hAnsi="Times New Roman"/>
          <w:b w:val="0"/>
          <w:bCs/>
          <w:color w:val="000000"/>
          <w:sz w:val="20"/>
        </w:rPr>
        <w:t>672</w:t>
      </w:r>
      <w:r>
        <w:rPr>
          <w:rFonts w:ascii="Times New Roman" w:hAnsi="Times New Roman"/>
          <w:b w:val="0"/>
          <w:bCs/>
          <w:color w:val="000000"/>
          <w:sz w:val="20"/>
        </w:rPr>
        <w:t>,000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922"/>
        <w:gridCol w:w="24"/>
        <w:gridCol w:w="2069"/>
        <w:gridCol w:w="8"/>
        <w:gridCol w:w="1881"/>
        <w:gridCol w:w="3961"/>
        <w:gridCol w:w="13"/>
        <w:gridCol w:w="1714"/>
        <w:gridCol w:w="1656"/>
      </w:tblGrid>
      <w:tr w:rsidR="009C5238" w:rsidRPr="00974FC2" w:rsidTr="00B9772B">
        <w:trPr>
          <w:trHeight w:val="15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4110" w:rsidRPr="00974FC2" w:rsidRDefault="008B2CAB" w:rsidP="00376DA9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NATIONAL PRIORITY OR GOAL: 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Incorporat</w:t>
            </w:r>
            <w:r w:rsidR="00142BCF" w:rsidRPr="00974FC2">
              <w:rPr>
                <w:bCs/>
                <w:color w:val="000000"/>
                <w:sz w:val="18"/>
                <w:szCs w:val="18"/>
                <w:lang w:val="en-GB"/>
              </w:rPr>
              <w:t>e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principles of good governance in national policy with the aim of creating a society based on equity and equality</w:t>
            </w:r>
            <w:r w:rsidR="00142BCF" w:rsidRPr="00974FC2">
              <w:rPr>
                <w:bCs/>
                <w:color w:val="000000"/>
                <w:sz w:val="18"/>
                <w:szCs w:val="18"/>
                <w:lang w:val="en-GB"/>
              </w:rPr>
              <w:t>; e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mphasi</w:t>
            </w:r>
            <w:r w:rsidR="00142BCF" w:rsidRPr="00974FC2">
              <w:rPr>
                <w:bCs/>
                <w:color w:val="000000"/>
                <w:sz w:val="18"/>
                <w:szCs w:val="18"/>
                <w:lang w:val="en-GB"/>
              </w:rPr>
              <w:t>ze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on</w:t>
            </w:r>
            <w:r w:rsidR="00141977" w:rsidRPr="00974FC2">
              <w:rPr>
                <w:color w:val="000000"/>
                <w:sz w:val="18"/>
                <w:szCs w:val="18"/>
                <w:lang w:val="en-GB"/>
              </w:rPr>
              <w:t xml:space="preserve"> MDGs 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1, 2, 3 and 8</w:t>
            </w:r>
            <w:r w:rsidR="001E63B0" w:rsidRPr="00974FC2">
              <w:rPr>
                <w:bCs/>
                <w:color w:val="000000"/>
                <w:sz w:val="18"/>
                <w:szCs w:val="18"/>
                <w:lang w:val="en-GB"/>
              </w:rPr>
              <w:t>.</w:t>
            </w:r>
          </w:p>
        </w:tc>
      </w:tr>
      <w:tr w:rsidR="009C5238" w:rsidRPr="00974FC2" w:rsidTr="00B9772B">
        <w:trPr>
          <w:trHeight w:val="655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2CAB" w:rsidRPr="00974FC2" w:rsidRDefault="008B2CAB" w:rsidP="008B2CAB">
            <w:pPr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COUNTRY PROGRAMME </w:t>
            </w:r>
            <w:r w:rsidRPr="00974FC2">
              <w:rPr>
                <w:b/>
                <w:sz w:val="18"/>
                <w:szCs w:val="18"/>
                <w:u w:val="single"/>
              </w:rPr>
              <w:t>Outcome Area 1</w:t>
            </w:r>
            <w:r w:rsidRPr="00974FC2">
              <w:rPr>
                <w:b/>
                <w:sz w:val="18"/>
                <w:szCs w:val="18"/>
              </w:rPr>
              <w:t xml:space="preserve">: </w:t>
            </w:r>
            <w:r w:rsidR="00111730" w:rsidRPr="00974FC2">
              <w:rPr>
                <w:sz w:val="18"/>
                <w:szCs w:val="18"/>
              </w:rPr>
              <w:t>Institutional</w:t>
            </w:r>
            <w:r w:rsidR="00E638FC" w:rsidRPr="00974FC2">
              <w:rPr>
                <w:sz w:val="18"/>
                <w:szCs w:val="18"/>
              </w:rPr>
              <w:t xml:space="preserve"> capacities, competencies and tools for: improved efficiency and accountability in public management; enhanced responsiveness of democratic governance institutions and participation in representative and legislative processes, policy and decision-making; and demonstrated improvements in the promotion and protection of human rights and well-being.</w:t>
            </w:r>
            <w:r w:rsidR="00171795" w:rsidRPr="00974FC2">
              <w:rPr>
                <w:b/>
                <w:sz w:val="18"/>
                <w:szCs w:val="18"/>
              </w:rPr>
              <w:t xml:space="preserve"> 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Outcome indicator:</w:t>
            </w:r>
            <w:r w:rsidR="00963BD8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# 1 -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Existence of </w:t>
            </w:r>
            <w:r w:rsidRPr="00974FC2">
              <w:rPr>
                <w:sz w:val="18"/>
                <w:szCs w:val="18"/>
              </w:rPr>
              <w:t xml:space="preserve">institutional capacities, policy frameworks and competencies to enhance democratic governance in line with </w:t>
            </w:r>
            <w:r w:rsidR="004E4AE7" w:rsidRPr="00974FC2">
              <w:rPr>
                <w:color w:val="000000"/>
                <w:sz w:val="18"/>
                <w:szCs w:val="18"/>
                <w:lang w:val="en-GB"/>
              </w:rPr>
              <w:t>national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4E4AE7" w:rsidRPr="00974FC2">
              <w:rPr>
                <w:color w:val="000000"/>
                <w:sz w:val="18"/>
                <w:szCs w:val="18"/>
                <w:lang w:val="en-GB"/>
              </w:rPr>
              <w:t>development priorities</w:t>
            </w:r>
            <w:r w:rsidR="005035E4" w:rsidRPr="00974FC2">
              <w:rPr>
                <w:color w:val="000000"/>
                <w:sz w:val="18"/>
                <w:szCs w:val="18"/>
                <w:lang w:val="en-GB"/>
              </w:rPr>
              <w:t>.</w:t>
            </w:r>
            <w:r w:rsidR="00B32B7A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gramStart"/>
            <w:r w:rsidR="0033241B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# 2 - </w:t>
            </w:r>
            <w:r w:rsidR="0033241B" w:rsidRPr="00974FC2">
              <w:rPr>
                <w:bCs/>
                <w:color w:val="000000"/>
                <w:sz w:val="18"/>
                <w:szCs w:val="18"/>
                <w:lang w:val="en-GB"/>
              </w:rPr>
              <w:t>Critical mass of</w:t>
            </w:r>
            <w:r w:rsidR="0033241B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33241B" w:rsidRPr="00974FC2">
              <w:rPr>
                <w:color w:val="000000"/>
                <w:sz w:val="18"/>
                <w:szCs w:val="18"/>
                <w:lang w:val="en-GB"/>
              </w:rPr>
              <w:t>non-governmental agencies involved in the design and implementation of policies for transparency, access to justice, citizen security, human rights, public management and legislative processes.</w:t>
            </w:r>
            <w:proofErr w:type="gramEnd"/>
            <w:r w:rsidR="0033241B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  <w:p w:rsidR="00744110" w:rsidRPr="00974FC2" w:rsidRDefault="008B2CAB" w:rsidP="008B2CAB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Related </w:t>
            </w:r>
            <w:r w:rsidR="00C94FF5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strategic plan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focus areas: 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Democratic Governance</w:t>
            </w:r>
          </w:p>
        </w:tc>
      </w:tr>
      <w:tr w:rsidR="00B9772B" w:rsidRPr="00974FC2" w:rsidTr="00915330">
        <w:trPr>
          <w:trHeight w:val="790"/>
        </w:trPr>
        <w:tc>
          <w:tcPr>
            <w:tcW w:w="7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3FB2" w:rsidRPr="00974FC2" w:rsidRDefault="00AB3FD9" w:rsidP="00FC48DD">
            <w:pPr>
              <w:jc w:val="center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GOVERNMENT </w:t>
            </w:r>
            <w:r w:rsidR="00E83FB2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PARTNER CONTRIBUTION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3FB2" w:rsidRPr="00974FC2" w:rsidRDefault="00915330" w:rsidP="00915330">
            <w:pPr>
              <w:jc w:val="center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</w:rPr>
              <w:t>OTHER PARTNER CONTRIBUTIONS</w:t>
            </w:r>
          </w:p>
        </w:tc>
        <w:tc>
          <w:tcPr>
            <w:tcW w:w="713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3FB2" w:rsidRPr="00974FC2" w:rsidRDefault="00915330" w:rsidP="00FC48DD">
            <w:pPr>
              <w:jc w:val="center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UNDP CONTRIBUTION</w:t>
            </w:r>
          </w:p>
        </w:tc>
        <w:tc>
          <w:tcPr>
            <w:tcW w:w="149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3FB2" w:rsidRPr="00974FC2" w:rsidRDefault="00E83FB2" w:rsidP="00376DA9">
            <w:pPr>
              <w:jc w:val="center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INDICATORS, BASELINES AND TARGETS FOR UNDP CONTRIBUTIONS</w:t>
            </w:r>
          </w:p>
        </w:tc>
        <w:tc>
          <w:tcPr>
            <w:tcW w:w="65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3FB2" w:rsidRPr="00974FC2" w:rsidRDefault="00E83FB2" w:rsidP="00FC48DD">
            <w:pPr>
              <w:jc w:val="center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INDICATIVE COUNTRY PROGRAMME OUTPUTS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FB2" w:rsidRPr="00974FC2" w:rsidRDefault="00E83FB2" w:rsidP="00376DA9">
            <w:pPr>
              <w:jc w:val="center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INDICATIVE RESOURCES BY OUTCOME</w:t>
            </w:r>
            <w:r w:rsidR="00A955EB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($)</w:t>
            </w:r>
          </w:p>
        </w:tc>
      </w:tr>
      <w:tr w:rsidR="00B9772B" w:rsidRPr="00974FC2" w:rsidTr="00915330">
        <w:trPr>
          <w:trHeight w:val="1725"/>
        </w:trPr>
        <w:tc>
          <w:tcPr>
            <w:tcW w:w="73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8B2CAB" w:rsidP="00376DA9">
            <w:pPr>
              <w:rPr>
                <w:b/>
                <w:bCs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By 2016 the </w:t>
            </w:r>
            <w:r w:rsidR="00B1311F" w:rsidRPr="00974FC2">
              <w:rPr>
                <w:color w:val="000000"/>
                <w:sz w:val="18"/>
                <w:szCs w:val="18"/>
                <w:lang w:val="en-GB"/>
              </w:rPr>
              <w:t>G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overnment will put in place institutional capacity and policy frameworks for enhanced participation of stakeholders in the design and implementation of policies </w:t>
            </w:r>
            <w:r w:rsidR="00963BD8" w:rsidRPr="00974FC2">
              <w:rPr>
                <w:color w:val="000000"/>
                <w:sz w:val="18"/>
                <w:szCs w:val="18"/>
                <w:lang w:val="en-GB"/>
              </w:rPr>
              <w:t>for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a more rights</w:t>
            </w:r>
            <w:r w:rsidR="00142BCF" w:rsidRPr="00974FC2">
              <w:rPr>
                <w:color w:val="000000"/>
                <w:sz w:val="18"/>
                <w:szCs w:val="18"/>
                <w:lang w:val="en-GB"/>
              </w:rPr>
              <w:t>-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based society.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5330" w:rsidRPr="00974FC2" w:rsidRDefault="008B2CAB" w:rsidP="002D18B4">
            <w:pPr>
              <w:rPr>
                <w:b/>
                <w:bCs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</w:rPr>
              <w:t>Other development partners will assist Suriname in attaining a more rights</w:t>
            </w:r>
            <w:r w:rsidR="00142BCF" w:rsidRPr="00974FC2">
              <w:rPr>
                <w:color w:val="000000"/>
                <w:sz w:val="18"/>
                <w:szCs w:val="18"/>
              </w:rPr>
              <w:t>-</w:t>
            </w:r>
            <w:r w:rsidRPr="00974FC2">
              <w:rPr>
                <w:color w:val="000000"/>
                <w:sz w:val="18"/>
                <w:szCs w:val="18"/>
              </w:rPr>
              <w:t>based society through financial and technical resources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142BCF" w:rsidP="008E0EE9">
            <w:pPr>
              <w:rPr>
                <w:b/>
                <w:bCs/>
                <w:sz w:val="18"/>
                <w:szCs w:val="18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>M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odest financial assistance 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and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 provision of technical assistance to design policies, training programmes and advocacy 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activities.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2CAB" w:rsidRPr="00974FC2" w:rsidRDefault="008B2CAB" w:rsidP="0033241B">
            <w:pPr>
              <w:rPr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Indicator: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6B0BE2" w:rsidRPr="00974FC2">
              <w:rPr>
                <w:sz w:val="18"/>
                <w:szCs w:val="18"/>
              </w:rPr>
              <w:t>I</w:t>
            </w:r>
            <w:r w:rsidRPr="00974FC2">
              <w:rPr>
                <w:sz w:val="18"/>
                <w:szCs w:val="18"/>
              </w:rPr>
              <w:t>nstitutional capacities, policy frameworks and competencies to promote and protect human rights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.</w:t>
            </w:r>
            <w:r w:rsidRPr="00974FC2">
              <w:rPr>
                <w:color w:val="000000"/>
                <w:sz w:val="18"/>
                <w:szCs w:val="18"/>
              </w:rPr>
              <w:t xml:space="preserve">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Baseline: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  <w:p w:rsidR="00B32B7A" w:rsidRPr="00974FC2" w:rsidRDefault="00142BCF" w:rsidP="008B2CAB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>N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>o national human rights policy or action p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>lan</w:t>
            </w:r>
            <w:r w:rsidR="00B32B7A" w:rsidRPr="00974FC2">
              <w:rPr>
                <w:color w:val="000000"/>
                <w:sz w:val="18"/>
                <w:szCs w:val="18"/>
              </w:rPr>
              <w:t xml:space="preserve">. </w:t>
            </w:r>
            <w:r w:rsidR="008B2CAB" w:rsidRPr="00974FC2">
              <w:rPr>
                <w:b/>
                <w:color w:val="000000"/>
                <w:sz w:val="18"/>
                <w:szCs w:val="18"/>
                <w:lang w:val="en-GB"/>
              </w:rPr>
              <w:t>Target: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N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>ational human rights pl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>an</w:t>
            </w:r>
            <w:r w:rsidR="00B32B7A" w:rsidRPr="00974FC2">
              <w:rPr>
                <w:color w:val="000000"/>
                <w:sz w:val="18"/>
                <w:szCs w:val="18"/>
              </w:rPr>
              <w:t>.</w:t>
            </w:r>
          </w:p>
          <w:p w:rsidR="00B32B7A" w:rsidRPr="00974FC2" w:rsidRDefault="00B32B7A" w:rsidP="008B2CAB">
            <w:pPr>
              <w:rPr>
                <w:color w:val="000000"/>
                <w:sz w:val="18"/>
                <w:szCs w:val="18"/>
              </w:rPr>
            </w:pPr>
          </w:p>
          <w:p w:rsidR="008B2CAB" w:rsidRPr="00974FC2" w:rsidRDefault="008B2CAB" w:rsidP="008B2CAB">
            <w:pPr>
              <w:rPr>
                <w:b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 xml:space="preserve">Indicator: </w:t>
            </w:r>
            <w:r w:rsidR="006B0BE2" w:rsidRPr="00974FC2">
              <w:rPr>
                <w:color w:val="000000"/>
                <w:sz w:val="18"/>
                <w:szCs w:val="18"/>
              </w:rPr>
              <w:t>P</w:t>
            </w:r>
            <w:r w:rsidRPr="00974FC2">
              <w:rPr>
                <w:color w:val="000000"/>
                <w:sz w:val="18"/>
                <w:szCs w:val="18"/>
              </w:rPr>
              <w:t xml:space="preserve">olicy frameworks and </w:t>
            </w:r>
            <w:r w:rsidR="006B0BE2" w:rsidRPr="00974FC2">
              <w:rPr>
                <w:color w:val="000000"/>
                <w:sz w:val="18"/>
                <w:szCs w:val="18"/>
              </w:rPr>
              <w:t>trained personnel</w:t>
            </w:r>
            <w:r w:rsidRPr="00974FC2">
              <w:rPr>
                <w:color w:val="000000"/>
                <w:sz w:val="18"/>
                <w:szCs w:val="18"/>
              </w:rPr>
              <w:t xml:space="preserve"> for imp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r</w:t>
            </w:r>
            <w:proofErr w:type="spellStart"/>
            <w:r w:rsidRPr="00974FC2">
              <w:rPr>
                <w:color w:val="000000"/>
                <w:sz w:val="18"/>
                <w:szCs w:val="18"/>
              </w:rPr>
              <w:t>o</w:t>
            </w:r>
            <w:r w:rsidRPr="00974FC2">
              <w:rPr>
                <w:sz w:val="18"/>
                <w:szCs w:val="18"/>
              </w:rPr>
              <w:t>ved</w:t>
            </w:r>
            <w:proofErr w:type="spellEnd"/>
            <w:r w:rsidRPr="00974FC2">
              <w:rPr>
                <w:sz w:val="18"/>
                <w:szCs w:val="18"/>
              </w:rPr>
              <w:t xml:space="preserve"> public management</w:t>
            </w:r>
            <w:r w:rsidR="00142BCF" w:rsidRPr="00974FC2">
              <w:rPr>
                <w:sz w:val="18"/>
                <w:szCs w:val="18"/>
              </w:rPr>
              <w:t>.</w:t>
            </w:r>
          </w:p>
          <w:p w:rsidR="00867F7C" w:rsidRPr="00974FC2" w:rsidRDefault="008B2CAB">
            <w:pPr>
              <w:spacing w:after="120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Baseline: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6B0BE2" w:rsidRPr="00974FC2">
              <w:rPr>
                <w:color w:val="000000"/>
                <w:sz w:val="18"/>
                <w:szCs w:val="18"/>
                <w:lang w:val="en-GB"/>
              </w:rPr>
              <w:t>N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o frameworks in place to improve efficiency and accountability</w:t>
            </w:r>
            <w:r w:rsidR="00B32B7A" w:rsidRPr="00974FC2">
              <w:rPr>
                <w:color w:val="000000"/>
                <w:sz w:val="18"/>
                <w:szCs w:val="18"/>
                <w:lang w:val="en-GB"/>
              </w:rPr>
              <w:t xml:space="preserve">.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Target: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Nationally agreed plan in place by end 2013</w:t>
            </w:r>
            <w:r w:rsidR="00970DA1" w:rsidRPr="00974FC2">
              <w:rPr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2CAB" w:rsidRPr="00974FC2" w:rsidRDefault="00667FED" w:rsidP="008B2CAB">
            <w:pPr>
              <w:spacing w:after="120"/>
              <w:rPr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>H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>uman right</w:t>
            </w:r>
            <w:r w:rsidR="005035E4" w:rsidRPr="00974FC2">
              <w:rPr>
                <w:color w:val="000000"/>
                <w:sz w:val="18"/>
                <w:szCs w:val="18"/>
                <w:lang w:val="en-GB"/>
              </w:rPr>
              <w:t>s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integrated 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>in the</w:t>
            </w:r>
            <w:r w:rsidR="00171795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development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processes</w:t>
            </w:r>
            <w:r w:rsidR="00142BCF" w:rsidRPr="00974FC2">
              <w:rPr>
                <w:color w:val="000000"/>
                <w:sz w:val="18"/>
                <w:szCs w:val="18"/>
                <w:lang w:val="en-GB"/>
              </w:rPr>
              <w:t>.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</w:p>
          <w:p w:rsidR="00867F7C" w:rsidRPr="00974FC2" w:rsidRDefault="008B2CAB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Policy, regulatory and enforcement </w:t>
            </w:r>
            <w:r w:rsidR="00970DA1" w:rsidRPr="00974FC2">
              <w:rPr>
                <w:color w:val="000000"/>
                <w:sz w:val="18"/>
                <w:szCs w:val="18"/>
                <w:lang w:val="en-GB"/>
              </w:rPr>
              <w:t>instruments in place and supported with resources.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2CAB" w:rsidRPr="00974FC2" w:rsidRDefault="00A955EB" w:rsidP="008B2CAB">
            <w:pPr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Regular</w:t>
            </w:r>
            <w:r w:rsidR="00B91154" w:rsidRPr="00974FC2">
              <w:rPr>
                <w:b/>
                <w:color w:val="000000"/>
                <w:sz w:val="18"/>
                <w:szCs w:val="18"/>
              </w:rPr>
              <w:t>:</w:t>
            </w:r>
            <w:r w:rsidR="008B2CAB" w:rsidRPr="00974FC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5819" w:rsidRPr="00974FC2">
              <w:rPr>
                <w:b/>
                <w:color w:val="000000"/>
                <w:sz w:val="18"/>
                <w:szCs w:val="18"/>
              </w:rPr>
              <w:t>200</w:t>
            </w:r>
            <w:r w:rsidR="008B2CAB" w:rsidRPr="00974FC2">
              <w:rPr>
                <w:b/>
                <w:color w:val="000000"/>
                <w:sz w:val="18"/>
                <w:szCs w:val="18"/>
              </w:rPr>
              <w:t>,000</w:t>
            </w:r>
          </w:p>
          <w:p w:rsidR="00A955EB" w:rsidRPr="00974FC2" w:rsidRDefault="00A955EB" w:rsidP="008B2CAB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9772B" w:rsidRPr="00974FC2" w:rsidTr="0094260B">
        <w:trPr>
          <w:trHeight w:val="1035"/>
        </w:trPr>
        <w:tc>
          <w:tcPr>
            <w:tcW w:w="734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A955EB" w:rsidP="009C5238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8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A955EB" w:rsidP="009C5238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13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A955EB" w:rsidP="009C523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A955EB" w:rsidP="009C5238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5EB" w:rsidRPr="00974FC2" w:rsidRDefault="00A955EB" w:rsidP="009C5238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955EB" w:rsidRPr="00974FC2" w:rsidRDefault="00A955EB" w:rsidP="00C15F49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Other</w:t>
            </w:r>
            <w:r w:rsidR="00B91154" w:rsidRPr="00974FC2">
              <w:rPr>
                <w:b/>
                <w:color w:val="000000"/>
                <w:sz w:val="18"/>
                <w:szCs w:val="18"/>
              </w:rPr>
              <w:t>:</w:t>
            </w:r>
            <w:r w:rsidR="008B2CAB" w:rsidRPr="00974FC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15F49" w:rsidRPr="00974FC2">
              <w:rPr>
                <w:b/>
                <w:color w:val="000000"/>
                <w:sz w:val="18"/>
                <w:szCs w:val="18"/>
              </w:rPr>
              <w:t xml:space="preserve">Government </w:t>
            </w:r>
            <w:r w:rsidR="00F6010E" w:rsidRPr="00974FC2">
              <w:rPr>
                <w:b/>
                <w:color w:val="000000"/>
                <w:sz w:val="18"/>
                <w:szCs w:val="18"/>
              </w:rPr>
              <w:t>cost-sharing</w:t>
            </w:r>
            <w:r w:rsidR="00C15F49" w:rsidRPr="00974FC2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5B3DCE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500</w:t>
            </w:r>
            <w:r w:rsidR="008B2CAB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,000</w:t>
            </w:r>
          </w:p>
          <w:p w:rsidR="00F6010E" w:rsidRPr="00974FC2" w:rsidRDefault="00C15F49" w:rsidP="00C15F49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Third</w:t>
            </w:r>
            <w:r w:rsidR="00F6010E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-</w:t>
            </w:r>
            <w:r w:rsidR="00142BCF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p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arty</w:t>
            </w:r>
          </w:p>
          <w:p w:rsidR="00C15F49" w:rsidRPr="00974FC2" w:rsidRDefault="00F6010E" w:rsidP="00C15F49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cost-sharing</w:t>
            </w:r>
            <w:r w:rsidR="00C15F49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: 1,000,000</w:t>
            </w:r>
          </w:p>
          <w:p w:rsidR="00C15F49" w:rsidRPr="00974FC2" w:rsidRDefault="00C15F49" w:rsidP="00C15F4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2667D" w:rsidRPr="00974FC2" w:rsidTr="00634F8A">
        <w:trPr>
          <w:trHeight w:val="15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67D" w:rsidRPr="00974FC2" w:rsidRDefault="00D2667D" w:rsidP="00B67527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NATIONAL PRIORITY OR GOAL:</w:t>
            </w:r>
            <w:r w:rsidR="003813ED" w:rsidRPr="00974FC2">
              <w:rPr>
                <w:sz w:val="18"/>
                <w:szCs w:val="18"/>
              </w:rPr>
              <w:t xml:space="preserve"> Fair distribution of wealth and equal opportunities for all</w:t>
            </w:r>
            <w:r w:rsidR="001E63B0" w:rsidRPr="00974FC2">
              <w:rPr>
                <w:sz w:val="18"/>
                <w:szCs w:val="18"/>
              </w:rPr>
              <w:t>.</w:t>
            </w:r>
          </w:p>
        </w:tc>
      </w:tr>
      <w:tr w:rsidR="00D2667D" w:rsidRPr="00974FC2" w:rsidTr="00634F8A">
        <w:trPr>
          <w:trHeight w:val="15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667D" w:rsidRPr="00974FC2" w:rsidRDefault="00D2667D" w:rsidP="00376DA9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COUNTRY PROGRAMME</w:t>
            </w:r>
            <w:r w:rsidR="004D336C" w:rsidRPr="00974FC2">
              <w:rPr>
                <w:b/>
                <w:sz w:val="18"/>
                <w:szCs w:val="18"/>
              </w:rPr>
              <w:t xml:space="preserve"> </w:t>
            </w:r>
            <w:r w:rsidR="004D336C" w:rsidRPr="00974FC2">
              <w:rPr>
                <w:b/>
                <w:sz w:val="18"/>
                <w:szCs w:val="18"/>
                <w:u w:val="single"/>
              </w:rPr>
              <w:t>Outcome Area 2</w:t>
            </w:r>
            <w:r w:rsidR="004D336C" w:rsidRPr="00974FC2">
              <w:rPr>
                <w:b/>
                <w:sz w:val="18"/>
                <w:szCs w:val="18"/>
              </w:rPr>
              <w:t>:</w:t>
            </w:r>
            <w:r w:rsidR="004D336C" w:rsidRPr="00974FC2">
              <w:rPr>
                <w:sz w:val="18"/>
                <w:szCs w:val="18"/>
              </w:rPr>
              <w:t xml:space="preserve"> </w:t>
            </w:r>
            <w:r w:rsidR="00111730" w:rsidRPr="00974FC2">
              <w:rPr>
                <w:sz w:val="18"/>
                <w:szCs w:val="18"/>
              </w:rPr>
              <w:t>Institutional</w:t>
            </w:r>
            <w:r w:rsidR="006D5681" w:rsidRPr="00974FC2">
              <w:rPr>
                <w:sz w:val="18"/>
                <w:szCs w:val="18"/>
              </w:rPr>
              <w:t xml:space="preserve"> capacities, policy frameworks and tools to: deliver improved services to identified vulnerable groups; and </w:t>
            </w:r>
            <w:proofErr w:type="spellStart"/>
            <w:r w:rsidR="006D5681" w:rsidRPr="00974FC2">
              <w:rPr>
                <w:sz w:val="18"/>
                <w:szCs w:val="18"/>
              </w:rPr>
              <w:t>programmes</w:t>
            </w:r>
            <w:proofErr w:type="spellEnd"/>
            <w:r w:rsidR="006D5681" w:rsidRPr="00974FC2">
              <w:rPr>
                <w:sz w:val="18"/>
                <w:szCs w:val="18"/>
              </w:rPr>
              <w:t xml:space="preserve"> for income generation and sustainable livelihoods, life and employment skills, social protection, social housing, affordable energy and food security </w:t>
            </w:r>
            <w:r w:rsidR="00FD422A" w:rsidRPr="00974FC2">
              <w:rPr>
                <w:sz w:val="18"/>
                <w:szCs w:val="18"/>
              </w:rPr>
              <w:t xml:space="preserve">provided </w:t>
            </w:r>
            <w:r w:rsidR="006D5681" w:rsidRPr="00974FC2">
              <w:rPr>
                <w:sz w:val="18"/>
                <w:szCs w:val="18"/>
              </w:rPr>
              <w:t xml:space="preserve">to </w:t>
            </w:r>
            <w:proofErr w:type="gramStart"/>
            <w:r w:rsidR="006D5681" w:rsidRPr="00974FC2">
              <w:rPr>
                <w:sz w:val="18"/>
                <w:szCs w:val="18"/>
              </w:rPr>
              <w:t>identified</w:t>
            </w:r>
            <w:proofErr w:type="gramEnd"/>
            <w:r w:rsidR="006D5681" w:rsidRPr="00974FC2">
              <w:rPr>
                <w:sz w:val="18"/>
                <w:szCs w:val="18"/>
              </w:rPr>
              <w:t xml:space="preserve"> vulnerable and underserved groups and individuals.</w:t>
            </w:r>
            <w:r w:rsidR="006D5681" w:rsidRPr="00974FC2">
              <w:rPr>
                <w:b/>
                <w:sz w:val="18"/>
                <w:szCs w:val="18"/>
              </w:rPr>
              <w:t xml:space="preserve"> 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Outcome indicator</w:t>
            </w:r>
            <w:r w:rsidR="00A75002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s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 w:rsidR="00970DA1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A75002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# 1 - </w:t>
            </w:r>
            <w:r w:rsidR="00970DA1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Existence of programmes to deliver identified social services to the poor and vulnerable especially in </w:t>
            </w:r>
            <w:r w:rsidR="00FD422A" w:rsidRPr="00974FC2">
              <w:rPr>
                <w:bCs/>
                <w:color w:val="000000"/>
                <w:sz w:val="18"/>
                <w:szCs w:val="18"/>
                <w:lang w:val="en-GB"/>
              </w:rPr>
              <w:t>the interior districts</w:t>
            </w:r>
            <w:r w:rsidR="00FB4BEE" w:rsidRPr="00974FC2">
              <w:rPr>
                <w:bCs/>
                <w:color w:val="000000"/>
                <w:sz w:val="18"/>
                <w:szCs w:val="18"/>
                <w:lang w:val="en-GB"/>
              </w:rPr>
              <w:t>.</w:t>
            </w:r>
            <w:r w:rsidR="00A75002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A75002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# 2</w:t>
            </w:r>
            <w:r w:rsidR="00A75002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- </w:t>
            </w:r>
            <w:r w:rsidR="00970DA1" w:rsidRPr="00974FC2">
              <w:rPr>
                <w:bCs/>
                <w:color w:val="000000"/>
                <w:sz w:val="18"/>
                <w:szCs w:val="18"/>
                <w:lang w:val="en-GB"/>
              </w:rPr>
              <w:t>Income generation and job creation opportunities available and accessible to identified groups and individuals.</w:t>
            </w:r>
            <w:r w:rsidR="00171795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Related </w:t>
            </w:r>
            <w:r w:rsidR="00C94FF5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strategic plan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focus areas</w:t>
            </w:r>
            <w:r w:rsidR="006D5681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 w:rsidR="006D5681" w:rsidRPr="00974FC2">
              <w:rPr>
                <w:bCs/>
                <w:color w:val="000000"/>
                <w:sz w:val="18"/>
                <w:szCs w:val="18"/>
                <w:lang w:val="en-GB"/>
              </w:rPr>
              <w:t>Poverty Reduction and MDGs</w:t>
            </w:r>
          </w:p>
        </w:tc>
      </w:tr>
      <w:tr w:rsidR="004D336C" w:rsidRPr="00974FC2" w:rsidTr="00634F8A">
        <w:trPr>
          <w:trHeight w:val="48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36C" w:rsidRPr="00974FC2" w:rsidRDefault="00D018FF" w:rsidP="00376DA9">
            <w:pPr>
              <w:rPr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lastRenderedPageBreak/>
              <w:t xml:space="preserve">By 2016 </w:t>
            </w:r>
            <w:r w:rsidR="002C4B83" w:rsidRPr="00974FC2">
              <w:rPr>
                <w:bCs/>
                <w:color w:val="000000"/>
                <w:sz w:val="18"/>
                <w:szCs w:val="18"/>
                <w:lang w:val="en-GB"/>
              </w:rPr>
              <w:t>G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overnment </w:t>
            </w:r>
            <w:r w:rsidR="002C4B83" w:rsidRPr="00974FC2">
              <w:rPr>
                <w:bCs/>
                <w:color w:val="000000"/>
                <w:sz w:val="18"/>
                <w:szCs w:val="18"/>
                <w:lang w:val="en-GB"/>
              </w:rPr>
              <w:t>w</w:t>
            </w:r>
            <w:r w:rsidR="00782658" w:rsidRPr="00974FC2">
              <w:rPr>
                <w:bCs/>
                <w:color w:val="000000"/>
                <w:sz w:val="18"/>
                <w:szCs w:val="18"/>
                <w:lang w:val="en-GB"/>
              </w:rPr>
              <w:t>ill</w:t>
            </w:r>
            <w:r w:rsidR="002C4B83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have strengthened public institutions, establish</w:t>
            </w:r>
            <w:r w:rsidR="002C4B83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ed 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policy framework</w:t>
            </w:r>
            <w:r w:rsidR="002C4B83" w:rsidRPr="00974FC2">
              <w:rPr>
                <w:bCs/>
                <w:color w:val="000000"/>
                <w:sz w:val="18"/>
                <w:szCs w:val="18"/>
                <w:lang w:val="en-GB"/>
              </w:rPr>
              <w:t>s,</w:t>
            </w:r>
            <w:r w:rsidR="00782658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2C4B83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delivery mechanisms and 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>tools to improve services to identified vulnerable groups.</w:t>
            </w:r>
            <w:r w:rsidR="00171795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36C" w:rsidRPr="00974FC2" w:rsidRDefault="003813ED" w:rsidP="0033241B">
            <w:pPr>
              <w:ind w:left="72"/>
              <w:rPr>
                <w:b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sz w:val="18"/>
                <w:szCs w:val="18"/>
              </w:rPr>
              <w:t xml:space="preserve">UNDP regional </w:t>
            </w:r>
            <w:proofErr w:type="spellStart"/>
            <w:r w:rsidRPr="00974FC2">
              <w:rPr>
                <w:sz w:val="18"/>
                <w:szCs w:val="18"/>
              </w:rPr>
              <w:t>pr</w:t>
            </w:r>
            <w:r w:rsidR="001E63B0" w:rsidRPr="00974FC2">
              <w:rPr>
                <w:sz w:val="18"/>
                <w:szCs w:val="18"/>
              </w:rPr>
              <w:t>ogrammes</w:t>
            </w:r>
            <w:proofErr w:type="spellEnd"/>
            <w:r w:rsidR="001E63B0" w:rsidRPr="00974FC2">
              <w:rPr>
                <w:sz w:val="18"/>
                <w:szCs w:val="18"/>
              </w:rPr>
              <w:t xml:space="preserve"> </w:t>
            </w:r>
            <w:r w:rsidR="001E63B0" w:rsidRPr="00974FC2">
              <w:rPr>
                <w:iCs/>
                <w:sz w:val="18"/>
                <w:szCs w:val="18"/>
              </w:rPr>
              <w:t>including support to poverty assessment and re</w:t>
            </w:r>
            <w:r w:rsidRPr="00974FC2">
              <w:rPr>
                <w:iCs/>
                <w:sz w:val="18"/>
                <w:szCs w:val="18"/>
              </w:rPr>
              <w:t>duction in the Caribbean</w:t>
            </w:r>
            <w:r w:rsidR="001E63B0" w:rsidRPr="00974FC2">
              <w:rPr>
                <w:iCs/>
                <w:sz w:val="18"/>
                <w:szCs w:val="18"/>
              </w:rPr>
              <w:t>.</w:t>
            </w:r>
            <w:r w:rsidR="00AF6F81" w:rsidRPr="00974FC2">
              <w:rPr>
                <w:sz w:val="18"/>
                <w:szCs w:val="18"/>
              </w:rPr>
              <w:t xml:space="preserve"> </w:t>
            </w:r>
            <w:r w:rsidR="002C4B83" w:rsidRPr="00974FC2">
              <w:rPr>
                <w:sz w:val="18"/>
                <w:szCs w:val="18"/>
              </w:rPr>
              <w:t>R</w:t>
            </w:r>
            <w:r w:rsidRPr="00974FC2">
              <w:rPr>
                <w:sz w:val="18"/>
                <w:szCs w:val="18"/>
              </w:rPr>
              <w:t>esources and technical support</w:t>
            </w:r>
            <w:r w:rsidR="002C4B83" w:rsidRPr="00974FC2">
              <w:rPr>
                <w:sz w:val="18"/>
                <w:szCs w:val="18"/>
              </w:rPr>
              <w:t xml:space="preserve"> of </w:t>
            </w:r>
            <w:r w:rsidR="001E63B0" w:rsidRPr="00974FC2">
              <w:rPr>
                <w:sz w:val="18"/>
                <w:szCs w:val="18"/>
              </w:rPr>
              <w:t>c</w:t>
            </w:r>
            <w:r w:rsidRPr="00974FC2">
              <w:rPr>
                <w:sz w:val="18"/>
                <w:szCs w:val="18"/>
              </w:rPr>
              <w:t>ivil society organizations</w:t>
            </w:r>
            <w:r w:rsidR="00963BD8" w:rsidRPr="00974FC2">
              <w:rPr>
                <w:sz w:val="18"/>
                <w:szCs w:val="18"/>
              </w:rPr>
              <w:t>, particularly</w:t>
            </w:r>
            <w:r w:rsidRPr="00974FC2">
              <w:rPr>
                <w:sz w:val="18"/>
                <w:szCs w:val="18"/>
              </w:rPr>
              <w:t xml:space="preserve"> disadvantaged and vulnerable groups</w:t>
            </w:r>
            <w:r w:rsidR="00B91154" w:rsidRPr="00974FC2">
              <w:rPr>
                <w:sz w:val="18"/>
                <w:szCs w:val="18"/>
              </w:rPr>
              <w:t>.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36C" w:rsidRPr="00974FC2" w:rsidRDefault="00C24BC7" w:rsidP="0033241B">
            <w:pPr>
              <w:ind w:left="72"/>
              <w:rPr>
                <w:b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>M</w:t>
            </w:r>
            <w:r w:rsidR="002C4B83" w:rsidRPr="00974FC2">
              <w:rPr>
                <w:color w:val="000000"/>
                <w:sz w:val="18"/>
                <w:szCs w:val="18"/>
                <w:lang w:val="en-GB"/>
              </w:rPr>
              <w:t xml:space="preserve">odest financial assistance 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and</w:t>
            </w:r>
            <w:r w:rsidR="002C4B83" w:rsidRPr="00974FC2">
              <w:rPr>
                <w:color w:val="000000"/>
                <w:sz w:val="18"/>
                <w:szCs w:val="18"/>
                <w:lang w:val="en-GB"/>
              </w:rPr>
              <w:t xml:space="preserve"> technical assistance to design policies, training programmes and advocacy 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activities</w:t>
            </w:r>
            <w:r w:rsidR="002C21FD" w:rsidRPr="00974FC2">
              <w:rPr>
                <w:color w:val="000000"/>
                <w:sz w:val="18"/>
                <w:szCs w:val="18"/>
                <w:lang w:val="en-GB"/>
              </w:rPr>
              <w:t>.</w:t>
            </w:r>
            <w:r w:rsidR="002C4B83" w:rsidRPr="00974FC2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B83" w:rsidRPr="00974FC2" w:rsidRDefault="003813ED" w:rsidP="0033241B">
            <w:pPr>
              <w:ind w:left="72"/>
              <w:rPr>
                <w:sz w:val="18"/>
                <w:szCs w:val="18"/>
                <w:lang w:val="en-GB"/>
              </w:rPr>
            </w:pPr>
            <w:r w:rsidRPr="00974FC2">
              <w:rPr>
                <w:b/>
                <w:sz w:val="18"/>
                <w:szCs w:val="18"/>
              </w:rPr>
              <w:t>Indicator:</w:t>
            </w:r>
            <w:r w:rsidRPr="00974FC2">
              <w:rPr>
                <w:sz w:val="18"/>
                <w:szCs w:val="18"/>
              </w:rPr>
              <w:t xml:space="preserve"> </w:t>
            </w:r>
            <w:r w:rsidR="00CC0D8E" w:rsidRPr="00974FC2">
              <w:rPr>
                <w:sz w:val="18"/>
                <w:szCs w:val="18"/>
              </w:rPr>
              <w:t>E</w:t>
            </w:r>
            <w:r w:rsidRPr="00974FC2">
              <w:rPr>
                <w:sz w:val="18"/>
                <w:szCs w:val="18"/>
              </w:rPr>
              <w:t>xistence of support mechanisms; existence of tripartite platform</w:t>
            </w:r>
            <w:r w:rsidR="00B32B7A" w:rsidRPr="00974FC2">
              <w:rPr>
                <w:sz w:val="18"/>
                <w:szCs w:val="18"/>
              </w:rPr>
              <w:t xml:space="preserve">. </w:t>
            </w:r>
            <w:r w:rsidRPr="00974FC2">
              <w:rPr>
                <w:b/>
                <w:sz w:val="18"/>
                <w:szCs w:val="18"/>
              </w:rPr>
              <w:t>Baseline:</w:t>
            </w:r>
            <w:r w:rsidRPr="00974FC2">
              <w:rPr>
                <w:sz w:val="18"/>
                <w:szCs w:val="18"/>
              </w:rPr>
              <w:t xml:space="preserve"> limited livelihood development opportunities for </w:t>
            </w:r>
            <w:r w:rsidR="00B91154" w:rsidRPr="00974FC2">
              <w:rPr>
                <w:sz w:val="18"/>
                <w:szCs w:val="18"/>
              </w:rPr>
              <w:t xml:space="preserve">youth, </w:t>
            </w:r>
            <w:r w:rsidRPr="00974FC2">
              <w:rPr>
                <w:sz w:val="18"/>
                <w:szCs w:val="18"/>
              </w:rPr>
              <w:t>vulnerable and disadvantaged groups</w:t>
            </w:r>
            <w:r w:rsidR="00B32B7A" w:rsidRPr="00974FC2">
              <w:rPr>
                <w:sz w:val="18"/>
                <w:szCs w:val="18"/>
              </w:rPr>
              <w:t>.</w:t>
            </w:r>
            <w:r w:rsidR="00171795" w:rsidRPr="00974FC2">
              <w:rPr>
                <w:sz w:val="18"/>
                <w:szCs w:val="18"/>
              </w:rPr>
              <w:t xml:space="preserve"> </w:t>
            </w:r>
            <w:r w:rsidR="00B32B7A" w:rsidRPr="00974FC2">
              <w:rPr>
                <w:b/>
                <w:sz w:val="18"/>
                <w:szCs w:val="18"/>
              </w:rPr>
              <w:t>Target:</w:t>
            </w:r>
            <w:r w:rsidR="00B32B7A" w:rsidRPr="00974FC2">
              <w:rPr>
                <w:sz w:val="18"/>
                <w:szCs w:val="18"/>
              </w:rPr>
              <w:t xml:space="preserve"> </w:t>
            </w:r>
            <w:r w:rsidR="00C24BC7" w:rsidRPr="00974FC2">
              <w:rPr>
                <w:sz w:val="18"/>
                <w:szCs w:val="18"/>
              </w:rPr>
              <w:t>E</w:t>
            </w:r>
            <w:r w:rsidR="00B32B7A" w:rsidRPr="00974FC2">
              <w:rPr>
                <w:sz w:val="18"/>
                <w:szCs w:val="18"/>
              </w:rPr>
              <w:t xml:space="preserve">ffective pro-poor and sustainable financial and </w:t>
            </w:r>
            <w:r w:rsidR="00FF1A50" w:rsidRPr="00974FC2">
              <w:rPr>
                <w:sz w:val="18"/>
                <w:szCs w:val="18"/>
              </w:rPr>
              <w:t>technical s</w:t>
            </w:r>
            <w:r w:rsidR="00B32B7A" w:rsidRPr="00974FC2">
              <w:rPr>
                <w:sz w:val="18"/>
                <w:szCs w:val="18"/>
              </w:rPr>
              <w:t>upport mechanisms established.</w:t>
            </w:r>
          </w:p>
          <w:p w:rsidR="00B32B7A" w:rsidRPr="00974FC2" w:rsidRDefault="003813ED" w:rsidP="0033241B">
            <w:pPr>
              <w:ind w:left="72"/>
              <w:rPr>
                <w:b/>
                <w:sz w:val="18"/>
                <w:szCs w:val="18"/>
              </w:rPr>
            </w:pPr>
            <w:r w:rsidRPr="00974FC2">
              <w:rPr>
                <w:b/>
                <w:sz w:val="18"/>
                <w:szCs w:val="18"/>
              </w:rPr>
              <w:t>Indicator:</w:t>
            </w:r>
            <w:r w:rsidRPr="00974FC2">
              <w:rPr>
                <w:sz w:val="18"/>
                <w:szCs w:val="18"/>
              </w:rPr>
              <w:t xml:space="preserve"> </w:t>
            </w:r>
            <w:r w:rsidR="00CC0D8E" w:rsidRPr="00974FC2">
              <w:rPr>
                <w:sz w:val="18"/>
                <w:szCs w:val="18"/>
              </w:rPr>
              <w:t>C</w:t>
            </w:r>
            <w:r w:rsidRPr="00974FC2">
              <w:rPr>
                <w:sz w:val="18"/>
                <w:szCs w:val="18"/>
              </w:rPr>
              <w:t>apacity</w:t>
            </w:r>
            <w:r w:rsidR="00CC0D8E" w:rsidRPr="00974FC2">
              <w:rPr>
                <w:sz w:val="18"/>
                <w:szCs w:val="18"/>
              </w:rPr>
              <w:t>-</w:t>
            </w:r>
            <w:r w:rsidRPr="00974FC2">
              <w:rPr>
                <w:sz w:val="18"/>
                <w:szCs w:val="18"/>
              </w:rPr>
              <w:t>strengthening programme implemented</w:t>
            </w:r>
            <w:r w:rsidR="00B32B7A" w:rsidRPr="00974FC2">
              <w:rPr>
                <w:sz w:val="18"/>
                <w:szCs w:val="18"/>
              </w:rPr>
              <w:t xml:space="preserve">. </w:t>
            </w:r>
            <w:r w:rsidRPr="00974FC2">
              <w:rPr>
                <w:b/>
                <w:sz w:val="18"/>
                <w:szCs w:val="18"/>
              </w:rPr>
              <w:t>Baseline:</w:t>
            </w:r>
            <w:r w:rsidRPr="00974FC2">
              <w:rPr>
                <w:sz w:val="18"/>
                <w:szCs w:val="18"/>
              </w:rPr>
              <w:t xml:space="preserve"> </w:t>
            </w:r>
            <w:r w:rsidR="00C24BC7" w:rsidRPr="00974FC2">
              <w:rPr>
                <w:sz w:val="18"/>
                <w:szCs w:val="18"/>
              </w:rPr>
              <w:t>W</w:t>
            </w:r>
            <w:r w:rsidRPr="00974FC2">
              <w:rPr>
                <w:sz w:val="18"/>
                <w:szCs w:val="18"/>
              </w:rPr>
              <w:t>eak national capacities in pro-poor policy formulation, programming and budgeting</w:t>
            </w:r>
            <w:r w:rsidR="00B32B7A" w:rsidRPr="00974FC2">
              <w:rPr>
                <w:sz w:val="18"/>
                <w:szCs w:val="18"/>
              </w:rPr>
              <w:t xml:space="preserve">. </w:t>
            </w:r>
            <w:r w:rsidR="00B32B7A" w:rsidRPr="00974FC2">
              <w:rPr>
                <w:b/>
                <w:sz w:val="18"/>
                <w:szCs w:val="18"/>
              </w:rPr>
              <w:t>Target:</w:t>
            </w:r>
            <w:r w:rsidR="00B32B7A" w:rsidRPr="00974FC2">
              <w:rPr>
                <w:sz w:val="18"/>
                <w:szCs w:val="18"/>
              </w:rPr>
              <w:t xml:space="preserve"> </w:t>
            </w:r>
            <w:r w:rsidR="00C24BC7" w:rsidRPr="00974FC2">
              <w:rPr>
                <w:sz w:val="18"/>
                <w:szCs w:val="18"/>
              </w:rPr>
              <w:t>N</w:t>
            </w:r>
            <w:r w:rsidR="00B32B7A" w:rsidRPr="00974FC2">
              <w:rPr>
                <w:sz w:val="18"/>
                <w:szCs w:val="18"/>
              </w:rPr>
              <w:t xml:space="preserve">ational </w:t>
            </w:r>
            <w:r w:rsidR="00B91154" w:rsidRPr="00974FC2">
              <w:rPr>
                <w:sz w:val="18"/>
                <w:szCs w:val="18"/>
              </w:rPr>
              <w:t>MDG</w:t>
            </w:r>
            <w:r w:rsidR="00FF1A50" w:rsidRPr="00974FC2">
              <w:rPr>
                <w:sz w:val="18"/>
                <w:szCs w:val="18"/>
              </w:rPr>
              <w:t>s</w:t>
            </w:r>
            <w:r w:rsidR="00B91154" w:rsidRPr="00974FC2">
              <w:rPr>
                <w:sz w:val="18"/>
                <w:szCs w:val="18"/>
              </w:rPr>
              <w:t xml:space="preserve"> and </w:t>
            </w:r>
            <w:r w:rsidR="00B32B7A" w:rsidRPr="00974FC2">
              <w:rPr>
                <w:sz w:val="18"/>
                <w:szCs w:val="18"/>
              </w:rPr>
              <w:t>poverty strategies</w:t>
            </w:r>
            <w:r w:rsidR="00B91154" w:rsidRPr="00974FC2">
              <w:rPr>
                <w:sz w:val="18"/>
                <w:szCs w:val="18"/>
              </w:rPr>
              <w:t xml:space="preserve"> developed.</w:t>
            </w:r>
          </w:p>
          <w:p w:rsidR="00835ABE" w:rsidRPr="00974FC2" w:rsidRDefault="00835ABE" w:rsidP="00835ABE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9E2" w:rsidRPr="00974FC2" w:rsidRDefault="005B3DCE" w:rsidP="0033241B">
            <w:pPr>
              <w:ind w:left="72"/>
              <w:rPr>
                <w:rFonts w:cs="Calibri"/>
                <w:color w:val="000000"/>
                <w:sz w:val="18"/>
                <w:szCs w:val="18"/>
                <w:lang w:eastAsia="es-CO"/>
              </w:rPr>
            </w:pPr>
            <w:r w:rsidRPr="00974FC2">
              <w:rPr>
                <w:sz w:val="18"/>
                <w:szCs w:val="18"/>
              </w:rPr>
              <w:t>S</w:t>
            </w:r>
            <w:r w:rsidR="00343364" w:rsidRPr="00974FC2">
              <w:rPr>
                <w:sz w:val="18"/>
                <w:szCs w:val="18"/>
              </w:rPr>
              <w:t xml:space="preserve">kills training, productivity-enhancing initiatives, </w:t>
            </w:r>
            <w:r w:rsidR="00B91154" w:rsidRPr="00974FC2">
              <w:rPr>
                <w:sz w:val="18"/>
                <w:szCs w:val="18"/>
              </w:rPr>
              <w:t xml:space="preserve">youth, </w:t>
            </w:r>
            <w:r w:rsidR="00343364" w:rsidRPr="00974FC2">
              <w:rPr>
                <w:sz w:val="18"/>
                <w:szCs w:val="18"/>
              </w:rPr>
              <w:t xml:space="preserve">employment </w:t>
            </w:r>
            <w:proofErr w:type="spellStart"/>
            <w:r w:rsidR="00343364" w:rsidRPr="00974FC2">
              <w:rPr>
                <w:sz w:val="18"/>
                <w:szCs w:val="18"/>
              </w:rPr>
              <w:t>programmes</w:t>
            </w:r>
            <w:proofErr w:type="spellEnd"/>
            <w:r w:rsidR="003753E4" w:rsidRPr="00974FC2">
              <w:rPr>
                <w:sz w:val="18"/>
                <w:szCs w:val="18"/>
              </w:rPr>
              <w:t xml:space="preserve"> and</w:t>
            </w:r>
            <w:r w:rsidR="00343364" w:rsidRPr="00974FC2">
              <w:rPr>
                <w:sz w:val="18"/>
                <w:szCs w:val="18"/>
              </w:rPr>
              <w:t xml:space="preserve"> </w:t>
            </w:r>
            <w:r w:rsidR="00B57594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s</w:t>
            </w:r>
            <w:r w:rsidR="004859E2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ocial</w:t>
            </w:r>
            <w:r w:rsidR="00FF1A50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-</w:t>
            </w:r>
            <w:r w:rsidR="004859E2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 xml:space="preserve">housing </w:t>
            </w:r>
            <w:proofErr w:type="spellStart"/>
            <w:r w:rsidR="004859E2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program</w:t>
            </w:r>
            <w:r w:rsidR="00B57594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me</w:t>
            </w:r>
            <w:r w:rsidR="004859E2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s</w:t>
            </w:r>
            <w:proofErr w:type="spellEnd"/>
            <w:r w:rsidR="00B91154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>.</w:t>
            </w:r>
            <w:r w:rsidR="004859E2" w:rsidRPr="00974FC2">
              <w:rPr>
                <w:rFonts w:cs="Calibri"/>
                <w:color w:val="000000"/>
                <w:sz w:val="18"/>
                <w:szCs w:val="18"/>
                <w:lang w:eastAsia="es-CO"/>
              </w:rPr>
              <w:t xml:space="preserve"> </w:t>
            </w:r>
          </w:p>
          <w:p w:rsidR="004859E2" w:rsidRPr="00974FC2" w:rsidRDefault="004859E2" w:rsidP="0033241B">
            <w:pPr>
              <w:ind w:left="72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sz w:val="18"/>
                <w:szCs w:val="18"/>
              </w:rPr>
              <w:t xml:space="preserve">MDG </w:t>
            </w:r>
            <w:r w:rsidR="00B57594" w:rsidRPr="00974FC2">
              <w:rPr>
                <w:sz w:val="18"/>
                <w:szCs w:val="18"/>
              </w:rPr>
              <w:t>acceleration strate</w:t>
            </w:r>
            <w:r w:rsidRPr="00974FC2">
              <w:rPr>
                <w:sz w:val="18"/>
                <w:szCs w:val="18"/>
              </w:rPr>
              <w:t>gy</w:t>
            </w:r>
            <w:r w:rsidR="00FF1A50" w:rsidRPr="00974FC2">
              <w:rPr>
                <w:sz w:val="18"/>
                <w:szCs w:val="18"/>
              </w:rPr>
              <w:t>,</w:t>
            </w:r>
            <w:r w:rsidRPr="00974FC2">
              <w:rPr>
                <w:sz w:val="18"/>
                <w:szCs w:val="18"/>
              </w:rPr>
              <w:t xml:space="preserve"> particularly </w:t>
            </w:r>
            <w:r w:rsidR="00FF1A50" w:rsidRPr="00974FC2">
              <w:rPr>
                <w:sz w:val="18"/>
                <w:szCs w:val="18"/>
              </w:rPr>
              <w:t>for</w:t>
            </w:r>
            <w:r w:rsidRPr="00974FC2">
              <w:rPr>
                <w:sz w:val="18"/>
                <w:szCs w:val="18"/>
              </w:rPr>
              <w:t xml:space="preserve"> lagging MDGs</w:t>
            </w:r>
            <w:r w:rsidR="00B91154" w:rsidRPr="00974FC2">
              <w:rPr>
                <w:sz w:val="18"/>
                <w:szCs w:val="18"/>
              </w:rPr>
              <w:t>.</w:t>
            </w:r>
            <w:r w:rsidRPr="00974F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D336C" w:rsidRPr="00974FC2" w:rsidRDefault="004D336C" w:rsidP="0033241B">
            <w:pPr>
              <w:ind w:left="72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Regular</w:t>
            </w:r>
            <w:r w:rsidR="00B91154" w:rsidRPr="00974FC2">
              <w:rPr>
                <w:b/>
                <w:color w:val="000000"/>
                <w:sz w:val="18"/>
                <w:szCs w:val="18"/>
              </w:rPr>
              <w:t>:</w:t>
            </w:r>
            <w:r w:rsidR="004E4AE7" w:rsidRPr="00974FC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5819" w:rsidRPr="00974FC2">
              <w:rPr>
                <w:b/>
                <w:color w:val="000000"/>
                <w:sz w:val="18"/>
                <w:szCs w:val="18"/>
              </w:rPr>
              <w:t>200</w:t>
            </w:r>
            <w:r w:rsidR="004E4AE7" w:rsidRPr="00974FC2">
              <w:rPr>
                <w:b/>
                <w:color w:val="000000"/>
                <w:sz w:val="18"/>
                <w:szCs w:val="18"/>
              </w:rPr>
              <w:t>,000</w:t>
            </w:r>
          </w:p>
          <w:p w:rsidR="004D336C" w:rsidRPr="00974FC2" w:rsidRDefault="004D336C" w:rsidP="0033241B">
            <w:pPr>
              <w:ind w:left="72"/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4D336C" w:rsidRPr="00974FC2" w:rsidTr="00634F8A">
        <w:trPr>
          <w:trHeight w:val="570"/>
        </w:trPr>
        <w:tc>
          <w:tcPr>
            <w:tcW w:w="725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336C" w:rsidRPr="00974FC2" w:rsidRDefault="004D336C" w:rsidP="00B67527">
            <w:pPr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6C" w:rsidRPr="00974FC2" w:rsidRDefault="004D336C" w:rsidP="00B67527">
            <w:pPr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6C" w:rsidRPr="00974FC2" w:rsidRDefault="004D336C" w:rsidP="00B67527">
            <w:pPr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6C" w:rsidRPr="00974FC2" w:rsidRDefault="004D336C" w:rsidP="00B67527">
            <w:pPr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6C" w:rsidRPr="00974FC2" w:rsidRDefault="004D336C" w:rsidP="00B67527">
            <w:pPr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D18B4" w:rsidRPr="00974FC2" w:rsidRDefault="004D336C" w:rsidP="0033241B">
            <w:pPr>
              <w:ind w:left="72"/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Other</w:t>
            </w:r>
            <w:r w:rsidR="00B91154" w:rsidRPr="00974FC2">
              <w:rPr>
                <w:b/>
                <w:color w:val="000000"/>
                <w:sz w:val="18"/>
                <w:szCs w:val="18"/>
              </w:rPr>
              <w:t>:</w:t>
            </w:r>
            <w:r w:rsidR="004E4AE7" w:rsidRPr="00974FC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C15F49" w:rsidRPr="00974FC2">
              <w:rPr>
                <w:b/>
                <w:color w:val="000000"/>
                <w:sz w:val="18"/>
                <w:szCs w:val="18"/>
              </w:rPr>
              <w:t xml:space="preserve">Government </w:t>
            </w:r>
            <w:r w:rsidR="002D18B4" w:rsidRPr="00974FC2">
              <w:rPr>
                <w:b/>
                <w:color w:val="000000"/>
                <w:sz w:val="18"/>
                <w:szCs w:val="18"/>
              </w:rPr>
              <w:t>cost-sharing</w:t>
            </w:r>
            <w:r w:rsidR="00C15F49" w:rsidRPr="00974FC2">
              <w:rPr>
                <w:b/>
                <w:color w:val="000000"/>
                <w:sz w:val="18"/>
                <w:szCs w:val="18"/>
              </w:rPr>
              <w:t>:</w:t>
            </w:r>
          </w:p>
          <w:p w:rsidR="004D336C" w:rsidRPr="00974FC2" w:rsidRDefault="004E4AE7" w:rsidP="0033241B">
            <w:pPr>
              <w:ind w:left="72"/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500,000</w:t>
            </w:r>
          </w:p>
          <w:p w:rsidR="00C15F49" w:rsidRPr="00974FC2" w:rsidRDefault="00C15F49" w:rsidP="0033241B">
            <w:pPr>
              <w:ind w:left="72"/>
              <w:rPr>
                <w:b/>
                <w:color w:val="000000"/>
                <w:sz w:val="18"/>
                <w:szCs w:val="18"/>
              </w:rPr>
            </w:pPr>
          </w:p>
          <w:p w:rsidR="002D18B4" w:rsidRPr="00974FC2" w:rsidRDefault="00C15F49" w:rsidP="0033241B">
            <w:pPr>
              <w:ind w:left="72"/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Third</w:t>
            </w:r>
            <w:r w:rsidR="002D18B4" w:rsidRPr="00974FC2">
              <w:rPr>
                <w:b/>
                <w:color w:val="000000"/>
                <w:sz w:val="18"/>
                <w:szCs w:val="18"/>
              </w:rPr>
              <w:t xml:space="preserve"> P</w:t>
            </w:r>
            <w:r w:rsidRPr="00974FC2">
              <w:rPr>
                <w:b/>
                <w:color w:val="000000"/>
                <w:sz w:val="18"/>
                <w:szCs w:val="18"/>
              </w:rPr>
              <w:t xml:space="preserve">arty </w:t>
            </w:r>
            <w:r w:rsidR="002D18B4" w:rsidRPr="00974FC2">
              <w:rPr>
                <w:b/>
                <w:color w:val="000000"/>
                <w:sz w:val="18"/>
                <w:szCs w:val="18"/>
              </w:rPr>
              <w:t>cost-sharing</w:t>
            </w:r>
            <w:r w:rsidRPr="00974FC2">
              <w:rPr>
                <w:b/>
                <w:color w:val="000000"/>
                <w:sz w:val="18"/>
                <w:szCs w:val="18"/>
              </w:rPr>
              <w:t>:</w:t>
            </w:r>
          </w:p>
          <w:p w:rsidR="00C15F49" w:rsidRPr="00974FC2" w:rsidRDefault="00C15F49" w:rsidP="0033241B">
            <w:pPr>
              <w:ind w:left="72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1,000,000</w:t>
            </w:r>
          </w:p>
          <w:p w:rsidR="004D336C" w:rsidRPr="00974FC2" w:rsidRDefault="004D336C" w:rsidP="0033241B">
            <w:pPr>
              <w:ind w:left="72"/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67527" w:rsidRPr="00974FC2" w:rsidTr="00D2667D">
        <w:trPr>
          <w:trHeight w:val="15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8B2CAB" w:rsidP="00667FED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NATIONAL PRIORITY OR GOAL:</w:t>
            </w:r>
            <w:r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MDG-7: </w:t>
            </w:r>
            <w:r w:rsidR="00667FED" w:rsidRPr="00974FC2">
              <w:rPr>
                <w:bCs/>
                <w:color w:val="000000"/>
                <w:sz w:val="18"/>
                <w:szCs w:val="18"/>
                <w:lang w:val="en-GB"/>
              </w:rPr>
              <w:t>Ensuring environmentally sustainable development – sustainable e</w:t>
            </w:r>
            <w:r w:rsidR="00CA4747" w:rsidRPr="00974FC2">
              <w:rPr>
                <w:bCs/>
                <w:color w:val="000000"/>
                <w:sz w:val="18"/>
                <w:szCs w:val="18"/>
                <w:lang w:val="en-GB"/>
              </w:rPr>
              <w:t>nergy and</w:t>
            </w:r>
            <w:r w:rsidR="00171795" w:rsidRPr="00974FC2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667FED" w:rsidRPr="00974FC2">
              <w:rPr>
                <w:bCs/>
                <w:color w:val="000000"/>
                <w:sz w:val="18"/>
                <w:szCs w:val="18"/>
                <w:lang w:val="en-GB"/>
              </w:rPr>
              <w:t>green development</w:t>
            </w:r>
            <w:r w:rsidR="001E63B0" w:rsidRPr="00974FC2">
              <w:rPr>
                <w:bCs/>
                <w:color w:val="000000"/>
                <w:sz w:val="18"/>
                <w:szCs w:val="18"/>
                <w:lang w:val="en-GB"/>
              </w:rPr>
              <w:t>.</w:t>
            </w:r>
          </w:p>
        </w:tc>
      </w:tr>
      <w:tr w:rsidR="00B67527" w:rsidRPr="00974FC2" w:rsidTr="00634F8A">
        <w:trPr>
          <w:trHeight w:val="655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8B2CAB" w:rsidP="0033241B">
            <w:pPr>
              <w:jc w:val="both"/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COUNTRY PROGRAMME </w:t>
            </w:r>
            <w:r w:rsidRPr="00974FC2">
              <w:rPr>
                <w:b/>
                <w:sz w:val="18"/>
                <w:szCs w:val="18"/>
                <w:u w:val="single"/>
              </w:rPr>
              <w:t>Outcome Area 3</w:t>
            </w:r>
            <w:r w:rsidRPr="00974FC2">
              <w:rPr>
                <w:b/>
                <w:sz w:val="18"/>
                <w:szCs w:val="18"/>
              </w:rPr>
              <w:t xml:space="preserve">: </w:t>
            </w:r>
            <w:r w:rsidR="00111730" w:rsidRPr="00974FC2">
              <w:rPr>
                <w:sz w:val="18"/>
                <w:szCs w:val="18"/>
              </w:rPr>
              <w:t>I</w:t>
            </w:r>
            <w:r w:rsidR="006D5681" w:rsidRPr="00974FC2">
              <w:rPr>
                <w:sz w:val="18"/>
                <w:szCs w:val="18"/>
              </w:rPr>
              <w:t>nstitutional capacities, policy frameworks and competencies to promote environmentally sustainable development; adapt to and mitigate the impacts of climate change; and respond to natural disasters and hazards.</w:t>
            </w:r>
            <w:r w:rsidR="003753E4" w:rsidRPr="00974FC2">
              <w:rPr>
                <w:sz w:val="18"/>
                <w:szCs w:val="18"/>
              </w:rPr>
              <w:t xml:space="preserve"> 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Outcome indicator</w:t>
            </w:r>
            <w:r w:rsidR="003753E4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s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 w:rsidR="003753E4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# 1</w:t>
            </w:r>
            <w:r w:rsidR="00A75002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-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Existence of </w:t>
            </w:r>
            <w:r w:rsidRPr="00974FC2">
              <w:rPr>
                <w:sz w:val="18"/>
                <w:szCs w:val="18"/>
              </w:rPr>
              <w:t>institutional capacities, policy frameworks and competencies to promote environmentally sustainable production</w:t>
            </w:r>
            <w:r w:rsidR="003753E4" w:rsidRPr="00974FC2">
              <w:rPr>
                <w:color w:val="000000"/>
                <w:sz w:val="18"/>
                <w:szCs w:val="18"/>
                <w:lang w:val="en-GB"/>
              </w:rPr>
              <w:t xml:space="preserve">; </w:t>
            </w:r>
            <w:r w:rsidR="003753E4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# 2</w:t>
            </w:r>
            <w:r w:rsidR="00963BD8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-</w:t>
            </w:r>
            <w:r w:rsidR="00171795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% of </w:t>
            </w:r>
            <w:r w:rsidR="00B57594" w:rsidRPr="00974FC2">
              <w:rPr>
                <w:color w:val="000000"/>
                <w:sz w:val="18"/>
                <w:szCs w:val="18"/>
                <w:lang w:val="en-GB"/>
              </w:rPr>
              <w:t>targets in national biodiversity</w:t>
            </w:r>
            <w:r w:rsidR="0053520A" w:rsidRPr="00974FC2">
              <w:rPr>
                <w:color w:val="000000"/>
                <w:sz w:val="18"/>
                <w:szCs w:val="18"/>
                <w:lang w:val="en-GB"/>
              </w:rPr>
              <w:t xml:space="preserve"> and</w:t>
            </w:r>
            <w:r w:rsidR="00B57594" w:rsidRPr="00974FC2">
              <w:rPr>
                <w:color w:val="000000"/>
                <w:sz w:val="18"/>
                <w:szCs w:val="18"/>
                <w:lang w:val="en-GB"/>
              </w:rPr>
              <w:t xml:space="preserve"> climate change and sound chemical</w:t>
            </w:r>
            <w:r w:rsidR="0053520A" w:rsidRPr="00974FC2">
              <w:rPr>
                <w:color w:val="000000"/>
                <w:sz w:val="18"/>
                <w:szCs w:val="18"/>
                <w:lang w:val="en-GB"/>
              </w:rPr>
              <w:t>-</w:t>
            </w:r>
            <w:r w:rsidR="00B57594" w:rsidRPr="00974FC2">
              <w:rPr>
                <w:color w:val="000000"/>
                <w:sz w:val="18"/>
                <w:szCs w:val="18"/>
                <w:lang w:val="en-GB"/>
              </w:rPr>
              <w:t xml:space="preserve">management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plan</w:t>
            </w:r>
            <w:r w:rsidR="00963BD8" w:rsidRPr="00974FC2">
              <w:rPr>
                <w:color w:val="000000"/>
                <w:sz w:val="18"/>
                <w:szCs w:val="18"/>
                <w:lang w:val="en-GB"/>
              </w:rPr>
              <w:t>s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that are achieved</w:t>
            </w:r>
            <w:r w:rsidR="00B57594" w:rsidRPr="00974FC2">
              <w:rPr>
                <w:color w:val="000000"/>
                <w:sz w:val="18"/>
                <w:szCs w:val="18"/>
                <w:lang w:val="en-GB"/>
              </w:rPr>
              <w:t>;</w:t>
            </w:r>
            <w:r w:rsidR="003753E4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3753E4" w:rsidRPr="00974FC2">
              <w:rPr>
                <w:b/>
                <w:color w:val="000000"/>
                <w:sz w:val="18"/>
                <w:szCs w:val="18"/>
                <w:lang w:val="en-GB"/>
              </w:rPr>
              <w:t># 3</w:t>
            </w:r>
            <w:r w:rsidR="003753E4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963BD8" w:rsidRPr="00974FC2">
              <w:rPr>
                <w:color w:val="000000"/>
                <w:sz w:val="18"/>
                <w:szCs w:val="18"/>
                <w:lang w:val="en-GB"/>
              </w:rPr>
              <w:t xml:space="preserve">-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% of targets in policies</w:t>
            </w:r>
            <w:r w:rsidR="00963BD8" w:rsidRPr="00974FC2">
              <w:rPr>
                <w:color w:val="000000"/>
                <w:sz w:val="18"/>
                <w:szCs w:val="18"/>
                <w:lang w:val="en-GB"/>
              </w:rPr>
              <w:t xml:space="preserve"> and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action plans promoting </w:t>
            </w:r>
            <w:r w:rsidRPr="00974FC2">
              <w:rPr>
                <w:bCs/>
                <w:iCs/>
                <w:color w:val="000000"/>
                <w:sz w:val="18"/>
                <w:szCs w:val="18"/>
                <w:lang w:val="en-GB"/>
              </w:rPr>
              <w:t>stronger, more resilient hinterland and coastal communities</w:t>
            </w:r>
            <w:r w:rsidR="00963BD8" w:rsidRPr="00974FC2">
              <w:rPr>
                <w:bCs/>
                <w:iCs/>
                <w:color w:val="000000"/>
                <w:sz w:val="18"/>
                <w:szCs w:val="18"/>
                <w:lang w:val="en-GB"/>
              </w:rPr>
              <w:t>.</w:t>
            </w:r>
            <w:r w:rsidR="0053520A" w:rsidRPr="00974FC2">
              <w:rPr>
                <w:bCs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Related </w:t>
            </w:r>
            <w:r w:rsidR="00C94FF5"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>strategic plan</w:t>
            </w:r>
            <w:r w:rsidRPr="00974FC2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focus areas: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Energy and environment</w:t>
            </w:r>
          </w:p>
        </w:tc>
      </w:tr>
      <w:tr w:rsidR="00B67527" w:rsidRPr="00974FC2" w:rsidTr="00634F8A">
        <w:trPr>
          <w:trHeight w:val="1725"/>
        </w:trPr>
        <w:tc>
          <w:tcPr>
            <w:tcW w:w="73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8B2CAB" w:rsidP="000B2373">
            <w:pPr>
              <w:rPr>
                <w:b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By 2016, </w:t>
            </w:r>
            <w:r w:rsidR="001B2EB5" w:rsidRPr="00974FC2">
              <w:rPr>
                <w:color w:val="000000"/>
                <w:sz w:val="18"/>
                <w:szCs w:val="18"/>
                <w:lang w:val="en-GB"/>
              </w:rPr>
              <w:t>G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overnment will put in place </w:t>
            </w:r>
            <w:r w:rsidRPr="00974FC2">
              <w:rPr>
                <w:sz w:val="18"/>
                <w:szCs w:val="18"/>
              </w:rPr>
              <w:t>capacities</w:t>
            </w:r>
            <w:r w:rsidR="00F24147" w:rsidRPr="00974FC2">
              <w:rPr>
                <w:sz w:val="18"/>
                <w:szCs w:val="18"/>
              </w:rPr>
              <w:t xml:space="preserve"> and</w:t>
            </w:r>
            <w:r w:rsidR="00963BD8" w:rsidRPr="00974FC2">
              <w:rPr>
                <w:sz w:val="18"/>
                <w:szCs w:val="18"/>
              </w:rPr>
              <w:t xml:space="preserve"> </w:t>
            </w:r>
            <w:r w:rsidRPr="00974FC2">
              <w:rPr>
                <w:sz w:val="18"/>
                <w:szCs w:val="18"/>
              </w:rPr>
              <w:t xml:space="preserve">policy frameworks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for participatory</w:t>
            </w:r>
            <w:r w:rsidR="00570839" w:rsidRPr="00974FC2">
              <w:rPr>
                <w:color w:val="000000"/>
                <w:sz w:val="18"/>
                <w:szCs w:val="18"/>
                <w:lang w:val="en-GB"/>
              </w:rPr>
              <w:t>,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</w:rPr>
              <w:t xml:space="preserve">environmentally sustainable production </w:t>
            </w:r>
            <w:r w:rsidR="00963BD8" w:rsidRPr="00974FC2">
              <w:rPr>
                <w:color w:val="000000"/>
                <w:sz w:val="18"/>
                <w:szCs w:val="18"/>
              </w:rPr>
              <w:t>s</w:t>
            </w:r>
            <w:r w:rsidRPr="00974FC2">
              <w:rPr>
                <w:color w:val="000000"/>
                <w:sz w:val="18"/>
                <w:szCs w:val="18"/>
              </w:rPr>
              <w:t xml:space="preserve">ystems and </w:t>
            </w:r>
            <w:r w:rsidRPr="00974FC2">
              <w:rPr>
                <w:sz w:val="18"/>
                <w:szCs w:val="18"/>
              </w:rPr>
              <w:t>empower communities to respond to natural disasters and hazards</w:t>
            </w:r>
            <w:r w:rsidR="00B91154" w:rsidRPr="00974FC2">
              <w:rPr>
                <w:sz w:val="18"/>
                <w:szCs w:val="18"/>
              </w:rPr>
              <w:t>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2CAB" w:rsidRPr="00974FC2" w:rsidRDefault="00DD4BFB" w:rsidP="000B2373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>D</w:t>
            </w:r>
            <w:proofErr w:type="spellStart"/>
            <w:r w:rsidRPr="00974FC2">
              <w:rPr>
                <w:color w:val="000000"/>
                <w:sz w:val="18"/>
                <w:szCs w:val="18"/>
              </w:rPr>
              <w:t>onor</w:t>
            </w:r>
            <w:proofErr w:type="spellEnd"/>
            <w:r w:rsidRPr="00974FC2">
              <w:rPr>
                <w:color w:val="000000"/>
                <w:sz w:val="18"/>
                <w:szCs w:val="18"/>
              </w:rPr>
              <w:t xml:space="preserve"> coordination group on environment will mobilize and coordinate technical and financial resources with special emphasis on vulnerable communities</w:t>
            </w:r>
            <w:r w:rsidR="00570839" w:rsidRPr="00974FC2">
              <w:rPr>
                <w:color w:val="000000"/>
                <w:sz w:val="18"/>
                <w:szCs w:val="18"/>
              </w:rPr>
              <w:t>.</w:t>
            </w:r>
            <w:r w:rsidR="008B2CAB" w:rsidRPr="00974FC2">
              <w:rPr>
                <w:color w:val="000000"/>
                <w:sz w:val="18"/>
                <w:szCs w:val="18"/>
              </w:rPr>
              <w:t xml:space="preserve"> University of Suriname will promote economic environmental costing analysis</w:t>
            </w:r>
            <w:r w:rsidR="00B91154" w:rsidRPr="00974FC2">
              <w:rPr>
                <w:color w:val="000000"/>
                <w:sz w:val="18"/>
                <w:szCs w:val="18"/>
              </w:rPr>
              <w:t>.</w:t>
            </w:r>
          </w:p>
          <w:p w:rsidR="00B67527" w:rsidRPr="00974FC2" w:rsidRDefault="00B67527" w:rsidP="000B2373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713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7F7C" w:rsidRPr="00974FC2" w:rsidRDefault="00570839" w:rsidP="000B2373">
            <w:pPr>
              <w:rPr>
                <w:b/>
                <w:sz w:val="18"/>
                <w:szCs w:val="18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>S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upport </w:t>
            </w:r>
            <w:r w:rsidR="002C21FD" w:rsidRPr="00974FC2">
              <w:rPr>
                <w:color w:val="000000"/>
                <w:sz w:val="18"/>
                <w:szCs w:val="18"/>
                <w:lang w:val="en-GB"/>
              </w:rPr>
              <w:t xml:space="preserve">preparation of </w:t>
            </w:r>
            <w:r w:rsidR="00A75002" w:rsidRPr="00974FC2">
              <w:rPr>
                <w:color w:val="000000"/>
                <w:sz w:val="18"/>
                <w:szCs w:val="18"/>
                <w:lang w:val="en-GB"/>
              </w:rPr>
              <w:t>gender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-</w:t>
            </w:r>
            <w:r w:rsidR="00A75002" w:rsidRPr="00974FC2">
              <w:rPr>
                <w:color w:val="000000"/>
                <w:sz w:val="18"/>
                <w:szCs w:val="18"/>
                <w:lang w:val="en-GB"/>
              </w:rPr>
              <w:t xml:space="preserve">sensitive </w:t>
            </w:r>
            <w:r w:rsidR="002C21FD" w:rsidRPr="00974FC2">
              <w:rPr>
                <w:color w:val="000000"/>
                <w:sz w:val="18"/>
                <w:szCs w:val="18"/>
                <w:lang w:val="en-GB"/>
              </w:rPr>
              <w:t xml:space="preserve">action plans </w:t>
            </w:r>
            <w:r w:rsidR="008B2CAB" w:rsidRPr="00974FC2">
              <w:rPr>
                <w:color w:val="000000"/>
                <w:sz w:val="18"/>
                <w:szCs w:val="18"/>
                <w:lang w:val="en-GB"/>
              </w:rPr>
              <w:t xml:space="preserve">and </w:t>
            </w:r>
            <w:r w:rsidR="00A75002" w:rsidRPr="00974FC2">
              <w:rPr>
                <w:color w:val="000000"/>
                <w:sz w:val="18"/>
                <w:szCs w:val="18"/>
                <w:lang w:val="en-GB"/>
              </w:rPr>
              <w:t>programmes; and</w:t>
            </w:r>
            <w:r w:rsidR="00171795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2C21FD" w:rsidRPr="00974FC2">
              <w:rPr>
                <w:color w:val="000000"/>
                <w:sz w:val="18"/>
                <w:szCs w:val="18"/>
                <w:lang w:val="en-GB"/>
              </w:rPr>
              <w:t>capacity building for sustainable development and external negotiations on climate change and financing.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2CAB" w:rsidRPr="00974FC2" w:rsidRDefault="008B2CAB" w:rsidP="000B2373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Indicator: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CC0D8E" w:rsidRPr="00974FC2">
              <w:rPr>
                <w:color w:val="000000"/>
                <w:sz w:val="18"/>
                <w:szCs w:val="18"/>
                <w:lang w:val="en-GB"/>
              </w:rPr>
              <w:t>I</w:t>
            </w:r>
            <w:proofErr w:type="spellStart"/>
            <w:r w:rsidRPr="00974FC2">
              <w:rPr>
                <w:sz w:val="18"/>
                <w:szCs w:val="18"/>
              </w:rPr>
              <w:t>nstitutional</w:t>
            </w:r>
            <w:proofErr w:type="spellEnd"/>
            <w:r w:rsidRPr="00974FC2">
              <w:rPr>
                <w:sz w:val="18"/>
                <w:szCs w:val="18"/>
              </w:rPr>
              <w:t xml:space="preserve"> capacities, policy frameworks </w:t>
            </w:r>
            <w:r w:rsidR="00A75002" w:rsidRPr="00974FC2">
              <w:rPr>
                <w:sz w:val="18"/>
                <w:szCs w:val="18"/>
              </w:rPr>
              <w:t>for</w:t>
            </w:r>
            <w:r w:rsidRPr="00974FC2">
              <w:rPr>
                <w:sz w:val="18"/>
                <w:szCs w:val="18"/>
              </w:rPr>
              <w:t xml:space="preserve"> sustainable </w:t>
            </w:r>
            <w:r w:rsidR="005B3DCE" w:rsidRPr="00974FC2">
              <w:rPr>
                <w:color w:val="000000"/>
                <w:sz w:val="18"/>
                <w:szCs w:val="18"/>
                <w:lang w:val="en-GB"/>
              </w:rPr>
              <w:t>d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evelopment.</w:t>
            </w:r>
            <w:r w:rsidRPr="00974FC2">
              <w:rPr>
                <w:color w:val="000000"/>
                <w:sz w:val="18"/>
                <w:szCs w:val="18"/>
              </w:rPr>
              <w:t xml:space="preserve"> </w:t>
            </w:r>
          </w:p>
          <w:p w:rsidR="008B2CAB" w:rsidRPr="00974FC2" w:rsidRDefault="008B2CAB" w:rsidP="000B2373">
            <w:pPr>
              <w:rPr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Baseline: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CC0D8E" w:rsidRPr="00974FC2">
              <w:rPr>
                <w:color w:val="000000"/>
                <w:sz w:val="18"/>
                <w:szCs w:val="18"/>
                <w:lang w:val="en-GB"/>
              </w:rPr>
              <w:t>N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o national policy or plan</w:t>
            </w:r>
            <w:r w:rsidR="00A75002" w:rsidRPr="00974FC2">
              <w:rPr>
                <w:color w:val="000000"/>
                <w:sz w:val="18"/>
                <w:szCs w:val="18"/>
                <w:lang w:val="en-GB"/>
              </w:rPr>
              <w:t xml:space="preserve">.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Target: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CC0D8E" w:rsidRPr="00974FC2">
              <w:rPr>
                <w:color w:val="000000"/>
                <w:sz w:val="18"/>
                <w:szCs w:val="18"/>
                <w:lang w:val="en-GB"/>
              </w:rPr>
              <w:t>G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>reen economic dev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elopment </w:t>
            </w:r>
            <w:r w:rsidR="00087500" w:rsidRPr="00974FC2">
              <w:rPr>
                <w:color w:val="000000"/>
                <w:sz w:val="18"/>
                <w:szCs w:val="18"/>
                <w:lang w:val="en-GB"/>
              </w:rPr>
              <w:t>plan by 2012</w:t>
            </w:r>
            <w:r w:rsidR="00A75002" w:rsidRPr="00974FC2">
              <w:rPr>
                <w:color w:val="000000"/>
                <w:sz w:val="18"/>
                <w:szCs w:val="18"/>
                <w:lang w:val="en-GB"/>
              </w:rPr>
              <w:t>.</w:t>
            </w:r>
          </w:p>
          <w:p w:rsidR="008B2CAB" w:rsidRPr="00974FC2" w:rsidRDefault="008B2CAB" w:rsidP="000B2373">
            <w:pPr>
              <w:rPr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 xml:space="preserve">Indicator: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% of targ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>ets in biodiversity, climate and chemical ma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nagement plan</w:t>
            </w:r>
            <w:r w:rsidR="003753E4" w:rsidRPr="00974FC2">
              <w:rPr>
                <w:color w:val="000000"/>
                <w:sz w:val="18"/>
                <w:szCs w:val="18"/>
                <w:lang w:val="en-GB"/>
              </w:rPr>
              <w:t>s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achieved</w:t>
            </w:r>
            <w:r w:rsidR="00087500" w:rsidRPr="00974FC2">
              <w:rPr>
                <w:color w:val="000000"/>
                <w:sz w:val="18"/>
                <w:szCs w:val="18"/>
                <w:lang w:val="en-GB"/>
              </w:rPr>
              <w:t xml:space="preserve">.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Baseline: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CC0D8E" w:rsidRPr="00974FC2">
              <w:rPr>
                <w:color w:val="000000"/>
                <w:sz w:val="18"/>
                <w:szCs w:val="18"/>
                <w:lang w:val="en-GB"/>
              </w:rPr>
              <w:t>B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>iodiversity and climate plans are being prepared</w:t>
            </w:r>
            <w:r w:rsidR="00C24BC7" w:rsidRPr="00974FC2">
              <w:rPr>
                <w:color w:val="000000"/>
                <w:sz w:val="18"/>
                <w:szCs w:val="18"/>
                <w:lang w:val="en-GB"/>
              </w:rPr>
              <w:t>;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 xml:space="preserve"> no chemical management plan.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Target:</w:t>
            </w:r>
            <w:r w:rsidR="00171795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50% by 2016</w:t>
            </w:r>
            <w:r w:rsidR="00B91154" w:rsidRPr="00974FC2">
              <w:rPr>
                <w:color w:val="000000"/>
                <w:sz w:val="18"/>
                <w:szCs w:val="18"/>
              </w:rPr>
              <w:t>.</w:t>
            </w:r>
          </w:p>
          <w:p w:rsidR="00B67527" w:rsidRPr="00974FC2" w:rsidRDefault="008B2CAB" w:rsidP="000B2373">
            <w:pPr>
              <w:rPr>
                <w:b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Indicator: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% of targets </w:t>
            </w:r>
            <w:r w:rsidR="003753E4" w:rsidRPr="00974FC2">
              <w:rPr>
                <w:color w:val="000000"/>
                <w:sz w:val="18"/>
                <w:szCs w:val="18"/>
                <w:lang w:val="en-GB"/>
              </w:rPr>
              <w:t>implemented for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bookmarkStart w:id="0" w:name="_Toc120086598"/>
            <w:r w:rsidRPr="00974FC2">
              <w:rPr>
                <w:bCs/>
                <w:iCs/>
                <w:color w:val="000000"/>
                <w:sz w:val="18"/>
                <w:szCs w:val="18"/>
                <w:lang w:val="en-GB"/>
              </w:rPr>
              <w:t>more resilient hinterland and coastal communities</w:t>
            </w:r>
            <w:bookmarkEnd w:id="0"/>
            <w:r w:rsidR="00087500" w:rsidRPr="00974FC2">
              <w:rPr>
                <w:bCs/>
                <w:iCs/>
                <w:color w:val="000000"/>
                <w:sz w:val="18"/>
                <w:szCs w:val="18"/>
                <w:lang w:val="en-GB"/>
              </w:rPr>
              <w:t xml:space="preserve">.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Baseline: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C24BC7" w:rsidRPr="00974FC2">
              <w:rPr>
                <w:color w:val="000000"/>
                <w:sz w:val="18"/>
                <w:szCs w:val="18"/>
                <w:lang w:val="en-GB"/>
              </w:rPr>
              <w:t xml:space="preserve">Early </w:t>
            </w:r>
            <w:r w:rsidR="00431A9D" w:rsidRPr="00974FC2">
              <w:rPr>
                <w:color w:val="000000"/>
                <w:sz w:val="18"/>
                <w:szCs w:val="18"/>
                <w:lang w:val="en-GB"/>
              </w:rPr>
              <w:t>recovery strategy and action plan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</w:rPr>
              <w:t>drafted</w:t>
            </w:r>
            <w:r w:rsidR="00087500" w:rsidRPr="00974FC2">
              <w:rPr>
                <w:color w:val="000000"/>
                <w:sz w:val="18"/>
                <w:szCs w:val="18"/>
              </w:rPr>
              <w:t xml:space="preserve">. </w:t>
            </w:r>
            <w:r w:rsidRPr="00974FC2">
              <w:rPr>
                <w:b/>
                <w:color w:val="000000"/>
                <w:sz w:val="18"/>
                <w:szCs w:val="18"/>
                <w:lang w:val="en-GB"/>
              </w:rPr>
              <w:t>Target: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50% </w:t>
            </w:r>
            <w:r w:rsidR="004E4AE7" w:rsidRPr="00974FC2">
              <w:rPr>
                <w:color w:val="000000"/>
                <w:sz w:val="18"/>
                <w:szCs w:val="18"/>
                <w:lang w:val="en-GB"/>
              </w:rPr>
              <w:t xml:space="preserve">of plan implemented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by 2016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8B2CAB" w:rsidP="004B4A49">
            <w:pPr>
              <w:rPr>
                <w:b/>
                <w:color w:val="000000"/>
                <w:sz w:val="18"/>
                <w:szCs w:val="18"/>
                <w:lang w:val="en-GB"/>
              </w:rPr>
            </w:pP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Environmental policies </w:t>
            </w:r>
            <w:r w:rsidR="00087500" w:rsidRPr="00974FC2">
              <w:rPr>
                <w:color w:val="000000"/>
                <w:sz w:val="18"/>
                <w:szCs w:val="18"/>
                <w:lang w:val="en-GB"/>
              </w:rPr>
              <w:t xml:space="preserve">integrated </w:t>
            </w:r>
            <w:r w:rsidR="004B4A49" w:rsidRPr="00974FC2">
              <w:rPr>
                <w:color w:val="000000"/>
                <w:sz w:val="18"/>
                <w:szCs w:val="18"/>
                <w:lang w:val="en-GB"/>
              </w:rPr>
              <w:t>in development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B44201" w:rsidRPr="00974FC2">
              <w:rPr>
                <w:color w:val="000000"/>
                <w:sz w:val="18"/>
                <w:szCs w:val="18"/>
                <w:lang w:val="en-GB"/>
              </w:rPr>
              <w:t>p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lanning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.</w:t>
            </w:r>
            <w:r w:rsidR="000A56A9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Planning, monitoring</w:t>
            </w:r>
            <w:r w:rsidR="00087500" w:rsidRPr="00974FC2">
              <w:rPr>
                <w:color w:val="000000"/>
                <w:sz w:val="18"/>
                <w:szCs w:val="18"/>
                <w:lang w:val="en-GB"/>
              </w:rPr>
              <w:t>,</w:t>
            </w:r>
            <w:r w:rsidR="006D4A83" w:rsidRPr="00974FC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087500" w:rsidRPr="00974FC2">
              <w:rPr>
                <w:color w:val="000000"/>
                <w:sz w:val="18"/>
                <w:szCs w:val="18"/>
                <w:lang w:val="en-GB"/>
              </w:rPr>
              <w:t>regulatory, enforcement</w:t>
            </w:r>
            <w:r w:rsidR="000A56A9" w:rsidRPr="00974FC2">
              <w:rPr>
                <w:color w:val="000000"/>
                <w:sz w:val="18"/>
                <w:szCs w:val="18"/>
                <w:lang w:val="en-GB"/>
              </w:rPr>
              <w:t>,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reporting capacit</w:t>
            </w:r>
            <w:r w:rsidR="00087500" w:rsidRPr="00974FC2">
              <w:rPr>
                <w:color w:val="000000"/>
                <w:sz w:val="18"/>
                <w:szCs w:val="18"/>
                <w:lang w:val="en-GB"/>
              </w:rPr>
              <w:t>ies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assessed</w:t>
            </w:r>
            <w:r w:rsidR="000A56A9" w:rsidRPr="00974FC2">
              <w:rPr>
                <w:color w:val="000000"/>
                <w:sz w:val="18"/>
                <w:szCs w:val="18"/>
                <w:lang w:val="en-GB"/>
              </w:rPr>
              <w:t>,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 xml:space="preserve"> resources mobilized for </w:t>
            </w:r>
            <w:r w:rsidR="000A56A9" w:rsidRPr="00974FC2">
              <w:rPr>
                <w:color w:val="000000"/>
                <w:sz w:val="18"/>
                <w:szCs w:val="18"/>
                <w:lang w:val="en-GB"/>
              </w:rPr>
              <w:t>i</w:t>
            </w:r>
            <w:r w:rsidRPr="00974FC2">
              <w:rPr>
                <w:color w:val="000000"/>
                <w:sz w:val="18"/>
                <w:szCs w:val="18"/>
                <w:lang w:val="en-GB"/>
              </w:rPr>
              <w:t>mplementation</w:t>
            </w:r>
            <w:r w:rsidR="00B91154" w:rsidRPr="00974FC2">
              <w:rPr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7527" w:rsidRPr="00974FC2" w:rsidRDefault="00B67527" w:rsidP="000B2373">
            <w:pPr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Regular</w:t>
            </w:r>
            <w:r w:rsidR="00087500" w:rsidRPr="00974FC2">
              <w:rPr>
                <w:b/>
                <w:color w:val="000000"/>
                <w:sz w:val="18"/>
                <w:szCs w:val="18"/>
              </w:rPr>
              <w:t>:</w:t>
            </w:r>
            <w:r w:rsidR="00B474E6" w:rsidRPr="00974FC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5819" w:rsidRPr="00974FC2">
              <w:rPr>
                <w:b/>
                <w:color w:val="000000"/>
                <w:sz w:val="18"/>
                <w:szCs w:val="18"/>
              </w:rPr>
              <w:t>272</w:t>
            </w:r>
            <w:r w:rsidR="004E4AE7" w:rsidRPr="00974FC2">
              <w:rPr>
                <w:b/>
                <w:color w:val="000000"/>
                <w:sz w:val="18"/>
                <w:szCs w:val="18"/>
              </w:rPr>
              <w:t>,</w:t>
            </w:r>
            <w:r w:rsidR="00B474E6" w:rsidRPr="00974FC2">
              <w:rPr>
                <w:b/>
                <w:color w:val="000000"/>
                <w:sz w:val="18"/>
                <w:szCs w:val="18"/>
              </w:rPr>
              <w:t>000</w:t>
            </w:r>
          </w:p>
        </w:tc>
      </w:tr>
      <w:tr w:rsidR="00B67527" w:rsidRPr="00974FC2" w:rsidTr="00634F8A">
        <w:trPr>
          <w:trHeight w:val="1035"/>
        </w:trPr>
        <w:tc>
          <w:tcPr>
            <w:tcW w:w="734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B67527" w:rsidP="000B2373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8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B67527" w:rsidP="000B2373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13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B67527" w:rsidP="000B237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B67527" w:rsidP="000B2373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52" w:type="pct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7527" w:rsidRPr="00974FC2" w:rsidRDefault="00B67527" w:rsidP="000B2373">
            <w:pPr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1428" w:rsidRPr="00974FC2" w:rsidRDefault="00B67527" w:rsidP="000B2373">
            <w:pPr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Other</w:t>
            </w:r>
            <w:r w:rsidR="00B91154" w:rsidRPr="00974FC2">
              <w:rPr>
                <w:b/>
                <w:color w:val="000000"/>
                <w:sz w:val="18"/>
                <w:szCs w:val="18"/>
              </w:rPr>
              <w:t>:</w:t>
            </w:r>
          </w:p>
          <w:p w:rsidR="00B67527" w:rsidRPr="00974FC2" w:rsidRDefault="00420FFF" w:rsidP="000B2373">
            <w:pPr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Trust Funds: 9</w:t>
            </w:r>
            <w:r w:rsidR="004E4AE7" w:rsidRPr="00974FC2">
              <w:rPr>
                <w:b/>
                <w:color w:val="000000"/>
                <w:sz w:val="18"/>
                <w:szCs w:val="18"/>
              </w:rPr>
              <w:t>,000</w:t>
            </w:r>
            <w:r w:rsidR="00B474E6" w:rsidRPr="00974FC2">
              <w:rPr>
                <w:b/>
                <w:color w:val="000000"/>
                <w:sz w:val="18"/>
                <w:szCs w:val="18"/>
              </w:rPr>
              <w:t>,000</w:t>
            </w:r>
          </w:p>
          <w:p w:rsidR="00420FFF" w:rsidRPr="00974FC2" w:rsidRDefault="00420FFF" w:rsidP="000B2373">
            <w:pPr>
              <w:rPr>
                <w:b/>
                <w:color w:val="000000"/>
                <w:sz w:val="18"/>
                <w:szCs w:val="18"/>
              </w:rPr>
            </w:pPr>
          </w:p>
          <w:p w:rsidR="00420FFF" w:rsidRPr="00974FC2" w:rsidRDefault="00420FFF" w:rsidP="000B2373">
            <w:pPr>
              <w:rPr>
                <w:b/>
                <w:color w:val="000000"/>
                <w:sz w:val="18"/>
                <w:szCs w:val="18"/>
              </w:rPr>
            </w:pPr>
            <w:r w:rsidRPr="00974FC2">
              <w:rPr>
                <w:b/>
                <w:color w:val="000000"/>
                <w:sz w:val="18"/>
                <w:szCs w:val="18"/>
              </w:rPr>
              <w:t>Third Party: 2,000</w:t>
            </w:r>
            <w:r w:rsidR="00281428" w:rsidRPr="00974FC2">
              <w:rPr>
                <w:b/>
                <w:color w:val="000000"/>
                <w:sz w:val="18"/>
                <w:szCs w:val="18"/>
              </w:rPr>
              <w:t>,</w:t>
            </w:r>
            <w:r w:rsidRPr="00974FC2">
              <w:rPr>
                <w:b/>
                <w:color w:val="000000"/>
                <w:sz w:val="18"/>
                <w:szCs w:val="18"/>
              </w:rPr>
              <w:t>000</w:t>
            </w:r>
          </w:p>
        </w:tc>
      </w:tr>
    </w:tbl>
    <w:p w:rsidR="004A4FBD" w:rsidRPr="00E26045" w:rsidRDefault="00DD6954" w:rsidP="00B91154">
      <w:pPr>
        <w:rPr>
          <w:color w:val="000000"/>
        </w:rPr>
      </w:pPr>
      <w:r>
        <w:rPr>
          <w:noProof/>
          <w:color w:val="000000"/>
        </w:rPr>
        <w:pict>
          <v:line id="_x0000_s1026" style="position:absolute;z-index:251657728;mso-position-horizontal-relative:text;mso-position-vertical-relative:text" from="276pt,28.6pt" to="348pt,28.6pt" strokeweight=".25pt"/>
        </w:pict>
      </w:r>
    </w:p>
    <w:sectPr w:rsidR="004A4FBD" w:rsidRPr="00E26045" w:rsidSect="00D9153B">
      <w:headerReference w:type="even" r:id="rId14"/>
      <w:footerReference w:type="even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E5" w:rsidRDefault="00B521E5" w:rsidP="00441061">
      <w:r>
        <w:separator/>
      </w:r>
    </w:p>
  </w:endnote>
  <w:endnote w:type="continuationSeparator" w:id="0">
    <w:p w:rsidR="00B521E5" w:rsidRDefault="00B521E5" w:rsidP="0044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E4" w:rsidRPr="005841A3" w:rsidRDefault="00DD6954">
    <w:pPr>
      <w:pStyle w:val="Footer"/>
      <w:rPr>
        <w:b/>
        <w:sz w:val="17"/>
        <w:szCs w:val="17"/>
      </w:rPr>
    </w:pPr>
    <w:r w:rsidRPr="005841A3">
      <w:rPr>
        <w:b/>
        <w:sz w:val="17"/>
        <w:szCs w:val="17"/>
      </w:rPr>
      <w:fldChar w:fldCharType="begin"/>
    </w:r>
    <w:r w:rsidR="005035E4" w:rsidRPr="005841A3">
      <w:rPr>
        <w:b/>
        <w:sz w:val="17"/>
        <w:szCs w:val="17"/>
      </w:rPr>
      <w:instrText xml:space="preserve"> PAGE   \* MERGEFORMAT </w:instrText>
    </w:r>
    <w:r w:rsidRPr="005841A3">
      <w:rPr>
        <w:b/>
        <w:sz w:val="17"/>
        <w:szCs w:val="17"/>
      </w:rPr>
      <w:fldChar w:fldCharType="separate"/>
    </w:r>
    <w:r w:rsidR="000C500A">
      <w:rPr>
        <w:b/>
        <w:noProof/>
        <w:sz w:val="17"/>
        <w:szCs w:val="17"/>
      </w:rPr>
      <w:t>4</w:t>
    </w:r>
    <w:r w:rsidRPr="005841A3">
      <w:rPr>
        <w:b/>
        <w:sz w:val="17"/>
        <w:szCs w:val="17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E4" w:rsidRPr="00974FC2" w:rsidRDefault="00DD6954" w:rsidP="00974FC2">
    <w:pPr>
      <w:pStyle w:val="Footer"/>
      <w:jc w:val="right"/>
      <w:rPr>
        <w:b/>
        <w:sz w:val="17"/>
        <w:szCs w:val="17"/>
      </w:rPr>
    </w:pPr>
    <w:r w:rsidRPr="005841A3">
      <w:rPr>
        <w:b/>
        <w:sz w:val="17"/>
        <w:szCs w:val="17"/>
      </w:rPr>
      <w:fldChar w:fldCharType="begin"/>
    </w:r>
    <w:r w:rsidR="005035E4" w:rsidRPr="005841A3">
      <w:rPr>
        <w:b/>
        <w:sz w:val="17"/>
        <w:szCs w:val="17"/>
      </w:rPr>
      <w:instrText xml:space="preserve"> PAGE   \* MERGEFORMAT </w:instrText>
    </w:r>
    <w:r w:rsidRPr="005841A3">
      <w:rPr>
        <w:b/>
        <w:sz w:val="17"/>
        <w:szCs w:val="17"/>
      </w:rPr>
      <w:fldChar w:fldCharType="separate"/>
    </w:r>
    <w:r w:rsidR="000C500A">
      <w:rPr>
        <w:b/>
        <w:noProof/>
        <w:sz w:val="17"/>
        <w:szCs w:val="17"/>
      </w:rPr>
      <w:t>5</w:t>
    </w:r>
    <w:r w:rsidRPr="005841A3">
      <w:rPr>
        <w:b/>
        <w:sz w:val="17"/>
        <w:szCs w:val="1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C2" w:rsidRPr="005841A3" w:rsidRDefault="00DD6954">
    <w:pPr>
      <w:pStyle w:val="Footer"/>
      <w:rPr>
        <w:b/>
        <w:sz w:val="17"/>
        <w:szCs w:val="17"/>
      </w:rPr>
    </w:pPr>
    <w:r w:rsidRPr="005841A3">
      <w:rPr>
        <w:b/>
        <w:sz w:val="17"/>
        <w:szCs w:val="17"/>
      </w:rPr>
      <w:fldChar w:fldCharType="begin"/>
    </w:r>
    <w:r w:rsidR="00974FC2" w:rsidRPr="005841A3">
      <w:rPr>
        <w:b/>
        <w:sz w:val="17"/>
        <w:szCs w:val="17"/>
      </w:rPr>
      <w:instrText xml:space="preserve"> PAGE   \* MERGEFORMAT </w:instrText>
    </w:r>
    <w:r w:rsidRPr="005841A3">
      <w:rPr>
        <w:b/>
        <w:sz w:val="17"/>
        <w:szCs w:val="17"/>
      </w:rPr>
      <w:fldChar w:fldCharType="separate"/>
    </w:r>
    <w:r w:rsidR="000C500A">
      <w:rPr>
        <w:b/>
        <w:noProof/>
        <w:sz w:val="17"/>
        <w:szCs w:val="17"/>
      </w:rPr>
      <w:t>6</w:t>
    </w:r>
    <w:r w:rsidRPr="005841A3">
      <w:rPr>
        <w:b/>
        <w:sz w:val="17"/>
        <w:szCs w:val="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E5" w:rsidRDefault="00B521E5" w:rsidP="00441061">
      <w:r>
        <w:separator/>
      </w:r>
    </w:p>
  </w:footnote>
  <w:footnote w:type="continuationSeparator" w:id="0">
    <w:p w:rsidR="00B521E5" w:rsidRDefault="00B521E5" w:rsidP="00441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E4" w:rsidRDefault="00DD6954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5.75pt;margin-top:-23.85pt;width:7in;height:50.4pt;z-index:251657216" o:allowincell="f" stroked="f">
          <v:textbox style="mso-next-textbox:#_x0000_s2049;mso-rotate-with-shape:t" inset="0,0,0,0">
            <w:txbxContent>
              <w:tbl>
                <w:tblPr>
                  <w:tblW w:w="0" w:type="auto"/>
                  <w:tblInd w:w="116" w:type="dxa"/>
                  <w:tblBorders>
                    <w:bottom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4838"/>
                  <w:gridCol w:w="5047"/>
                </w:tblGrid>
                <w:tr w:rsidR="005035E4" w:rsidRPr="005841A3">
                  <w:trPr>
                    <w:trHeight w:hRule="exact" w:val="864"/>
                  </w:trPr>
                  <w:tc>
                    <w:tcPr>
                      <w:tcW w:w="4838" w:type="dxa"/>
                      <w:vAlign w:val="bottom"/>
                    </w:tcPr>
                    <w:p w:rsidR="005035E4" w:rsidRPr="005841A3" w:rsidRDefault="005035E4" w:rsidP="005841A3">
                      <w:pPr>
                        <w:pStyle w:val="Header"/>
                        <w:spacing w:after="80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5841A3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DP/DCP/</w:t>
                      </w:r>
                      <w:r w:rsidR="00974FC2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SUR/2</w:t>
                      </w:r>
                    </w:p>
                  </w:tc>
                  <w:tc>
                    <w:tcPr>
                      <w:tcW w:w="5047" w:type="dxa"/>
                      <w:vAlign w:val="bottom"/>
                    </w:tcPr>
                    <w:p w:rsidR="005035E4" w:rsidRPr="005841A3" w:rsidRDefault="005035E4">
                      <w:pPr>
                        <w:pStyle w:val="Header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</w:p>
                  </w:tc>
                </w:tr>
              </w:tbl>
              <w:p w:rsidR="005035E4" w:rsidRDefault="005035E4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140" w:type="dxa"/>
      <w:tblBorders>
        <w:bottom w:val="single" w:sz="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4838"/>
      <w:gridCol w:w="8302"/>
    </w:tblGrid>
    <w:tr w:rsidR="00974FC2" w:rsidRPr="00692D4D" w:rsidTr="00974FC2">
      <w:trPr>
        <w:trHeight w:hRule="exact" w:val="864"/>
      </w:trPr>
      <w:tc>
        <w:tcPr>
          <w:tcW w:w="4838" w:type="dxa"/>
          <w:vAlign w:val="bottom"/>
        </w:tcPr>
        <w:p w:rsidR="00974FC2" w:rsidRPr="00692D4D" w:rsidRDefault="00974FC2" w:rsidP="0010192C">
          <w:pPr>
            <w:pStyle w:val="Header"/>
            <w:spacing w:after="80"/>
            <w:rPr>
              <w:rFonts w:ascii="Times New Roman" w:hAnsi="Times New Roman"/>
              <w:b/>
              <w:sz w:val="17"/>
              <w:szCs w:val="17"/>
            </w:rPr>
          </w:pPr>
        </w:p>
      </w:tc>
      <w:tc>
        <w:tcPr>
          <w:tcW w:w="8302" w:type="dxa"/>
          <w:vAlign w:val="bottom"/>
        </w:tcPr>
        <w:p w:rsidR="00974FC2" w:rsidRPr="00692D4D" w:rsidRDefault="00974FC2" w:rsidP="00974FC2">
          <w:pPr>
            <w:pStyle w:val="Header"/>
            <w:jc w:val="right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b/>
              <w:sz w:val="17"/>
              <w:szCs w:val="17"/>
            </w:rPr>
            <w:t>DP/DCP/SUR</w:t>
          </w:r>
          <w:r w:rsidRPr="00692D4D">
            <w:rPr>
              <w:rFonts w:ascii="Times New Roman" w:hAnsi="Times New Roman"/>
              <w:b/>
              <w:sz w:val="17"/>
              <w:szCs w:val="17"/>
            </w:rPr>
            <w:t>/2</w:t>
          </w:r>
        </w:p>
      </w:tc>
    </w:tr>
  </w:tbl>
  <w:p w:rsidR="005035E4" w:rsidRDefault="005035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1267"/>
      <w:gridCol w:w="1872"/>
      <w:gridCol w:w="245"/>
      <w:gridCol w:w="3110"/>
      <w:gridCol w:w="245"/>
      <w:gridCol w:w="3521"/>
    </w:tblGrid>
    <w:tr w:rsidR="005035E4">
      <w:trPr>
        <w:trHeight w:hRule="exact" w:val="864"/>
      </w:trPr>
      <w:tc>
        <w:tcPr>
          <w:tcW w:w="126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035E4" w:rsidRDefault="005035E4">
          <w:pPr>
            <w:pStyle w:val="Header"/>
            <w:spacing w:after="120"/>
          </w:pPr>
        </w:p>
      </w:tc>
      <w:tc>
        <w:tcPr>
          <w:tcW w:w="187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035E4" w:rsidRDefault="005035E4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United Nations</w:t>
          </w:r>
        </w:p>
      </w:tc>
      <w:tc>
        <w:tcPr>
          <w:tcW w:w="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035E4" w:rsidRDefault="005035E4">
          <w:pPr>
            <w:pStyle w:val="Header"/>
            <w:spacing w:after="120"/>
          </w:pPr>
        </w:p>
      </w:tc>
      <w:tc>
        <w:tcPr>
          <w:tcW w:w="6876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:rsidR="005035E4" w:rsidRDefault="005035E4" w:rsidP="00441061">
          <w:pPr>
            <w:spacing w:after="80"/>
            <w:jc w:val="center"/>
            <w:rPr>
              <w:position w:val="-4"/>
            </w:rPr>
          </w:pPr>
          <w:r>
            <w:rPr>
              <w:position w:val="-4"/>
              <w:sz w:val="40"/>
            </w:rPr>
            <w:t xml:space="preserve">                                                  DP</w:t>
          </w:r>
          <w:r>
            <w:rPr>
              <w:position w:val="-4"/>
            </w:rPr>
            <w:t>/DCP/</w:t>
          </w:r>
          <w:r w:rsidR="00974FC2">
            <w:rPr>
              <w:position w:val="-4"/>
            </w:rPr>
            <w:t>SUR/2</w:t>
          </w:r>
        </w:p>
      </w:tc>
    </w:tr>
    <w:tr w:rsidR="005035E4">
      <w:trPr>
        <w:trHeight w:hRule="exact" w:val="2880"/>
      </w:trPr>
      <w:tc>
        <w:tcPr>
          <w:tcW w:w="1267" w:type="dxa"/>
          <w:tcBorders>
            <w:left w:val="nil"/>
            <w:bottom w:val="single" w:sz="12" w:space="0" w:color="auto"/>
            <w:right w:val="nil"/>
          </w:tcBorders>
        </w:tcPr>
        <w:p w:rsidR="005035E4" w:rsidRDefault="005035E4">
          <w:pPr>
            <w:pStyle w:val="Header"/>
            <w:spacing w:before="109"/>
          </w:pPr>
          <w:r>
            <w:t xml:space="preserve"> </w:t>
          </w:r>
          <w:r w:rsidR="00B91065">
            <w:rPr>
              <w:noProof/>
            </w:rPr>
            <w:drawing>
              <wp:inline distT="0" distB="0" distL="0" distR="0">
                <wp:extent cx="712470" cy="595630"/>
                <wp:effectExtent l="19050" t="0" r="0" b="0"/>
                <wp:docPr id="1" name="Picture 1" descr="Description: _un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_un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035E4" w:rsidRDefault="005035E4">
          <w:pPr>
            <w:pStyle w:val="Header"/>
            <w:spacing w:before="109"/>
          </w:pPr>
        </w:p>
      </w:tc>
      <w:tc>
        <w:tcPr>
          <w:tcW w:w="5227" w:type="dxa"/>
          <w:gridSpan w:val="3"/>
          <w:tcBorders>
            <w:left w:val="nil"/>
            <w:bottom w:val="single" w:sz="12" w:space="0" w:color="auto"/>
            <w:right w:val="nil"/>
          </w:tcBorders>
        </w:tcPr>
        <w:p w:rsidR="005035E4" w:rsidRDefault="005035E4" w:rsidP="0062015E">
          <w:pPr>
            <w:pStyle w:val="XLarge"/>
            <w:spacing w:before="109" w:line="330" w:lineRule="exact"/>
            <w:rPr>
              <w:sz w:val="34"/>
            </w:rPr>
          </w:pPr>
          <w:r>
            <w:rPr>
              <w:sz w:val="34"/>
            </w:rPr>
            <w:t>Executive Board of the</w:t>
          </w:r>
          <w:r>
            <w:rPr>
              <w:sz w:val="34"/>
            </w:rPr>
            <w:br/>
            <w:t>United Nations Development</w:t>
          </w:r>
          <w:r>
            <w:rPr>
              <w:sz w:val="34"/>
            </w:rPr>
            <w:br/>
            <w:t>Programme</w:t>
          </w:r>
          <w:r w:rsidR="0062015E">
            <w:rPr>
              <w:sz w:val="34"/>
            </w:rPr>
            <w:t xml:space="preserve">, </w:t>
          </w:r>
          <w:r w:rsidR="0062015E" w:rsidRPr="005C3A94">
            <w:rPr>
              <w:sz w:val="34"/>
            </w:rPr>
            <w:t>the</w:t>
          </w:r>
          <w:r w:rsidR="0062015E">
            <w:rPr>
              <w:sz w:val="34"/>
            </w:rPr>
            <w:t xml:space="preserve"> </w:t>
          </w:r>
          <w:r w:rsidR="0062015E" w:rsidRPr="005C3A94">
            <w:rPr>
              <w:sz w:val="34"/>
            </w:rPr>
            <w:t>United Nations Population</w:t>
          </w:r>
          <w:r w:rsidR="0062015E">
            <w:rPr>
              <w:sz w:val="34"/>
            </w:rPr>
            <w:t xml:space="preserve"> </w:t>
          </w:r>
          <w:r w:rsidR="0062015E" w:rsidRPr="00195AF0">
            <w:rPr>
              <w:sz w:val="34"/>
            </w:rPr>
            <w:t>Fund and the United Nations Office for Project Service</w:t>
          </w:r>
          <w:r w:rsidR="0062015E">
            <w:rPr>
              <w:sz w:val="34"/>
            </w:rPr>
            <w:t>s</w:t>
          </w:r>
        </w:p>
      </w:tc>
      <w:tc>
        <w:tcPr>
          <w:tcW w:w="245" w:type="dxa"/>
          <w:tcBorders>
            <w:left w:val="nil"/>
            <w:bottom w:val="single" w:sz="12" w:space="0" w:color="auto"/>
            <w:right w:val="nil"/>
          </w:tcBorders>
        </w:tcPr>
        <w:p w:rsidR="005035E4" w:rsidRDefault="005035E4">
          <w:pPr>
            <w:pStyle w:val="Header"/>
            <w:spacing w:before="109"/>
          </w:pPr>
        </w:p>
      </w:tc>
      <w:tc>
        <w:tcPr>
          <w:tcW w:w="3521" w:type="dxa"/>
          <w:tcBorders>
            <w:left w:val="nil"/>
            <w:bottom w:val="single" w:sz="12" w:space="0" w:color="auto"/>
            <w:right w:val="nil"/>
          </w:tcBorders>
        </w:tcPr>
        <w:p w:rsidR="005035E4" w:rsidRDefault="005035E4">
          <w:pPr>
            <w:spacing w:before="240"/>
          </w:pPr>
          <w:r>
            <w:t>Distr.: General</w:t>
          </w:r>
        </w:p>
        <w:p w:rsidR="005035E4" w:rsidRDefault="00974FC2" w:rsidP="00441061">
          <w:r>
            <w:t>15</w:t>
          </w:r>
          <w:r w:rsidR="0062015E">
            <w:t xml:space="preserve"> August 2011</w:t>
          </w:r>
        </w:p>
        <w:p w:rsidR="005035E4" w:rsidRDefault="005035E4"/>
        <w:p w:rsidR="005035E4" w:rsidRDefault="005035E4" w:rsidP="00376DA9">
          <w:r>
            <w:t xml:space="preserve">Original: </w:t>
          </w:r>
          <w:r w:rsidR="0062015E">
            <w:t>English</w:t>
          </w:r>
        </w:p>
      </w:tc>
    </w:tr>
  </w:tbl>
  <w:p w:rsidR="005035E4" w:rsidRDefault="005035E4">
    <w:pPr>
      <w:pStyle w:val="Header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5E4" w:rsidRDefault="00DD6954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75pt;margin-top:-23.85pt;width:666.5pt;height:50.4pt;z-index:251658240" o:allowincell="f" stroked="f">
          <v:textbox style="mso-next-textbox:#_x0000_s2050;mso-rotate-with-shape:t" inset="0,0,0,0">
            <w:txbxContent>
              <w:tbl>
                <w:tblPr>
                  <w:tblW w:w="13114" w:type="dxa"/>
                  <w:tblInd w:w="116" w:type="dxa"/>
                  <w:tblBorders>
                    <w:bottom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4838"/>
                  <w:gridCol w:w="8276"/>
                </w:tblGrid>
                <w:tr w:rsidR="005035E4" w:rsidRPr="005841A3" w:rsidTr="005841A3">
                  <w:trPr>
                    <w:trHeight w:hRule="exact" w:val="864"/>
                  </w:trPr>
                  <w:tc>
                    <w:tcPr>
                      <w:tcW w:w="4838" w:type="dxa"/>
                      <w:vAlign w:val="bottom"/>
                    </w:tcPr>
                    <w:p w:rsidR="005035E4" w:rsidRPr="005841A3" w:rsidRDefault="005035E4" w:rsidP="005841A3">
                      <w:pPr>
                        <w:pStyle w:val="Header"/>
                        <w:spacing w:after="80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5841A3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DP/DCP/</w:t>
                      </w:r>
                      <w:r w:rsidR="00974FC2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SUR/2</w:t>
                      </w:r>
                    </w:p>
                  </w:tc>
                  <w:tc>
                    <w:tcPr>
                      <w:tcW w:w="8276" w:type="dxa"/>
                      <w:vAlign w:val="bottom"/>
                    </w:tcPr>
                    <w:p w:rsidR="005035E4" w:rsidRPr="005841A3" w:rsidRDefault="005035E4">
                      <w:pPr>
                        <w:pStyle w:val="Header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</w:p>
                  </w:tc>
                </w:tr>
              </w:tbl>
              <w:p w:rsidR="005035E4" w:rsidRDefault="005035E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1">
    <w:nsid w:val="07C371B7"/>
    <w:multiLevelType w:val="hybridMultilevel"/>
    <w:tmpl w:val="AA38A068"/>
    <w:lvl w:ilvl="0" w:tplc="4FF49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88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4A3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8A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08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21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65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A5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07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C0DDF"/>
    <w:multiLevelType w:val="hybridMultilevel"/>
    <w:tmpl w:val="998E69DA"/>
    <w:lvl w:ilvl="0" w:tplc="6A98D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4EB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4C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36C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8B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0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4F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22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0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293C18"/>
    <w:multiLevelType w:val="hybridMultilevel"/>
    <w:tmpl w:val="D36ED502"/>
    <w:lvl w:ilvl="0" w:tplc="7540B4D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C1CE3"/>
    <w:multiLevelType w:val="hybridMultilevel"/>
    <w:tmpl w:val="6C849482"/>
    <w:lvl w:ilvl="0" w:tplc="C3AC5104">
      <w:start w:val="1"/>
      <w:numFmt w:val="upperRoman"/>
      <w:lvlText w:val="%1."/>
      <w:lvlJc w:val="left"/>
      <w:pPr>
        <w:ind w:left="23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">
    <w:nsid w:val="1C355766"/>
    <w:multiLevelType w:val="hybridMultilevel"/>
    <w:tmpl w:val="F76C6E6C"/>
    <w:lvl w:ilvl="0" w:tplc="73A0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F5421"/>
    <w:multiLevelType w:val="hybridMultilevel"/>
    <w:tmpl w:val="5EECFFA0"/>
    <w:lvl w:ilvl="0" w:tplc="1BD4DD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5422B"/>
    <w:multiLevelType w:val="hybridMultilevel"/>
    <w:tmpl w:val="7E02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61ACB"/>
    <w:multiLevelType w:val="hybridMultilevel"/>
    <w:tmpl w:val="AF18CDA6"/>
    <w:lvl w:ilvl="0" w:tplc="F0D019D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9640B"/>
    <w:multiLevelType w:val="hybridMultilevel"/>
    <w:tmpl w:val="1CD0B30E"/>
    <w:lvl w:ilvl="0" w:tplc="32CAE9A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B0541"/>
    <w:multiLevelType w:val="hybridMultilevel"/>
    <w:tmpl w:val="C7021952"/>
    <w:lvl w:ilvl="0" w:tplc="CFD237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1B17"/>
    <w:multiLevelType w:val="hybridMultilevel"/>
    <w:tmpl w:val="82EAC76A"/>
    <w:lvl w:ilvl="0" w:tplc="D5387FA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66A51"/>
    <w:multiLevelType w:val="hybridMultilevel"/>
    <w:tmpl w:val="C832B748"/>
    <w:lvl w:ilvl="0" w:tplc="E82A256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41D5D"/>
    <w:multiLevelType w:val="singleLevel"/>
    <w:tmpl w:val="441AFD5E"/>
    <w:lvl w:ilvl="0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4">
    <w:nsid w:val="5BA22CEB"/>
    <w:multiLevelType w:val="hybridMultilevel"/>
    <w:tmpl w:val="7F683CBC"/>
    <w:lvl w:ilvl="0" w:tplc="7A6CDDE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71E"/>
    <w:multiLevelType w:val="hybridMultilevel"/>
    <w:tmpl w:val="29249146"/>
    <w:lvl w:ilvl="0" w:tplc="92623C8E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06982"/>
    <w:multiLevelType w:val="multilevel"/>
    <w:tmpl w:val="05ACE57A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7">
    <w:nsid w:val="69D0258E"/>
    <w:multiLevelType w:val="hybridMultilevel"/>
    <w:tmpl w:val="F3A806A8"/>
    <w:lvl w:ilvl="0" w:tplc="98D24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0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46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185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49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648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20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E9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7E2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AD685A"/>
    <w:multiLevelType w:val="hybridMultilevel"/>
    <w:tmpl w:val="AC7A3E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51CBD"/>
    <w:multiLevelType w:val="hybridMultilevel"/>
    <w:tmpl w:val="0F520F54"/>
    <w:lvl w:ilvl="0" w:tplc="2BA26F0E">
      <w:start w:val="3"/>
      <w:numFmt w:val="upperRoman"/>
      <w:lvlText w:val="%1."/>
      <w:lvlJc w:val="left"/>
      <w:pPr>
        <w:ind w:left="23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20">
    <w:nsid w:val="754B0324"/>
    <w:multiLevelType w:val="hybridMultilevel"/>
    <w:tmpl w:val="3BD0F2E6"/>
    <w:lvl w:ilvl="0" w:tplc="441AFD5E">
      <w:start w:val="20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D2684D"/>
    <w:multiLevelType w:val="hybridMultilevel"/>
    <w:tmpl w:val="B4F24C8E"/>
    <w:lvl w:ilvl="0" w:tplc="F9F60D32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167CB"/>
    <w:multiLevelType w:val="hybridMultilevel"/>
    <w:tmpl w:val="20047E9C"/>
    <w:lvl w:ilvl="0" w:tplc="CC30C9F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20"/>
  </w:num>
  <w:num w:numId="5">
    <w:abstractNumId w:val="1"/>
  </w:num>
  <w:num w:numId="6">
    <w:abstractNumId w:val="17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10"/>
  </w:num>
  <w:num w:numId="12">
    <w:abstractNumId w:val="18"/>
  </w:num>
  <w:num w:numId="13">
    <w:abstractNumId w:val="3"/>
  </w:num>
  <w:num w:numId="14">
    <w:abstractNumId w:val="21"/>
  </w:num>
  <w:num w:numId="15">
    <w:abstractNumId w:val="22"/>
  </w:num>
  <w:num w:numId="16">
    <w:abstractNumId w:val="9"/>
  </w:num>
  <w:num w:numId="17">
    <w:abstractNumId w:val="8"/>
  </w:num>
  <w:num w:numId="18">
    <w:abstractNumId w:val="12"/>
  </w:num>
  <w:num w:numId="19">
    <w:abstractNumId w:val="14"/>
  </w:num>
  <w:num w:numId="20">
    <w:abstractNumId w:val="0"/>
  </w:num>
  <w:num w:numId="21">
    <w:abstractNumId w:val="11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comments" w:formatting="1" w:enforcement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numRestart w:val="eachSect"/>
    <w:footnote w:id="-1"/>
    <w:footnote w:id="0"/>
  </w:footnotePr>
  <w:endnotePr>
    <w:numFmt w:val="decimal"/>
    <w:numStart w:val="7"/>
    <w:endnote w:id="-1"/>
    <w:endnote w:id="0"/>
  </w:endnotePr>
  <w:compat/>
  <w:rsids>
    <w:rsidRoot w:val="00D9153B"/>
    <w:rsid w:val="0000147B"/>
    <w:rsid w:val="000027D2"/>
    <w:rsid w:val="00005E26"/>
    <w:rsid w:val="00011323"/>
    <w:rsid w:val="00013155"/>
    <w:rsid w:val="00016217"/>
    <w:rsid w:val="00020121"/>
    <w:rsid w:val="00026951"/>
    <w:rsid w:val="0002695D"/>
    <w:rsid w:val="000330DB"/>
    <w:rsid w:val="000404EE"/>
    <w:rsid w:val="00066264"/>
    <w:rsid w:val="000753C4"/>
    <w:rsid w:val="00081BAC"/>
    <w:rsid w:val="000837FB"/>
    <w:rsid w:val="00087500"/>
    <w:rsid w:val="00090AD1"/>
    <w:rsid w:val="000A56A9"/>
    <w:rsid w:val="000B2373"/>
    <w:rsid w:val="000C500A"/>
    <w:rsid w:val="000C6A65"/>
    <w:rsid w:val="000C76B0"/>
    <w:rsid w:val="000C7834"/>
    <w:rsid w:val="000D2475"/>
    <w:rsid w:val="000D36FE"/>
    <w:rsid w:val="000D7C71"/>
    <w:rsid w:val="000E745A"/>
    <w:rsid w:val="000F0044"/>
    <w:rsid w:val="000F26DD"/>
    <w:rsid w:val="000F4C39"/>
    <w:rsid w:val="00101331"/>
    <w:rsid w:val="0010192C"/>
    <w:rsid w:val="00106BCF"/>
    <w:rsid w:val="00111730"/>
    <w:rsid w:val="001117CA"/>
    <w:rsid w:val="0012229E"/>
    <w:rsid w:val="00123849"/>
    <w:rsid w:val="00125819"/>
    <w:rsid w:val="00127081"/>
    <w:rsid w:val="0013761A"/>
    <w:rsid w:val="00141977"/>
    <w:rsid w:val="00142BCF"/>
    <w:rsid w:val="00143518"/>
    <w:rsid w:val="00154521"/>
    <w:rsid w:val="001547D3"/>
    <w:rsid w:val="001559BD"/>
    <w:rsid w:val="00157F79"/>
    <w:rsid w:val="001636BF"/>
    <w:rsid w:val="00171795"/>
    <w:rsid w:val="00184E93"/>
    <w:rsid w:val="00194450"/>
    <w:rsid w:val="001970A4"/>
    <w:rsid w:val="001A6FD3"/>
    <w:rsid w:val="001A7B78"/>
    <w:rsid w:val="001B2DD5"/>
    <w:rsid w:val="001B2EB5"/>
    <w:rsid w:val="001D463B"/>
    <w:rsid w:val="001E47BA"/>
    <w:rsid w:val="001E4F4F"/>
    <w:rsid w:val="001E63B0"/>
    <w:rsid w:val="00200195"/>
    <w:rsid w:val="002047C8"/>
    <w:rsid w:val="002058F9"/>
    <w:rsid w:val="00211EE0"/>
    <w:rsid w:val="00212B1F"/>
    <w:rsid w:val="00215A3F"/>
    <w:rsid w:val="00216509"/>
    <w:rsid w:val="0021766A"/>
    <w:rsid w:val="00220955"/>
    <w:rsid w:val="00222C2F"/>
    <w:rsid w:val="002345C5"/>
    <w:rsid w:val="00236B91"/>
    <w:rsid w:val="00236BE2"/>
    <w:rsid w:val="00237CC7"/>
    <w:rsid w:val="00244A7B"/>
    <w:rsid w:val="00245D74"/>
    <w:rsid w:val="00246049"/>
    <w:rsid w:val="00246DDF"/>
    <w:rsid w:val="002572D6"/>
    <w:rsid w:val="00260FAA"/>
    <w:rsid w:val="00270A2F"/>
    <w:rsid w:val="00273543"/>
    <w:rsid w:val="002810DF"/>
    <w:rsid w:val="00281428"/>
    <w:rsid w:val="002816D8"/>
    <w:rsid w:val="00290EB3"/>
    <w:rsid w:val="00292A90"/>
    <w:rsid w:val="002A0DB2"/>
    <w:rsid w:val="002A3641"/>
    <w:rsid w:val="002A7F43"/>
    <w:rsid w:val="002B2775"/>
    <w:rsid w:val="002B489A"/>
    <w:rsid w:val="002C1310"/>
    <w:rsid w:val="002C18C4"/>
    <w:rsid w:val="002C21FD"/>
    <w:rsid w:val="002C4B83"/>
    <w:rsid w:val="002C51A0"/>
    <w:rsid w:val="002D0331"/>
    <w:rsid w:val="002D18B4"/>
    <w:rsid w:val="002D2E2A"/>
    <w:rsid w:val="002D52BF"/>
    <w:rsid w:val="002E0B5D"/>
    <w:rsid w:val="002E3304"/>
    <w:rsid w:val="002E3C0D"/>
    <w:rsid w:val="002E484F"/>
    <w:rsid w:val="002E4D6E"/>
    <w:rsid w:val="002F3C88"/>
    <w:rsid w:val="002F4AD8"/>
    <w:rsid w:val="002F7461"/>
    <w:rsid w:val="00301322"/>
    <w:rsid w:val="00305311"/>
    <w:rsid w:val="0030729B"/>
    <w:rsid w:val="00311F10"/>
    <w:rsid w:val="0031404A"/>
    <w:rsid w:val="00314B7C"/>
    <w:rsid w:val="003210A9"/>
    <w:rsid w:val="00324846"/>
    <w:rsid w:val="00324D9B"/>
    <w:rsid w:val="0033241B"/>
    <w:rsid w:val="00343364"/>
    <w:rsid w:val="003450C8"/>
    <w:rsid w:val="00352E7F"/>
    <w:rsid w:val="00356C14"/>
    <w:rsid w:val="003628BA"/>
    <w:rsid w:val="00364945"/>
    <w:rsid w:val="003664C0"/>
    <w:rsid w:val="00373626"/>
    <w:rsid w:val="003753E4"/>
    <w:rsid w:val="00376C33"/>
    <w:rsid w:val="00376DA9"/>
    <w:rsid w:val="00376E8A"/>
    <w:rsid w:val="003813ED"/>
    <w:rsid w:val="003A057B"/>
    <w:rsid w:val="003B0AA1"/>
    <w:rsid w:val="003B2FAC"/>
    <w:rsid w:val="003C294C"/>
    <w:rsid w:val="003C6AAD"/>
    <w:rsid w:val="003C74AD"/>
    <w:rsid w:val="003D7EAC"/>
    <w:rsid w:val="003E52B0"/>
    <w:rsid w:val="003E6DFD"/>
    <w:rsid w:val="003E7A43"/>
    <w:rsid w:val="003F0B58"/>
    <w:rsid w:val="003F2236"/>
    <w:rsid w:val="003F5812"/>
    <w:rsid w:val="00400E4A"/>
    <w:rsid w:val="004022C7"/>
    <w:rsid w:val="00402627"/>
    <w:rsid w:val="00414269"/>
    <w:rsid w:val="00420FFF"/>
    <w:rsid w:val="00427EEA"/>
    <w:rsid w:val="00431836"/>
    <w:rsid w:val="00431A9D"/>
    <w:rsid w:val="0043278E"/>
    <w:rsid w:val="00434FF5"/>
    <w:rsid w:val="00436435"/>
    <w:rsid w:val="00441061"/>
    <w:rsid w:val="004510EA"/>
    <w:rsid w:val="00453344"/>
    <w:rsid w:val="00454ECA"/>
    <w:rsid w:val="00460891"/>
    <w:rsid w:val="004671BB"/>
    <w:rsid w:val="00471562"/>
    <w:rsid w:val="00482E2F"/>
    <w:rsid w:val="004859E2"/>
    <w:rsid w:val="00486ACD"/>
    <w:rsid w:val="004910D0"/>
    <w:rsid w:val="00491850"/>
    <w:rsid w:val="00495A38"/>
    <w:rsid w:val="004A1CAD"/>
    <w:rsid w:val="004A3608"/>
    <w:rsid w:val="004A3827"/>
    <w:rsid w:val="004A4FBD"/>
    <w:rsid w:val="004A7E93"/>
    <w:rsid w:val="004B08F3"/>
    <w:rsid w:val="004B4A49"/>
    <w:rsid w:val="004B5D6B"/>
    <w:rsid w:val="004C09E3"/>
    <w:rsid w:val="004C5CFD"/>
    <w:rsid w:val="004D12C0"/>
    <w:rsid w:val="004D336C"/>
    <w:rsid w:val="004E1409"/>
    <w:rsid w:val="004E2680"/>
    <w:rsid w:val="004E4AE7"/>
    <w:rsid w:val="004E780A"/>
    <w:rsid w:val="004F5EB0"/>
    <w:rsid w:val="004F681D"/>
    <w:rsid w:val="00501565"/>
    <w:rsid w:val="0050307F"/>
    <w:rsid w:val="005035E4"/>
    <w:rsid w:val="00505994"/>
    <w:rsid w:val="00520385"/>
    <w:rsid w:val="0052315E"/>
    <w:rsid w:val="00524188"/>
    <w:rsid w:val="00530ED3"/>
    <w:rsid w:val="005339C4"/>
    <w:rsid w:val="0053520A"/>
    <w:rsid w:val="005355EE"/>
    <w:rsid w:val="0054703B"/>
    <w:rsid w:val="005503C1"/>
    <w:rsid w:val="00551EB8"/>
    <w:rsid w:val="00570839"/>
    <w:rsid w:val="005709AB"/>
    <w:rsid w:val="005713B1"/>
    <w:rsid w:val="00580D8A"/>
    <w:rsid w:val="005835F4"/>
    <w:rsid w:val="005841A3"/>
    <w:rsid w:val="00593216"/>
    <w:rsid w:val="00594BC3"/>
    <w:rsid w:val="00596DC8"/>
    <w:rsid w:val="005A7E17"/>
    <w:rsid w:val="005B3DCE"/>
    <w:rsid w:val="005B5FB8"/>
    <w:rsid w:val="005C502F"/>
    <w:rsid w:val="005D052C"/>
    <w:rsid w:val="005D4084"/>
    <w:rsid w:val="005D4777"/>
    <w:rsid w:val="005E7E82"/>
    <w:rsid w:val="005F7E3C"/>
    <w:rsid w:val="006063DA"/>
    <w:rsid w:val="006173A4"/>
    <w:rsid w:val="00617C44"/>
    <w:rsid w:val="0062015E"/>
    <w:rsid w:val="006234A7"/>
    <w:rsid w:val="006247AE"/>
    <w:rsid w:val="00633F9B"/>
    <w:rsid w:val="00634F8A"/>
    <w:rsid w:val="00635DBB"/>
    <w:rsid w:val="00636570"/>
    <w:rsid w:val="00647B1E"/>
    <w:rsid w:val="0065008B"/>
    <w:rsid w:val="00651435"/>
    <w:rsid w:val="00653FD9"/>
    <w:rsid w:val="0065406E"/>
    <w:rsid w:val="00656328"/>
    <w:rsid w:val="006571B1"/>
    <w:rsid w:val="00657B28"/>
    <w:rsid w:val="006622B9"/>
    <w:rsid w:val="00667FED"/>
    <w:rsid w:val="006A5B73"/>
    <w:rsid w:val="006B0BE2"/>
    <w:rsid w:val="006B2861"/>
    <w:rsid w:val="006C5931"/>
    <w:rsid w:val="006C712C"/>
    <w:rsid w:val="006D4A83"/>
    <w:rsid w:val="006D5681"/>
    <w:rsid w:val="006D5C26"/>
    <w:rsid w:val="006D60ED"/>
    <w:rsid w:val="006D7FAE"/>
    <w:rsid w:val="006F033F"/>
    <w:rsid w:val="006F166D"/>
    <w:rsid w:val="006F1D31"/>
    <w:rsid w:val="006F762A"/>
    <w:rsid w:val="00703A9E"/>
    <w:rsid w:val="00704152"/>
    <w:rsid w:val="00704FB5"/>
    <w:rsid w:val="00706B71"/>
    <w:rsid w:val="00713494"/>
    <w:rsid w:val="0071466E"/>
    <w:rsid w:val="00714A6C"/>
    <w:rsid w:val="00724138"/>
    <w:rsid w:val="007248BE"/>
    <w:rsid w:val="00725B78"/>
    <w:rsid w:val="007324D7"/>
    <w:rsid w:val="00733452"/>
    <w:rsid w:val="00733EAD"/>
    <w:rsid w:val="00734266"/>
    <w:rsid w:val="0073675B"/>
    <w:rsid w:val="00742E3A"/>
    <w:rsid w:val="00744110"/>
    <w:rsid w:val="0074484B"/>
    <w:rsid w:val="00747A52"/>
    <w:rsid w:val="0075088B"/>
    <w:rsid w:val="00752691"/>
    <w:rsid w:val="00753447"/>
    <w:rsid w:val="00754E87"/>
    <w:rsid w:val="00754FBB"/>
    <w:rsid w:val="00755721"/>
    <w:rsid w:val="00774436"/>
    <w:rsid w:val="00781B6F"/>
    <w:rsid w:val="00782658"/>
    <w:rsid w:val="00782DFD"/>
    <w:rsid w:val="0079421C"/>
    <w:rsid w:val="007A1C59"/>
    <w:rsid w:val="007A3B63"/>
    <w:rsid w:val="007A6113"/>
    <w:rsid w:val="007C14B9"/>
    <w:rsid w:val="007D7400"/>
    <w:rsid w:val="007D7C4B"/>
    <w:rsid w:val="007E02A7"/>
    <w:rsid w:val="007E7897"/>
    <w:rsid w:val="007F294D"/>
    <w:rsid w:val="007F3018"/>
    <w:rsid w:val="007F30D8"/>
    <w:rsid w:val="007F6E66"/>
    <w:rsid w:val="007F7669"/>
    <w:rsid w:val="008060C3"/>
    <w:rsid w:val="00811308"/>
    <w:rsid w:val="008168AB"/>
    <w:rsid w:val="008326CB"/>
    <w:rsid w:val="008342E3"/>
    <w:rsid w:val="00835ABE"/>
    <w:rsid w:val="008462F1"/>
    <w:rsid w:val="0085030F"/>
    <w:rsid w:val="008604A8"/>
    <w:rsid w:val="00861AFA"/>
    <w:rsid w:val="008666B5"/>
    <w:rsid w:val="00867D87"/>
    <w:rsid w:val="00867F7C"/>
    <w:rsid w:val="00872DB7"/>
    <w:rsid w:val="00876985"/>
    <w:rsid w:val="00883780"/>
    <w:rsid w:val="00885066"/>
    <w:rsid w:val="008865D6"/>
    <w:rsid w:val="00886764"/>
    <w:rsid w:val="008923C8"/>
    <w:rsid w:val="00893260"/>
    <w:rsid w:val="00896815"/>
    <w:rsid w:val="008A398B"/>
    <w:rsid w:val="008B0F6A"/>
    <w:rsid w:val="008B2CAB"/>
    <w:rsid w:val="008B51FD"/>
    <w:rsid w:val="008B6905"/>
    <w:rsid w:val="008B7987"/>
    <w:rsid w:val="008C1939"/>
    <w:rsid w:val="008C697C"/>
    <w:rsid w:val="008C75ED"/>
    <w:rsid w:val="008C7649"/>
    <w:rsid w:val="008D1E1D"/>
    <w:rsid w:val="008D2254"/>
    <w:rsid w:val="008D66E0"/>
    <w:rsid w:val="008D6FCB"/>
    <w:rsid w:val="008E0EE9"/>
    <w:rsid w:val="008F1586"/>
    <w:rsid w:val="0090126C"/>
    <w:rsid w:val="00915330"/>
    <w:rsid w:val="00916D98"/>
    <w:rsid w:val="0094260B"/>
    <w:rsid w:val="00942661"/>
    <w:rsid w:val="0094558D"/>
    <w:rsid w:val="00945916"/>
    <w:rsid w:val="0095492E"/>
    <w:rsid w:val="00954CEE"/>
    <w:rsid w:val="00963BD8"/>
    <w:rsid w:val="009652F5"/>
    <w:rsid w:val="00965C07"/>
    <w:rsid w:val="009702B3"/>
    <w:rsid w:val="00970DA1"/>
    <w:rsid w:val="00974FC2"/>
    <w:rsid w:val="00976219"/>
    <w:rsid w:val="0097762F"/>
    <w:rsid w:val="009820AD"/>
    <w:rsid w:val="00985CF1"/>
    <w:rsid w:val="00992399"/>
    <w:rsid w:val="00993912"/>
    <w:rsid w:val="009A5DB1"/>
    <w:rsid w:val="009A6F1F"/>
    <w:rsid w:val="009A7C5A"/>
    <w:rsid w:val="009A7E51"/>
    <w:rsid w:val="009B2747"/>
    <w:rsid w:val="009C0788"/>
    <w:rsid w:val="009C29B6"/>
    <w:rsid w:val="009C5238"/>
    <w:rsid w:val="009D0369"/>
    <w:rsid w:val="009D12B4"/>
    <w:rsid w:val="009D4CAE"/>
    <w:rsid w:val="009D582F"/>
    <w:rsid w:val="009D5A11"/>
    <w:rsid w:val="009E7BC9"/>
    <w:rsid w:val="00A1137C"/>
    <w:rsid w:val="00A14CE2"/>
    <w:rsid w:val="00A16126"/>
    <w:rsid w:val="00A2093D"/>
    <w:rsid w:val="00A27809"/>
    <w:rsid w:val="00A317B0"/>
    <w:rsid w:val="00A52806"/>
    <w:rsid w:val="00A528D0"/>
    <w:rsid w:val="00A537C5"/>
    <w:rsid w:val="00A56348"/>
    <w:rsid w:val="00A640AC"/>
    <w:rsid w:val="00A64664"/>
    <w:rsid w:val="00A70F69"/>
    <w:rsid w:val="00A73ABB"/>
    <w:rsid w:val="00A75002"/>
    <w:rsid w:val="00A817CF"/>
    <w:rsid w:val="00A87F31"/>
    <w:rsid w:val="00A92871"/>
    <w:rsid w:val="00A955EB"/>
    <w:rsid w:val="00AA2BE7"/>
    <w:rsid w:val="00AB2190"/>
    <w:rsid w:val="00AB3F27"/>
    <w:rsid w:val="00AB3FD9"/>
    <w:rsid w:val="00AC1E4C"/>
    <w:rsid w:val="00AE3842"/>
    <w:rsid w:val="00AE7474"/>
    <w:rsid w:val="00AE7FE4"/>
    <w:rsid w:val="00AF6F81"/>
    <w:rsid w:val="00B076A3"/>
    <w:rsid w:val="00B07E64"/>
    <w:rsid w:val="00B10B11"/>
    <w:rsid w:val="00B1311F"/>
    <w:rsid w:val="00B22F9B"/>
    <w:rsid w:val="00B257E3"/>
    <w:rsid w:val="00B279B9"/>
    <w:rsid w:val="00B32B7A"/>
    <w:rsid w:val="00B34F48"/>
    <w:rsid w:val="00B414D5"/>
    <w:rsid w:val="00B44201"/>
    <w:rsid w:val="00B474E6"/>
    <w:rsid w:val="00B521E5"/>
    <w:rsid w:val="00B57594"/>
    <w:rsid w:val="00B6176A"/>
    <w:rsid w:val="00B67527"/>
    <w:rsid w:val="00B71763"/>
    <w:rsid w:val="00B76799"/>
    <w:rsid w:val="00B86EF1"/>
    <w:rsid w:val="00B91065"/>
    <w:rsid w:val="00B91154"/>
    <w:rsid w:val="00B9772B"/>
    <w:rsid w:val="00BA516F"/>
    <w:rsid w:val="00BB3805"/>
    <w:rsid w:val="00BB6740"/>
    <w:rsid w:val="00BC269B"/>
    <w:rsid w:val="00BC27D2"/>
    <w:rsid w:val="00BD26F0"/>
    <w:rsid w:val="00BD6AD8"/>
    <w:rsid w:val="00BE4857"/>
    <w:rsid w:val="00BF2B3E"/>
    <w:rsid w:val="00C15F49"/>
    <w:rsid w:val="00C24BC7"/>
    <w:rsid w:val="00C2501C"/>
    <w:rsid w:val="00C275F3"/>
    <w:rsid w:val="00C305D1"/>
    <w:rsid w:val="00C34CCB"/>
    <w:rsid w:val="00C37518"/>
    <w:rsid w:val="00C42A3A"/>
    <w:rsid w:val="00C42E03"/>
    <w:rsid w:val="00C670FE"/>
    <w:rsid w:val="00C678F4"/>
    <w:rsid w:val="00C9339F"/>
    <w:rsid w:val="00C94FF5"/>
    <w:rsid w:val="00C9753B"/>
    <w:rsid w:val="00CA164C"/>
    <w:rsid w:val="00CA4747"/>
    <w:rsid w:val="00CA6C10"/>
    <w:rsid w:val="00CB6DA9"/>
    <w:rsid w:val="00CC0D8E"/>
    <w:rsid w:val="00CC293A"/>
    <w:rsid w:val="00CC2F01"/>
    <w:rsid w:val="00CD31EA"/>
    <w:rsid w:val="00CE441C"/>
    <w:rsid w:val="00CE5481"/>
    <w:rsid w:val="00CE5866"/>
    <w:rsid w:val="00CF0045"/>
    <w:rsid w:val="00CF34D8"/>
    <w:rsid w:val="00CF7194"/>
    <w:rsid w:val="00CF7C90"/>
    <w:rsid w:val="00D018FF"/>
    <w:rsid w:val="00D06299"/>
    <w:rsid w:val="00D13B0B"/>
    <w:rsid w:val="00D13CCF"/>
    <w:rsid w:val="00D24AEE"/>
    <w:rsid w:val="00D2667D"/>
    <w:rsid w:val="00D3073E"/>
    <w:rsid w:val="00D316C8"/>
    <w:rsid w:val="00D365BB"/>
    <w:rsid w:val="00D36B3A"/>
    <w:rsid w:val="00D37AB5"/>
    <w:rsid w:val="00D40C74"/>
    <w:rsid w:val="00D43282"/>
    <w:rsid w:val="00D43EA4"/>
    <w:rsid w:val="00D47945"/>
    <w:rsid w:val="00D50C89"/>
    <w:rsid w:val="00D547F0"/>
    <w:rsid w:val="00D624B8"/>
    <w:rsid w:val="00D744DC"/>
    <w:rsid w:val="00D86737"/>
    <w:rsid w:val="00D9153B"/>
    <w:rsid w:val="00D95D78"/>
    <w:rsid w:val="00DA0810"/>
    <w:rsid w:val="00DB2327"/>
    <w:rsid w:val="00DC0DFD"/>
    <w:rsid w:val="00DC6C77"/>
    <w:rsid w:val="00DC714B"/>
    <w:rsid w:val="00DD1663"/>
    <w:rsid w:val="00DD4BFB"/>
    <w:rsid w:val="00DD6954"/>
    <w:rsid w:val="00DE0C1F"/>
    <w:rsid w:val="00DE68DB"/>
    <w:rsid w:val="00DF1125"/>
    <w:rsid w:val="00E01EF4"/>
    <w:rsid w:val="00E02CF2"/>
    <w:rsid w:val="00E075ED"/>
    <w:rsid w:val="00E114D8"/>
    <w:rsid w:val="00E14D78"/>
    <w:rsid w:val="00E243F5"/>
    <w:rsid w:val="00E26045"/>
    <w:rsid w:val="00E26BDB"/>
    <w:rsid w:val="00E27304"/>
    <w:rsid w:val="00E31837"/>
    <w:rsid w:val="00E337F5"/>
    <w:rsid w:val="00E503F2"/>
    <w:rsid w:val="00E52BAA"/>
    <w:rsid w:val="00E53D46"/>
    <w:rsid w:val="00E564A6"/>
    <w:rsid w:val="00E638FC"/>
    <w:rsid w:val="00E8007A"/>
    <w:rsid w:val="00E80F2D"/>
    <w:rsid w:val="00E83FB2"/>
    <w:rsid w:val="00E905AC"/>
    <w:rsid w:val="00E95AC2"/>
    <w:rsid w:val="00E962C1"/>
    <w:rsid w:val="00E975E0"/>
    <w:rsid w:val="00EA0169"/>
    <w:rsid w:val="00EA21AA"/>
    <w:rsid w:val="00EB254B"/>
    <w:rsid w:val="00EB5434"/>
    <w:rsid w:val="00EB5D6C"/>
    <w:rsid w:val="00EC049F"/>
    <w:rsid w:val="00ED03C1"/>
    <w:rsid w:val="00ED194C"/>
    <w:rsid w:val="00ED2C26"/>
    <w:rsid w:val="00ED5EC2"/>
    <w:rsid w:val="00EE21DD"/>
    <w:rsid w:val="00EE3964"/>
    <w:rsid w:val="00EE7D55"/>
    <w:rsid w:val="00EF4457"/>
    <w:rsid w:val="00EF71E1"/>
    <w:rsid w:val="00EF754B"/>
    <w:rsid w:val="00F00871"/>
    <w:rsid w:val="00F05EAF"/>
    <w:rsid w:val="00F0691B"/>
    <w:rsid w:val="00F11C46"/>
    <w:rsid w:val="00F14E61"/>
    <w:rsid w:val="00F15FD4"/>
    <w:rsid w:val="00F17354"/>
    <w:rsid w:val="00F174AC"/>
    <w:rsid w:val="00F17CB6"/>
    <w:rsid w:val="00F17D41"/>
    <w:rsid w:val="00F24147"/>
    <w:rsid w:val="00F34E93"/>
    <w:rsid w:val="00F37BFA"/>
    <w:rsid w:val="00F424E3"/>
    <w:rsid w:val="00F44083"/>
    <w:rsid w:val="00F45DE7"/>
    <w:rsid w:val="00F534C0"/>
    <w:rsid w:val="00F54C84"/>
    <w:rsid w:val="00F6010E"/>
    <w:rsid w:val="00F623B6"/>
    <w:rsid w:val="00F6394B"/>
    <w:rsid w:val="00F64787"/>
    <w:rsid w:val="00F76560"/>
    <w:rsid w:val="00F772AB"/>
    <w:rsid w:val="00F80602"/>
    <w:rsid w:val="00F83009"/>
    <w:rsid w:val="00F92112"/>
    <w:rsid w:val="00F9735A"/>
    <w:rsid w:val="00FA42F4"/>
    <w:rsid w:val="00FB14A0"/>
    <w:rsid w:val="00FB296D"/>
    <w:rsid w:val="00FB4BEE"/>
    <w:rsid w:val="00FC48DD"/>
    <w:rsid w:val="00FC67E5"/>
    <w:rsid w:val="00FC6BFF"/>
    <w:rsid w:val="00FD04EB"/>
    <w:rsid w:val="00FD131D"/>
    <w:rsid w:val="00FD422A"/>
    <w:rsid w:val="00FD5177"/>
    <w:rsid w:val="00FE35E1"/>
    <w:rsid w:val="00FF1A50"/>
    <w:rsid w:val="00FF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53B"/>
  </w:style>
  <w:style w:type="paragraph" w:styleId="Heading1">
    <w:name w:val="heading 1"/>
    <w:basedOn w:val="Normal"/>
    <w:next w:val="Normal"/>
    <w:qFormat/>
    <w:rsid w:val="00D9153B"/>
    <w:pPr>
      <w:keepNext/>
      <w:widowControl w:val="0"/>
      <w:suppressAutoHyphens/>
      <w:outlineLvl w:val="0"/>
    </w:pPr>
    <w:rPr>
      <w:rFonts w:ascii="Courier" w:hAnsi="Courier"/>
      <w:b/>
      <w:spacing w:val="-3"/>
      <w:sz w:val="28"/>
    </w:rPr>
  </w:style>
  <w:style w:type="paragraph" w:styleId="Heading2">
    <w:name w:val="heading 2"/>
    <w:basedOn w:val="Normal"/>
    <w:next w:val="Normal"/>
    <w:qFormat/>
    <w:rsid w:val="00D9153B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D9153B"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153B"/>
    <w:pPr>
      <w:widowControl w:val="0"/>
      <w:tabs>
        <w:tab w:val="center" w:pos="4320"/>
        <w:tab w:val="right" w:pos="8640"/>
      </w:tabs>
    </w:pPr>
    <w:rPr>
      <w:rFonts w:ascii="Courier" w:hAnsi="Courier"/>
      <w:sz w:val="22"/>
    </w:rPr>
  </w:style>
  <w:style w:type="paragraph" w:styleId="FootnoteText">
    <w:name w:val="footnote text"/>
    <w:aliases w:val="fn,Footnote Text Char Char Char Char,Footnote Text Char Char Char,Footnote Text Char Char,testo pié di pagina,testo pié di pagina Char,Footnote Text Char1,Footnote,FOOTNOTES,single space"/>
    <w:basedOn w:val="Normal"/>
    <w:link w:val="FootnoteTextChar"/>
    <w:semiHidden/>
    <w:rsid w:val="00D9153B"/>
    <w:pPr>
      <w:widowControl w:val="0"/>
    </w:pPr>
    <w:rPr>
      <w:rFonts w:ascii="Courier" w:hAnsi="Courier"/>
    </w:rPr>
  </w:style>
  <w:style w:type="paragraph" w:styleId="Subtitle">
    <w:name w:val="Subtitle"/>
    <w:basedOn w:val="Normal"/>
    <w:qFormat/>
    <w:rsid w:val="00D9153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FootnoteReference">
    <w:name w:val="footnote reference"/>
    <w:semiHidden/>
    <w:rsid w:val="00D9153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D9153B"/>
    <w:pPr>
      <w:tabs>
        <w:tab w:val="center" w:pos="4320"/>
        <w:tab w:val="right" w:pos="8640"/>
      </w:tabs>
    </w:pPr>
  </w:style>
  <w:style w:type="paragraph" w:customStyle="1" w:styleId="HCh">
    <w:name w:val="_ H _Ch"/>
    <w:basedOn w:val="Normal"/>
    <w:next w:val="Normal"/>
    <w:rsid w:val="00D9153B"/>
    <w:pPr>
      <w:keepNext/>
      <w:keepLines/>
      <w:suppressAutoHyphens/>
      <w:spacing w:line="300" w:lineRule="exact"/>
      <w:outlineLvl w:val="0"/>
    </w:pPr>
    <w:rPr>
      <w:b/>
      <w:spacing w:val="-2"/>
      <w:w w:val="103"/>
      <w:kern w:val="14"/>
      <w:sz w:val="28"/>
      <w:lang w:val="en-GB"/>
    </w:rPr>
  </w:style>
  <w:style w:type="paragraph" w:customStyle="1" w:styleId="SingleTxt">
    <w:name w:val="__Single Txt"/>
    <w:basedOn w:val="Normal"/>
    <w:rsid w:val="00D9153B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spacing w:val="4"/>
      <w:w w:val="103"/>
      <w:kern w:val="14"/>
      <w:lang w:val="en-GB"/>
    </w:rPr>
  </w:style>
  <w:style w:type="paragraph" w:customStyle="1" w:styleId="XLarge">
    <w:name w:val="XLarge"/>
    <w:basedOn w:val="Normal"/>
    <w:rsid w:val="00D9153B"/>
    <w:pPr>
      <w:keepNext/>
      <w:keepLines/>
      <w:tabs>
        <w:tab w:val="right" w:leader="dot" w:pos="360"/>
      </w:tabs>
      <w:suppressAutoHyphens/>
      <w:spacing w:line="390" w:lineRule="exact"/>
      <w:outlineLvl w:val="0"/>
    </w:pPr>
    <w:rPr>
      <w:b/>
      <w:spacing w:val="-4"/>
      <w:w w:val="98"/>
      <w:kern w:val="14"/>
      <w:sz w:val="40"/>
      <w:lang w:val="en-GB"/>
    </w:rPr>
  </w:style>
  <w:style w:type="paragraph" w:styleId="BalloonText">
    <w:name w:val="Balloon Text"/>
    <w:basedOn w:val="Normal"/>
    <w:semiHidden/>
    <w:rsid w:val="005D40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9421C"/>
    <w:rPr>
      <w:strike w:val="0"/>
      <w:dstrike w:val="0"/>
      <w:color w:val="3366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96815"/>
    <w:pPr>
      <w:ind w:left="720"/>
    </w:pPr>
  </w:style>
  <w:style w:type="paragraph" w:styleId="DocumentMap">
    <w:name w:val="Document Map"/>
    <w:basedOn w:val="Normal"/>
    <w:link w:val="DocumentMapChar"/>
    <w:rsid w:val="009939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9391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00E4A"/>
    <w:rPr>
      <w:sz w:val="6"/>
      <w:szCs w:val="6"/>
    </w:rPr>
  </w:style>
  <w:style w:type="character" w:customStyle="1" w:styleId="FooterChar">
    <w:name w:val="Footer Char"/>
    <w:basedOn w:val="DefaultParagraphFont"/>
    <w:link w:val="Footer"/>
    <w:uiPriority w:val="99"/>
    <w:rsid w:val="005841A3"/>
  </w:style>
  <w:style w:type="paragraph" w:styleId="CommentText">
    <w:name w:val="annotation text"/>
    <w:basedOn w:val="Normal"/>
    <w:link w:val="CommentTextChar"/>
    <w:rsid w:val="00D50C89"/>
    <w:rPr>
      <w:rFonts w:ascii="Arial" w:eastAsia="Calibri" w:hAnsi="Arial"/>
      <w:lang w:val="en-GB"/>
    </w:rPr>
  </w:style>
  <w:style w:type="character" w:customStyle="1" w:styleId="CommentTextChar">
    <w:name w:val="Comment Text Char"/>
    <w:link w:val="CommentText"/>
    <w:rsid w:val="00D50C89"/>
    <w:rPr>
      <w:rFonts w:ascii="Arial" w:eastAsia="Calibri" w:hAnsi="Arial"/>
      <w:lang w:val="en-GB"/>
    </w:rPr>
  </w:style>
  <w:style w:type="character" w:customStyle="1" w:styleId="FootnoteTextChar">
    <w:name w:val="Footnote Text Char"/>
    <w:aliases w:val="fn Char,Footnote Text Char Char Char Char Char,Footnote Text Char Char Char Char1,Footnote Text Char Char Char1,testo pié di pagina Char1,testo pié di pagina Char Char,Footnote Text Char1 Char,Footnote Char,FOOTNOTES Char"/>
    <w:link w:val="FootnoteText"/>
    <w:semiHidden/>
    <w:rsid w:val="00F4408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454ECA"/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rsid w:val="00454ECA"/>
    <w:rPr>
      <w:rFonts w:ascii="Arial" w:eastAsia="Calibri" w:hAnsi="Arial"/>
      <w:b/>
      <w:bCs/>
      <w:lang w:val="en-GB"/>
    </w:rPr>
  </w:style>
  <w:style w:type="paragraph" w:customStyle="1" w:styleId="NoteLevel2">
    <w:name w:val="Note Level 2"/>
    <w:uiPriority w:val="99"/>
    <w:qFormat/>
    <w:rsid w:val="002A0DB2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HeaderChar">
    <w:name w:val="Header Char"/>
    <w:link w:val="Header"/>
    <w:rsid w:val="00974FC2"/>
    <w:rPr>
      <w:rFonts w:ascii="Courier" w:hAnsi="Courier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D60D-9AE7-4510-8ED1-0F7FD40EB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C16B7-CF9A-4037-A10C-00F104F9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Second/First/Annual session of (year)</vt:lpstr>
    </vt:vector>
  </TitlesOfParts>
  <Company>UNDP</Company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Second/First/Annual session of (year)</dc:title>
  <dc:creator>John Magoha</dc:creator>
  <cp:lastModifiedBy>tim.clairs</cp:lastModifiedBy>
  <cp:revision>2</cp:revision>
  <cp:lastPrinted>2011-08-12T15:08:00Z</cp:lastPrinted>
  <dcterms:created xsi:type="dcterms:W3CDTF">2012-04-28T19:53:00Z</dcterms:created>
  <dcterms:modified xsi:type="dcterms:W3CDTF">2012-04-28T19:53:00Z</dcterms:modified>
</cp:coreProperties>
</file>