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55429887"/>
        <w:docPartObj>
          <w:docPartGallery w:val="Cover Pages"/>
          <w:docPartUnique/>
        </w:docPartObj>
      </w:sdtPr>
      <w:sdtEndPr>
        <w:rPr>
          <w:rFonts w:eastAsia="Calibri" w:cs="Calibri"/>
          <w:b/>
          <w:sz w:val="48"/>
          <w:szCs w:val="48"/>
          <w:lang w:val="en-GB"/>
        </w:rPr>
      </w:sdtEndPr>
      <w:sdtContent>
        <w:p w:rsidR="003D3F7E" w:rsidRDefault="003D3F7E" w:rsidP="003D3F7E">
          <w:r>
            <w:rPr>
              <w:noProof/>
              <w:lang w:eastAsia="en-US"/>
            </w:rPr>
            <w:drawing>
              <wp:anchor distT="0" distB="0" distL="114300" distR="114300" simplePos="0" relativeHeight="251663360" behindDoc="1" locked="0" layoutInCell="1" allowOverlap="1" wp14:anchorId="0315DEA4" wp14:editId="790AE722">
                <wp:simplePos x="0" y="0"/>
                <wp:positionH relativeFrom="column">
                  <wp:posOffset>4509135</wp:posOffset>
                </wp:positionH>
                <wp:positionV relativeFrom="paragraph">
                  <wp:posOffset>2540</wp:posOffset>
                </wp:positionV>
                <wp:extent cx="1548765" cy="783590"/>
                <wp:effectExtent l="0" t="0" r="0" b="0"/>
                <wp:wrapThrough wrapText="bothSides">
                  <wp:wrapPolygon edited="0">
                    <wp:start x="4251" y="0"/>
                    <wp:lineTo x="708" y="5601"/>
                    <wp:lineTo x="0" y="7702"/>
                    <wp:lineTo x="0" y="20305"/>
                    <wp:lineTo x="1063" y="21005"/>
                    <wp:lineTo x="13107" y="21005"/>
                    <wp:lineTo x="15232" y="21005"/>
                    <wp:lineTo x="21255" y="21005"/>
                    <wp:lineTo x="21255" y="6301"/>
                    <wp:lineTo x="19129" y="0"/>
                    <wp:lineTo x="4251" y="0"/>
                  </wp:wrapPolygon>
                </wp:wrapThrough>
                <wp:docPr id="3" name="Picture 3" descr="e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tterhead-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76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0288" behindDoc="0" locked="0" layoutInCell="1" allowOverlap="1" wp14:anchorId="3251EDFA" wp14:editId="0C236C83">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4" o:spid="_x0000_s1026" style="position:absolute;margin-left:21.6pt;margin-top:36pt;width:568.8pt;height:1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" fillcolor="#8db3e2 [1311]" stroked="f" strokecolor="#4a7ebb" strokeweight="1.5pt">
                    <v:shadow opacity="22938f" offset="0"/>
                    <v:textbox inset=",7.2pt,,7.2pt"/>
                    <w10:wrap anchorx="page" anchory="page"/>
                  </v:rect>
                </w:pict>
              </mc:Fallback>
            </mc:AlternateContent>
          </w:r>
          <w:r>
            <w:rPr>
              <w:noProof/>
              <w:lang w:eastAsia="en-US"/>
            </w:rPr>
            <mc:AlternateContent>
              <mc:Choice Requires="wpg">
                <w:drawing>
                  <wp:anchor distT="0" distB="0" distL="114300" distR="114300" simplePos="0" relativeHeight="251659264" behindDoc="1" locked="0" layoutInCell="1" allowOverlap="1" wp14:anchorId="46068527" wp14:editId="032EFF6A">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lang w:eastAsia="en-US"/>
            </w:rPr>
            <mc:AlternateContent>
              <mc:Choice Requires="wpg">
                <w:drawing>
                  <wp:anchor distT="0" distB="0" distL="114300" distR="114300" simplePos="0" relativeHeight="251662336" behindDoc="0" locked="0" layoutInCell="1" allowOverlap="1" wp14:anchorId="3D093B9B" wp14:editId="264088B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71F" w:rsidRDefault="00CA171F" w:rsidP="003D3F7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71F" w:rsidRDefault="00CA171F" w:rsidP="003D3F7E">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5" o:spid="_x0000_s1026" style="position:absolute;margin-left:364.5pt;margin-top:-385.65pt;width:143.25pt;height:60.75pt;z-index:251662336"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rsidR="00CA171F" w:rsidRDefault="00CA171F" w:rsidP="003D3F7E">
                            <w:pPr>
                              <w:rPr>
                                <w:color w:val="FFFFFF"/>
                                <w:sz w:val="92"/>
                                <w:szCs w:val="92"/>
                              </w:rPr>
                            </w:pPr>
                            <w:r>
                              <w:rPr>
                                <w:color w:val="FFFFFF"/>
                                <w:sz w:val="92"/>
                                <w:szCs w:val="92"/>
                              </w:rPr>
                              <w:t>08</w:t>
                            </w:r>
                          </w:p>
                        </w:txbxContent>
                      </v:textbox>
                    </v:sha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rsidR="00CA171F" w:rsidRDefault="00CA171F" w:rsidP="003D3F7E">
                            <w:pPr>
                              <w:jc w:val="right"/>
                              <w:rPr>
                                <w:b/>
                                <w:color w:val="FFFFFF"/>
                                <w:sz w:val="32"/>
                                <w:szCs w:val="32"/>
                              </w:rPr>
                            </w:pPr>
                            <w:r>
                              <w:rPr>
                                <w:b/>
                                <w:color w:val="FFFFFF"/>
                                <w:sz w:val="32"/>
                                <w:szCs w:val="32"/>
                              </w:rPr>
                              <w:t>Fall</w:t>
                            </w:r>
                          </w:p>
                        </w:txbxContent>
                      </v:textbox>
                    </v:shape>
                  </v:group>
                </w:pict>
              </mc:Fallback>
            </mc:AlternateContent>
          </w:r>
        </w:p>
        <w:p w:rsidR="003D3F7E" w:rsidRDefault="003D3F7E" w:rsidP="003D3F7E">
          <w:pPr>
            <w:jc w:val="center"/>
            <w:rPr>
              <w:rFonts w:eastAsia="Calibri" w:cs="Calibri"/>
              <w:b/>
              <w:sz w:val="48"/>
              <w:szCs w:val="48"/>
              <w:lang w:val="en-GB"/>
            </w:rPr>
          </w:pPr>
        </w:p>
        <w:p w:rsidR="003D3F7E" w:rsidRDefault="003D3F7E" w:rsidP="003D3F7E">
          <w:pPr>
            <w:jc w:val="center"/>
            <w:rPr>
              <w:rFonts w:eastAsia="Calibri" w:cs="Calibri"/>
              <w:b/>
              <w:sz w:val="48"/>
              <w:szCs w:val="48"/>
              <w:lang w:val="en-GB"/>
            </w:rPr>
          </w:pPr>
        </w:p>
        <w:p w:rsidR="003D3F7E" w:rsidRDefault="003D3F7E" w:rsidP="003D3F7E">
          <w:pPr>
            <w:jc w:val="center"/>
            <w:rPr>
              <w:rFonts w:eastAsia="Calibri" w:cs="Calibri"/>
              <w:b/>
              <w:sz w:val="48"/>
              <w:szCs w:val="48"/>
              <w:lang w:val="en-GB"/>
            </w:rPr>
          </w:pPr>
        </w:p>
        <w:p w:rsidR="003D3F7E" w:rsidRDefault="003D3F7E" w:rsidP="003D3F7E">
          <w:pPr>
            <w:jc w:val="center"/>
            <w:rPr>
              <w:rFonts w:eastAsia="Calibri" w:cs="Calibri"/>
              <w:b/>
              <w:sz w:val="48"/>
              <w:szCs w:val="48"/>
              <w:lang w:val="en-GB"/>
            </w:rPr>
          </w:pPr>
        </w:p>
        <w:p w:rsidR="003D3F7E" w:rsidRDefault="003D3F7E" w:rsidP="003D3F7E">
          <w:pPr>
            <w:rPr>
              <w:rFonts w:eastAsia="Calibri" w:cs="Calibri"/>
              <w:b/>
              <w:sz w:val="48"/>
              <w:szCs w:val="48"/>
              <w:lang w:val="en-GB"/>
            </w:rPr>
          </w:pPr>
        </w:p>
        <w:p w:rsidR="003D3F7E" w:rsidRDefault="003D3F7E" w:rsidP="003D3F7E">
          <w:pPr>
            <w:jc w:val="center"/>
            <w:rPr>
              <w:rFonts w:eastAsia="Calibri" w:cs="Calibri"/>
              <w:b/>
              <w:sz w:val="48"/>
              <w:szCs w:val="48"/>
              <w:lang w:val="en-GB"/>
            </w:rPr>
          </w:pPr>
        </w:p>
        <w:p w:rsidR="00B8211C" w:rsidRPr="003D3F7E" w:rsidRDefault="00B8211C" w:rsidP="00B8211C">
          <w:pPr>
            <w:pStyle w:val="Heading1"/>
            <w:numPr>
              <w:ilvl w:val="0"/>
              <w:numId w:val="0"/>
            </w:numPr>
            <w:spacing w:before="0"/>
            <w:contextualSpacing/>
            <w:rPr>
              <w:sz w:val="56"/>
              <w:szCs w:val="56"/>
            </w:rPr>
          </w:pPr>
          <w:bookmarkStart w:id="0" w:name="_GoBack"/>
          <w:r w:rsidRPr="003D3F7E">
            <w:rPr>
              <w:sz w:val="56"/>
              <w:szCs w:val="56"/>
            </w:rPr>
            <w:t>Development of a Feedback and Grievance Redress Mechanism</w:t>
          </w:r>
        </w:p>
        <w:p w:rsidR="00B8211C" w:rsidRDefault="00B8211C" w:rsidP="00B8211C">
          <w:pPr>
            <w:pStyle w:val="Heading1"/>
            <w:numPr>
              <w:ilvl w:val="0"/>
              <w:numId w:val="0"/>
            </w:numPr>
            <w:spacing w:before="0"/>
            <w:contextualSpacing/>
            <w:rPr>
              <w:sz w:val="56"/>
              <w:szCs w:val="56"/>
            </w:rPr>
          </w:pPr>
          <w:r w:rsidRPr="003D3F7E">
            <w:rPr>
              <w:sz w:val="56"/>
              <w:szCs w:val="56"/>
            </w:rPr>
            <w:t xml:space="preserve">To Support REDD+ Readiness </w:t>
          </w:r>
        </w:p>
        <w:p w:rsidR="003D3F7E" w:rsidRPr="003D3F7E" w:rsidRDefault="00B8211C" w:rsidP="00B8211C">
          <w:pPr>
            <w:pStyle w:val="Heading1"/>
            <w:numPr>
              <w:ilvl w:val="0"/>
              <w:numId w:val="0"/>
            </w:numPr>
            <w:spacing w:before="0"/>
            <w:contextualSpacing/>
            <w:rPr>
              <w:sz w:val="56"/>
              <w:szCs w:val="56"/>
            </w:rPr>
          </w:pPr>
          <w:proofErr w:type="gramStart"/>
          <w:r w:rsidRPr="003D3F7E">
            <w:rPr>
              <w:sz w:val="56"/>
              <w:szCs w:val="56"/>
            </w:rPr>
            <w:t>in</w:t>
          </w:r>
          <w:proofErr w:type="gramEnd"/>
          <w:r w:rsidRPr="003D3F7E">
            <w:rPr>
              <w:sz w:val="56"/>
              <w:szCs w:val="56"/>
            </w:rPr>
            <w:t xml:space="preserve"> Suriname</w:t>
          </w:r>
          <w:bookmarkEnd w:id="0"/>
        </w:p>
        <w:p w:rsidR="003D3F7E" w:rsidRDefault="003D3F7E" w:rsidP="003D3F7E">
          <w:pPr>
            <w:pStyle w:val="Heading1"/>
            <w:numPr>
              <w:ilvl w:val="0"/>
              <w:numId w:val="0"/>
            </w:numPr>
            <w:spacing w:before="0"/>
            <w:contextualSpacing/>
            <w:rPr>
              <w:sz w:val="56"/>
              <w:szCs w:val="56"/>
            </w:rPr>
          </w:pPr>
        </w:p>
        <w:p w:rsidR="003D3F7E" w:rsidRDefault="003D3F7E" w:rsidP="003D3F7E">
          <w:pPr>
            <w:pStyle w:val="Heading1"/>
            <w:numPr>
              <w:ilvl w:val="0"/>
              <w:numId w:val="0"/>
            </w:numPr>
            <w:spacing w:before="0"/>
            <w:contextualSpacing/>
            <w:rPr>
              <w:sz w:val="40"/>
              <w:szCs w:val="40"/>
            </w:rPr>
          </w:pPr>
          <w:r w:rsidRPr="003D3F7E">
            <w:rPr>
              <w:sz w:val="40"/>
              <w:szCs w:val="40"/>
            </w:rPr>
            <w:t>Consultant’s DRAFT Assessment Report</w:t>
          </w:r>
        </w:p>
        <w:p w:rsidR="003D3F7E" w:rsidRDefault="003D3F7E" w:rsidP="003D3F7E"/>
        <w:p w:rsidR="003D3F7E" w:rsidRPr="003D3F7E" w:rsidRDefault="003D3F7E" w:rsidP="003D3F7E">
          <w:pPr>
            <w:pStyle w:val="Heading1"/>
            <w:numPr>
              <w:ilvl w:val="0"/>
              <w:numId w:val="0"/>
            </w:numPr>
            <w:spacing w:before="0"/>
            <w:contextualSpacing/>
            <w:rPr>
              <w:sz w:val="40"/>
              <w:szCs w:val="40"/>
            </w:rPr>
          </w:pPr>
          <w:r w:rsidRPr="003D3F7E">
            <w:rPr>
              <w:sz w:val="40"/>
              <w:szCs w:val="40"/>
            </w:rPr>
            <w:t>27 November 2013</w:t>
          </w:r>
        </w:p>
        <w:p w:rsidR="003D3F7E" w:rsidRDefault="003D3F7E" w:rsidP="003D3F7E">
          <w:pPr>
            <w:jc w:val="center"/>
            <w:rPr>
              <w:rFonts w:eastAsia="Calibri" w:cs="Calibri"/>
              <w:b/>
              <w:sz w:val="28"/>
              <w:szCs w:val="28"/>
              <w:lang w:val="en-GB"/>
            </w:rPr>
          </w:pPr>
          <w:r>
            <w:rPr>
              <w:noProof/>
              <w:lang w:eastAsia="en-US"/>
            </w:rPr>
            <mc:AlternateContent>
              <mc:Choice Requires="wps">
                <w:drawing>
                  <wp:anchor distT="0" distB="0" distL="114300" distR="114300" simplePos="0" relativeHeight="251661312" behindDoc="0" locked="0" layoutInCell="1" allowOverlap="1" wp14:anchorId="14C8E7EA" wp14:editId="7A75A7EA">
                    <wp:simplePos x="0" y="0"/>
                    <wp:positionH relativeFrom="page">
                      <wp:posOffset>394335</wp:posOffset>
                    </wp:positionH>
                    <wp:positionV relativeFrom="page">
                      <wp:posOffset>8783320</wp:posOffset>
                    </wp:positionV>
                    <wp:extent cx="6858000" cy="934720"/>
                    <wp:effectExtent l="0" t="0" r="0" b="508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71F" w:rsidRPr="003D3F7E" w:rsidRDefault="00CA171F" w:rsidP="003D3F7E">
                                <w:pPr>
                                  <w:contextualSpacing/>
                                  <w:rPr>
                                    <w:b/>
                                    <w:bCs/>
                                    <w:color w:val="548DD4" w:themeColor="text2" w:themeTint="99"/>
                                    <w:spacing w:val="60"/>
                                    <w:sz w:val="16"/>
                                    <w:szCs w:val="16"/>
                                  </w:rPr>
                                </w:pPr>
                              </w:p>
                              <w:sdt>
                                <w:sdtPr>
                                  <w:rPr>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EndPr/>
                                <w:sdtContent>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Consensus Building Institute</w:t>
                                    </w:r>
                                  </w:p>
                                </w:sdtContent>
                              </w:sdt>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238 Main Street, Suite 400</w:t>
                                </w:r>
                              </w:p>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Cambridge, MA 02142 USA</w:t>
                                </w:r>
                              </w:p>
                              <w:p w:rsidR="00CA171F" w:rsidRPr="003D3F7E"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www.cbuilding.org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30" style="position:absolute;left:0;text-align:left;margin-left:31.05pt;margin-top:691.6pt;width:540pt;height:7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" filled="f" stroked="f">
                    <v:textbox>
                      <w:txbxContent>
                        <w:p w:rsidR="00CA171F" w:rsidRPr="003D3F7E" w:rsidRDefault="00CA171F" w:rsidP="003D3F7E">
                          <w:pPr>
                            <w:contextualSpacing/>
                            <w:rPr>
                              <w:b/>
                              <w:bCs/>
                              <w:color w:val="548DD4" w:themeColor="text2" w:themeTint="99"/>
                              <w:spacing w:val="60"/>
                              <w:sz w:val="16"/>
                              <w:szCs w:val="16"/>
                            </w:rPr>
                          </w:pPr>
                        </w:p>
                        <w:sdt>
                          <w:sdtPr>
                            <w:rPr>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Consensus Building Institute</w:t>
                              </w:r>
                            </w:p>
                          </w:sdtContent>
                        </w:sdt>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238 Main Street, Suite 400</w:t>
                          </w:r>
                        </w:p>
                        <w:p w:rsidR="00CA171F"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Cambridge, MA 02142 USA</w:t>
                          </w:r>
                        </w:p>
                        <w:p w:rsidR="00CA171F" w:rsidRPr="003D3F7E" w:rsidRDefault="00CA171F" w:rsidP="003D3F7E">
                          <w:pPr>
                            <w:contextualSpacing/>
                            <w:rPr>
                              <w:b/>
                              <w:bCs/>
                              <w:color w:val="548DD4" w:themeColor="text2" w:themeTint="99"/>
                              <w:spacing w:val="60"/>
                              <w:sz w:val="20"/>
                              <w:szCs w:val="20"/>
                            </w:rPr>
                          </w:pPr>
                          <w:r>
                            <w:rPr>
                              <w:b/>
                              <w:bCs/>
                              <w:color w:val="548DD4" w:themeColor="text2" w:themeTint="99"/>
                              <w:spacing w:val="60"/>
                              <w:sz w:val="20"/>
                              <w:szCs w:val="20"/>
                            </w:rPr>
                            <w:t>www.cbuilding.org</w:t>
                          </w:r>
                        </w:p>
                      </w:txbxContent>
                    </v:textbox>
                    <w10:wrap anchorx="page" anchory="page"/>
                  </v:rect>
                </w:pict>
              </mc:Fallback>
            </mc:AlternateContent>
          </w:r>
          <w:r>
            <w:rPr>
              <w:rFonts w:eastAsia="Calibri" w:cs="Calibri"/>
              <w:b/>
              <w:sz w:val="48"/>
              <w:szCs w:val="48"/>
              <w:lang w:val="en-GB"/>
            </w:rPr>
            <w:br w:type="page"/>
          </w:r>
        </w:p>
      </w:sdtContent>
    </w:sdt>
    <w:p w:rsidR="007E69E2" w:rsidRDefault="007E69E2" w:rsidP="00167800">
      <w:pPr>
        <w:pStyle w:val="Heading1"/>
        <w:numPr>
          <w:ilvl w:val="0"/>
          <w:numId w:val="0"/>
        </w:numPr>
        <w:spacing w:before="0"/>
        <w:contextualSpacing/>
        <w:jc w:val="center"/>
      </w:pPr>
    </w:p>
    <w:p w:rsidR="0041318D" w:rsidRDefault="0041318D" w:rsidP="003D3F7E">
      <w:pPr>
        <w:pStyle w:val="Heading1"/>
        <w:numPr>
          <w:ilvl w:val="0"/>
          <w:numId w:val="0"/>
        </w:numPr>
        <w:spacing w:before="0"/>
        <w:contextualSpacing/>
        <w:rPr>
          <w:sz w:val="28"/>
          <w:szCs w:val="28"/>
        </w:rPr>
      </w:pPr>
    </w:p>
    <w:p w:rsidR="0041318D" w:rsidRDefault="0041318D" w:rsidP="003D3F7E">
      <w:pPr>
        <w:pStyle w:val="Heading1"/>
        <w:numPr>
          <w:ilvl w:val="0"/>
          <w:numId w:val="0"/>
        </w:numPr>
        <w:spacing w:before="0"/>
        <w:contextualSpacing/>
        <w:jc w:val="center"/>
        <w:rPr>
          <w:sz w:val="28"/>
          <w:szCs w:val="28"/>
        </w:rPr>
      </w:pPr>
    </w:p>
    <w:p w:rsidR="007E69E2" w:rsidRPr="007E69E2" w:rsidRDefault="007E69E2" w:rsidP="003D3F7E">
      <w:pPr>
        <w:pStyle w:val="Heading1"/>
        <w:numPr>
          <w:ilvl w:val="0"/>
          <w:numId w:val="0"/>
        </w:numPr>
        <w:spacing w:before="0"/>
        <w:contextualSpacing/>
        <w:jc w:val="center"/>
        <w:rPr>
          <w:sz w:val="28"/>
          <w:szCs w:val="28"/>
        </w:rPr>
      </w:pPr>
      <w:bookmarkStart w:id="1" w:name="_Toc247210092"/>
      <w:r w:rsidRPr="007E69E2">
        <w:rPr>
          <w:sz w:val="28"/>
          <w:szCs w:val="28"/>
        </w:rPr>
        <w:t>Development of a Feedback and Grievance Redress Mechanism</w:t>
      </w:r>
      <w:bookmarkEnd w:id="1"/>
    </w:p>
    <w:p w:rsidR="007E69E2" w:rsidRPr="007E69E2" w:rsidRDefault="007E69E2" w:rsidP="003D3F7E">
      <w:pPr>
        <w:pStyle w:val="Heading1"/>
        <w:numPr>
          <w:ilvl w:val="0"/>
          <w:numId w:val="0"/>
        </w:numPr>
        <w:spacing w:before="0"/>
        <w:contextualSpacing/>
        <w:jc w:val="center"/>
        <w:rPr>
          <w:sz w:val="28"/>
          <w:szCs w:val="28"/>
        </w:rPr>
      </w:pPr>
      <w:bookmarkStart w:id="2" w:name="_Toc247210093"/>
      <w:r w:rsidRPr="007E69E2">
        <w:rPr>
          <w:sz w:val="28"/>
          <w:szCs w:val="28"/>
        </w:rPr>
        <w:t>To Support REDD+ Readiness in Suriname</w:t>
      </w:r>
      <w:bookmarkEnd w:id="2"/>
    </w:p>
    <w:p w:rsidR="007E69E2" w:rsidRPr="007E69E2" w:rsidRDefault="007E69E2" w:rsidP="003D3F7E">
      <w:pPr>
        <w:pStyle w:val="Heading1"/>
        <w:numPr>
          <w:ilvl w:val="0"/>
          <w:numId w:val="0"/>
        </w:numPr>
        <w:spacing w:before="120"/>
        <w:jc w:val="center"/>
        <w:rPr>
          <w:sz w:val="28"/>
          <w:szCs w:val="28"/>
        </w:rPr>
      </w:pPr>
      <w:bookmarkStart w:id="3" w:name="_Toc247210094"/>
      <w:r w:rsidRPr="007E69E2">
        <w:rPr>
          <w:sz w:val="28"/>
          <w:szCs w:val="28"/>
        </w:rPr>
        <w:t>Consultant’s DRAFT Assessment Report</w:t>
      </w:r>
      <w:bookmarkEnd w:id="3"/>
    </w:p>
    <w:p w:rsidR="007E69E2" w:rsidRDefault="007E69E2" w:rsidP="007E69E2">
      <w:pPr>
        <w:rPr>
          <w:sz w:val="28"/>
          <w:szCs w:val="28"/>
        </w:rPr>
      </w:pPr>
    </w:p>
    <w:p w:rsidR="007E69E2" w:rsidRDefault="007E69E2" w:rsidP="007E69E2">
      <w:pPr>
        <w:pStyle w:val="Heading1"/>
        <w:numPr>
          <w:ilvl w:val="0"/>
          <w:numId w:val="0"/>
        </w:numPr>
        <w:spacing w:before="120"/>
        <w:jc w:val="center"/>
        <w:rPr>
          <w:sz w:val="28"/>
          <w:szCs w:val="28"/>
        </w:rPr>
      </w:pPr>
      <w:r>
        <w:rPr>
          <w:sz w:val="28"/>
          <w:szCs w:val="28"/>
        </w:rPr>
        <w:t>Table of Contents</w:t>
      </w:r>
    </w:p>
    <w:p w:rsidR="007E69E2" w:rsidRDefault="007E69E2" w:rsidP="00EE67DD">
      <w:pPr>
        <w:pStyle w:val="TOC1"/>
        <w:tabs>
          <w:tab w:val="right" w:leader="dot" w:pos="8630"/>
        </w:tabs>
        <w:spacing w:after="160"/>
        <w:rPr>
          <w:rFonts w:asciiTheme="minorHAnsi" w:hAnsiTheme="minorHAnsi"/>
          <w:b w:val="0"/>
          <w:noProof/>
          <w:color w:val="auto"/>
        </w:rPr>
      </w:pPr>
      <w:r>
        <w:rPr>
          <w:sz w:val="28"/>
          <w:szCs w:val="28"/>
        </w:rPr>
        <w:fldChar w:fldCharType="begin"/>
      </w:r>
      <w:r>
        <w:rPr>
          <w:sz w:val="28"/>
          <w:szCs w:val="28"/>
        </w:rPr>
        <w:instrText xml:space="preserve"> TOC \o "1-3" </w:instrText>
      </w:r>
      <w:r>
        <w:rPr>
          <w:sz w:val="28"/>
          <w:szCs w:val="28"/>
        </w:rPr>
        <w:fldChar w:fldCharType="separate"/>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1.</w:t>
      </w:r>
      <w:r>
        <w:rPr>
          <w:rFonts w:asciiTheme="minorHAnsi" w:hAnsiTheme="minorHAnsi"/>
          <w:b w:val="0"/>
          <w:noProof/>
          <w:color w:val="auto"/>
        </w:rPr>
        <w:tab/>
      </w:r>
      <w:r>
        <w:rPr>
          <w:noProof/>
        </w:rPr>
        <w:t>Assessment purpose and approach</w:t>
      </w:r>
      <w:r>
        <w:rPr>
          <w:noProof/>
        </w:rPr>
        <w:tab/>
      </w:r>
      <w:r>
        <w:rPr>
          <w:noProof/>
        </w:rPr>
        <w:fldChar w:fldCharType="begin"/>
      </w:r>
      <w:r>
        <w:rPr>
          <w:noProof/>
        </w:rPr>
        <w:instrText xml:space="preserve"> PAGEREF _Toc247210095 \h </w:instrText>
      </w:r>
      <w:r>
        <w:rPr>
          <w:noProof/>
        </w:rPr>
      </w:r>
      <w:r>
        <w:rPr>
          <w:noProof/>
        </w:rPr>
        <w:fldChar w:fldCharType="separate"/>
      </w:r>
      <w:r w:rsidR="00EE67DD">
        <w:rPr>
          <w:noProof/>
        </w:rPr>
        <w:t>1</w:t>
      </w:r>
      <w:r>
        <w:rPr>
          <w:noProof/>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2.</w:t>
      </w:r>
      <w:r>
        <w:rPr>
          <w:rFonts w:asciiTheme="minorHAnsi" w:hAnsiTheme="minorHAnsi"/>
          <w:b w:val="0"/>
          <w:noProof/>
          <w:color w:val="auto"/>
        </w:rPr>
        <w:tab/>
      </w:r>
      <w:r>
        <w:rPr>
          <w:noProof/>
        </w:rPr>
        <w:t>Background on the forest sector in Suriname</w:t>
      </w:r>
      <w:r>
        <w:rPr>
          <w:noProof/>
        </w:rPr>
        <w:tab/>
      </w:r>
      <w:r>
        <w:rPr>
          <w:noProof/>
        </w:rPr>
        <w:fldChar w:fldCharType="begin"/>
      </w:r>
      <w:r>
        <w:rPr>
          <w:noProof/>
        </w:rPr>
        <w:instrText xml:space="preserve"> PAGEREF _Toc247210096 \h </w:instrText>
      </w:r>
      <w:r>
        <w:rPr>
          <w:noProof/>
        </w:rPr>
      </w:r>
      <w:r>
        <w:rPr>
          <w:noProof/>
        </w:rPr>
        <w:fldChar w:fldCharType="separate"/>
      </w:r>
      <w:r w:rsidR="00EE67DD">
        <w:rPr>
          <w:noProof/>
        </w:rPr>
        <w:t>1</w:t>
      </w:r>
      <w:r>
        <w:rPr>
          <w:noProof/>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3.</w:t>
      </w:r>
      <w:r>
        <w:rPr>
          <w:rFonts w:asciiTheme="minorHAnsi" w:hAnsiTheme="minorHAnsi"/>
          <w:b w:val="0"/>
          <w:noProof/>
          <w:color w:val="auto"/>
        </w:rPr>
        <w:tab/>
      </w:r>
      <w:r>
        <w:rPr>
          <w:noProof/>
        </w:rPr>
        <w:t>Background on REDD+ in Suriname</w:t>
      </w:r>
      <w:r>
        <w:rPr>
          <w:noProof/>
        </w:rPr>
        <w:tab/>
      </w:r>
      <w:r>
        <w:rPr>
          <w:noProof/>
        </w:rPr>
        <w:fldChar w:fldCharType="begin"/>
      </w:r>
      <w:r>
        <w:rPr>
          <w:noProof/>
        </w:rPr>
        <w:instrText xml:space="preserve"> PAGEREF _Toc247210097 \h </w:instrText>
      </w:r>
      <w:r>
        <w:rPr>
          <w:noProof/>
        </w:rPr>
      </w:r>
      <w:r>
        <w:rPr>
          <w:noProof/>
        </w:rPr>
        <w:fldChar w:fldCharType="separate"/>
      </w:r>
      <w:r w:rsidR="00EE67DD">
        <w:rPr>
          <w:noProof/>
        </w:rPr>
        <w:t>3</w:t>
      </w:r>
      <w:r>
        <w:rPr>
          <w:noProof/>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4.</w:t>
      </w:r>
      <w:r>
        <w:rPr>
          <w:rFonts w:asciiTheme="minorHAnsi" w:hAnsiTheme="minorHAnsi"/>
          <w:b w:val="0"/>
          <w:noProof/>
          <w:color w:val="auto"/>
        </w:rPr>
        <w:tab/>
      </w:r>
      <w:r>
        <w:rPr>
          <w:noProof/>
        </w:rPr>
        <w:t>Potential grievance/dispute risks related to REDD+</w:t>
      </w:r>
      <w:r>
        <w:rPr>
          <w:noProof/>
        </w:rPr>
        <w:tab/>
      </w:r>
      <w:r>
        <w:rPr>
          <w:noProof/>
        </w:rPr>
        <w:fldChar w:fldCharType="begin"/>
      </w:r>
      <w:r>
        <w:rPr>
          <w:noProof/>
        </w:rPr>
        <w:instrText xml:space="preserve"> PAGEREF _Toc247210098 \h </w:instrText>
      </w:r>
      <w:r>
        <w:rPr>
          <w:noProof/>
        </w:rPr>
      </w:r>
      <w:r>
        <w:rPr>
          <w:noProof/>
        </w:rPr>
        <w:fldChar w:fldCharType="separate"/>
      </w:r>
      <w:r w:rsidR="00EE67DD">
        <w:rPr>
          <w:noProof/>
        </w:rPr>
        <w:t>4</w:t>
      </w:r>
      <w:r>
        <w:rPr>
          <w:noProof/>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5.</w:t>
      </w:r>
      <w:r>
        <w:rPr>
          <w:rFonts w:asciiTheme="minorHAnsi" w:hAnsiTheme="minorHAnsi"/>
          <w:b w:val="0"/>
          <w:noProof/>
          <w:color w:val="auto"/>
        </w:rPr>
        <w:tab/>
      </w:r>
      <w:r>
        <w:rPr>
          <w:noProof/>
        </w:rPr>
        <w:t>Key issues in design of an FGRM</w:t>
      </w:r>
      <w:r>
        <w:rPr>
          <w:noProof/>
        </w:rPr>
        <w:tab/>
      </w:r>
      <w:r>
        <w:rPr>
          <w:noProof/>
        </w:rPr>
        <w:fldChar w:fldCharType="begin"/>
      </w:r>
      <w:r>
        <w:rPr>
          <w:noProof/>
        </w:rPr>
        <w:instrText xml:space="preserve"> PAGEREF _Toc247210099 \h </w:instrText>
      </w:r>
      <w:r>
        <w:rPr>
          <w:noProof/>
        </w:rPr>
      </w:r>
      <w:r>
        <w:rPr>
          <w:noProof/>
        </w:rPr>
        <w:fldChar w:fldCharType="separate"/>
      </w:r>
      <w:r w:rsidR="00EE67DD">
        <w:rPr>
          <w:noProof/>
        </w:rPr>
        <w:t>6</w:t>
      </w:r>
      <w:r>
        <w:rPr>
          <w:noProof/>
        </w:rPr>
        <w:fldChar w:fldCharType="end"/>
      </w:r>
    </w:p>
    <w:p w:rsidR="007E69E2" w:rsidRPr="00EE67DD" w:rsidRDefault="007E69E2" w:rsidP="00EE67DD">
      <w:pPr>
        <w:pStyle w:val="TOC2"/>
        <w:tabs>
          <w:tab w:val="right" w:leader="dot" w:pos="8630"/>
        </w:tabs>
        <w:spacing w:after="160"/>
        <w:ind w:left="720"/>
        <w:rPr>
          <w:rFonts w:asciiTheme="majorHAnsi" w:hAnsiTheme="majorHAnsi"/>
          <w:b/>
          <w:noProof/>
          <w:color w:val="548DD4" w:themeColor="text2" w:themeTint="99"/>
          <w:sz w:val="24"/>
          <w:szCs w:val="24"/>
        </w:rPr>
      </w:pPr>
      <w:r w:rsidRPr="00EE67DD">
        <w:rPr>
          <w:rFonts w:asciiTheme="majorHAnsi" w:hAnsiTheme="majorHAnsi"/>
          <w:b/>
          <w:noProof/>
          <w:color w:val="548DD4" w:themeColor="text2" w:themeTint="99"/>
          <w:sz w:val="24"/>
          <w:szCs w:val="24"/>
        </w:rPr>
        <w:t>Existing processes and mechanisms for addressing dispute/grievance risks</w:t>
      </w:r>
      <w:r w:rsidRPr="00EE67DD">
        <w:rPr>
          <w:rFonts w:asciiTheme="majorHAnsi" w:hAnsiTheme="majorHAnsi"/>
          <w:b/>
          <w:noProof/>
          <w:color w:val="548DD4" w:themeColor="text2" w:themeTint="99"/>
          <w:sz w:val="24"/>
          <w:szCs w:val="24"/>
        </w:rPr>
        <w:tab/>
      </w:r>
      <w:r w:rsidRPr="00EE67DD">
        <w:rPr>
          <w:rFonts w:asciiTheme="majorHAnsi" w:hAnsiTheme="majorHAnsi"/>
          <w:b/>
          <w:noProof/>
          <w:color w:val="548DD4" w:themeColor="text2" w:themeTint="99"/>
          <w:sz w:val="24"/>
          <w:szCs w:val="24"/>
        </w:rPr>
        <w:fldChar w:fldCharType="begin"/>
      </w:r>
      <w:r w:rsidRPr="00EE67DD">
        <w:rPr>
          <w:rFonts w:asciiTheme="majorHAnsi" w:hAnsiTheme="majorHAnsi"/>
          <w:b/>
          <w:noProof/>
          <w:color w:val="548DD4" w:themeColor="text2" w:themeTint="99"/>
          <w:sz w:val="24"/>
          <w:szCs w:val="24"/>
        </w:rPr>
        <w:instrText xml:space="preserve"> PAGEREF _Toc247210100 \h </w:instrText>
      </w:r>
      <w:r w:rsidRPr="00EE67DD">
        <w:rPr>
          <w:rFonts w:asciiTheme="majorHAnsi" w:hAnsiTheme="majorHAnsi"/>
          <w:b/>
          <w:noProof/>
          <w:color w:val="548DD4" w:themeColor="text2" w:themeTint="99"/>
          <w:sz w:val="24"/>
          <w:szCs w:val="24"/>
        </w:rPr>
      </w:r>
      <w:r w:rsidRPr="00EE67DD">
        <w:rPr>
          <w:rFonts w:asciiTheme="majorHAnsi" w:hAnsiTheme="majorHAnsi"/>
          <w:b/>
          <w:noProof/>
          <w:color w:val="548DD4" w:themeColor="text2" w:themeTint="99"/>
          <w:sz w:val="24"/>
          <w:szCs w:val="24"/>
        </w:rPr>
        <w:fldChar w:fldCharType="separate"/>
      </w:r>
      <w:r w:rsidR="00EE67DD">
        <w:rPr>
          <w:rFonts w:asciiTheme="majorHAnsi" w:hAnsiTheme="majorHAnsi"/>
          <w:b/>
          <w:noProof/>
          <w:color w:val="548DD4" w:themeColor="text2" w:themeTint="99"/>
          <w:sz w:val="24"/>
          <w:szCs w:val="24"/>
        </w:rPr>
        <w:t>6</w:t>
      </w:r>
      <w:r w:rsidRPr="00EE67DD">
        <w:rPr>
          <w:rFonts w:asciiTheme="majorHAnsi" w:hAnsiTheme="majorHAnsi"/>
          <w:b/>
          <w:noProof/>
          <w:color w:val="548DD4" w:themeColor="text2" w:themeTint="99"/>
          <w:sz w:val="24"/>
          <w:szCs w:val="24"/>
        </w:rPr>
        <w:fldChar w:fldCharType="end"/>
      </w:r>
    </w:p>
    <w:p w:rsidR="007E69E2" w:rsidRPr="00EE67DD" w:rsidRDefault="007E69E2" w:rsidP="00EE67DD">
      <w:pPr>
        <w:pStyle w:val="TOC2"/>
        <w:tabs>
          <w:tab w:val="right" w:leader="dot" w:pos="8630"/>
        </w:tabs>
        <w:spacing w:after="160"/>
        <w:ind w:left="720"/>
        <w:rPr>
          <w:rFonts w:asciiTheme="majorHAnsi" w:hAnsiTheme="majorHAnsi"/>
          <w:b/>
          <w:noProof/>
          <w:color w:val="548DD4" w:themeColor="text2" w:themeTint="99"/>
          <w:sz w:val="24"/>
          <w:szCs w:val="24"/>
        </w:rPr>
      </w:pPr>
      <w:r w:rsidRPr="00EE67DD">
        <w:rPr>
          <w:rFonts w:asciiTheme="majorHAnsi" w:hAnsiTheme="majorHAnsi"/>
          <w:b/>
          <w:noProof/>
          <w:color w:val="548DD4" w:themeColor="text2" w:themeTint="99"/>
          <w:sz w:val="24"/>
          <w:szCs w:val="24"/>
        </w:rPr>
        <w:t>Dispute prevention and FGRM mechanisms outlined in R-PP</w:t>
      </w:r>
      <w:r w:rsidRPr="00EE67DD">
        <w:rPr>
          <w:rFonts w:asciiTheme="majorHAnsi" w:hAnsiTheme="majorHAnsi"/>
          <w:b/>
          <w:noProof/>
          <w:color w:val="548DD4" w:themeColor="text2" w:themeTint="99"/>
          <w:sz w:val="24"/>
          <w:szCs w:val="24"/>
        </w:rPr>
        <w:tab/>
      </w:r>
      <w:r w:rsidRPr="00EE67DD">
        <w:rPr>
          <w:rFonts w:asciiTheme="majorHAnsi" w:hAnsiTheme="majorHAnsi"/>
          <w:b/>
          <w:noProof/>
          <w:color w:val="548DD4" w:themeColor="text2" w:themeTint="99"/>
          <w:sz w:val="24"/>
          <w:szCs w:val="24"/>
        </w:rPr>
        <w:fldChar w:fldCharType="begin"/>
      </w:r>
      <w:r w:rsidRPr="00EE67DD">
        <w:rPr>
          <w:rFonts w:asciiTheme="majorHAnsi" w:hAnsiTheme="majorHAnsi"/>
          <w:b/>
          <w:noProof/>
          <w:color w:val="548DD4" w:themeColor="text2" w:themeTint="99"/>
          <w:sz w:val="24"/>
          <w:szCs w:val="24"/>
        </w:rPr>
        <w:instrText xml:space="preserve"> PAGEREF _Toc247210101 \h </w:instrText>
      </w:r>
      <w:r w:rsidRPr="00EE67DD">
        <w:rPr>
          <w:rFonts w:asciiTheme="majorHAnsi" w:hAnsiTheme="majorHAnsi"/>
          <w:b/>
          <w:noProof/>
          <w:color w:val="548DD4" w:themeColor="text2" w:themeTint="99"/>
          <w:sz w:val="24"/>
          <w:szCs w:val="24"/>
        </w:rPr>
      </w:r>
      <w:r w:rsidRPr="00EE67DD">
        <w:rPr>
          <w:rFonts w:asciiTheme="majorHAnsi" w:hAnsiTheme="majorHAnsi"/>
          <w:b/>
          <w:noProof/>
          <w:color w:val="548DD4" w:themeColor="text2" w:themeTint="99"/>
          <w:sz w:val="24"/>
          <w:szCs w:val="24"/>
        </w:rPr>
        <w:fldChar w:fldCharType="separate"/>
      </w:r>
      <w:r w:rsidR="00EE67DD">
        <w:rPr>
          <w:rFonts w:asciiTheme="majorHAnsi" w:hAnsiTheme="majorHAnsi"/>
          <w:b/>
          <w:noProof/>
          <w:color w:val="548DD4" w:themeColor="text2" w:themeTint="99"/>
          <w:sz w:val="24"/>
          <w:szCs w:val="24"/>
        </w:rPr>
        <w:t>8</w:t>
      </w:r>
      <w:r w:rsidRPr="00EE67DD">
        <w:rPr>
          <w:rFonts w:asciiTheme="majorHAnsi" w:hAnsiTheme="majorHAnsi"/>
          <w:b/>
          <w:noProof/>
          <w:color w:val="548DD4" w:themeColor="text2" w:themeTint="99"/>
          <w:sz w:val="24"/>
          <w:szCs w:val="24"/>
        </w:rPr>
        <w:fldChar w:fldCharType="end"/>
      </w:r>
    </w:p>
    <w:p w:rsidR="007E69E2" w:rsidRPr="00EE67DD" w:rsidRDefault="007E69E2" w:rsidP="00EE67DD">
      <w:pPr>
        <w:pStyle w:val="TOC2"/>
        <w:tabs>
          <w:tab w:val="right" w:leader="dot" w:pos="8630"/>
        </w:tabs>
        <w:spacing w:after="160"/>
        <w:ind w:left="720"/>
        <w:rPr>
          <w:rFonts w:asciiTheme="majorHAnsi" w:hAnsiTheme="majorHAnsi"/>
          <w:b/>
          <w:noProof/>
          <w:color w:val="548DD4" w:themeColor="text2" w:themeTint="99"/>
          <w:sz w:val="24"/>
          <w:szCs w:val="24"/>
        </w:rPr>
      </w:pPr>
      <w:r w:rsidRPr="00EE67DD">
        <w:rPr>
          <w:rFonts w:asciiTheme="majorHAnsi" w:hAnsiTheme="majorHAnsi"/>
          <w:b/>
          <w:noProof/>
          <w:color w:val="548DD4" w:themeColor="text2" w:themeTint="99"/>
          <w:sz w:val="24"/>
          <w:szCs w:val="24"/>
        </w:rPr>
        <w:t>Issues related to the proposed FGRM</w:t>
      </w:r>
      <w:r w:rsidRPr="00EE67DD">
        <w:rPr>
          <w:rFonts w:asciiTheme="majorHAnsi" w:hAnsiTheme="majorHAnsi"/>
          <w:b/>
          <w:noProof/>
          <w:color w:val="548DD4" w:themeColor="text2" w:themeTint="99"/>
          <w:sz w:val="24"/>
          <w:szCs w:val="24"/>
        </w:rPr>
        <w:tab/>
      </w:r>
      <w:r w:rsidRPr="00EE67DD">
        <w:rPr>
          <w:rFonts w:asciiTheme="majorHAnsi" w:hAnsiTheme="majorHAnsi"/>
          <w:b/>
          <w:noProof/>
          <w:color w:val="548DD4" w:themeColor="text2" w:themeTint="99"/>
          <w:sz w:val="24"/>
          <w:szCs w:val="24"/>
        </w:rPr>
        <w:fldChar w:fldCharType="begin"/>
      </w:r>
      <w:r w:rsidRPr="00EE67DD">
        <w:rPr>
          <w:rFonts w:asciiTheme="majorHAnsi" w:hAnsiTheme="majorHAnsi"/>
          <w:b/>
          <w:noProof/>
          <w:color w:val="548DD4" w:themeColor="text2" w:themeTint="99"/>
          <w:sz w:val="24"/>
          <w:szCs w:val="24"/>
        </w:rPr>
        <w:instrText xml:space="preserve"> PAGEREF _Toc247210102 \h </w:instrText>
      </w:r>
      <w:r w:rsidRPr="00EE67DD">
        <w:rPr>
          <w:rFonts w:asciiTheme="majorHAnsi" w:hAnsiTheme="majorHAnsi"/>
          <w:b/>
          <w:noProof/>
          <w:color w:val="548DD4" w:themeColor="text2" w:themeTint="99"/>
          <w:sz w:val="24"/>
          <w:szCs w:val="24"/>
        </w:rPr>
      </w:r>
      <w:r w:rsidRPr="00EE67DD">
        <w:rPr>
          <w:rFonts w:asciiTheme="majorHAnsi" w:hAnsiTheme="majorHAnsi"/>
          <w:b/>
          <w:noProof/>
          <w:color w:val="548DD4" w:themeColor="text2" w:themeTint="99"/>
          <w:sz w:val="24"/>
          <w:szCs w:val="24"/>
        </w:rPr>
        <w:fldChar w:fldCharType="separate"/>
      </w:r>
      <w:r w:rsidR="00EE67DD">
        <w:rPr>
          <w:rFonts w:asciiTheme="majorHAnsi" w:hAnsiTheme="majorHAnsi"/>
          <w:b/>
          <w:noProof/>
          <w:color w:val="548DD4" w:themeColor="text2" w:themeTint="99"/>
          <w:sz w:val="24"/>
          <w:szCs w:val="24"/>
        </w:rPr>
        <w:t>10</w:t>
      </w:r>
      <w:r w:rsidRPr="00EE67DD">
        <w:rPr>
          <w:rFonts w:asciiTheme="majorHAnsi" w:hAnsiTheme="majorHAnsi"/>
          <w:b/>
          <w:noProof/>
          <w:color w:val="548DD4" w:themeColor="text2" w:themeTint="99"/>
          <w:sz w:val="24"/>
          <w:szCs w:val="24"/>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6.</w:t>
      </w:r>
      <w:r>
        <w:rPr>
          <w:rFonts w:asciiTheme="minorHAnsi" w:hAnsiTheme="minorHAnsi"/>
          <w:b w:val="0"/>
          <w:noProof/>
          <w:color w:val="auto"/>
        </w:rPr>
        <w:tab/>
      </w:r>
      <w:r>
        <w:rPr>
          <w:noProof/>
        </w:rPr>
        <w:t>Additional FGRM options for consideration</w:t>
      </w:r>
      <w:r>
        <w:rPr>
          <w:noProof/>
        </w:rPr>
        <w:tab/>
      </w:r>
      <w:r>
        <w:rPr>
          <w:noProof/>
        </w:rPr>
        <w:fldChar w:fldCharType="begin"/>
      </w:r>
      <w:r>
        <w:rPr>
          <w:noProof/>
        </w:rPr>
        <w:instrText xml:space="preserve"> PAGEREF _Toc247210103 \h </w:instrText>
      </w:r>
      <w:r>
        <w:rPr>
          <w:noProof/>
        </w:rPr>
      </w:r>
      <w:r>
        <w:rPr>
          <w:noProof/>
        </w:rPr>
        <w:fldChar w:fldCharType="separate"/>
      </w:r>
      <w:r w:rsidR="00EE67DD">
        <w:rPr>
          <w:noProof/>
        </w:rPr>
        <w:t>12</w:t>
      </w:r>
      <w:r>
        <w:rPr>
          <w:noProof/>
        </w:rPr>
        <w:fldChar w:fldCharType="end"/>
      </w:r>
    </w:p>
    <w:p w:rsidR="007E69E2" w:rsidRDefault="00EE67DD" w:rsidP="00EE67DD">
      <w:pPr>
        <w:pStyle w:val="TOC1"/>
        <w:tabs>
          <w:tab w:val="left" w:pos="611"/>
          <w:tab w:val="right" w:leader="dot" w:pos="8630"/>
        </w:tabs>
        <w:spacing w:after="160"/>
        <w:ind w:left="611"/>
        <w:rPr>
          <w:rFonts w:asciiTheme="minorHAnsi" w:hAnsiTheme="minorHAnsi"/>
          <w:b w:val="0"/>
          <w:noProof/>
          <w:color w:val="auto"/>
        </w:rPr>
      </w:pPr>
      <w:r>
        <w:rPr>
          <w:noProof/>
        </w:rPr>
        <w:t xml:space="preserve">6.1  </w:t>
      </w:r>
      <w:r w:rsidR="007E69E2">
        <w:rPr>
          <w:noProof/>
        </w:rPr>
        <w:t>Ensure that the REDD+ Steering Committee terms of reference and procedures include clear guidelines on representation, deliberation and decision making</w:t>
      </w:r>
      <w:r w:rsidR="007E69E2">
        <w:rPr>
          <w:noProof/>
        </w:rPr>
        <w:tab/>
      </w:r>
      <w:r w:rsidR="007E69E2">
        <w:rPr>
          <w:noProof/>
        </w:rPr>
        <w:fldChar w:fldCharType="begin"/>
      </w:r>
      <w:r w:rsidR="007E69E2">
        <w:rPr>
          <w:noProof/>
        </w:rPr>
        <w:instrText xml:space="preserve"> PAGEREF _Toc247210104 \h </w:instrText>
      </w:r>
      <w:r w:rsidR="007E69E2">
        <w:rPr>
          <w:noProof/>
        </w:rPr>
      </w:r>
      <w:r w:rsidR="007E69E2">
        <w:rPr>
          <w:noProof/>
        </w:rPr>
        <w:fldChar w:fldCharType="separate"/>
      </w:r>
      <w:r>
        <w:rPr>
          <w:noProof/>
        </w:rPr>
        <w:t>12</w:t>
      </w:r>
      <w:r w:rsidR="007E69E2">
        <w:rPr>
          <w:noProof/>
        </w:rPr>
        <w:fldChar w:fldCharType="end"/>
      </w:r>
    </w:p>
    <w:p w:rsidR="007E69E2" w:rsidRDefault="007E69E2" w:rsidP="00EE67DD">
      <w:pPr>
        <w:pStyle w:val="TOC1"/>
        <w:tabs>
          <w:tab w:val="left" w:pos="611"/>
          <w:tab w:val="right" w:leader="dot" w:pos="8630"/>
        </w:tabs>
        <w:spacing w:after="160"/>
        <w:ind w:left="611"/>
        <w:rPr>
          <w:rFonts w:asciiTheme="minorHAnsi" w:hAnsiTheme="minorHAnsi"/>
          <w:b w:val="0"/>
          <w:noProof/>
          <w:color w:val="auto"/>
        </w:rPr>
      </w:pPr>
      <w:r>
        <w:rPr>
          <w:noProof/>
        </w:rPr>
        <w:t>6.2.</w:t>
      </w:r>
      <w:r w:rsidR="00EE67DD">
        <w:rPr>
          <w:rFonts w:asciiTheme="minorHAnsi" w:hAnsiTheme="minorHAnsi"/>
          <w:b w:val="0"/>
          <w:noProof/>
          <w:color w:val="auto"/>
        </w:rPr>
        <w:t xml:space="preserve"> </w:t>
      </w:r>
      <w:r>
        <w:rPr>
          <w:noProof/>
        </w:rPr>
        <w:t xml:space="preserve">Clarify functioning </w:t>
      </w:r>
      <w:r w:rsidR="00EE67DD">
        <w:rPr>
          <w:noProof/>
        </w:rPr>
        <w:t>and inter-relationship of</w:t>
      </w:r>
      <w:r>
        <w:rPr>
          <w:noProof/>
        </w:rPr>
        <w:t xml:space="preserve"> proposed FGRM elements</w:t>
      </w:r>
      <w:r>
        <w:rPr>
          <w:noProof/>
        </w:rPr>
        <w:tab/>
      </w:r>
      <w:r>
        <w:rPr>
          <w:noProof/>
        </w:rPr>
        <w:fldChar w:fldCharType="begin"/>
      </w:r>
      <w:r>
        <w:rPr>
          <w:noProof/>
        </w:rPr>
        <w:instrText xml:space="preserve"> PAGEREF _Toc247210105 \h </w:instrText>
      </w:r>
      <w:r>
        <w:rPr>
          <w:noProof/>
        </w:rPr>
      </w:r>
      <w:r>
        <w:rPr>
          <w:noProof/>
        </w:rPr>
        <w:fldChar w:fldCharType="separate"/>
      </w:r>
      <w:r w:rsidR="00EE67DD">
        <w:rPr>
          <w:noProof/>
        </w:rPr>
        <w:t>13</w:t>
      </w:r>
      <w:r>
        <w:rPr>
          <w:noProof/>
        </w:rPr>
        <w:fldChar w:fldCharType="end"/>
      </w:r>
    </w:p>
    <w:p w:rsidR="007E69E2" w:rsidRDefault="007E69E2" w:rsidP="00EE67DD">
      <w:pPr>
        <w:pStyle w:val="TOC1"/>
        <w:tabs>
          <w:tab w:val="left" w:pos="611"/>
          <w:tab w:val="right" w:leader="dot" w:pos="8630"/>
        </w:tabs>
        <w:spacing w:after="160"/>
        <w:ind w:left="611"/>
        <w:rPr>
          <w:rFonts w:asciiTheme="minorHAnsi" w:hAnsiTheme="minorHAnsi"/>
          <w:b w:val="0"/>
          <w:noProof/>
          <w:color w:val="auto"/>
        </w:rPr>
      </w:pPr>
      <w:r>
        <w:rPr>
          <w:noProof/>
        </w:rPr>
        <w:t>6.3.</w:t>
      </w:r>
      <w:r w:rsidR="00EE67DD">
        <w:rPr>
          <w:rFonts w:asciiTheme="minorHAnsi" w:hAnsiTheme="minorHAnsi"/>
          <w:b w:val="0"/>
          <w:noProof/>
          <w:color w:val="auto"/>
        </w:rPr>
        <w:t xml:space="preserve"> </w:t>
      </w:r>
      <w:r>
        <w:rPr>
          <w:noProof/>
        </w:rPr>
        <w:t>Add a mediation option to the FGRM</w:t>
      </w:r>
      <w:r>
        <w:rPr>
          <w:noProof/>
        </w:rPr>
        <w:tab/>
      </w:r>
      <w:r>
        <w:rPr>
          <w:noProof/>
        </w:rPr>
        <w:fldChar w:fldCharType="begin"/>
      </w:r>
      <w:r>
        <w:rPr>
          <w:noProof/>
        </w:rPr>
        <w:instrText xml:space="preserve"> PAGEREF _Toc247210106 \h </w:instrText>
      </w:r>
      <w:r>
        <w:rPr>
          <w:noProof/>
        </w:rPr>
      </w:r>
      <w:r>
        <w:rPr>
          <w:noProof/>
        </w:rPr>
        <w:fldChar w:fldCharType="separate"/>
      </w:r>
      <w:r w:rsidR="00EE67DD">
        <w:rPr>
          <w:noProof/>
        </w:rPr>
        <w:t>17</w:t>
      </w:r>
      <w:r>
        <w:rPr>
          <w:noProof/>
        </w:rPr>
        <w:fldChar w:fldCharType="end"/>
      </w:r>
    </w:p>
    <w:p w:rsidR="007E69E2" w:rsidRDefault="007E69E2" w:rsidP="00EE67DD">
      <w:pPr>
        <w:pStyle w:val="TOC1"/>
        <w:tabs>
          <w:tab w:val="left" w:pos="611"/>
          <w:tab w:val="right" w:leader="dot" w:pos="8630"/>
        </w:tabs>
        <w:spacing w:after="160"/>
        <w:ind w:left="611"/>
        <w:rPr>
          <w:rFonts w:asciiTheme="minorHAnsi" w:hAnsiTheme="minorHAnsi"/>
          <w:b w:val="0"/>
          <w:noProof/>
          <w:color w:val="auto"/>
        </w:rPr>
      </w:pPr>
      <w:r>
        <w:rPr>
          <w:noProof/>
        </w:rPr>
        <w:t>6.4.</w:t>
      </w:r>
      <w:r w:rsidR="00EE67DD">
        <w:rPr>
          <w:rFonts w:asciiTheme="minorHAnsi" w:hAnsiTheme="minorHAnsi"/>
          <w:b w:val="0"/>
          <w:noProof/>
          <w:color w:val="auto"/>
        </w:rPr>
        <w:t xml:space="preserve"> </w:t>
      </w:r>
      <w:r>
        <w:rPr>
          <w:noProof/>
        </w:rPr>
        <w:t>Use REDD+ Assista</w:t>
      </w:r>
      <w:r w:rsidR="00EE67DD">
        <w:rPr>
          <w:noProof/>
        </w:rPr>
        <w:t>nts to</w:t>
      </w:r>
      <w:r>
        <w:rPr>
          <w:noProof/>
        </w:rPr>
        <w:t xml:space="preserve"> assist grievance/dispute resolution</w:t>
      </w:r>
      <w:r>
        <w:rPr>
          <w:noProof/>
        </w:rPr>
        <w:tab/>
      </w:r>
      <w:r>
        <w:rPr>
          <w:noProof/>
        </w:rPr>
        <w:fldChar w:fldCharType="begin"/>
      </w:r>
      <w:r>
        <w:rPr>
          <w:noProof/>
        </w:rPr>
        <w:instrText xml:space="preserve"> PAGEREF _Toc247210107 \h </w:instrText>
      </w:r>
      <w:r>
        <w:rPr>
          <w:noProof/>
        </w:rPr>
      </w:r>
      <w:r>
        <w:rPr>
          <w:noProof/>
        </w:rPr>
        <w:fldChar w:fldCharType="separate"/>
      </w:r>
      <w:r w:rsidR="00EE67DD">
        <w:rPr>
          <w:noProof/>
        </w:rPr>
        <w:t>18</w:t>
      </w:r>
      <w:r>
        <w:rPr>
          <w:noProof/>
        </w:rPr>
        <w:fldChar w:fldCharType="end"/>
      </w:r>
    </w:p>
    <w:p w:rsidR="007E69E2" w:rsidRDefault="007E69E2" w:rsidP="00EE67DD">
      <w:pPr>
        <w:pStyle w:val="TOC1"/>
        <w:tabs>
          <w:tab w:val="left" w:pos="611"/>
          <w:tab w:val="right" w:leader="dot" w:pos="8630"/>
        </w:tabs>
        <w:spacing w:after="160"/>
        <w:ind w:left="611"/>
        <w:rPr>
          <w:rFonts w:asciiTheme="minorHAnsi" w:hAnsiTheme="minorHAnsi"/>
          <w:b w:val="0"/>
          <w:noProof/>
          <w:color w:val="auto"/>
        </w:rPr>
      </w:pPr>
      <w:r>
        <w:rPr>
          <w:noProof/>
        </w:rPr>
        <w:t>6.5.</w:t>
      </w:r>
      <w:r w:rsidR="00EE67DD">
        <w:rPr>
          <w:rFonts w:asciiTheme="minorHAnsi" w:hAnsiTheme="minorHAnsi"/>
          <w:b w:val="0"/>
          <w:noProof/>
          <w:color w:val="auto"/>
        </w:rPr>
        <w:t xml:space="preserve"> </w:t>
      </w:r>
      <w:r>
        <w:rPr>
          <w:noProof/>
        </w:rPr>
        <w:t xml:space="preserve">Ensure that District Commissioners are </w:t>
      </w:r>
      <w:r w:rsidR="00EE67DD">
        <w:rPr>
          <w:noProof/>
        </w:rPr>
        <w:t>informed about</w:t>
      </w:r>
      <w:r>
        <w:rPr>
          <w:noProof/>
        </w:rPr>
        <w:t xml:space="preserve"> REDD+ FGRM, and about specific disputes and dispute resolution efforts in their districts</w:t>
      </w:r>
      <w:r>
        <w:rPr>
          <w:noProof/>
        </w:rPr>
        <w:tab/>
      </w:r>
      <w:r>
        <w:rPr>
          <w:noProof/>
        </w:rPr>
        <w:fldChar w:fldCharType="begin"/>
      </w:r>
      <w:r>
        <w:rPr>
          <w:noProof/>
        </w:rPr>
        <w:instrText xml:space="preserve"> PAGEREF _Toc247210108 \h </w:instrText>
      </w:r>
      <w:r>
        <w:rPr>
          <w:noProof/>
        </w:rPr>
      </w:r>
      <w:r>
        <w:rPr>
          <w:noProof/>
        </w:rPr>
        <w:fldChar w:fldCharType="separate"/>
      </w:r>
      <w:r w:rsidR="00EE67DD">
        <w:rPr>
          <w:noProof/>
        </w:rPr>
        <w:t>18</w:t>
      </w:r>
      <w:r>
        <w:rPr>
          <w:noProof/>
        </w:rPr>
        <w:fldChar w:fldCharType="end"/>
      </w:r>
    </w:p>
    <w:p w:rsidR="007E69E2" w:rsidRDefault="007E69E2" w:rsidP="00EE67DD">
      <w:pPr>
        <w:pStyle w:val="TOC1"/>
        <w:tabs>
          <w:tab w:val="left" w:pos="426"/>
          <w:tab w:val="right" w:leader="dot" w:pos="8630"/>
        </w:tabs>
        <w:spacing w:after="160"/>
        <w:rPr>
          <w:rFonts w:asciiTheme="minorHAnsi" w:hAnsiTheme="minorHAnsi"/>
          <w:b w:val="0"/>
          <w:noProof/>
          <w:color w:val="auto"/>
        </w:rPr>
      </w:pPr>
      <w:r>
        <w:rPr>
          <w:noProof/>
        </w:rPr>
        <w:t>7.</w:t>
      </w:r>
      <w:r>
        <w:rPr>
          <w:rFonts w:asciiTheme="minorHAnsi" w:hAnsiTheme="minorHAnsi"/>
          <w:b w:val="0"/>
          <w:noProof/>
          <w:color w:val="auto"/>
        </w:rPr>
        <w:tab/>
      </w:r>
      <w:r>
        <w:rPr>
          <w:noProof/>
        </w:rPr>
        <w:t>Next Steps</w:t>
      </w:r>
      <w:r>
        <w:rPr>
          <w:noProof/>
        </w:rPr>
        <w:tab/>
      </w:r>
      <w:r>
        <w:rPr>
          <w:noProof/>
        </w:rPr>
        <w:fldChar w:fldCharType="begin"/>
      </w:r>
      <w:r>
        <w:rPr>
          <w:noProof/>
        </w:rPr>
        <w:instrText xml:space="preserve"> PAGEREF _Toc247210109 \h </w:instrText>
      </w:r>
      <w:r>
        <w:rPr>
          <w:noProof/>
        </w:rPr>
      </w:r>
      <w:r>
        <w:rPr>
          <w:noProof/>
        </w:rPr>
        <w:fldChar w:fldCharType="separate"/>
      </w:r>
      <w:r w:rsidR="00EE67DD">
        <w:rPr>
          <w:noProof/>
        </w:rPr>
        <w:t>19</w:t>
      </w:r>
      <w:r>
        <w:rPr>
          <w:noProof/>
        </w:rPr>
        <w:fldChar w:fldCharType="end"/>
      </w:r>
    </w:p>
    <w:p w:rsidR="007E69E2" w:rsidRDefault="007E69E2" w:rsidP="00EE67DD">
      <w:pPr>
        <w:pStyle w:val="TOC1"/>
        <w:tabs>
          <w:tab w:val="right" w:leader="dot" w:pos="8630"/>
        </w:tabs>
        <w:spacing w:after="160"/>
        <w:rPr>
          <w:rFonts w:asciiTheme="minorHAnsi" w:hAnsiTheme="minorHAnsi"/>
          <w:b w:val="0"/>
          <w:noProof/>
          <w:color w:val="auto"/>
        </w:rPr>
      </w:pPr>
      <w:r>
        <w:rPr>
          <w:noProof/>
        </w:rPr>
        <w:t>References</w:t>
      </w:r>
      <w:r>
        <w:rPr>
          <w:noProof/>
        </w:rPr>
        <w:tab/>
      </w:r>
      <w:r>
        <w:rPr>
          <w:noProof/>
        </w:rPr>
        <w:fldChar w:fldCharType="begin"/>
      </w:r>
      <w:r>
        <w:rPr>
          <w:noProof/>
        </w:rPr>
        <w:instrText xml:space="preserve"> PAGEREF _Toc247210110 \h </w:instrText>
      </w:r>
      <w:r>
        <w:rPr>
          <w:noProof/>
        </w:rPr>
      </w:r>
      <w:r>
        <w:rPr>
          <w:noProof/>
        </w:rPr>
        <w:fldChar w:fldCharType="separate"/>
      </w:r>
      <w:r w:rsidR="00EE67DD">
        <w:rPr>
          <w:noProof/>
        </w:rPr>
        <w:t>20</w:t>
      </w:r>
      <w:r>
        <w:rPr>
          <w:noProof/>
        </w:rPr>
        <w:fldChar w:fldCharType="end"/>
      </w:r>
    </w:p>
    <w:p w:rsidR="007E69E2" w:rsidRPr="007E69E2" w:rsidRDefault="007E69E2" w:rsidP="00EE67DD">
      <w:pPr>
        <w:spacing w:after="160"/>
        <w:rPr>
          <w:sz w:val="28"/>
          <w:szCs w:val="28"/>
        </w:rPr>
      </w:pPr>
      <w:r>
        <w:rPr>
          <w:sz w:val="28"/>
          <w:szCs w:val="28"/>
        </w:rPr>
        <w:fldChar w:fldCharType="end"/>
      </w:r>
    </w:p>
    <w:p w:rsidR="007E69E2" w:rsidRPr="007E69E2" w:rsidRDefault="007E69E2" w:rsidP="007E69E2">
      <w:pPr>
        <w:sectPr w:rsidR="007E69E2" w:rsidRPr="007E69E2" w:rsidSect="00727A7D">
          <w:pgSz w:w="12240" w:h="15840"/>
          <w:pgMar w:top="1440" w:right="1800" w:bottom="1440" w:left="1800" w:header="720" w:footer="720" w:gutter="0"/>
          <w:cols w:space="720"/>
        </w:sectPr>
      </w:pPr>
    </w:p>
    <w:p w:rsidR="005A1448" w:rsidRDefault="00167800" w:rsidP="00763E08">
      <w:pPr>
        <w:pStyle w:val="Heading1"/>
      </w:pPr>
      <w:bookmarkStart w:id="4" w:name="_Toc247210095"/>
      <w:r>
        <w:lastRenderedPageBreak/>
        <w:t>Assessment purpose and a</w:t>
      </w:r>
      <w:r w:rsidR="005A1448">
        <w:t>pproach</w:t>
      </w:r>
      <w:bookmarkEnd w:id="4"/>
    </w:p>
    <w:p w:rsidR="005A1448" w:rsidRDefault="005A1448" w:rsidP="005A1448"/>
    <w:p w:rsidR="005A1448" w:rsidRDefault="005A1448" w:rsidP="005A1448">
      <w:r>
        <w:t>This assessment was commissioned by UN-REDD Suriname, as a support to the ongoing development</w:t>
      </w:r>
      <w:r w:rsidR="003A60F8">
        <w:t xml:space="preserve"> of REDD+ Readiness in Suriname.</w:t>
      </w:r>
      <w:r>
        <w:t xml:space="preserve"> The objectives of the assessment are to </w:t>
      </w:r>
    </w:p>
    <w:p w:rsidR="005A1448" w:rsidRDefault="005A1448" w:rsidP="001B7604">
      <w:pPr>
        <w:pStyle w:val="ListParagraph"/>
        <w:numPr>
          <w:ilvl w:val="0"/>
          <w:numId w:val="9"/>
        </w:numPr>
      </w:pPr>
      <w:r>
        <w:t xml:space="preserve">review the risks of grievances and disputes that may affect the REDD+ Readiness and/or implementation in Suriname, </w:t>
      </w:r>
    </w:p>
    <w:p w:rsidR="005A1448" w:rsidRDefault="005A1448" w:rsidP="001B7604">
      <w:pPr>
        <w:pStyle w:val="ListParagraph"/>
        <w:numPr>
          <w:ilvl w:val="0"/>
          <w:numId w:val="9"/>
        </w:numPr>
      </w:pPr>
      <w:r>
        <w:t>assess existing and proposed REDD+ feedback and grievance redress mechanisms (FGRMs)  in light of those risks</w:t>
      </w:r>
    </w:p>
    <w:p w:rsidR="005A1448" w:rsidRDefault="005A1448" w:rsidP="001B7604">
      <w:pPr>
        <w:pStyle w:val="ListParagraph"/>
        <w:numPr>
          <w:ilvl w:val="0"/>
          <w:numId w:val="9"/>
        </w:numPr>
      </w:pPr>
      <w:r>
        <w:t xml:space="preserve">make recommendations on refinement and strengthening of existing and proposed FGRMs to maximize their capacity to manage and resolve grievances and disputes. </w:t>
      </w:r>
    </w:p>
    <w:p w:rsidR="005A1448" w:rsidRDefault="005A1448" w:rsidP="005A1448">
      <w:r>
        <w:t>The assessment was conducted using a desk review of REDD+ documents and documents on the forest sector</w:t>
      </w:r>
      <w:r w:rsidR="003A60F8">
        <w:t>, extractive industries, politics, culture</w:t>
      </w:r>
      <w:r>
        <w:t xml:space="preserve"> and the political economy of natural resources </w:t>
      </w:r>
      <w:r w:rsidR="003A60F8">
        <w:t xml:space="preserve">in </w:t>
      </w:r>
      <w:r>
        <w:t>Suriname</w:t>
      </w:r>
      <w:r w:rsidR="003A60F8">
        <w:t xml:space="preserve">; and a one-week field visit to Suriname. During that visit, the UN-REDD and consultant team interviewed representatives of government agencies, indigenous and Maroon tribes, and independent experts with experience in forest management and the social and political aspects of land and forests in Suriname. </w:t>
      </w:r>
    </w:p>
    <w:p w:rsidR="0033088D" w:rsidRDefault="0033088D" w:rsidP="005A1448">
      <w:r>
        <w:t>The UN-REDD and consultant team have drawn on their own experience and expertise in designing and implementing grievance and dispute resolut</w:t>
      </w:r>
      <w:r w:rsidR="007108D2">
        <w:t xml:space="preserve">ion systems; on the </w:t>
      </w:r>
      <w:hyperlink r:id="rId11" w:history="1">
        <w:r w:rsidR="007108D2" w:rsidRPr="00391ABE">
          <w:rPr>
            <w:rStyle w:val="Hyperlink"/>
            <w:i/>
          </w:rPr>
          <w:t xml:space="preserve">Joint </w:t>
        </w:r>
        <w:r w:rsidRPr="00391ABE">
          <w:rPr>
            <w:rStyle w:val="Hyperlink"/>
            <w:i/>
          </w:rPr>
          <w:t>UNDP</w:t>
        </w:r>
        <w:r w:rsidR="00391ABE" w:rsidRPr="00391ABE">
          <w:rPr>
            <w:rStyle w:val="Hyperlink"/>
            <w:i/>
          </w:rPr>
          <w:t>-WB</w:t>
        </w:r>
        <w:r w:rsidRPr="00391ABE">
          <w:rPr>
            <w:rStyle w:val="Hyperlink"/>
            <w:i/>
          </w:rPr>
          <w:t xml:space="preserve"> Guidance Note</w:t>
        </w:r>
        <w:r w:rsidR="007108D2" w:rsidRPr="00391ABE">
          <w:rPr>
            <w:rStyle w:val="Hyperlink"/>
            <w:i/>
          </w:rPr>
          <w:t xml:space="preserve"> for REDD+ Countries</w:t>
        </w:r>
        <w:r w:rsidRPr="00391ABE">
          <w:rPr>
            <w:rStyle w:val="Hyperlink"/>
            <w:i/>
          </w:rPr>
          <w:t xml:space="preserve"> on Grievance Resolution Mechanisms</w:t>
        </w:r>
      </w:hyperlink>
      <w:r>
        <w:t>; on insights offered by interviewees</w:t>
      </w:r>
      <w:r w:rsidR="007E0BF1">
        <w:t>;</w:t>
      </w:r>
      <w:r>
        <w:t xml:space="preserve"> </w:t>
      </w:r>
      <w:r w:rsidR="007E0BF1">
        <w:t>and on document review for this assessment and as a basis for proposing options for further consideration.</w:t>
      </w:r>
      <w:r w:rsidR="003D3F7E">
        <w:rPr>
          <w:rStyle w:val="FootnoteReference"/>
        </w:rPr>
        <w:footnoteReference w:id="1"/>
      </w:r>
    </w:p>
    <w:p w:rsidR="003A60F8" w:rsidRPr="005A1448" w:rsidRDefault="003A60F8" w:rsidP="005A1448">
      <w:r>
        <w:t>The UN-REDD and consultant team wishes to express its gratitude to all of the REDD+ stakeholders and experts we interviewed, and particularly to UNDP’s Suriname Country Office for facilitating meetings and providing support throughout the visit.</w:t>
      </w:r>
    </w:p>
    <w:p w:rsidR="008B5EC6" w:rsidRPr="00763E08" w:rsidRDefault="00F600F0" w:rsidP="00763E08">
      <w:pPr>
        <w:pStyle w:val="Heading1"/>
      </w:pPr>
      <w:bookmarkStart w:id="5" w:name="_Toc247210096"/>
      <w:r w:rsidRPr="00763E08">
        <w:t xml:space="preserve">Background on </w:t>
      </w:r>
      <w:r w:rsidR="00167800">
        <w:t xml:space="preserve">the </w:t>
      </w:r>
      <w:r w:rsidRPr="00763E08">
        <w:t>forest sector in Suriname</w:t>
      </w:r>
      <w:bookmarkEnd w:id="5"/>
    </w:p>
    <w:p w:rsidR="0085036C" w:rsidRDefault="0085036C" w:rsidP="0085036C">
      <w:pPr>
        <w:pStyle w:val="ListParagraph"/>
      </w:pPr>
    </w:p>
    <w:p w:rsidR="0085036C" w:rsidRDefault="00385B79" w:rsidP="0085036C">
      <w:r>
        <w:rPr>
          <w:b/>
        </w:rPr>
        <w:t xml:space="preserve">Forest cover and demography: </w:t>
      </w:r>
      <w:r w:rsidR="00E060CE">
        <w:t xml:space="preserve">Suriname is a high </w:t>
      </w:r>
      <w:r w:rsidR="0085036C">
        <w:t>forest, lo</w:t>
      </w:r>
      <w:r w:rsidR="00E060CE">
        <w:t xml:space="preserve">w </w:t>
      </w:r>
      <w:r w:rsidR="00740766">
        <w:t>deforestation (HFLD)</w:t>
      </w:r>
      <w:r w:rsidR="00E060CE">
        <w:t xml:space="preserve"> country</w:t>
      </w:r>
      <w:r w:rsidR="00740766">
        <w:t xml:space="preserve">. It has </w:t>
      </w:r>
      <w:r w:rsidR="0085036C">
        <w:t xml:space="preserve">the </w:t>
      </w:r>
      <w:r w:rsidR="00740766">
        <w:t xml:space="preserve">world’s </w:t>
      </w:r>
      <w:r w:rsidR="0085036C">
        <w:t xml:space="preserve">highest </w:t>
      </w:r>
      <w:r w:rsidR="00740766">
        <w:t xml:space="preserve">national </w:t>
      </w:r>
      <w:r w:rsidR="0085036C">
        <w:t>percentage o</w:t>
      </w:r>
      <w:r w:rsidR="00CC53F2">
        <w:t>f forest cover: approximately 95</w:t>
      </w:r>
      <w:r w:rsidR="0085036C">
        <w:t xml:space="preserve">% by recent estimates. </w:t>
      </w:r>
      <w:r w:rsidR="00E060CE">
        <w:t xml:space="preserve">The deforestation rate is </w:t>
      </w:r>
      <w:r w:rsidR="00740766">
        <w:t>estimated at less than 0.02% per year</w:t>
      </w:r>
      <w:r w:rsidR="00A25878">
        <w:t xml:space="preserve"> (</w:t>
      </w:r>
      <w:r w:rsidR="005A1448">
        <w:t>UN-REDD 2013</w:t>
      </w:r>
      <w:r w:rsidR="00E060CE">
        <w:t>, 53)</w:t>
      </w:r>
      <w:r w:rsidR="00740766">
        <w:t xml:space="preserve">. </w:t>
      </w:r>
      <w:r w:rsidR="003A60F8">
        <w:t>The country’s p</w:t>
      </w:r>
      <w:r w:rsidR="0085036C">
        <w:t>opulation</w:t>
      </w:r>
      <w:r w:rsidR="00740766">
        <w:t xml:space="preserve"> </w:t>
      </w:r>
      <w:r w:rsidR="003A60F8">
        <w:t xml:space="preserve">(of roughly </w:t>
      </w:r>
      <w:r w:rsidR="00740766">
        <w:t>500,000)</w:t>
      </w:r>
      <w:r w:rsidR="0085036C">
        <w:t>, settlement</w:t>
      </w:r>
      <w:r w:rsidR="003A60F8">
        <w:t>s</w:t>
      </w:r>
      <w:r w:rsidR="0085036C">
        <w:t xml:space="preserve"> and economic activity are concentrate</w:t>
      </w:r>
      <w:r w:rsidR="003A60F8">
        <w:t>d in the north of the country on the Atlantic</w:t>
      </w:r>
      <w:r w:rsidR="00740766">
        <w:t xml:space="preserve"> coast. The</w:t>
      </w:r>
      <w:r w:rsidR="0085036C">
        <w:t xml:space="preserve"> population</w:t>
      </w:r>
      <w:r w:rsidR="00E060CE">
        <w:t xml:space="preserve"> in the interior is roughly 65</w:t>
      </w:r>
      <w:r w:rsidR="00740766">
        <w:t>,000, settled</w:t>
      </w:r>
      <w:r w:rsidR="003A60F8">
        <w:t xml:space="preserve"> in more than 200 villages. </w:t>
      </w:r>
      <w:r w:rsidR="003A60F8">
        <w:lastRenderedPageBreak/>
        <w:t>P</w:t>
      </w:r>
      <w:r w:rsidR="00740766">
        <w:t xml:space="preserve">opulation density </w:t>
      </w:r>
      <w:r w:rsidR="003A60F8">
        <w:t xml:space="preserve">in the interior </w:t>
      </w:r>
      <w:r w:rsidR="00740766">
        <w:t>is very low. Most residents in the interior are from i</w:t>
      </w:r>
      <w:r w:rsidR="0085036C">
        <w:t xml:space="preserve">ndigenous and Maroon </w:t>
      </w:r>
      <w:r w:rsidR="00A25878">
        <w:t>communities (</w:t>
      </w:r>
      <w:r w:rsidR="005A1448">
        <w:t>UN-REDD 2013</w:t>
      </w:r>
      <w:r w:rsidR="00E060CE">
        <w:t>, 28)</w:t>
      </w:r>
      <w:r w:rsidR="0085036C">
        <w:t xml:space="preserve">. </w:t>
      </w:r>
    </w:p>
    <w:p w:rsidR="0085036C" w:rsidRDefault="00385B79" w:rsidP="0085036C">
      <w:r>
        <w:rPr>
          <w:b/>
        </w:rPr>
        <w:t xml:space="preserve">Legal Framework: </w:t>
      </w:r>
      <w:r w:rsidR="003A60F8">
        <w:t xml:space="preserve">Suriname’s legal framework for forest management includes constitutional, legislative and regulatory provisions; a recent legal judgment is also significant. </w:t>
      </w:r>
      <w:r w:rsidR="0085036C">
        <w:t>Suriname’s constitution establishes national government</w:t>
      </w:r>
      <w:r w:rsidR="00380E52">
        <w:t xml:space="preserve"> ownership</w:t>
      </w:r>
      <w:r w:rsidR="0085036C">
        <w:t xml:space="preserve"> of all natural resources. The Forest Management Act is the primary legal framework governing forest resources; the Mining Decree is also relevant as it establishes the </w:t>
      </w:r>
      <w:r w:rsidR="003A60F8">
        <w:t>procedure</w:t>
      </w:r>
      <w:r w:rsidR="0085036C">
        <w:t xml:space="preserve"> for mining permits to be issued on forest land. </w:t>
      </w:r>
      <w:r w:rsidR="00380E52">
        <w:t xml:space="preserve"> In 2008, the Inter-American Court of Human Rights decided a major land rights case in favor of a Maroon </w:t>
      </w:r>
      <w:r w:rsidR="006C0A28">
        <w:t>tribe</w:t>
      </w:r>
      <w:r w:rsidR="00380E52">
        <w:t>, the Sara</w:t>
      </w:r>
      <w:r w:rsidR="006C0A28">
        <w:t>m</w:t>
      </w:r>
      <w:r w:rsidR="00380E52">
        <w:t xml:space="preserve">aka. The government of Suriname has acceded to the judgment, but </w:t>
      </w:r>
      <w:r w:rsidR="001431DC">
        <w:t>significant</w:t>
      </w:r>
      <w:r w:rsidR="00380E52">
        <w:t xml:space="preserve"> questions about </w:t>
      </w:r>
      <w:r w:rsidR="006C0A28">
        <w:t>the judgment’s</w:t>
      </w:r>
      <w:r w:rsidR="00380E52">
        <w:t xml:space="preserve"> implementation and its precedential impact on claims by other Maroon and indigenous peoples remain unsettled</w:t>
      </w:r>
      <w:r w:rsidR="00740766">
        <w:t xml:space="preserve"> (UNDP </w:t>
      </w:r>
      <w:r w:rsidR="00A25878">
        <w:t>2013</w:t>
      </w:r>
      <w:r w:rsidR="00740766">
        <w:t>)</w:t>
      </w:r>
      <w:r w:rsidR="00380E52">
        <w:t xml:space="preserve">. </w:t>
      </w:r>
    </w:p>
    <w:p w:rsidR="008F3545" w:rsidRDefault="00385B79" w:rsidP="0085036C">
      <w:r>
        <w:rPr>
          <w:b/>
        </w:rPr>
        <w:t xml:space="preserve">Economic activity and actors in forest areas: </w:t>
      </w:r>
      <w:r w:rsidR="00380E52">
        <w:t xml:space="preserve">Historically, there has been limited commercial activity in the forested interior of Suriname. </w:t>
      </w:r>
      <w:r w:rsidR="008F3545">
        <w:t>The primary resource users in the interior continue to be indigenous and maroon people, whose activities include harvest of non-timber forest products (NTFPs), farming, and small-scale mining.</w:t>
      </w:r>
    </w:p>
    <w:p w:rsidR="00927307" w:rsidRDefault="008F3545" w:rsidP="0085036C">
      <w:r>
        <w:t>The logging industry is relatively small</w:t>
      </w:r>
      <w:r w:rsidR="001431DC">
        <w:t>, though there was an effort to expand it dramatically in the early 1990s via large-scale concessions. That controversial effort provoked international concern, and ultimately led to new regulations and institutions to ensure that logging would be sustainable and low-impact</w:t>
      </w:r>
      <w:r w:rsidR="00A25878">
        <w:t xml:space="preserve"> (</w:t>
      </w:r>
      <w:r w:rsidR="005A1448">
        <w:t>UN-REDD 2013</w:t>
      </w:r>
      <w:r w:rsidR="00740766">
        <w:t>, 52-53)</w:t>
      </w:r>
      <w:r w:rsidR="001431DC">
        <w:t>. A</w:t>
      </w:r>
      <w:r w:rsidR="00A25878">
        <w:t xml:space="preserve">ccording to the Suriname REDD+ Readiness </w:t>
      </w:r>
      <w:r w:rsidR="00381938">
        <w:t>P</w:t>
      </w:r>
      <w:r w:rsidR="00A25878">
        <w:t xml:space="preserve">reparation </w:t>
      </w:r>
      <w:r w:rsidR="00381938">
        <w:t>P</w:t>
      </w:r>
      <w:r w:rsidR="00A25878">
        <w:t>roposal (</w:t>
      </w:r>
      <w:r w:rsidR="00FC2287">
        <w:t>R-PP</w:t>
      </w:r>
      <w:r w:rsidR="00A25878">
        <w:t>)</w:t>
      </w:r>
      <w:r w:rsidR="00381938">
        <w:t xml:space="preserve"> there has been a </w:t>
      </w:r>
      <w:r w:rsidR="00CC53F2">
        <w:t>substantial increase</w:t>
      </w:r>
      <w:r w:rsidR="00381938">
        <w:t xml:space="preserve"> in </w:t>
      </w:r>
      <w:r w:rsidR="00A25878">
        <w:t>logging in recent years (</w:t>
      </w:r>
      <w:r w:rsidR="005A1448">
        <w:t>UN-REDD 2013</w:t>
      </w:r>
      <w:r w:rsidR="00E060CE">
        <w:t>,</w:t>
      </w:r>
      <w:r w:rsidR="00381938">
        <w:t xml:space="preserve"> 51)</w:t>
      </w:r>
      <w:r w:rsidR="001431DC">
        <w:t>, but its overall scale, impact on forest cover, and contributions to GDP remain modest</w:t>
      </w:r>
      <w:r w:rsidR="00380E52">
        <w:t xml:space="preserve">. </w:t>
      </w:r>
    </w:p>
    <w:p w:rsidR="006B0E32" w:rsidRDefault="00380E52" w:rsidP="0085036C">
      <w:r>
        <w:t xml:space="preserve">In the postwar period, the most significant </w:t>
      </w:r>
      <w:r w:rsidR="00927307">
        <w:t>economic</w:t>
      </w:r>
      <w:r>
        <w:t xml:space="preserve"> activities in the</w:t>
      </w:r>
      <w:r w:rsidR="00927307">
        <w:t xml:space="preserve"> interior have been </w:t>
      </w:r>
      <w:r>
        <w:t xml:space="preserve">bauxite mining </w:t>
      </w:r>
      <w:r w:rsidR="00381938">
        <w:t>and aluminum smelting</w:t>
      </w:r>
      <w:r w:rsidR="005D539A">
        <w:t xml:space="preserve"> by Suralco in Para district</w:t>
      </w:r>
      <w:r w:rsidR="00381938">
        <w:t>, supported by</w:t>
      </w:r>
      <w:r w:rsidR="00CC53F2">
        <w:t xml:space="preserve"> the construction of the </w:t>
      </w:r>
      <w:r w:rsidR="00381938">
        <w:t>Afabako</w:t>
      </w:r>
      <w:r>
        <w:t xml:space="preserve"> hydroelectric dam and</w:t>
      </w:r>
      <w:r w:rsidR="00927307">
        <w:t xml:space="preserve"> Brokopondo</w:t>
      </w:r>
      <w:r>
        <w:t xml:space="preserve"> </w:t>
      </w:r>
      <w:r w:rsidR="00DB4BCC">
        <w:t xml:space="preserve">Lake </w:t>
      </w:r>
      <w:r w:rsidR="00381938">
        <w:t>reservoir</w:t>
      </w:r>
      <w:r>
        <w:t xml:space="preserve"> </w:t>
      </w:r>
      <w:r w:rsidR="00927307">
        <w:t xml:space="preserve">in the </w:t>
      </w:r>
      <w:r w:rsidR="003A60F8">
        <w:t>north</w:t>
      </w:r>
      <w:r w:rsidR="00927307">
        <w:t xml:space="preserve">eastern part of the country. </w:t>
      </w:r>
      <w:r w:rsidR="006B0E32">
        <w:t xml:space="preserve">Bauxite mines in </w:t>
      </w:r>
      <w:r w:rsidR="00182EFF">
        <w:t xml:space="preserve">Para district and near </w:t>
      </w:r>
      <w:r w:rsidR="008F3545">
        <w:t>the coast are largely depleted. Other possible bauxite mining sites in eastern and western interior have been identified, but mining has not yet expanded to new areas</w:t>
      </w:r>
      <w:r w:rsidR="006B0E32">
        <w:t>.</w:t>
      </w:r>
    </w:p>
    <w:p w:rsidR="00380E52" w:rsidRDefault="00927307" w:rsidP="0085036C">
      <w:r>
        <w:t>There is a long history of small-scale gold mining in in the eastern interior. Gold mining has expanded in recent year</w:t>
      </w:r>
      <w:r w:rsidR="00E060CE">
        <w:t xml:space="preserve">s with the rise in gold prices; small-scale </w:t>
      </w:r>
      <w:r>
        <w:t xml:space="preserve">miners from Brazil have </w:t>
      </w:r>
      <w:r w:rsidR="00E060CE">
        <w:t xml:space="preserve">joined Surinamese in this activity, which is concentrated in </w:t>
      </w:r>
      <w:r>
        <w:t>eastern Suriname. Since the early 2000s, large-scale gold mining has also been undertaken at the Rosebel mine</w:t>
      </w:r>
      <w:r w:rsidR="006B0E32">
        <w:t xml:space="preserve"> in Brokopondo District</w:t>
      </w:r>
      <w:r w:rsidR="005D539A">
        <w:t>, currently operated by IAMGOLD</w:t>
      </w:r>
      <w:r w:rsidR="00380E52">
        <w:t xml:space="preserve">. </w:t>
      </w:r>
      <w:r w:rsidR="00381938">
        <w:t>Another large-scale gold mine is under development</w:t>
      </w:r>
      <w:r w:rsidR="00A25878">
        <w:t xml:space="preserve"> (</w:t>
      </w:r>
      <w:r w:rsidR="005A1448">
        <w:t>UN-REDD 2013</w:t>
      </w:r>
      <w:r w:rsidR="00E060CE">
        <w:t>, 54-55)</w:t>
      </w:r>
      <w:r w:rsidR="00381938">
        <w:t>.</w:t>
      </w:r>
      <w:r w:rsidR="00E060CE">
        <w:t xml:space="preserve"> To date, the impact of the mining and energy development has been limited to the area of operations</w:t>
      </w:r>
      <w:r w:rsidR="003A60F8">
        <w:t xml:space="preserve"> and associated infrastructure</w:t>
      </w:r>
      <w:r w:rsidR="00E060CE">
        <w:t xml:space="preserve">, and has not led to substantial </w:t>
      </w:r>
      <w:r w:rsidR="004E6BDE">
        <w:t xml:space="preserve">follow-on </w:t>
      </w:r>
      <w:r w:rsidR="00E060CE">
        <w:t>deforestation or land conversion.</w:t>
      </w:r>
    </w:p>
    <w:p w:rsidR="00380E52" w:rsidRDefault="00385B79" w:rsidP="0085036C">
      <w:r>
        <w:rPr>
          <w:b/>
        </w:rPr>
        <w:t xml:space="preserve">Roads in the interior: </w:t>
      </w:r>
      <w:r w:rsidR="003A60F8">
        <w:t xml:space="preserve">There are very few paved roads in the interior, and </w:t>
      </w:r>
      <w:r w:rsidR="00DB4BCC">
        <w:t>the only major</w:t>
      </w:r>
      <w:r w:rsidR="003A60F8">
        <w:t xml:space="preserve"> north-south road</w:t>
      </w:r>
      <w:r w:rsidR="00DB4BCC">
        <w:t xml:space="preserve"> in the interior ends just beyond the southern end of Brokopondo Lake</w:t>
      </w:r>
      <w:r w:rsidR="00A25878">
        <w:t xml:space="preserve">. The absence of roads in the interior has been an important factor limiting </w:t>
      </w:r>
      <w:r w:rsidR="00380E52">
        <w:t xml:space="preserve">in-migration from the coast. </w:t>
      </w:r>
      <w:r w:rsidR="00E060CE">
        <w:t xml:space="preserve">However, the government has plans to expand the road network </w:t>
      </w:r>
      <w:r w:rsidR="00E060CE">
        <w:lastRenderedPageBreak/>
        <w:t>southward from the coast through the interior, as part of a South American regional integration project (IIRSA); east-west roads are also planned (</w:t>
      </w:r>
      <w:r w:rsidR="005A1448">
        <w:t>UN-REDD 2013</w:t>
      </w:r>
      <w:r w:rsidR="00E060CE">
        <w:t>, 60-61). The development of the road network could increase pressure on adjacent forests, both for settlement and for commercial logging.</w:t>
      </w:r>
    </w:p>
    <w:p w:rsidR="00F600F0" w:rsidRDefault="00F600F0" w:rsidP="003776E1">
      <w:pPr>
        <w:pStyle w:val="Heading1"/>
      </w:pPr>
      <w:bookmarkStart w:id="6" w:name="_Toc247210097"/>
      <w:r>
        <w:t>Background on REDD+ in Suriname</w:t>
      </w:r>
      <w:bookmarkEnd w:id="6"/>
    </w:p>
    <w:p w:rsidR="00AC5BA1" w:rsidRDefault="00AC5BA1" w:rsidP="00AC5BA1"/>
    <w:p w:rsidR="008D2232" w:rsidRPr="00F44FA7" w:rsidRDefault="00AC5BA1" w:rsidP="00AC5BA1">
      <w:r w:rsidRPr="00F44FA7">
        <w:t xml:space="preserve">Suriname’s </w:t>
      </w:r>
      <w:r w:rsidR="008007E2" w:rsidRPr="00F44FA7">
        <w:t>government</w:t>
      </w:r>
      <w:r w:rsidR="0069561C" w:rsidRPr="00F44FA7">
        <w:t xml:space="preserve"> seeks to</w:t>
      </w:r>
      <w:r w:rsidR="008007E2" w:rsidRPr="00F44FA7">
        <w:t xml:space="preserve"> use REDD+ as a tool to</w:t>
      </w:r>
      <w:r w:rsidR="0069561C" w:rsidRPr="00F44FA7">
        <w:t xml:space="preserve"> conserve Suriname’s forests </w:t>
      </w:r>
      <w:r w:rsidR="008007E2" w:rsidRPr="00F44FA7">
        <w:t>while promoting sustainable development. The stated strategic objective of REDD+ for Suriname is: “limiting the growth in the forest-transition curve and associated emissions, without limiting economic and social development</w:t>
      </w:r>
      <w:r w:rsidR="008D2232" w:rsidRPr="00F44FA7">
        <w:t>”</w:t>
      </w:r>
      <w:r w:rsidR="008F3545" w:rsidRPr="00F44FA7">
        <w:t xml:space="preserve"> (</w:t>
      </w:r>
      <w:r w:rsidR="005A1448" w:rsidRPr="00F44FA7">
        <w:t>UN-REDD 2013</w:t>
      </w:r>
      <w:r w:rsidR="008F3545" w:rsidRPr="00F44FA7">
        <w:t xml:space="preserve">, </w:t>
      </w:r>
      <w:r w:rsidR="008D2232" w:rsidRPr="00F44FA7">
        <w:t>9).</w:t>
      </w:r>
      <w:r w:rsidR="008007E2" w:rsidRPr="00F44FA7">
        <w:t xml:space="preserve"> The government and other</w:t>
      </w:r>
      <w:r w:rsidR="008F3545" w:rsidRPr="00F44FA7">
        <w:t xml:space="preserve"> stakeholders involved in the </w:t>
      </w:r>
      <w:r w:rsidR="00FC2287" w:rsidRPr="00F44FA7">
        <w:t>R-PP</w:t>
      </w:r>
      <w:r w:rsidR="008007E2" w:rsidRPr="00F44FA7">
        <w:t xml:space="preserve"> process in Suriname acknowledge that a substantial amount of institutional capacity development will be necessary to achieve this objective. </w:t>
      </w:r>
    </w:p>
    <w:p w:rsidR="008007E2" w:rsidRPr="00F44FA7" w:rsidRDefault="008007E2" w:rsidP="00AC5BA1">
      <w:r w:rsidRPr="00F44FA7">
        <w:t>In essence, Suriname to date</w:t>
      </w:r>
      <w:r w:rsidR="008D2232" w:rsidRPr="00F44FA7">
        <w:t xml:space="preserve"> has remained an HFLD country primarily because of limited </w:t>
      </w:r>
      <w:r w:rsidR="00222B9A" w:rsidRPr="00F44FA7">
        <w:t xml:space="preserve">pressure from </w:t>
      </w:r>
      <w:r w:rsidR="008D2232" w:rsidRPr="00F44FA7">
        <w:t>economic and demographic drivers</w:t>
      </w:r>
      <w:r w:rsidR="00222B9A" w:rsidRPr="00F44FA7">
        <w:t xml:space="preserve"> of deforestation</w:t>
      </w:r>
      <w:r w:rsidRPr="00F44FA7">
        <w:t>, rather than through</w:t>
      </w:r>
      <w:r w:rsidR="008D2232" w:rsidRPr="00F44FA7">
        <w:t xml:space="preserve"> government policy developed and supported with active stakeholder participation. </w:t>
      </w:r>
      <w:r w:rsidR="00222B9A" w:rsidRPr="00F44FA7">
        <w:t xml:space="preserve">It is likely </w:t>
      </w:r>
      <w:r w:rsidR="008D2232" w:rsidRPr="00F44FA7">
        <w:t>that the land and resources in Suriname’s interior will become increasingly valuable for non-</w:t>
      </w:r>
      <w:r w:rsidR="00607135" w:rsidRPr="00F44FA7">
        <w:t>conservation</w:t>
      </w:r>
      <w:r w:rsidR="00222B9A" w:rsidRPr="00F44FA7">
        <w:t xml:space="preserve"> uses over the next generation. Therefore,</w:t>
      </w:r>
      <w:r w:rsidR="008D2232" w:rsidRPr="00F44FA7">
        <w:t xml:space="preserve"> Suriname and its international partners have a significant but time-limited opportunity to put in place a set of policies, strategies, incentives and practices to achieve the objective of remaining an HFLD country while advancing economic and social development</w:t>
      </w:r>
      <w:r w:rsidR="00607135" w:rsidRPr="00F44FA7">
        <w:t>.</w:t>
      </w:r>
      <w:r w:rsidR="008D2232" w:rsidRPr="00F44FA7">
        <w:t xml:space="preserve"> </w:t>
      </w:r>
    </w:p>
    <w:p w:rsidR="008D2232" w:rsidRPr="00F44FA7" w:rsidRDefault="008D2232" w:rsidP="00AC5BA1">
      <w:r w:rsidRPr="00F44FA7">
        <w:t xml:space="preserve">The centerpiece of </w:t>
      </w:r>
      <w:r w:rsidR="00222B9A" w:rsidRPr="00F44FA7">
        <w:t xml:space="preserve">government’s </w:t>
      </w:r>
      <w:r w:rsidRPr="00F44FA7">
        <w:t>curren</w:t>
      </w:r>
      <w:r w:rsidR="00222B9A" w:rsidRPr="00F44FA7">
        <w:t xml:space="preserve">t planning efforts is the Readiness Preparation </w:t>
      </w:r>
      <w:r w:rsidR="005D539A" w:rsidRPr="00F44FA7">
        <w:t>Proposal (</w:t>
      </w:r>
      <w:r w:rsidR="00FC2287" w:rsidRPr="00F44FA7">
        <w:t>R-PP</w:t>
      </w:r>
      <w:r w:rsidR="005D539A" w:rsidRPr="00F44FA7">
        <w:t xml:space="preserve">). The </w:t>
      </w:r>
      <w:r w:rsidR="00FC2287" w:rsidRPr="00F44FA7">
        <w:t>R-PP</w:t>
      </w:r>
      <w:r w:rsidR="00222B9A" w:rsidRPr="00F44FA7">
        <w:t xml:space="preserve"> </w:t>
      </w:r>
      <w:r w:rsidRPr="00F44FA7">
        <w:t xml:space="preserve">has been under development since 2010, </w:t>
      </w:r>
      <w:r w:rsidR="00950D30" w:rsidRPr="00F44FA7">
        <w:t xml:space="preserve">with accelerated effort in 2012-2013. </w:t>
      </w:r>
      <w:r w:rsidR="008F3545" w:rsidRPr="00F44FA7">
        <w:t>T</w:t>
      </w:r>
      <w:r w:rsidRPr="00F44FA7">
        <w:t>he Forest Carbon Partnership Faci</w:t>
      </w:r>
      <w:r w:rsidR="005D539A" w:rsidRPr="00F44FA7">
        <w:t>lity (FCPF)</w:t>
      </w:r>
      <w:r w:rsidR="008F3545" w:rsidRPr="00F44FA7">
        <w:t xml:space="preserve"> approved Suriname’s </w:t>
      </w:r>
      <w:r w:rsidR="00FC2287" w:rsidRPr="00F44FA7">
        <w:t>R-PP</w:t>
      </w:r>
      <w:r w:rsidR="005D539A" w:rsidRPr="00F44FA7">
        <w:t xml:space="preserve"> in May 2013</w:t>
      </w:r>
      <w:r w:rsidR="008F3545" w:rsidRPr="00F44FA7">
        <w:t>, on the condition that Suriname and its implementing partner, UNDP, undertake several</w:t>
      </w:r>
      <w:r w:rsidR="00FC2287" w:rsidRPr="00F44FA7">
        <w:t xml:space="preserve"> policy and technical actions (FCPF 2013)</w:t>
      </w:r>
      <w:r w:rsidR="005D539A" w:rsidRPr="00F44FA7">
        <w:t xml:space="preserve">. The </w:t>
      </w:r>
      <w:r w:rsidR="00FC2287" w:rsidRPr="00F44FA7">
        <w:t>R-PP</w:t>
      </w:r>
      <w:r w:rsidRPr="00F44FA7">
        <w:t xml:space="preserve"> </w:t>
      </w:r>
      <w:r w:rsidR="00950D30" w:rsidRPr="00F44FA7">
        <w:t>lays out Suriname’s plans to organize and engage stakeholders, develop a full REDD+ strategy and implementation plan, establish a baseline forest inventory, and establish ongoing systems for monitoring and evaluation of physical, environmental and socio-economic</w:t>
      </w:r>
      <w:r w:rsidR="009A1E20" w:rsidRPr="00F44FA7">
        <w:t xml:space="preserve"> indicators relevant to REDD+ planning and implementation</w:t>
      </w:r>
      <w:r w:rsidR="00950D30" w:rsidRPr="00F44FA7">
        <w:t xml:space="preserve">. </w:t>
      </w:r>
    </w:p>
    <w:p w:rsidR="009A1E20" w:rsidRPr="00F44FA7" w:rsidRDefault="009A1E20" w:rsidP="00AC5BA1">
      <w:r w:rsidRPr="00F44FA7">
        <w:t xml:space="preserve">Effective mechanisms for grievance and dispute resolution are an important component of REDD+ management. Current joint FCPF and UN-REDD guidelines on readiness preparation call for all participating countries to develop </w:t>
      </w:r>
      <w:r w:rsidR="00F06AF8" w:rsidRPr="00F44FA7">
        <w:t xml:space="preserve">grievance redress mechanisms (GRMs). The primary purpose of </w:t>
      </w:r>
      <w:r w:rsidRPr="00F44FA7">
        <w:t>GRMs is to ensure that national stakeholders who wish to raise concerns about actual or potential negative impacts of REDD+ , or who have a dispute</w:t>
      </w:r>
      <w:r w:rsidR="00303A81" w:rsidRPr="00F44FA7">
        <w:t xml:space="preserve"> with government or </w:t>
      </w:r>
      <w:r w:rsidRPr="00F44FA7">
        <w:t>other REDD+ stakeholder</w:t>
      </w:r>
      <w:r w:rsidR="00303A81" w:rsidRPr="00F44FA7">
        <w:t>s</w:t>
      </w:r>
      <w:r w:rsidRPr="00F44FA7">
        <w:t xml:space="preserve">, have an accessible </w:t>
      </w:r>
      <w:r w:rsidR="00F06AF8" w:rsidRPr="00F44FA7">
        <w:t xml:space="preserve">forum for raising and resolving their concerns and disputes. </w:t>
      </w:r>
    </w:p>
    <w:p w:rsidR="009A1E20" w:rsidRPr="00F44FA7" w:rsidRDefault="00303A81" w:rsidP="00AC5BA1">
      <w:r w:rsidRPr="00F44FA7">
        <w:t>Recognizing this need, Suriname’s</w:t>
      </w:r>
      <w:r w:rsidR="009A1E20" w:rsidRPr="00F44FA7">
        <w:t xml:space="preserve"> R-PP lays out a plan to develop a national </w:t>
      </w:r>
      <w:r w:rsidRPr="00F44FA7">
        <w:t>feedback and grievance response mechanism (</w:t>
      </w:r>
      <w:r w:rsidR="009A1E20" w:rsidRPr="00F44FA7">
        <w:t>FGRM</w:t>
      </w:r>
      <w:r w:rsidRPr="00F44FA7">
        <w:t>)</w:t>
      </w:r>
      <w:r w:rsidR="009A1E20" w:rsidRPr="00F44FA7">
        <w:t xml:space="preserve"> to address concerns, grievances and disputes that might arise in the readiness or implementation phase. In brief, the R-PP </w:t>
      </w:r>
      <w:r w:rsidR="009A1E20" w:rsidRPr="00F44FA7">
        <w:lastRenderedPageBreak/>
        <w:t xml:space="preserve">proposes to develop an “interim FGRM” with a </w:t>
      </w:r>
      <w:r w:rsidR="00C57F71" w:rsidRPr="00F44FA7">
        <w:t xml:space="preserve">new, </w:t>
      </w:r>
      <w:r w:rsidR="009A1E20" w:rsidRPr="00F44FA7">
        <w:t xml:space="preserve">multi-stakeholder Major Groups </w:t>
      </w:r>
      <w:r w:rsidR="006D26DD" w:rsidRPr="00F44FA7">
        <w:t>Collective</w:t>
      </w:r>
      <w:r w:rsidR="009A1E20" w:rsidRPr="00F44FA7">
        <w:t xml:space="preserve"> </w:t>
      </w:r>
      <w:r w:rsidR="00C57F71" w:rsidRPr="00F44FA7">
        <w:t xml:space="preserve">(MGC) </w:t>
      </w:r>
      <w:r w:rsidR="009A1E20" w:rsidRPr="00F44FA7">
        <w:t xml:space="preserve">as the first level of grievance receipt and resolution; the Bureau for Contact with the People in the </w:t>
      </w:r>
      <w:r w:rsidR="006D26DD" w:rsidRPr="00F44FA7">
        <w:t>Cabinet</w:t>
      </w:r>
      <w:r w:rsidR="009A1E20" w:rsidRPr="00F44FA7">
        <w:t xml:space="preserve"> of the President as the second level; and the Parliamentary Committee on Climate Change as the highest level body for grievance and dispute resolution. </w:t>
      </w:r>
    </w:p>
    <w:p w:rsidR="006D26DD" w:rsidRPr="00F44FA7" w:rsidRDefault="00303A81" w:rsidP="00AC5BA1">
      <w:r w:rsidRPr="00F44FA7">
        <w:t xml:space="preserve">The primary aim of this assessment is to support the work of Suriname’s government and other REDD+ stakeholders to develop an FGRM, by reviewing </w:t>
      </w:r>
      <w:r w:rsidR="00B40251" w:rsidRPr="00F44FA7">
        <w:t>the issues and stakeholders who are potential users of an FGRM</w:t>
      </w:r>
      <w:r w:rsidRPr="00F44FA7">
        <w:t>, assessing the existing institutional capacity to manage and resolve grievances and disputes</w:t>
      </w:r>
      <w:r w:rsidR="00B40251" w:rsidRPr="00F44FA7">
        <w:t xml:space="preserve"> involving those issues and stakeholders</w:t>
      </w:r>
      <w:r w:rsidRPr="00F44FA7">
        <w:t xml:space="preserve"> if they arise, </w:t>
      </w:r>
      <w:r w:rsidR="00B40251" w:rsidRPr="00F44FA7">
        <w:t xml:space="preserve">and making recommendations on ways to refine </w:t>
      </w:r>
      <w:r w:rsidR="005D539A" w:rsidRPr="00F44FA7">
        <w:t xml:space="preserve">the FGRM plan outlined in the </w:t>
      </w:r>
      <w:r w:rsidR="00FC2287" w:rsidRPr="00F44FA7">
        <w:t>R-PP</w:t>
      </w:r>
      <w:r w:rsidR="00B40251" w:rsidRPr="00F44FA7">
        <w:t xml:space="preserve"> to maximize its effectiveness.</w:t>
      </w:r>
    </w:p>
    <w:p w:rsidR="00F600F0" w:rsidRDefault="00F600F0" w:rsidP="00763E08">
      <w:pPr>
        <w:pStyle w:val="Heading1"/>
      </w:pPr>
      <w:bookmarkStart w:id="7" w:name="_Toc247210098"/>
      <w:r>
        <w:t>Potential grievance</w:t>
      </w:r>
      <w:r w:rsidR="00F6062B">
        <w:t>/dispute</w:t>
      </w:r>
      <w:r>
        <w:t xml:space="preserve"> risks</w:t>
      </w:r>
      <w:r w:rsidR="00167800">
        <w:t xml:space="preserve"> related to REDD+</w:t>
      </w:r>
      <w:bookmarkEnd w:id="7"/>
    </w:p>
    <w:p w:rsidR="00FC2287" w:rsidRDefault="00FC2287" w:rsidP="00763E08"/>
    <w:p w:rsidR="00D427EA" w:rsidRDefault="00FC2287" w:rsidP="00FC2287">
      <w:pPr>
        <w:jc w:val="both"/>
      </w:pPr>
      <w:r>
        <w:t xml:space="preserve">As noted in the background section above, Suriname is an HFLD country. That does not mean, however, that Suriname has no conflict over forest land and resources. Most notably, there are substantial and ongoing land claims disputes between the government and representatives of Maroon and indigenous peoples. </w:t>
      </w:r>
    </w:p>
    <w:p w:rsidR="00B748BE" w:rsidRDefault="00FC2287" w:rsidP="00FC2287">
      <w:pPr>
        <w:jc w:val="both"/>
      </w:pPr>
      <w:r>
        <w:t xml:space="preserve">The Saramaka judgment </w:t>
      </w:r>
      <w:r w:rsidR="00B748BE">
        <w:t>recognizes</w:t>
      </w:r>
      <w:r>
        <w:t xml:space="preserve"> Maroon and indigenous people’s </w:t>
      </w:r>
      <w:r w:rsidR="00B748BE">
        <w:t xml:space="preserve">land rights as legitimate. It requires the government to demarcate indigenous and Maroon lands, and to grant collective legal title over those lands and associated resources to Maroon and indigenous groups, in order to ensure their cultural survival. </w:t>
      </w:r>
    </w:p>
    <w:p w:rsidR="00FC2287" w:rsidRDefault="00B748BE" w:rsidP="00FC2287">
      <w:pPr>
        <w:jc w:val="both"/>
      </w:pPr>
      <w:r>
        <w:t>The court has also established that indigenous and Maroon</w:t>
      </w:r>
      <w:r w:rsidR="00FC2287">
        <w:t xml:space="preserve"> rights to land are not absolute. The judgment states that those rights may be restricted in the national interest, “</w:t>
      </w:r>
      <w:r w:rsidR="00FC2287" w:rsidRPr="00FC2287">
        <w:t>where the restrictions are: a) previously established by law, b) necessary, c) proportional, and d) with the aim of achieving a legitimate obj</w:t>
      </w:r>
      <w:r w:rsidR="00FC2287">
        <w:t xml:space="preserve">ective in a democratic society” (UNDP 2013, 7). </w:t>
      </w:r>
      <w:r>
        <w:t>Therefore, the</w:t>
      </w:r>
      <w:r w:rsidR="006B79C6">
        <w:t xml:space="preserve"> judgment invites both deliberation and dispute </w:t>
      </w:r>
      <w:r>
        <w:t>over when and how the government may restrict those collective rights</w:t>
      </w:r>
      <w:r w:rsidR="006B79C6">
        <w:t>.</w:t>
      </w:r>
      <w:r w:rsidR="00385B79">
        <w:t xml:space="preserve"> </w:t>
      </w:r>
    </w:p>
    <w:p w:rsidR="006B79C6" w:rsidRDefault="006B79C6" w:rsidP="00FC2287">
      <w:pPr>
        <w:jc w:val="both"/>
      </w:pPr>
      <w:r>
        <w:t xml:space="preserve">In the context of REDD+, unresolved land </w:t>
      </w:r>
      <w:r w:rsidR="00385B79">
        <w:t>rights issues</w:t>
      </w:r>
      <w:r>
        <w:t xml:space="preserve"> may trigger disputes during the readiness phase, as forest conservation and manag</w:t>
      </w:r>
      <w:r w:rsidR="00D427EA">
        <w:t xml:space="preserve">ement strategies are developed. There may also be disputes </w:t>
      </w:r>
      <w:r>
        <w:t>during implementa</w:t>
      </w:r>
      <w:r w:rsidR="0037642C">
        <w:t xml:space="preserve">tion with regard to </w:t>
      </w:r>
      <w:r>
        <w:t>forest management, monitoring, and</w:t>
      </w:r>
      <w:r w:rsidR="0037642C">
        <w:t>/or</w:t>
      </w:r>
      <w:r>
        <w:t xml:space="preserve"> benefit sharing. </w:t>
      </w:r>
    </w:p>
    <w:p w:rsidR="00385B79" w:rsidRDefault="00385B79" w:rsidP="00FC2287">
      <w:pPr>
        <w:jc w:val="both"/>
      </w:pPr>
      <w:r>
        <w:t>It is important to note and acknowledge ongoing efforts by the government of Suriname and representatives of Maroon and indigenous peoples to resolve outstanding claims. Those efforts pre-date the Saramaka judgment and are continuing now in light of and in response to the judgment. However, in the absence of an agreed resolution, disputed land rights remain a very significant risk factor for REDD+ in Suriname.</w:t>
      </w:r>
    </w:p>
    <w:p w:rsidR="005A1448" w:rsidRDefault="0037642C" w:rsidP="00FC2287">
      <w:pPr>
        <w:jc w:val="both"/>
      </w:pPr>
      <w:r>
        <w:t xml:space="preserve">A second </w:t>
      </w:r>
      <w:r w:rsidR="00DB4BCC">
        <w:t>type</w:t>
      </w:r>
      <w:r>
        <w:t xml:space="preserve"> of</w:t>
      </w:r>
      <w:r w:rsidR="00DB4BCC">
        <w:t xml:space="preserve"> risk </w:t>
      </w:r>
      <w:r>
        <w:t>arise</w:t>
      </w:r>
      <w:r w:rsidR="00DB4BCC">
        <w:t>s</w:t>
      </w:r>
      <w:r>
        <w:t xml:space="preserve"> from </w:t>
      </w:r>
      <w:r w:rsidR="005A1448">
        <w:t>alternative</w:t>
      </w:r>
      <w:r>
        <w:t xml:space="preserve"> </w:t>
      </w:r>
      <w:r w:rsidR="005A1448">
        <w:t xml:space="preserve">(i.e. non-conservation) </w:t>
      </w:r>
      <w:r w:rsidR="00DB4BCC">
        <w:t xml:space="preserve">uses and users of forest </w:t>
      </w:r>
      <w:r>
        <w:t>land.</w:t>
      </w:r>
      <w:r w:rsidR="005A1448">
        <w:t xml:space="preserve"> The R-PP (Table 11, pp. 63-65) identifies </w:t>
      </w:r>
      <w:r w:rsidR="00DB4BCC">
        <w:t>six</w:t>
      </w:r>
      <w:r w:rsidR="005A1448">
        <w:t xml:space="preserve"> potential drivers of deforestation linked to alternative </w:t>
      </w:r>
      <w:r w:rsidR="00DB4BCC">
        <w:t xml:space="preserve">land </w:t>
      </w:r>
      <w:r w:rsidR="005A1448">
        <w:t>uses:</w:t>
      </w:r>
    </w:p>
    <w:p w:rsidR="005A1448" w:rsidRDefault="005A1448" w:rsidP="001B7604">
      <w:pPr>
        <w:pStyle w:val="ListParagraph"/>
        <w:numPr>
          <w:ilvl w:val="0"/>
          <w:numId w:val="10"/>
        </w:numPr>
        <w:jc w:val="both"/>
      </w:pPr>
      <w:r>
        <w:lastRenderedPageBreak/>
        <w:t>Mining</w:t>
      </w:r>
    </w:p>
    <w:p w:rsidR="005A1448" w:rsidRDefault="005A1448" w:rsidP="001B7604">
      <w:pPr>
        <w:pStyle w:val="ListParagraph"/>
        <w:numPr>
          <w:ilvl w:val="0"/>
          <w:numId w:val="10"/>
        </w:numPr>
        <w:jc w:val="both"/>
      </w:pPr>
      <w:r>
        <w:t>Logging</w:t>
      </w:r>
    </w:p>
    <w:p w:rsidR="005A1448" w:rsidRDefault="00DB4BCC" w:rsidP="001B7604">
      <w:pPr>
        <w:pStyle w:val="ListParagraph"/>
        <w:numPr>
          <w:ilvl w:val="0"/>
          <w:numId w:val="10"/>
        </w:numPr>
        <w:jc w:val="both"/>
      </w:pPr>
      <w:r>
        <w:t>Agriculture</w:t>
      </w:r>
    </w:p>
    <w:p w:rsidR="00DB4BCC" w:rsidRDefault="00DB4BCC" w:rsidP="001B7604">
      <w:pPr>
        <w:pStyle w:val="ListParagraph"/>
        <w:numPr>
          <w:ilvl w:val="0"/>
          <w:numId w:val="10"/>
        </w:numPr>
        <w:jc w:val="both"/>
      </w:pPr>
      <w:r>
        <w:t>Energy production</w:t>
      </w:r>
    </w:p>
    <w:p w:rsidR="00DB4BCC" w:rsidRDefault="00DB4BCC" w:rsidP="001B7604">
      <w:pPr>
        <w:pStyle w:val="ListParagraph"/>
        <w:numPr>
          <w:ilvl w:val="0"/>
          <w:numId w:val="10"/>
        </w:numPr>
        <w:jc w:val="both"/>
      </w:pPr>
      <w:r>
        <w:t>Infrastructure development</w:t>
      </w:r>
    </w:p>
    <w:p w:rsidR="00DB4BCC" w:rsidRDefault="00DB4BCC" w:rsidP="001B7604">
      <w:pPr>
        <w:pStyle w:val="ListParagraph"/>
        <w:numPr>
          <w:ilvl w:val="0"/>
          <w:numId w:val="10"/>
        </w:numPr>
        <w:jc w:val="both"/>
      </w:pPr>
      <w:r>
        <w:t>Housing development</w:t>
      </w:r>
    </w:p>
    <w:p w:rsidR="0081576F" w:rsidRDefault="00DB4BCC" w:rsidP="00FC2287">
      <w:pPr>
        <w:jc w:val="both"/>
      </w:pPr>
      <w:r>
        <w:t>Each of these alternatives may create conflict with REDD+ forest conservation objectives and activities. For example, d</w:t>
      </w:r>
      <w:r w:rsidR="00BE545B">
        <w:t xml:space="preserve">isputes might also arise over </w:t>
      </w:r>
      <w:r w:rsidR="0081576F">
        <w:t>government</w:t>
      </w:r>
      <w:r w:rsidR="00BE545B">
        <w:t xml:space="preserve"> issuance of mining or logging concessions</w:t>
      </w:r>
      <w:r w:rsidR="00D427EA">
        <w:t>,</w:t>
      </w:r>
      <w:r w:rsidR="00BE545B">
        <w:t xml:space="preserve"> or the construction of roads and other infrastructure</w:t>
      </w:r>
      <w:r w:rsidR="00D427EA">
        <w:t>,</w:t>
      </w:r>
      <w:r w:rsidR="00BE545B">
        <w:t xml:space="preserve"> in forest areas that R</w:t>
      </w:r>
      <w:r>
        <w:t>EDD+ stakeholders intended to conserve</w:t>
      </w:r>
      <w:r w:rsidR="00BE545B">
        <w:t xml:space="preserve">. </w:t>
      </w:r>
    </w:p>
    <w:p w:rsidR="0072565C" w:rsidRDefault="00D427EA" w:rsidP="00FC2287">
      <w:pPr>
        <w:jc w:val="both"/>
      </w:pPr>
      <w:r>
        <w:t xml:space="preserve">In the recent past, it appears that </w:t>
      </w:r>
      <w:r w:rsidR="0072565C">
        <w:t>the risk of grievances and disputes associated with mining and logging may be increasing, though there is no reliable source of data on grievances or disputes. In the mining sector,</w:t>
      </w:r>
      <w:r>
        <w:t xml:space="preserve"> the </w:t>
      </w:r>
      <w:r w:rsidR="0072565C">
        <w:t xml:space="preserve">increase in gold prices has stimulated the entry of major international mining companies (IAMGOLD, Newmont) and migrant miners from Brazil, and expansion of small-scale mining by Surinamese. The potential opening of new bauxite mines has also been a cause of concern. Though the geographic scope of these activities is limited, there is significant risk that the expansion of roads and increasing access to high-value mining areas could accelerate deforestation. </w:t>
      </w:r>
    </w:p>
    <w:p w:rsidR="0081576F" w:rsidRDefault="0072565C" w:rsidP="00FC2287">
      <w:pPr>
        <w:jc w:val="both"/>
      </w:pPr>
      <w:r>
        <w:t>With regard to logging, large-scale commercial logging concessions have not been issued since the mid-1990s. The fact that reported logging volume has doubled in recent years  (UN-REDD 2013, 51) raises a question about its future trajectory and about how government policies and regulations in the forest sector will balance conservation, sustainable management and forest land conversion to other uses (e.g. palm oil plantations).</w:t>
      </w:r>
    </w:p>
    <w:p w:rsidR="0072565C" w:rsidRDefault="0072565C" w:rsidP="00FC2287">
      <w:pPr>
        <w:jc w:val="both"/>
      </w:pPr>
      <w:r>
        <w:t xml:space="preserve">Finally, the potential expansion of north-south roads through the interior as part of the IISA initiative could be a major source of grievances and disputes related to REDD+, if road expansion triggers an influx of migrants to the interior, as it has in other countries (e.g. Brazil’s Amazon region). This risk might be heightened if the road network facilitates legal or informal immigration from other countries into Suriname’s interior. </w:t>
      </w:r>
    </w:p>
    <w:p w:rsidR="003C6D63" w:rsidRDefault="003C6D63" w:rsidP="003C6D63">
      <w:pPr>
        <w:jc w:val="both"/>
      </w:pPr>
      <w:r>
        <w:t xml:space="preserve">Connected to each of these individual risks, the existence of unresolved indigenous and Maroon land issues raises the risk of conflict over any alternative use. First, there is the possibility of disputes over government-sponsored or –authorized activities (e.g. road construction or mining concessions) that affect forests claimed by indigenous or Maroon communities and managed by them to produce REDD+ benefits. Second, there is the possibility of disputes over activities authorized or undertaken by indigenous or Maroon communities (e.g. small-scale mining, land clearance for agriculture) that affect government-designated REDD+ conservation forests. </w:t>
      </w:r>
    </w:p>
    <w:p w:rsidR="003C6D63" w:rsidRDefault="003C6D63" w:rsidP="00FC2287">
      <w:pPr>
        <w:jc w:val="both"/>
      </w:pPr>
      <w:r>
        <w:t xml:space="preserve">In short, Suriname has been fortunate to date that most conflicts over forest have been relatively localized, and that pressure on forest land has been low. There is no guarantee that Suriname will be equally fortunate in the future. The set of risk factors identified here suggests the need for a robust feedback and grievance response </w:t>
      </w:r>
      <w:r>
        <w:lastRenderedPageBreak/>
        <w:t>mechanism</w:t>
      </w:r>
      <w:r w:rsidR="00167800">
        <w:t xml:space="preserve"> (FGRM)</w:t>
      </w:r>
      <w:r>
        <w:t>, and also suggests the potential benefit of proactive dispute prevention strategies and policies.</w:t>
      </w:r>
    </w:p>
    <w:p w:rsidR="00182608" w:rsidRDefault="00C96786" w:rsidP="00763E08">
      <w:pPr>
        <w:pStyle w:val="Heading1"/>
      </w:pPr>
      <w:bookmarkStart w:id="8" w:name="_Toc247210099"/>
      <w:r>
        <w:t>Key issues in d</w:t>
      </w:r>
      <w:r w:rsidR="00F600F0">
        <w:t>esign of an FGRM</w:t>
      </w:r>
      <w:bookmarkEnd w:id="8"/>
    </w:p>
    <w:p w:rsidR="00182608" w:rsidRDefault="00182608" w:rsidP="00182608"/>
    <w:p w:rsidR="00167800" w:rsidRPr="00182608" w:rsidRDefault="00167800" w:rsidP="00182608">
      <w:r>
        <w:t>This section briefly reviews existing mechanisms for addressing the most significant grievance/dispute risks, and it reviews the FGRM proposed in the R-PP. It raises several questions about the fit between the proposed FGRM and the set of needs and capacities in Suriname. The next section offers additional options for consideration in the development of a REDD+ FGRM for Suriname.</w:t>
      </w:r>
    </w:p>
    <w:p w:rsidR="00763E08" w:rsidRPr="00EE67DD" w:rsidRDefault="00820027" w:rsidP="00EE67DD">
      <w:pPr>
        <w:pStyle w:val="Heading1"/>
        <w:numPr>
          <w:ilvl w:val="1"/>
          <w:numId w:val="12"/>
        </w:numPr>
        <w:spacing w:before="240" w:after="240"/>
        <w:rPr>
          <w:sz w:val="24"/>
          <w:szCs w:val="24"/>
        </w:rPr>
      </w:pPr>
      <w:bookmarkStart w:id="9" w:name="_Toc247210100"/>
      <w:r w:rsidRPr="00EE67DD">
        <w:rPr>
          <w:sz w:val="24"/>
          <w:szCs w:val="24"/>
        </w:rPr>
        <w:t xml:space="preserve">Existing </w:t>
      </w:r>
      <w:r w:rsidR="0033088D" w:rsidRPr="00EE67DD">
        <w:rPr>
          <w:sz w:val="24"/>
          <w:szCs w:val="24"/>
        </w:rPr>
        <w:t xml:space="preserve">processes and </w:t>
      </w:r>
      <w:r w:rsidRPr="00EE67DD">
        <w:rPr>
          <w:sz w:val="24"/>
          <w:szCs w:val="24"/>
        </w:rPr>
        <w:t>mechanisms for addressing dispute/grievance risks</w:t>
      </w:r>
      <w:bookmarkEnd w:id="9"/>
    </w:p>
    <w:p w:rsidR="00167800" w:rsidRDefault="00167800" w:rsidP="00167800"/>
    <w:p w:rsidR="00D22422" w:rsidRDefault="00167800" w:rsidP="00167800">
      <w:r>
        <w:t xml:space="preserve">As noted above, outstanding land rights issues present a major risk of grievance and dispute for REDD+ in Suriname. There are ongoing processes to manage and resolve those issues. The Saramaka tribe’s </w:t>
      </w:r>
      <w:r w:rsidR="00820027">
        <w:t xml:space="preserve">claims have </w:t>
      </w:r>
      <w:r>
        <w:t>been adjudicated</w:t>
      </w:r>
      <w:r w:rsidR="00820027">
        <w:t xml:space="preserve"> </w:t>
      </w:r>
      <w:r>
        <w:t>through the Inter-American Court of Human Rights,</w:t>
      </w:r>
      <w:r w:rsidR="00820027">
        <w:t xml:space="preserve"> resulting in </w:t>
      </w:r>
      <w:r>
        <w:t>a</w:t>
      </w:r>
      <w:r w:rsidR="00820027">
        <w:t xml:space="preserve"> judgment</w:t>
      </w:r>
      <w:r w:rsidR="00344419">
        <w:t xml:space="preserve"> recognizing those rights, also finding that they are not absolute, and directing the government of Suriname to give full legal recognition to those rights and to the juridical personality of indigenous and Maroon tribes.</w:t>
      </w:r>
      <w:r w:rsidR="00D22422">
        <w:t xml:space="preserve"> Specifically, the judgment finds that the government should:</w:t>
      </w:r>
    </w:p>
    <w:p w:rsidR="00D22422" w:rsidRPr="00D22422" w:rsidRDefault="00D22422" w:rsidP="001B7604">
      <w:pPr>
        <w:pStyle w:val="ListParagraph"/>
        <w:numPr>
          <w:ilvl w:val="0"/>
          <w:numId w:val="11"/>
        </w:numPr>
        <w:contextualSpacing w:val="0"/>
      </w:pPr>
      <w:r w:rsidRPr="00D22422">
        <w:t>ensure the effective participation of indigenous and tribal peoples in conformity with their customs and traditions in formulating development or investment plans that affect them; and seek their free, prior and informed consent (FPIC) prior to authorizing activities that could have major impacts on them;</w:t>
      </w:r>
    </w:p>
    <w:p w:rsidR="00D22422" w:rsidRPr="00D22422" w:rsidRDefault="00D22422" w:rsidP="001B7604">
      <w:pPr>
        <w:pStyle w:val="ListParagraph"/>
        <w:numPr>
          <w:ilvl w:val="0"/>
          <w:numId w:val="11"/>
        </w:numPr>
        <w:contextualSpacing w:val="0"/>
      </w:pPr>
      <w:r w:rsidRPr="00D22422">
        <w:t>enable indigenous and Maroon people to participate fully in environmental and social impact assessment of projects and plans that could affect them</w:t>
      </w:r>
    </w:p>
    <w:p w:rsidR="00820027" w:rsidRDefault="00D22422" w:rsidP="001B7604">
      <w:pPr>
        <w:pStyle w:val="ListParagraph"/>
        <w:numPr>
          <w:ilvl w:val="0"/>
          <w:numId w:val="11"/>
        </w:numPr>
      </w:pPr>
      <w:r w:rsidRPr="00D22422">
        <w:t>ensure that indigenous and Maroon people benefit from projects on their lands, particularly when those projects will have negative impa</w:t>
      </w:r>
      <w:r>
        <w:t xml:space="preserve">cts on them (UNDP 2013, 7-8).  </w:t>
      </w:r>
      <w:r w:rsidRPr="00D22422">
        <w:t xml:space="preserve"> </w:t>
      </w:r>
      <w:r w:rsidRPr="00D22422">
        <w:rPr>
          <w:rFonts w:cstheme="majorHAnsi"/>
          <w:sz w:val="22"/>
          <w:szCs w:val="22"/>
        </w:rPr>
        <w:t xml:space="preserve"> </w:t>
      </w:r>
    </w:p>
    <w:p w:rsidR="000148F4" w:rsidRDefault="00344419" w:rsidP="008D61C1">
      <w:r>
        <w:t>Currently, there are m</w:t>
      </w:r>
      <w:r w:rsidR="00820027">
        <w:t xml:space="preserve">ultiple formal </w:t>
      </w:r>
      <w:r>
        <w:t xml:space="preserve">and </w:t>
      </w:r>
      <w:r w:rsidRPr="0033088D">
        <w:rPr>
          <w:i/>
        </w:rPr>
        <w:t>ad hoc</w:t>
      </w:r>
      <w:r>
        <w:t xml:space="preserve"> </w:t>
      </w:r>
      <w:r w:rsidR="008D61C1">
        <w:t>efforts</w:t>
      </w:r>
      <w:r w:rsidR="00820027">
        <w:t xml:space="preserve"> to address disputes over </w:t>
      </w:r>
      <w:r w:rsidR="00EB7356">
        <w:t>implementation</w:t>
      </w:r>
      <w:r w:rsidR="00820027">
        <w:t xml:space="preserve"> of </w:t>
      </w:r>
      <w:r>
        <w:t xml:space="preserve">the </w:t>
      </w:r>
      <w:r w:rsidR="00820027">
        <w:t>Saramak</w:t>
      </w:r>
      <w:r w:rsidR="008D61C1">
        <w:t>a Judgment. Those efforts involve</w:t>
      </w:r>
      <w:r w:rsidR="00820027">
        <w:t xml:space="preserve"> Maroon and indigenous leaders and advocates, senior government officials, MPs, </w:t>
      </w:r>
      <w:r>
        <w:t xml:space="preserve">and the </w:t>
      </w:r>
      <w:r w:rsidR="00820027">
        <w:t>private sector</w:t>
      </w:r>
      <w:r>
        <w:t xml:space="preserve">. </w:t>
      </w:r>
      <w:r w:rsidR="008D61C1">
        <w:t>The primary i</w:t>
      </w:r>
      <w:r w:rsidR="00820027">
        <w:t xml:space="preserve">nstitutional </w:t>
      </w:r>
      <w:r w:rsidR="008D61C1">
        <w:t xml:space="preserve">mechanism currently being pursued by the government (since mid-2013) is the </w:t>
      </w:r>
      <w:r w:rsidR="000148F4">
        <w:t>establishment</w:t>
      </w:r>
      <w:r w:rsidR="008D61C1">
        <w:t xml:space="preserve"> of a </w:t>
      </w:r>
      <w:r w:rsidR="000148F4">
        <w:t xml:space="preserve">Presidential </w:t>
      </w:r>
      <w:r w:rsidR="008D61C1">
        <w:t xml:space="preserve">Land Rights </w:t>
      </w:r>
      <w:r w:rsidR="000148F4">
        <w:t xml:space="preserve">Bureau and appointment of a </w:t>
      </w:r>
      <w:r w:rsidR="008D61C1">
        <w:t xml:space="preserve">Commissioner to lead the government’s response to the claims and the Saramaka judgment. Prior to that appointment, the government response included several </w:t>
      </w:r>
      <w:r w:rsidR="00820027">
        <w:t>commissions, task forces and conferences</w:t>
      </w:r>
      <w:r w:rsidR="000148F4">
        <w:t>, and a “roadmap” that was agreed in principle in 2011 but whose finalization and implementation have stalled</w:t>
      </w:r>
      <w:r w:rsidR="008D61C1">
        <w:t>.</w:t>
      </w:r>
      <w:r w:rsidR="004C4E6B">
        <w:t xml:space="preserve"> </w:t>
      </w:r>
    </w:p>
    <w:p w:rsidR="00D30BA5" w:rsidRDefault="004C4E6B" w:rsidP="008D61C1">
      <w:r>
        <w:lastRenderedPageBreak/>
        <w:t>Importantly, interviewees indicated that most indigenous and Maroon land claims have</w:t>
      </w:r>
      <w:r w:rsidR="0033088D">
        <w:t xml:space="preserve"> now</w:t>
      </w:r>
      <w:r>
        <w:t xml:space="preserve"> been </w:t>
      </w:r>
      <w:r w:rsidR="000148F4">
        <w:t>delimited</w:t>
      </w:r>
      <w:r w:rsidR="00F44FA7">
        <w:t xml:space="preserve"> (on maps) and many areas have also been demarcated (on the ground)</w:t>
      </w:r>
      <w:r w:rsidR="000148F4">
        <w:t xml:space="preserve">. </w:t>
      </w:r>
      <w:r w:rsidR="00F44FA7">
        <w:t>In order to minimize the risk of disputes and grievances, c</w:t>
      </w:r>
      <w:r w:rsidR="000148F4">
        <w:t>ompleting the process of delimitation and demarcation</w:t>
      </w:r>
      <w:r w:rsidR="00F44FA7">
        <w:t xml:space="preserve"> and defining area-specific resource rights</w:t>
      </w:r>
      <w:r w:rsidR="000148F4">
        <w:t xml:space="preserve"> </w:t>
      </w:r>
      <w:r w:rsidR="00F44FA7">
        <w:t>will be</w:t>
      </w:r>
      <w:r w:rsidR="000148F4">
        <w:t xml:space="preserve"> essential</w:t>
      </w:r>
      <w:r>
        <w:t>.</w:t>
      </w:r>
    </w:p>
    <w:p w:rsidR="00F44FA7" w:rsidRDefault="004C4E6B" w:rsidP="00F44FA7">
      <w:r>
        <w:t>On the other hand, t</w:t>
      </w:r>
      <w:r w:rsidR="008D61C1">
        <w:t>he assessment team heard that government’s repeated transfer</w:t>
      </w:r>
      <w:r w:rsidR="00D30BA5">
        <w:t xml:space="preserve"> of responsibility for resolving Saramaka implementation issues </w:t>
      </w:r>
      <w:r w:rsidR="0033088D">
        <w:t>across</w:t>
      </w:r>
      <w:r w:rsidR="00D30BA5">
        <w:t xml:space="preserve"> m</w:t>
      </w:r>
      <w:r w:rsidR="008D61C1">
        <w:t>inistries and Commissioners has</w:t>
      </w:r>
      <w:r w:rsidR="00D30BA5">
        <w:t xml:space="preserve"> </w:t>
      </w:r>
      <w:r w:rsidR="0033088D">
        <w:t>left</w:t>
      </w:r>
      <w:r w:rsidR="008D61C1">
        <w:t xml:space="preserve"> indigenous</w:t>
      </w:r>
      <w:r w:rsidR="00D30BA5">
        <w:t xml:space="preserve"> and Maroon </w:t>
      </w:r>
      <w:r w:rsidR="0033088D">
        <w:t>leaders frustrated</w:t>
      </w:r>
      <w:r w:rsidR="008D61C1">
        <w:t>.</w:t>
      </w:r>
      <w:r w:rsidR="0033088D">
        <w:t xml:space="preserve"> Some of those leaders perceive the transfers as a way of “buying time,” or simply putting off a politically contentious issue.</w:t>
      </w:r>
      <w:r w:rsidR="008D61C1">
        <w:t xml:space="preserve"> </w:t>
      </w:r>
    </w:p>
    <w:p w:rsidR="004C4E6B" w:rsidRDefault="008D61C1" w:rsidP="00F44FA7">
      <w:r>
        <w:t xml:space="preserve">From government’s perspective, </w:t>
      </w:r>
      <w:r w:rsidR="004C4E6B">
        <w:t>interviewees indicated that it</w:t>
      </w:r>
      <w:r>
        <w:t xml:space="preserve"> has</w:t>
      </w:r>
      <w:r w:rsidR="0033088D">
        <w:t xml:space="preserve"> sometimes</w:t>
      </w:r>
      <w:r>
        <w:t xml:space="preserve"> been challenging to work with the collective representation of the Saramaka people via VSG (</w:t>
      </w:r>
      <w:r w:rsidRPr="008D61C1">
        <w:t>The Association of Saramaka Authorities) and indigenous representatives via VIDS</w:t>
      </w:r>
      <w:r>
        <w:t xml:space="preserve"> (</w:t>
      </w:r>
      <w:r w:rsidRPr="008D61C1">
        <w:t>The Association of Village Leaders of Suriname)</w:t>
      </w:r>
      <w:r>
        <w:t xml:space="preserve">. In the view of </w:t>
      </w:r>
      <w:r w:rsidR="004C4E6B">
        <w:t xml:space="preserve">some </w:t>
      </w:r>
      <w:r>
        <w:t>government</w:t>
      </w:r>
      <w:r w:rsidR="004C4E6B">
        <w:t xml:space="preserve"> interviewees, </w:t>
      </w:r>
      <w:r>
        <w:t xml:space="preserve">the leaders of these associations have not always been able to ensure alignment of their members, raising a question of how best to ensure full and final resolution of land claims by the full range of indigenous and Maroon claimants. </w:t>
      </w:r>
      <w:r w:rsidR="004C4E6B">
        <w:t xml:space="preserve"> </w:t>
      </w:r>
    </w:p>
    <w:p w:rsidR="004C4E6B" w:rsidRDefault="004C4E6B" w:rsidP="00F44FA7">
      <w:r>
        <w:t xml:space="preserve">In short, at the national level, there is ongoing claims resolution work, but there are major outstanding issues with regard to representation, mutual commitments, and finality of determinations. </w:t>
      </w:r>
    </w:p>
    <w:p w:rsidR="0033088D" w:rsidRDefault="004C4E6B" w:rsidP="00F44FA7">
      <w:r>
        <w:t>With regard to non-conservation land uses and users in forest areas</w:t>
      </w:r>
      <w:r w:rsidR="0033088D">
        <w:t xml:space="preserve"> (mining, logging, infrastructure, conversion to agriculture)</w:t>
      </w:r>
      <w:r>
        <w:t xml:space="preserve">, there is less clarity about existing mechanisms for grievance and dispute resolution. </w:t>
      </w:r>
      <w:r w:rsidR="0033088D">
        <w:t>B</w:t>
      </w:r>
      <w:r>
        <w:t>ased on multiple interviews with a range of government and non-government stakeholders who have been involved in di</w:t>
      </w:r>
      <w:r w:rsidR="0033088D">
        <w:t xml:space="preserve">sputes and their resolution, the assessment team has </w:t>
      </w:r>
      <w:r w:rsidR="003F73A3">
        <w:t xml:space="preserve">developed </w:t>
      </w:r>
      <w:r w:rsidR="0033088D">
        <w:t>the following understanding.</w:t>
      </w:r>
    </w:p>
    <w:p w:rsidR="00182608" w:rsidRDefault="004C4E6B" w:rsidP="00F44FA7">
      <w:r>
        <w:t>F</w:t>
      </w:r>
      <w:r w:rsidR="00182608">
        <w:t xml:space="preserve">or grievances related to </w:t>
      </w:r>
      <w:r w:rsidR="00820027">
        <w:t xml:space="preserve">commercial land/resource concessions and public infrastructure, </w:t>
      </w:r>
      <w:r w:rsidR="00182608">
        <w:t>commonly used channels are</w:t>
      </w:r>
    </w:p>
    <w:p w:rsidR="00182608" w:rsidRDefault="00C426A6" w:rsidP="00182608">
      <w:pPr>
        <w:ind w:left="720"/>
      </w:pPr>
      <w:r>
        <w:t xml:space="preserve">a) </w:t>
      </w:r>
      <w:r w:rsidRPr="00C426A6">
        <w:rPr>
          <w:b/>
        </w:rPr>
        <w:t>C</w:t>
      </w:r>
      <w:r w:rsidR="00182608" w:rsidRPr="00C426A6">
        <w:rPr>
          <w:b/>
        </w:rPr>
        <w:t>omplaint</w:t>
      </w:r>
      <w:r>
        <w:rPr>
          <w:b/>
        </w:rPr>
        <w:t>s</w:t>
      </w:r>
      <w:r w:rsidR="00182608" w:rsidRPr="00C426A6">
        <w:rPr>
          <w:b/>
        </w:rPr>
        <w:t xml:space="preserve"> to local police</w:t>
      </w:r>
      <w:r w:rsidR="004C4E6B">
        <w:t>.  The police tend to be involved when local residents believe that commercial mining or logging operations are either illegal or are having clear negative impacts on them</w:t>
      </w:r>
      <w:r>
        <w:t>; when there are disputes among local forest land users, e.g. about pollution from small scale mining</w:t>
      </w:r>
      <w:r w:rsidR="004C4E6B">
        <w:t>; or</w:t>
      </w:r>
      <w:r>
        <w:t xml:space="preserve"> when commercial</w:t>
      </w:r>
      <w:r w:rsidR="004C4E6B">
        <w:t xml:space="preserve"> </w:t>
      </w:r>
      <w:r>
        <w:t>mining or logging companies</w:t>
      </w:r>
      <w:r w:rsidR="004C4E6B">
        <w:t xml:space="preserve"> believe local residents are unlawfully in</w:t>
      </w:r>
      <w:r>
        <w:t>terfering with their operations.</w:t>
      </w:r>
      <w:r w:rsidR="00182608">
        <w:t xml:space="preserve"> </w:t>
      </w:r>
    </w:p>
    <w:p w:rsidR="00182608" w:rsidRDefault="00C426A6" w:rsidP="00182608">
      <w:pPr>
        <w:ind w:left="720"/>
      </w:pPr>
      <w:r>
        <w:t xml:space="preserve">b) </w:t>
      </w:r>
      <w:r w:rsidRPr="00C426A6">
        <w:rPr>
          <w:b/>
        </w:rPr>
        <w:t>C</w:t>
      </w:r>
      <w:r w:rsidR="00182608" w:rsidRPr="00C426A6">
        <w:rPr>
          <w:b/>
        </w:rPr>
        <w:t>omplaint</w:t>
      </w:r>
      <w:r>
        <w:rPr>
          <w:b/>
        </w:rPr>
        <w:t>s</w:t>
      </w:r>
      <w:r w:rsidR="00182608" w:rsidRPr="00C426A6">
        <w:rPr>
          <w:b/>
        </w:rPr>
        <w:t xml:space="preserve"> to local (resort or district) representatives and/or to MPs</w:t>
      </w:r>
      <w:r>
        <w:t xml:space="preserve">. The assessment team heard that local government representatives are generally perceived as ineffective in resolving disputes. However, in particular cases where personal relationships between local representatives and the disputing/ aggrieved parties are strong, or where local representatives are known to have good contacts in national government, they may be helpful.  MPs are seen as more influential, particularly with regard to the operation of government-issued concessions, and with regard to plans or proposals for future commercial activity, </w:t>
      </w:r>
      <w:r>
        <w:lastRenderedPageBreak/>
        <w:t>such as mining, that raises serious concerns for local residents. However, it was also noted that MPs are sometimes interested parties in commercial land transactions, so they are not always motivated to respond fully to residents’ concerns.</w:t>
      </w:r>
    </w:p>
    <w:p w:rsidR="00820027" w:rsidRDefault="00C426A6" w:rsidP="009F6A3E">
      <w:pPr>
        <w:ind w:left="720"/>
      </w:pPr>
      <w:r>
        <w:t xml:space="preserve">c) </w:t>
      </w:r>
      <w:r w:rsidRPr="00C426A6">
        <w:rPr>
          <w:b/>
        </w:rPr>
        <w:t xml:space="preserve">Petitions to Ministers </w:t>
      </w:r>
      <w:r w:rsidR="00182608" w:rsidRPr="00C426A6">
        <w:rPr>
          <w:b/>
        </w:rPr>
        <w:t>and the President</w:t>
      </w:r>
      <w:r>
        <w:t>. Suriname has the advantage of being a very small country, with relatively accessible senior political leaders who see response to individual constituents as an important part of their w</w:t>
      </w:r>
      <w:r w:rsidR="003F73A3">
        <w:t xml:space="preserve">ork. The assessment team heard </w:t>
      </w:r>
      <w:r>
        <w:t>several accounts of direct petitions to Ministers and/or to the President leading to successful resolution of grievances and disputes.  Several interviewees noted the President’s decision to stop a planned river diversion project in response to concerns raised by residents in the interior who would have been adversely affected. However, for residents in the interior, communication with and travel to Paramaribo can be time-consuming and expensive. Moreover, some projects with governmen</w:t>
      </w:r>
      <w:r w:rsidR="009F6A3E">
        <w:t>t support are effectively insul</w:t>
      </w:r>
      <w:r>
        <w:t xml:space="preserve">ated from local resident appeals and petitions. </w:t>
      </w:r>
    </w:p>
    <w:p w:rsidR="009F6A3E" w:rsidRDefault="0033088D" w:rsidP="009F6A3E">
      <w:r>
        <w:t xml:space="preserve">There are clear merits to each of these </w:t>
      </w:r>
      <w:r w:rsidR="00901A63">
        <w:t>channels</w:t>
      </w:r>
      <w:r>
        <w:t xml:space="preserve">, and also clear limitations. For purposes of REDD+, it would be </w:t>
      </w:r>
      <w:r w:rsidR="003F73A3">
        <w:t>unwise</w:t>
      </w:r>
      <w:r>
        <w:t xml:space="preserve"> to assume that these relatively informal channels will be sufficient to ensure systematic, effective grievance and dispute resolution. </w:t>
      </w:r>
      <w:r w:rsidR="003F73A3">
        <w:t xml:space="preserve">The UN-REDD team that drafted the R-PP has offered several additional mechanisms </w:t>
      </w:r>
      <w:r w:rsidR="00901A63">
        <w:t>to increase the likelihood that grievances and disputes will be systematically received, assessed and resolved.</w:t>
      </w:r>
    </w:p>
    <w:p w:rsidR="00182608" w:rsidRPr="00EE67DD" w:rsidRDefault="00C9547B" w:rsidP="00EE67DD">
      <w:pPr>
        <w:pStyle w:val="Heading1"/>
        <w:numPr>
          <w:ilvl w:val="1"/>
          <w:numId w:val="12"/>
        </w:numPr>
        <w:spacing w:before="240" w:after="240"/>
        <w:rPr>
          <w:sz w:val="24"/>
          <w:szCs w:val="24"/>
        </w:rPr>
      </w:pPr>
      <w:bookmarkStart w:id="10" w:name="_Toc247210101"/>
      <w:r w:rsidRPr="00EE67DD">
        <w:rPr>
          <w:sz w:val="24"/>
          <w:szCs w:val="24"/>
        </w:rPr>
        <w:t xml:space="preserve">Dispute prevention and </w:t>
      </w:r>
      <w:r w:rsidR="00820027" w:rsidRPr="00EE67DD">
        <w:rPr>
          <w:sz w:val="24"/>
          <w:szCs w:val="24"/>
        </w:rPr>
        <w:t xml:space="preserve">FGRM mechanisms outlined in </w:t>
      </w:r>
      <w:r w:rsidR="00FC2287" w:rsidRPr="00EE67DD">
        <w:rPr>
          <w:sz w:val="24"/>
          <w:szCs w:val="24"/>
        </w:rPr>
        <w:t>R-PP</w:t>
      </w:r>
      <w:bookmarkEnd w:id="10"/>
    </w:p>
    <w:p w:rsidR="00901A63" w:rsidRDefault="00B748BE" w:rsidP="00B748BE">
      <w:pPr>
        <w:pStyle w:val="Default"/>
        <w:tabs>
          <w:tab w:val="left" w:pos="2973"/>
        </w:tabs>
      </w:pPr>
      <w:r>
        <w:tab/>
      </w:r>
    </w:p>
    <w:p w:rsidR="00B748BE" w:rsidRDefault="00B748BE" w:rsidP="00F44FA7">
      <w:r>
        <w:t xml:space="preserve">The R-PP includes </w:t>
      </w:r>
      <w:r w:rsidR="00293C32">
        <w:t>at least two</w:t>
      </w:r>
      <w:r>
        <w:t xml:space="preserve"> processes and institutions that are designed primarily for consultation and joint decision making, but may also be useful for both preventing and resolving grievances and disputes. </w:t>
      </w:r>
    </w:p>
    <w:p w:rsidR="000148F4" w:rsidRDefault="00362270" w:rsidP="00F44FA7">
      <w:r>
        <w:rPr>
          <w:b/>
        </w:rPr>
        <w:t xml:space="preserve">REDD+ Steering Committee: </w:t>
      </w:r>
      <w:r w:rsidR="00293C32">
        <w:t>First, the REDD+ Steering Committee (RSC) is designed to be a multi-stakeholder forum for deliberation and development of REDD+ strategies, and for oversight of implementation. With NIMOS (</w:t>
      </w:r>
      <w:r w:rsidR="00293C32" w:rsidRPr="00293C32">
        <w:t>National Institute for Environment and Development in Suriname) as its secretariat</w:t>
      </w:r>
      <w:r w:rsidR="000148F4">
        <w:t xml:space="preserve"> and implementing arm</w:t>
      </w:r>
      <w:r w:rsidR="00293C32" w:rsidRPr="00293C32">
        <w:t>, the RSC</w:t>
      </w:r>
      <w:r w:rsidR="00293C32">
        <w:t xml:space="preserve"> is </w:t>
      </w:r>
      <w:r w:rsidR="000148F4">
        <w:t>designed</w:t>
      </w:r>
      <w:r w:rsidR="00293C32">
        <w:t xml:space="preserve"> </w:t>
      </w:r>
      <w:r w:rsidR="000148F4">
        <w:t>as</w:t>
      </w:r>
      <w:r w:rsidR="00F44FA7">
        <w:t xml:space="preserve"> </w:t>
      </w:r>
      <w:r w:rsidR="000148F4" w:rsidRPr="000148F4">
        <w:t>“an independent oversight and advisory body” with representation from “governmental institutions, the private sector, indigenous, Maroon and other forest-dependent communities, civil society and academia.” Along with its responsibilities for advice and information sharing among the stakeholders, the RSC “will also serve conduit to bring forward any concerns and requests for clarification from the</w:t>
      </w:r>
      <w:r w:rsidR="000148F4">
        <w:t>ir corresponding constituencies” (UN-REDD 2013, 18).</w:t>
      </w:r>
    </w:p>
    <w:p w:rsidR="005071C1" w:rsidRDefault="000148F4" w:rsidP="00F44FA7">
      <w:r>
        <w:t xml:space="preserve">If well designed and managed, the RSC can anticipate and </w:t>
      </w:r>
      <w:r w:rsidR="002E1FEA">
        <w:t>prevent</w:t>
      </w:r>
      <w:r>
        <w:t xml:space="preserve"> a wide range of potential grievances and disputes, both those related specifically to indigenous and tribal land issues, and those related to government allocation of forest land for non-conservation uses. </w:t>
      </w:r>
      <w:r w:rsidR="005071C1">
        <w:t xml:space="preserve">By bringing together the main government Ministries, private sector </w:t>
      </w:r>
      <w:r w:rsidR="005071C1">
        <w:lastRenderedPageBreak/>
        <w:t xml:space="preserve">mining and logging representatives, indigenous and Maroon peoples, the RSC can identify potential conflicts of interest that proposed REDD+ strategies may raise, and can also identify potential area-specific land use and conservation conflicts. </w:t>
      </w:r>
    </w:p>
    <w:p w:rsidR="00293C32" w:rsidRDefault="005071C1" w:rsidP="00F44FA7">
      <w:r>
        <w:t>Though the RSC has high potential for dispute prevention</w:t>
      </w:r>
      <w:r w:rsidR="002E1FEA">
        <w:t xml:space="preserve">, it will need to develop clear </w:t>
      </w:r>
      <w:r>
        <w:t xml:space="preserve">and agreed </w:t>
      </w:r>
      <w:r w:rsidR="002E1FEA">
        <w:t>Terms of Reference and guidelines on representation, decision making and dispute resolution among its members.</w:t>
      </w:r>
      <w:r w:rsidR="00AD0A8B">
        <w:t xml:space="preserve"> It will also be very important to clarify whether, when, and how decisions made by the RSC are binding on government Ministries.</w:t>
      </w:r>
      <w:r w:rsidR="002E1FEA" w:rsidRPr="002E1FEA">
        <w:t xml:space="preserve"> </w:t>
      </w:r>
    </w:p>
    <w:p w:rsidR="005071C1" w:rsidRDefault="00362270" w:rsidP="00F44FA7">
      <w:r>
        <w:rPr>
          <w:b/>
        </w:rPr>
        <w:t xml:space="preserve">Free, Prior, Informed Consent </w:t>
      </w:r>
      <w:r w:rsidR="00EB7356">
        <w:rPr>
          <w:b/>
        </w:rPr>
        <w:t>Protocols</w:t>
      </w:r>
      <w:r>
        <w:rPr>
          <w:b/>
        </w:rPr>
        <w:t xml:space="preserve">: </w:t>
      </w:r>
      <w:r w:rsidR="005071C1">
        <w:t>Second, t</w:t>
      </w:r>
      <w:r w:rsidR="00901A63">
        <w:t xml:space="preserve">he </w:t>
      </w:r>
      <w:r w:rsidR="004C4E6B">
        <w:t xml:space="preserve">R-PP lays out a plan for </w:t>
      </w:r>
      <w:r w:rsidR="00B748BE">
        <w:t>consultation with and participation</w:t>
      </w:r>
      <w:r w:rsidR="004C4E6B">
        <w:t xml:space="preserve"> </w:t>
      </w:r>
      <w:r w:rsidR="00B748BE">
        <w:t>of</w:t>
      </w:r>
      <w:r w:rsidR="004C4E6B">
        <w:t xml:space="preserve"> indigenous and Maroon c</w:t>
      </w:r>
      <w:r w:rsidR="00901A63">
        <w:t xml:space="preserve">ommunities </w:t>
      </w:r>
      <w:r w:rsidR="00B748BE">
        <w:t>in developing and implementing</w:t>
      </w:r>
      <w:r w:rsidR="00901A63">
        <w:t xml:space="preserve"> REDD+ </w:t>
      </w:r>
      <w:r w:rsidR="00B748BE">
        <w:t>strategies. At the center of the</w:t>
      </w:r>
      <w:r w:rsidR="00901A63">
        <w:t xml:space="preserve"> plan are</w:t>
      </w:r>
      <w:r w:rsidR="004C4E6B">
        <w:t xml:space="preserve"> FPIC protocols</w:t>
      </w:r>
      <w:r w:rsidR="00B748BE">
        <w:t>,</w:t>
      </w:r>
      <w:r w:rsidR="004C4E6B">
        <w:t xml:space="preserve"> to be developed in collaboration with each tribal group</w:t>
      </w:r>
      <w:r w:rsidR="005071C1">
        <w:t xml:space="preserve"> (UN-REDD 2013, 44-47)</w:t>
      </w:r>
      <w:r w:rsidR="004C4E6B">
        <w:t xml:space="preserve">. </w:t>
      </w:r>
      <w:r w:rsidR="00EB7356">
        <w:t>Government, UNDP, indigenous and Maroon representatives jointly developed this plan.</w:t>
      </w:r>
    </w:p>
    <w:p w:rsidR="004C4E6B" w:rsidRDefault="004C4E6B" w:rsidP="00F44FA7">
      <w:r>
        <w:t xml:space="preserve">If implemented effectively, </w:t>
      </w:r>
      <w:r w:rsidR="005071C1">
        <w:t>the FPIC protocols</w:t>
      </w:r>
      <w:r>
        <w:t xml:space="preserve"> </w:t>
      </w:r>
      <w:r w:rsidR="005071C1">
        <w:t>are</w:t>
      </w:r>
      <w:r>
        <w:t xml:space="preserve"> likely to be a powerful tool for preventing and resolving grievances and disputes at an early stage. However, in order for </w:t>
      </w:r>
      <w:r w:rsidR="005071C1">
        <w:t>the protocols</w:t>
      </w:r>
      <w:r>
        <w:t xml:space="preserve"> to be effective, the FPIC approach must be accepted and used systematically by Suriname’s government agencies</w:t>
      </w:r>
      <w:r w:rsidR="00362270">
        <w:t>, and procedures for negotiation and dispute resolution among government, indigenous and business actors during the conduct of FPIC processes must be developed</w:t>
      </w:r>
      <w:r>
        <w:t xml:space="preserve">. Likewise, indigenous and tribal people must work out their internal procedures for determining whether there is community consent, </w:t>
      </w:r>
      <w:r w:rsidR="00362270">
        <w:t xml:space="preserve">resolving internal disagreements, </w:t>
      </w:r>
      <w:r>
        <w:t xml:space="preserve">and binding the full community to respect consent when it is given.  </w:t>
      </w:r>
    </w:p>
    <w:p w:rsidR="005071C1" w:rsidRDefault="005071C1" w:rsidP="005071C1">
      <w:r>
        <w:rPr>
          <w:b/>
        </w:rPr>
        <w:t xml:space="preserve">FGRM for dispute and grievance resolution: </w:t>
      </w:r>
      <w:r>
        <w:t>The R-PP</w:t>
      </w:r>
      <w:r w:rsidR="00820027">
        <w:t xml:space="preserve"> </w:t>
      </w:r>
      <w:r>
        <w:t>also proposes a dedicated REDD+ feedback and grievance redress mechanism, with three “tiers” or sequential opportunities for dispute resolution</w:t>
      </w:r>
      <w:r w:rsidR="00820027">
        <w:t xml:space="preserve">: </w:t>
      </w:r>
      <w:r>
        <w:t xml:space="preserve">first, a new </w:t>
      </w:r>
      <w:r w:rsidR="00820027">
        <w:t xml:space="preserve">Major Groups Collaborative; </w:t>
      </w:r>
      <w:r>
        <w:t xml:space="preserve">second, the </w:t>
      </w:r>
      <w:r w:rsidR="00820027">
        <w:t>Bureau for Contact with the People</w:t>
      </w:r>
      <w:r>
        <w:t xml:space="preserve"> in the Cabinet of the President</w:t>
      </w:r>
      <w:r w:rsidR="00820027">
        <w:t xml:space="preserve">; </w:t>
      </w:r>
      <w:r>
        <w:t xml:space="preserve">and third, the </w:t>
      </w:r>
      <w:r w:rsidR="00820027">
        <w:t>Parliamentary Commission on Climate Change</w:t>
      </w:r>
      <w:r w:rsidR="00346BE4">
        <w:t xml:space="preserve"> (UN-REDD 2013, 21-23)</w:t>
      </w:r>
      <w:r>
        <w:t>.</w:t>
      </w:r>
    </w:p>
    <w:p w:rsidR="00C9547B" w:rsidRDefault="00C9547B" w:rsidP="005071C1">
      <w:r>
        <w:t xml:space="preserve">The Major Groups Collaborative (MGC) is envisioned to include representatives of the nine “major groups” defined </w:t>
      </w:r>
      <w:r w:rsidR="00346BE4">
        <w:t>in</w:t>
      </w:r>
      <w:r>
        <w:t xml:space="preserve"> Agenda 21</w:t>
      </w:r>
      <w:r w:rsidR="00346BE4">
        <w:t xml:space="preserve"> and recognized by the government of Suriname</w:t>
      </w:r>
      <w:r>
        <w:t xml:space="preserve">: </w:t>
      </w:r>
      <w:r w:rsidRPr="00C9547B">
        <w:t>business and industry, children and youth, farmers, indigenous and tribal</w:t>
      </w:r>
      <w:r>
        <w:t xml:space="preserve"> people, local authorities, NGOs</w:t>
      </w:r>
      <w:r w:rsidRPr="00C9547B">
        <w:t>, scientific and technological community, women, workers and trade unions.</w:t>
      </w:r>
      <w:r>
        <w:t xml:space="preserve"> The R-PP submitted in March 2013 indicated that the MGC had recently been formed; interviewees indicated that as of September 2013, it was still in a formative stage. For purposes of grievance and dispute resolution, the MGC is supposed to act as a two-way channel for stakeholders from these groups to raise concerns and complaints related to REDD+ readiness activities and potential strategies, and for the members of the MGC to address and resolve those concerns where possible.</w:t>
      </w:r>
    </w:p>
    <w:p w:rsidR="00C9547B" w:rsidRDefault="00C9547B" w:rsidP="005071C1">
      <w:r>
        <w:t xml:space="preserve">If the MGC is not successful in resolving a grievance or dispute, it can forward the case to the Bureau for Contact with the People, which is empowered by the Cabinet of the President to assist in resolving disputes and grievances involving the government, somewhat like a national ombudsman office, and empowered by its placement within </w:t>
      </w:r>
      <w:r>
        <w:lastRenderedPageBreak/>
        <w:t xml:space="preserve">the highest level government body. Finally, if the Bureau for Contact with the People were unsuccessful in resolving the grievance or dispute, it could forward the case to the Parliamentary Commission on Climate Change, which has an oversight role with regard to REDD+. </w:t>
      </w:r>
    </w:p>
    <w:p w:rsidR="00820027" w:rsidRDefault="00C9547B" w:rsidP="00C9547B">
      <w:r>
        <w:t xml:space="preserve">The R-PP envisions that whenever the Bureau for Contact with the People or the Parliamentary Commission on Climate Change was involved in a case, proposed resolutions would be reviewed by the MGC before a final decision or resolution. </w:t>
      </w:r>
    </w:p>
    <w:p w:rsidR="00AD0A8B" w:rsidRPr="00EE67DD" w:rsidRDefault="00820027" w:rsidP="00EE67DD">
      <w:pPr>
        <w:pStyle w:val="Heading1"/>
        <w:numPr>
          <w:ilvl w:val="1"/>
          <w:numId w:val="12"/>
        </w:numPr>
        <w:spacing w:before="240" w:after="240"/>
        <w:rPr>
          <w:sz w:val="24"/>
          <w:szCs w:val="24"/>
        </w:rPr>
      </w:pPr>
      <w:bookmarkStart w:id="11" w:name="_Toc247210102"/>
      <w:r w:rsidRPr="00EE67DD">
        <w:rPr>
          <w:sz w:val="24"/>
          <w:szCs w:val="24"/>
        </w:rPr>
        <w:t xml:space="preserve">Issues related to </w:t>
      </w:r>
      <w:r w:rsidR="00AD0A8B" w:rsidRPr="00EE67DD">
        <w:rPr>
          <w:sz w:val="24"/>
          <w:szCs w:val="24"/>
        </w:rPr>
        <w:t xml:space="preserve">the </w:t>
      </w:r>
      <w:r w:rsidR="00553E8F" w:rsidRPr="00EE67DD">
        <w:rPr>
          <w:sz w:val="24"/>
          <w:szCs w:val="24"/>
        </w:rPr>
        <w:t xml:space="preserve">proposed </w:t>
      </w:r>
      <w:r w:rsidR="00AD0A8B" w:rsidRPr="00EE67DD">
        <w:rPr>
          <w:sz w:val="24"/>
          <w:szCs w:val="24"/>
        </w:rPr>
        <w:t>FGRM</w:t>
      </w:r>
      <w:bookmarkEnd w:id="11"/>
    </w:p>
    <w:p w:rsidR="00AD0A8B" w:rsidRDefault="00AD0A8B" w:rsidP="00AD0A8B">
      <w:r>
        <w:t xml:space="preserve">In assessing the potential of the proposed three-tier FGRM to resolve disputes, it is useful to note the primary characteristics of effective and legitimate GRMs, as laid out in the Joint World Bank-UNDP Guidance Note on Grievance Resolution Mechanisms (World Bank-UNDP 2013, 2-3). That guidance highlights the following key characteristics of effective GRMs: </w:t>
      </w:r>
    </w:p>
    <w:p w:rsidR="00AD0A8B" w:rsidRPr="00362270" w:rsidRDefault="00AD0A8B" w:rsidP="00AD0A8B">
      <w:pPr>
        <w:widowControl w:val="0"/>
        <w:autoSpaceDE w:val="0"/>
        <w:autoSpaceDN w:val="0"/>
        <w:adjustRightInd w:val="0"/>
        <w:jc w:val="both"/>
        <w:rPr>
          <w:rFonts w:cs="Times New Roman"/>
        </w:rPr>
      </w:pPr>
      <w:r w:rsidRPr="00362270">
        <w:rPr>
          <w:b/>
        </w:rPr>
        <w:t>Legitimate</w:t>
      </w:r>
      <w:r w:rsidRPr="00362270">
        <w:t xml:space="preserve">: enabling trust from the stakeholder groups for whose use they are intended, and being accountable for the fair conduct of grievance processes.  </w:t>
      </w:r>
    </w:p>
    <w:p w:rsidR="00AD0A8B" w:rsidRPr="00362270" w:rsidRDefault="00AD0A8B" w:rsidP="00AD0A8B">
      <w:pPr>
        <w:widowControl w:val="0"/>
        <w:autoSpaceDE w:val="0"/>
        <w:autoSpaceDN w:val="0"/>
        <w:adjustRightInd w:val="0"/>
        <w:jc w:val="both"/>
        <w:rPr>
          <w:rFonts w:cs="Times New Roman"/>
        </w:rPr>
      </w:pPr>
      <w:r w:rsidRPr="00362270">
        <w:rPr>
          <w:b/>
        </w:rPr>
        <w:t>Accessible</w:t>
      </w:r>
      <w:r w:rsidRPr="00362270">
        <w:t xml:space="preserve">: being known to all stakeholder groups for whose use they are intended, and providing adequate assistance for those who may face particular barriers to access. </w:t>
      </w:r>
      <w:r w:rsidRPr="00362270">
        <w:rPr>
          <w:rFonts w:cs="Times New Roman"/>
        </w:rPr>
        <w:t xml:space="preserve"> </w:t>
      </w:r>
    </w:p>
    <w:p w:rsidR="00AD0A8B" w:rsidRPr="00362270" w:rsidRDefault="00AD0A8B" w:rsidP="00AD0A8B">
      <w:pPr>
        <w:jc w:val="both"/>
      </w:pPr>
      <w:r w:rsidRPr="00362270">
        <w:rPr>
          <w:b/>
        </w:rPr>
        <w:t>Predictable</w:t>
      </w:r>
      <w:r w:rsidRPr="00362270">
        <w:t xml:space="preserve">: providing a clear and known procedure with an indicative timeframe for each stage, and clarity on the types of process and outcome available and means of monitoring implementation.  </w:t>
      </w:r>
    </w:p>
    <w:p w:rsidR="00AD0A8B" w:rsidRPr="00362270" w:rsidRDefault="00AD0A8B" w:rsidP="00AD0A8B">
      <w:pPr>
        <w:jc w:val="both"/>
      </w:pPr>
      <w:r w:rsidRPr="00362270">
        <w:rPr>
          <w:b/>
        </w:rPr>
        <w:t>Equitable</w:t>
      </w:r>
      <w:r w:rsidRPr="00362270">
        <w:t>: seeking to ensure that aggrieved parties have reasonable access to sources of information, advice and expertise necessary to engage in a grievance process on fair, informed and respectful terms</w:t>
      </w:r>
      <w:r w:rsidRPr="00362270">
        <w:rPr>
          <w:rFonts w:cs="Times New Roman"/>
        </w:rPr>
        <w:t>.</w:t>
      </w:r>
    </w:p>
    <w:p w:rsidR="00AD0A8B" w:rsidRPr="00362270" w:rsidRDefault="00AD0A8B" w:rsidP="00AD0A8B">
      <w:pPr>
        <w:jc w:val="both"/>
      </w:pPr>
      <w:r w:rsidRPr="00362270">
        <w:rPr>
          <w:b/>
        </w:rPr>
        <w:t>Transparent</w:t>
      </w:r>
      <w:r w:rsidRPr="00362270">
        <w:t xml:space="preserve">: keeping parties to a grievance informed about its progress, and providing sufficient information about the mechanism’s performance to build confidence in its effectiveness and meet any public interest at stake. </w:t>
      </w:r>
    </w:p>
    <w:p w:rsidR="00AD0A8B" w:rsidRPr="00362270" w:rsidRDefault="00AD0A8B" w:rsidP="00AD0A8B">
      <w:pPr>
        <w:jc w:val="both"/>
      </w:pPr>
      <w:r w:rsidRPr="00362270">
        <w:rPr>
          <w:b/>
        </w:rPr>
        <w:t>Rights compatible</w:t>
      </w:r>
      <w:r w:rsidRPr="00362270">
        <w:t xml:space="preserve">: ensuring that outcomes and remedies accord with internationally recognized human rights. </w:t>
      </w:r>
      <w:r w:rsidRPr="00362270">
        <w:rPr>
          <w:rFonts w:cs="Times New Roman"/>
        </w:rPr>
        <w:t xml:space="preserve"> </w:t>
      </w:r>
    </w:p>
    <w:p w:rsidR="00AD0A8B" w:rsidRPr="00362270" w:rsidRDefault="00AD0A8B" w:rsidP="00AD0A8B">
      <w:pPr>
        <w:jc w:val="both"/>
      </w:pPr>
      <w:r w:rsidRPr="00362270">
        <w:rPr>
          <w:b/>
        </w:rPr>
        <w:t>Enabling continuous learning</w:t>
      </w:r>
      <w:r w:rsidRPr="00362270">
        <w:t xml:space="preserve">: drawing on relevant measures to identify lessons for improving the mechanism and preventing future grievances and harms. </w:t>
      </w:r>
      <w:r w:rsidRPr="00362270">
        <w:rPr>
          <w:rFonts w:cs="Times New Roman"/>
        </w:rPr>
        <w:t xml:space="preserve"> </w:t>
      </w:r>
    </w:p>
    <w:p w:rsidR="00AD0A8B" w:rsidRPr="00362270" w:rsidRDefault="00AD0A8B" w:rsidP="00AD0A8B">
      <w:pPr>
        <w:jc w:val="both"/>
        <w:rPr>
          <w:color w:val="365F91" w:themeColor="accent1" w:themeShade="BF"/>
        </w:rPr>
      </w:pPr>
      <w:r w:rsidRPr="00362270">
        <w:rPr>
          <w:b/>
        </w:rPr>
        <w:t>Based on engagement and dialogue</w:t>
      </w:r>
      <w:r w:rsidRPr="00362270">
        <w:t xml:space="preserve">: consulting the stakeholder groups for whose use they are intended on their design and performance, and focusing on dialogue as the means to address and resolve grievances. </w:t>
      </w:r>
    </w:p>
    <w:p w:rsidR="00AD0A8B" w:rsidRDefault="00AD0A8B" w:rsidP="00AD0A8B">
      <w:r>
        <w:t>In addition, it is very important to assess the institutional capacity of the GRM to manage and resolve grievances and disputes. A mechanism that on paper appears to align well with the characteristics listed above may nonetheless fail in practice</w:t>
      </w:r>
      <w:r w:rsidR="00756883">
        <w:t>,</w:t>
      </w:r>
      <w:r>
        <w:t xml:space="preserve"> if the human and organizational resources to support it are inadequate or misaligned.</w:t>
      </w:r>
    </w:p>
    <w:p w:rsidR="00AD0A8B" w:rsidRDefault="00AD0A8B" w:rsidP="00AD0A8B">
      <w:r>
        <w:lastRenderedPageBreak/>
        <w:t xml:space="preserve">In brief, </w:t>
      </w:r>
      <w:r w:rsidR="004844ED">
        <w:t>each tier of the</w:t>
      </w:r>
      <w:r>
        <w:t xml:space="preserve"> proposed FGRM </w:t>
      </w:r>
      <w:r w:rsidR="004844ED">
        <w:t>could do well on many of the characteristics listed above. However, there are significant capacity questions about the MGC, and significant transparency and accessibility questions about both the Bureau for Contact with the People and the Parliamentary Commission on Climate Change. There may also be potential conflicts of interest for the Bureau for Contact with the People and the Parliamentary Commission on Climate Change for some cases, particularly though not exclusively cases involving indigenous and Maroon land rights.</w:t>
      </w:r>
    </w:p>
    <w:p w:rsidR="004844ED" w:rsidRDefault="004844ED" w:rsidP="006D26DD">
      <w:r>
        <w:t>More specifically, the proposed FGRM raises the following issues:</w:t>
      </w:r>
    </w:p>
    <w:p w:rsidR="004844ED" w:rsidRPr="004844ED" w:rsidRDefault="004844ED" w:rsidP="006D26DD">
      <w:pPr>
        <w:rPr>
          <w:b/>
        </w:rPr>
      </w:pPr>
      <w:r>
        <w:rPr>
          <w:b/>
        </w:rPr>
        <w:t>Major Groups Collaborative:</w:t>
      </w:r>
    </w:p>
    <w:p w:rsidR="004844ED" w:rsidRDefault="004844ED" w:rsidP="001B7604">
      <w:pPr>
        <w:pStyle w:val="ListParagraph"/>
        <w:numPr>
          <w:ilvl w:val="0"/>
          <w:numId w:val="3"/>
        </w:numPr>
      </w:pPr>
      <w:r>
        <w:t>The MGC would have merit of independence from government</w:t>
      </w:r>
      <w:r w:rsidR="00362270">
        <w:t>, strengthening its legitimacy, and could likely operate with a high degree of transparency and accessibility</w:t>
      </w:r>
      <w:r>
        <w:t xml:space="preserve">. </w:t>
      </w:r>
    </w:p>
    <w:p w:rsidR="004844ED" w:rsidRDefault="004844ED" w:rsidP="001B7604">
      <w:pPr>
        <w:pStyle w:val="ListParagraph"/>
        <w:numPr>
          <w:ilvl w:val="0"/>
          <w:numId w:val="3"/>
        </w:numPr>
      </w:pPr>
      <w:r>
        <w:t>However, the non-governmental nature of the MGC (with the partial exception of local authorities) may be a major problem in many cases, where governmental decisions and authorities are be involved</w:t>
      </w:r>
      <w:r w:rsidR="00362270">
        <w:t>, and where the MGC would not be empowered to engage government stakeholders on an equal footing with complainants</w:t>
      </w:r>
      <w:r>
        <w:t>.</w:t>
      </w:r>
      <w:r w:rsidR="00362270">
        <w:t xml:space="preserve"> In particular, it seems unlikely that the MGC would be able to revise or challenge a proposed resolution offered by the Bureau for Contact with the People or by the Parliamentary Commission on Climate Change.</w:t>
      </w:r>
    </w:p>
    <w:p w:rsidR="004844ED" w:rsidRDefault="00362270" w:rsidP="001B7604">
      <w:pPr>
        <w:pStyle w:val="ListParagraph"/>
        <w:numPr>
          <w:ilvl w:val="0"/>
          <w:numId w:val="3"/>
        </w:numPr>
      </w:pPr>
      <w:r>
        <w:t xml:space="preserve">Its multi-sectoral composition could enable the MGC to create task teams from its membership that are tailored to the issues and stakeholders in particular disputes. However, </w:t>
      </w:r>
      <w:r w:rsidR="004844ED">
        <w:t>the MGC’s collective capacity to manage and resolve disputes</w:t>
      </w:r>
      <w:r w:rsidR="00346BE4">
        <w:t xml:space="preserve"> is an open question</w:t>
      </w:r>
      <w:r w:rsidR="004844ED">
        <w:t xml:space="preserve">, given that none of its members is likely to have specialized expertise in this domain, and given that many disputes will be specific to a small subset of the MGC’s members (indigenous and Maroon groups, businesses with a focus on natural resource extraction, and perhaps some NGOs). </w:t>
      </w:r>
    </w:p>
    <w:p w:rsidR="004844ED" w:rsidRDefault="004844ED" w:rsidP="001B7604">
      <w:pPr>
        <w:pStyle w:val="ListParagraph"/>
        <w:numPr>
          <w:ilvl w:val="0"/>
          <w:numId w:val="3"/>
        </w:numPr>
      </w:pPr>
      <w:r>
        <w:t>There is likely to be significant overlap of MGC membership with RSC membership, and this may also create confusion about roles.</w:t>
      </w:r>
    </w:p>
    <w:p w:rsidR="004844ED" w:rsidRPr="004844ED" w:rsidRDefault="004844ED" w:rsidP="004844ED">
      <w:pPr>
        <w:rPr>
          <w:b/>
        </w:rPr>
      </w:pPr>
      <w:r>
        <w:rPr>
          <w:b/>
        </w:rPr>
        <w:t>Bureau for Contact with the People (BCP):</w:t>
      </w:r>
    </w:p>
    <w:p w:rsidR="00362270" w:rsidRDefault="004844ED" w:rsidP="001B7604">
      <w:pPr>
        <w:pStyle w:val="ListParagraph"/>
        <w:numPr>
          <w:ilvl w:val="0"/>
          <w:numId w:val="3"/>
        </w:numPr>
      </w:pPr>
      <w:r>
        <w:t xml:space="preserve">The BCP is little known by stakeholders interviewed. Questions were raised about its </w:t>
      </w:r>
      <w:r w:rsidR="00362270">
        <w:t xml:space="preserve">lack of transparency, about its perceived legitimacy in the eyes of non-government stakeholders, about its </w:t>
      </w:r>
      <w:r>
        <w:t xml:space="preserve">ability to act impartiality on issues involving government interests, given its location in cabinet. </w:t>
      </w:r>
    </w:p>
    <w:p w:rsidR="004844ED" w:rsidRDefault="00362270" w:rsidP="001B7604">
      <w:pPr>
        <w:pStyle w:val="ListParagraph"/>
        <w:numPr>
          <w:ilvl w:val="0"/>
          <w:numId w:val="3"/>
        </w:numPr>
      </w:pPr>
      <w:r>
        <w:t>BCP’s</w:t>
      </w:r>
      <w:r w:rsidR="004844ED">
        <w:t xml:space="preserve"> capacity to act as effective dispute resolution entity is also uncertain. Some government interviewees indicated that they knew of cases where the BCP had successfully facilitated dispute resolution, but the fact that so few stakeholders we interviewed had any awareness of the BCP suggests that its </w:t>
      </w:r>
      <w:r>
        <w:t>activity and impact to date have</w:t>
      </w:r>
      <w:r w:rsidR="004844ED">
        <w:t xml:space="preserve"> been limited.</w:t>
      </w:r>
    </w:p>
    <w:p w:rsidR="00362270" w:rsidRDefault="00362270" w:rsidP="00362270">
      <w:pPr>
        <w:pStyle w:val="ListParagraph"/>
      </w:pPr>
    </w:p>
    <w:p w:rsidR="00EE67DD" w:rsidRDefault="00EE67DD" w:rsidP="00362270">
      <w:pPr>
        <w:rPr>
          <w:b/>
        </w:rPr>
      </w:pPr>
    </w:p>
    <w:p w:rsidR="00EE67DD" w:rsidRDefault="00EE67DD" w:rsidP="00362270">
      <w:pPr>
        <w:rPr>
          <w:b/>
        </w:rPr>
      </w:pPr>
    </w:p>
    <w:p w:rsidR="00362270" w:rsidRPr="00362270" w:rsidRDefault="00362270" w:rsidP="00362270">
      <w:pPr>
        <w:rPr>
          <w:b/>
        </w:rPr>
      </w:pPr>
      <w:r>
        <w:rPr>
          <w:b/>
        </w:rPr>
        <w:lastRenderedPageBreak/>
        <w:t>Parliamentary Commission on Climate Change (PCCC):</w:t>
      </w:r>
    </w:p>
    <w:p w:rsidR="00362270" w:rsidRDefault="004844ED" w:rsidP="001B7604">
      <w:pPr>
        <w:pStyle w:val="ListParagraph"/>
        <w:numPr>
          <w:ilvl w:val="0"/>
          <w:numId w:val="3"/>
        </w:numPr>
      </w:pPr>
      <w:r>
        <w:t xml:space="preserve">PCCC’s representation of political decision makers in Parliament could position it well to address highly polarized disputes with a political dimension. </w:t>
      </w:r>
    </w:p>
    <w:p w:rsidR="00362270" w:rsidRDefault="004844ED" w:rsidP="001B7604">
      <w:pPr>
        <w:pStyle w:val="ListParagraph"/>
        <w:numPr>
          <w:ilvl w:val="0"/>
          <w:numId w:val="3"/>
        </w:numPr>
      </w:pPr>
      <w:r>
        <w:t xml:space="preserve">However, </w:t>
      </w:r>
      <w:r w:rsidR="00362270">
        <w:t>PCCC’s</w:t>
      </w:r>
      <w:r>
        <w:t xml:space="preserve"> capacity to act cohesively as an impartial dispute resolution body </w:t>
      </w:r>
      <w:r w:rsidR="00362270">
        <w:t>is</w:t>
      </w:r>
      <w:r>
        <w:t xml:space="preserve"> questionable, given</w:t>
      </w:r>
      <w:r w:rsidR="00362270">
        <w:t xml:space="preserve"> that it is</w:t>
      </w:r>
      <w:r>
        <w:t xml:space="preserve"> </w:t>
      </w:r>
      <w:r w:rsidR="00362270">
        <w:t xml:space="preserve">composed of </w:t>
      </w:r>
      <w:r>
        <w:t>MPs who may have divergent perspectives and int</w:t>
      </w:r>
      <w:r w:rsidR="00362270">
        <w:t xml:space="preserve">erests on issues brought to it. </w:t>
      </w:r>
    </w:p>
    <w:p w:rsidR="00362270" w:rsidRDefault="00362270" w:rsidP="001B7604">
      <w:pPr>
        <w:pStyle w:val="ListParagraph"/>
        <w:numPr>
          <w:ilvl w:val="0"/>
          <w:numId w:val="3"/>
        </w:numPr>
      </w:pPr>
      <w:r>
        <w:t>Transparency and predictability may be a major challenges for PCCC as well, given that individual MPs may prefer to act “behind the scenes” to minimize the political risks involved in taking on a dispute resolution role.</w:t>
      </w:r>
    </w:p>
    <w:p w:rsidR="004844ED" w:rsidRDefault="00362270" w:rsidP="001B7604">
      <w:pPr>
        <w:pStyle w:val="ListParagraph"/>
        <w:numPr>
          <w:ilvl w:val="0"/>
          <w:numId w:val="3"/>
        </w:numPr>
      </w:pPr>
      <w:r>
        <w:t xml:space="preserve">Capacity is also a major question for the PCCC, given that it is a group of parliamentarians who have </w:t>
      </w:r>
      <w:r w:rsidR="004844ED">
        <w:t xml:space="preserve">limited </w:t>
      </w:r>
      <w:r>
        <w:t xml:space="preserve">time </w:t>
      </w:r>
      <w:r w:rsidR="004844ED">
        <w:t xml:space="preserve">to facilitate dispute resolution given </w:t>
      </w:r>
      <w:r>
        <w:t xml:space="preserve">their </w:t>
      </w:r>
      <w:r w:rsidR="004844ED">
        <w:t>other commitments.</w:t>
      </w:r>
    </w:p>
    <w:p w:rsidR="00553E8F" w:rsidRDefault="00553E8F" w:rsidP="00C96786">
      <w:pPr>
        <w:pStyle w:val="Heading1"/>
      </w:pPr>
      <w:bookmarkStart w:id="12" w:name="_Toc247210103"/>
      <w:r>
        <w:t xml:space="preserve">Additional </w:t>
      </w:r>
      <w:r w:rsidR="008229B6">
        <w:t>FGRM options</w:t>
      </w:r>
      <w:r>
        <w:t xml:space="preserve"> for consideration</w:t>
      </w:r>
      <w:bookmarkEnd w:id="12"/>
    </w:p>
    <w:p w:rsidR="008229B6" w:rsidRDefault="008229B6" w:rsidP="008229B6">
      <w:pPr>
        <w:ind w:left="360"/>
        <w:rPr>
          <w:b/>
        </w:rPr>
      </w:pPr>
    </w:p>
    <w:p w:rsidR="00362270" w:rsidRPr="00362270" w:rsidRDefault="00346BE4" w:rsidP="00362270">
      <w:r>
        <w:t xml:space="preserve">The UN-REDD team and the full complement of REDD+ stakeholders who contributed to the development of the R-PP </w:t>
      </w:r>
      <w:r w:rsidR="00756883">
        <w:t>are to be commended for a creative and thoughtful set of ideas with regard to grievance resolution. Given the issues raised above, the UN-REDD team and REDD+ stakeholders may wish to consider additional options for refining and strengthening the proposed FRGM. Following are several such options.</w:t>
      </w:r>
    </w:p>
    <w:p w:rsidR="00756883" w:rsidRPr="00756883" w:rsidRDefault="008229B6" w:rsidP="001B7604">
      <w:pPr>
        <w:pStyle w:val="Heading1"/>
        <w:numPr>
          <w:ilvl w:val="1"/>
          <w:numId w:val="12"/>
        </w:numPr>
        <w:spacing w:before="240" w:after="240"/>
        <w:rPr>
          <w:sz w:val="24"/>
          <w:szCs w:val="24"/>
        </w:rPr>
      </w:pPr>
      <w:bookmarkStart w:id="13" w:name="_Toc247210104"/>
      <w:r w:rsidRPr="00756883">
        <w:rPr>
          <w:sz w:val="24"/>
          <w:szCs w:val="24"/>
        </w:rPr>
        <w:t>Ensure that the REDD+ Steering Committee terms of reference and procedures include clear guidelines on representation</w:t>
      </w:r>
      <w:r w:rsidR="00EC284D" w:rsidRPr="00756883">
        <w:rPr>
          <w:sz w:val="24"/>
          <w:szCs w:val="24"/>
        </w:rPr>
        <w:t>, deliberation and decision making</w:t>
      </w:r>
      <w:bookmarkEnd w:id="13"/>
    </w:p>
    <w:p w:rsidR="00756883" w:rsidRPr="00756883" w:rsidRDefault="00756883" w:rsidP="00756883">
      <w:r>
        <w:t xml:space="preserve">As noted above, the RSC has high potential as a dispute and grievance prevention mechanism. Several steps could be taken to help the RSC realize that potential. </w:t>
      </w:r>
    </w:p>
    <w:p w:rsidR="008229B6" w:rsidRDefault="00756883" w:rsidP="001B7604">
      <w:pPr>
        <w:pStyle w:val="ListParagraph"/>
        <w:numPr>
          <w:ilvl w:val="0"/>
          <w:numId w:val="5"/>
        </w:numPr>
      </w:pPr>
      <w:r>
        <w:t>It will be v</w:t>
      </w:r>
      <w:r w:rsidR="00EC284D" w:rsidRPr="00EC284D">
        <w:t>ery important for indigenous and Maroon people to clarify how they will be represented</w:t>
      </w:r>
      <w:r>
        <w:t xml:space="preserve"> in the RSC;</w:t>
      </w:r>
      <w:r w:rsidR="00EC284D" w:rsidRPr="00EC284D">
        <w:t xml:space="preserve"> the extent of their representatives’ authority to speak on behalf of individual tribes and villages; and processes for consultation by their </w:t>
      </w:r>
      <w:r>
        <w:t xml:space="preserve">RSC </w:t>
      </w:r>
      <w:r w:rsidR="00EC284D" w:rsidRPr="00EC284D">
        <w:t>representatives with tribe and village leaders</w:t>
      </w:r>
      <w:r>
        <w:t xml:space="preserve">. The goal of those processes should be </w:t>
      </w:r>
      <w:r w:rsidR="00EC284D" w:rsidRPr="00EC284D">
        <w:t xml:space="preserve">to </w:t>
      </w:r>
      <w:r w:rsidR="00EC284D">
        <w:t>ensure that representatives have clear authority, that both indigenous and Maroon communities</w:t>
      </w:r>
      <w:r>
        <w:t xml:space="preserve"> and</w:t>
      </w:r>
      <w:r w:rsidR="00EC284D">
        <w:t xml:space="preserve"> other stakeholders understand and respect that authority</w:t>
      </w:r>
      <w:r>
        <w:t>, and that there is effective consultation between representatives and their constituents before final decisions are made, so that particular groups and leaders do not challenge decisions after they are made.</w:t>
      </w:r>
      <w:r w:rsidR="00EC284D" w:rsidRPr="00EC284D">
        <w:t xml:space="preserve"> </w:t>
      </w:r>
    </w:p>
    <w:p w:rsidR="00EC284D" w:rsidRPr="00EC284D" w:rsidRDefault="00756883" w:rsidP="001B7604">
      <w:pPr>
        <w:pStyle w:val="ListParagraph"/>
        <w:numPr>
          <w:ilvl w:val="0"/>
          <w:numId w:val="5"/>
        </w:numPr>
      </w:pPr>
      <w:r>
        <w:t>By the same token, it will be</w:t>
      </w:r>
      <w:r w:rsidR="00EC284D">
        <w:t xml:space="preserve"> very important for government to clarify who will coordinate government agency representation and ensure that government can speak with one voice when necessary, while also ensuring that the full range of government interests is represented</w:t>
      </w:r>
      <w:r w:rsidR="00436ACA">
        <w:t xml:space="preserve">. In particular, it will be important to clarify whether this inter-ministerial coordination </w:t>
      </w:r>
      <w:r w:rsidR="00436ACA">
        <w:lastRenderedPageBreak/>
        <w:t>responsibility falls to NIMOS (in its role as Chair of the Inter-Ministerial Advisory Committee), or to another body or level of government.</w:t>
      </w:r>
    </w:p>
    <w:p w:rsidR="008229B6" w:rsidRDefault="00436ACA" w:rsidP="001B7604">
      <w:pPr>
        <w:pStyle w:val="ListParagraph"/>
        <w:numPr>
          <w:ilvl w:val="0"/>
          <w:numId w:val="5"/>
        </w:numPr>
      </w:pPr>
      <w:r>
        <w:t>The RSC</w:t>
      </w:r>
      <w:r w:rsidR="00EC284D">
        <w:t xml:space="preserve"> will also need clear ground rules on how its meeting agendas are set, how discussion and dialogue proceed at Steering Committee meetings, how points for information, action and decision are recorded, how information should be exchanged and discussion advanced between meetings. </w:t>
      </w:r>
    </w:p>
    <w:p w:rsidR="00436ACA" w:rsidRDefault="00436ACA" w:rsidP="001B7604">
      <w:pPr>
        <w:pStyle w:val="ListParagraph"/>
        <w:numPr>
          <w:ilvl w:val="0"/>
          <w:numId w:val="5"/>
        </w:numPr>
      </w:pPr>
      <w:r>
        <w:t>Most importantly, the RSC will need to specify how it makes decisions (e.g. by seeking consensus with voting as a fallback if consensus cannot be reached, or by some other set of procedures).</w:t>
      </w:r>
    </w:p>
    <w:p w:rsidR="00025760" w:rsidRDefault="00436ACA" w:rsidP="001B7604">
      <w:pPr>
        <w:pStyle w:val="ListParagraph"/>
        <w:numPr>
          <w:ilvl w:val="0"/>
          <w:numId w:val="5"/>
        </w:numPr>
      </w:pPr>
      <w:r>
        <w:t xml:space="preserve">RSC’s </w:t>
      </w:r>
      <w:r w:rsidR="00EC284D">
        <w:t xml:space="preserve">decision authority </w:t>
      </w:r>
      <w:r>
        <w:t xml:space="preserve">(if any) </w:t>
      </w:r>
      <w:r w:rsidR="00EC284D">
        <w:t xml:space="preserve">vis. individual government agencies, </w:t>
      </w:r>
      <w:r>
        <w:t xml:space="preserve">the Cabinet and </w:t>
      </w:r>
      <w:r w:rsidR="00EC284D">
        <w:t>Parliament should also be made very clear.  Because the Steering Committee is a multi-stakeholder body, it will need to clarify which of its decisions are binding commitments by government and non-government stakeholders participating, and which are agreed recommendations that will require review and decision by government</w:t>
      </w:r>
      <w:r w:rsidR="0058420C">
        <w:t xml:space="preserve"> or non-government stakeholders, with final decisions reported back to </w:t>
      </w:r>
      <w:r w:rsidR="00EC284D">
        <w:t>the Steering Committee</w:t>
      </w:r>
      <w:r>
        <w:t>.</w:t>
      </w:r>
    </w:p>
    <w:p w:rsidR="00840465" w:rsidRDefault="00840465" w:rsidP="001B7604">
      <w:pPr>
        <w:pStyle w:val="Heading1"/>
        <w:numPr>
          <w:ilvl w:val="1"/>
          <w:numId w:val="12"/>
        </w:numPr>
        <w:spacing w:before="240" w:after="240"/>
        <w:rPr>
          <w:sz w:val="24"/>
          <w:szCs w:val="24"/>
        </w:rPr>
      </w:pPr>
      <w:bookmarkStart w:id="14" w:name="_Toc247210105"/>
      <w:r w:rsidRPr="00436ACA">
        <w:rPr>
          <w:sz w:val="24"/>
          <w:szCs w:val="24"/>
        </w:rPr>
        <w:t xml:space="preserve">Clarify </w:t>
      </w:r>
      <w:r w:rsidR="00583BE0" w:rsidRPr="00436ACA">
        <w:rPr>
          <w:sz w:val="24"/>
          <w:szCs w:val="24"/>
        </w:rPr>
        <w:t xml:space="preserve">the functioning of </w:t>
      </w:r>
      <w:r w:rsidR="004C1787" w:rsidRPr="00436ACA">
        <w:rPr>
          <w:sz w:val="24"/>
          <w:szCs w:val="24"/>
        </w:rPr>
        <w:t>the proposed</w:t>
      </w:r>
      <w:r w:rsidRPr="00436ACA">
        <w:rPr>
          <w:sz w:val="24"/>
          <w:szCs w:val="24"/>
        </w:rPr>
        <w:t xml:space="preserve"> FGRM elements and how they inter-relate</w:t>
      </w:r>
      <w:bookmarkEnd w:id="14"/>
    </w:p>
    <w:p w:rsidR="00D06832" w:rsidRDefault="00D06832" w:rsidP="00D06832">
      <w:r>
        <w:t xml:space="preserve">In brief, it may be advisable to position the RSC rather than the MGC as the first tier for dispute resolution in the FGRM. NIMOS could support RSC as the secretariat for receipt, logging, acknowledgement and eligibility screening of grievances and disputes. RSC could be the main body responsible for reviewing and responding to disputes. Because RSC may have limited capacity to resolve complex disputes, it may be advisable to establish an independent mediation option that the RSC could offer to stakeholders involved in grievances and disputes. Independent mediation capacity could be developed, using Suriname-based individuals who have skills in dispute resolution, and possibly bringing in other experts from the Caribbean and South America where appropriate.  </w:t>
      </w:r>
    </w:p>
    <w:p w:rsidR="00D06832" w:rsidRDefault="00D06832" w:rsidP="00D06832">
      <w:r>
        <w:t xml:space="preserve">In this revised version of the FRGM tiers, both the BCP and the PCCC could remain as options (but not requirements) for dispute resolution. The MGC would take responsibility for providing information about the FGRM and how to access it to the constituencies it represents. Finally, the REDD+ Assistants might be used to facilitate communication between local communities and the RSC about grievances and disputes. </w:t>
      </w:r>
    </w:p>
    <w:p w:rsidR="00D06832" w:rsidRDefault="001B7604" w:rsidP="00D06832">
      <w:r>
        <w:t xml:space="preserve">On the next page is a diagram laying out the way the FGRM could work, with the revisions suggested above. </w:t>
      </w:r>
    </w:p>
    <w:p w:rsidR="001B7604" w:rsidRDefault="001B7604">
      <w:pPr>
        <w:spacing w:after="200"/>
      </w:pPr>
      <w:r>
        <w:br w:type="page"/>
      </w:r>
    </w:p>
    <w:p w:rsidR="001B7604" w:rsidRPr="00D06832" w:rsidRDefault="001B7604" w:rsidP="001B7604">
      <w:pPr>
        <w:ind w:left="-720"/>
        <w:jc w:val="center"/>
      </w:pPr>
      <w:r>
        <w:rPr>
          <w:noProof/>
          <w:lang w:eastAsia="en-US"/>
        </w:rPr>
        <w:lastRenderedPageBreak/>
        <w:drawing>
          <wp:inline distT="0" distB="0" distL="0" distR="0" wp14:anchorId="785B7686" wp14:editId="17464A63">
            <wp:extent cx="6452235" cy="4838708"/>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2">
                      <a:extLst>
                        <a:ext uri="{28A0092B-C50C-407E-A947-70E740481C1C}">
                          <a14:useLocalDpi xmlns:a14="http://schemas.microsoft.com/office/drawing/2010/main" val="0"/>
                        </a:ext>
                      </a:extLst>
                    </a:blip>
                    <a:stretch>
                      <a:fillRect/>
                    </a:stretch>
                  </pic:blipFill>
                  <pic:spPr>
                    <a:xfrm>
                      <a:off x="0" y="0"/>
                      <a:ext cx="6454496" cy="4840404"/>
                    </a:xfrm>
                    <a:prstGeom prst="rect">
                      <a:avLst/>
                    </a:prstGeom>
                  </pic:spPr>
                </pic:pic>
              </a:graphicData>
            </a:graphic>
          </wp:inline>
        </w:drawing>
      </w:r>
    </w:p>
    <w:p w:rsidR="001B7604" w:rsidRDefault="001B7604" w:rsidP="001B7604"/>
    <w:p w:rsidR="001B7604" w:rsidRPr="001B7604" w:rsidRDefault="001B7604" w:rsidP="001B7604">
      <w:r>
        <w:t>Following is a more detailed presentation of options for refining the FRGM along the lines laid out above.</w:t>
      </w:r>
    </w:p>
    <w:p w:rsidR="00436ACA" w:rsidRPr="00436ACA" w:rsidRDefault="004C1787" w:rsidP="001B7604">
      <w:pPr>
        <w:pStyle w:val="ListParagraph"/>
        <w:numPr>
          <w:ilvl w:val="0"/>
          <w:numId w:val="4"/>
        </w:numPr>
        <w:contextualSpacing w:val="0"/>
      </w:pPr>
      <w:r>
        <w:rPr>
          <w:b/>
        </w:rPr>
        <w:t xml:space="preserve">REDD+ Steering Committee (RSC): </w:t>
      </w:r>
      <w:r w:rsidR="00436ACA">
        <w:t xml:space="preserve">In the consultant’s view, the RSC is more </w:t>
      </w:r>
      <w:r w:rsidR="0092661A">
        <w:t>likely than</w:t>
      </w:r>
      <w:r w:rsidR="00436ACA">
        <w:t xml:space="preserve"> than the MGC </w:t>
      </w:r>
      <w:r w:rsidR="0092661A">
        <w:t>to be effective as</w:t>
      </w:r>
      <w:r w:rsidR="00436ACA">
        <w:t xml:space="preserve"> the “first </w:t>
      </w:r>
      <w:r w:rsidR="001011E8">
        <w:t>tier</w:t>
      </w:r>
      <w:r w:rsidR="00436ACA">
        <w:t>” for</w:t>
      </w:r>
      <w:r w:rsidR="0092661A">
        <w:t xml:space="preserve"> reviewing and responding to</w:t>
      </w:r>
      <w:r w:rsidR="00436ACA">
        <w:t xml:space="preserve"> grievances and disputes. Because the RSC is a multi-stakeholder body that also includes broad and deep government representation, and because it has authority over many aspects of REDD+ strategy development and implementation, it is far more likely than the MGC to have the right combination of capacity, influence and the legitimacy to handle a wide range of grievances and disputes. </w:t>
      </w:r>
    </w:p>
    <w:p w:rsidR="00871B5F" w:rsidRDefault="00436ACA" w:rsidP="00871B5F">
      <w:pPr>
        <w:pStyle w:val="ListParagraph"/>
        <w:contextualSpacing w:val="0"/>
      </w:pPr>
      <w:r>
        <w:t xml:space="preserve">If REDD+ stakeholders agree with this assessment of the RSC’s potential, then it would be advisable to </w:t>
      </w:r>
      <w:r w:rsidR="004C1787">
        <w:t xml:space="preserve">Include in the RSC’s ToR an explicit mandate to support dispute resolution. </w:t>
      </w:r>
      <w:r>
        <w:t>The ToR should c</w:t>
      </w:r>
      <w:r w:rsidR="004C1787">
        <w:t>larify how the RSC will organize itself</w:t>
      </w:r>
      <w:r>
        <w:t xml:space="preserve"> to meet that mandate. For example the ToR could call for </w:t>
      </w:r>
      <w:r w:rsidR="004C1787">
        <w:t xml:space="preserve">a standing FGRM sub-committee </w:t>
      </w:r>
      <w:r>
        <w:t xml:space="preserve">to review grievances, </w:t>
      </w:r>
      <w:r w:rsidR="004C1787">
        <w:t xml:space="preserve">and/or </w:t>
      </w:r>
      <w:r>
        <w:t xml:space="preserve">for </w:t>
      </w:r>
      <w:r w:rsidR="00871B5F">
        <w:t xml:space="preserve">the formation of </w:t>
      </w:r>
      <w:r w:rsidR="004C1787">
        <w:t xml:space="preserve">FGRM Task Teams </w:t>
      </w:r>
      <w:r w:rsidR="004C1787">
        <w:lastRenderedPageBreak/>
        <w:t>in response to specific requests f</w:t>
      </w:r>
      <w:r w:rsidR="006407B9">
        <w:t>or grievance/dispute resolution</w:t>
      </w:r>
      <w:r w:rsidR="00BB2A96">
        <w:t>.</w:t>
      </w:r>
      <w:r w:rsidR="006407B9">
        <w:t xml:space="preserve"> Any FGRM sub-committee/Task Team should be balanced in composition (government and non-government)</w:t>
      </w:r>
      <w:r w:rsidR="00871B5F">
        <w:t>,</w:t>
      </w:r>
      <w:r w:rsidR="006407B9">
        <w:t xml:space="preserve"> and RSC members with a direct interest or role in </w:t>
      </w:r>
      <w:r w:rsidR="00871B5F">
        <w:t>a particular</w:t>
      </w:r>
      <w:r w:rsidR="006407B9">
        <w:t xml:space="preserve"> grievance/dispute</w:t>
      </w:r>
      <w:r w:rsidR="00871B5F">
        <w:t xml:space="preserve"> should act as parties, not as “neutral” dispute resolvers</w:t>
      </w:r>
      <w:r w:rsidR="006407B9">
        <w:t>.</w:t>
      </w:r>
    </w:p>
    <w:p w:rsidR="00871B5F" w:rsidRDefault="006407B9" w:rsidP="00871B5F">
      <w:pPr>
        <w:pStyle w:val="ListParagraph"/>
      </w:pPr>
      <w:r>
        <w:t>In particular cases, the RSC could</w:t>
      </w:r>
    </w:p>
    <w:p w:rsidR="00871B5F" w:rsidRDefault="006407B9" w:rsidP="001B7604">
      <w:pPr>
        <w:pStyle w:val="ListParagraph"/>
        <w:numPr>
          <w:ilvl w:val="1"/>
          <w:numId w:val="4"/>
        </w:numPr>
      </w:pPr>
      <w:r>
        <w:t xml:space="preserve">take direct action to resolve the grievance/dispute (e.g. bring the relevant parties together to discuss and resolve the issue themselves with oversight by the RSC; </w:t>
      </w:r>
    </w:p>
    <w:p w:rsidR="00871B5F" w:rsidRDefault="006407B9" w:rsidP="001B7604">
      <w:pPr>
        <w:pStyle w:val="ListParagraph"/>
        <w:numPr>
          <w:ilvl w:val="1"/>
          <w:numId w:val="4"/>
        </w:numPr>
      </w:pPr>
      <w:r>
        <w:t xml:space="preserve">request further information to clarify the issue, and share that information with all relevant parties, or ensure that a government agency represented on the Steering Committee took an appropriate administrative action to deal with a complaint); </w:t>
      </w:r>
    </w:p>
    <w:p w:rsidR="00871B5F" w:rsidRDefault="006407B9" w:rsidP="001B7604">
      <w:pPr>
        <w:pStyle w:val="ListParagraph"/>
        <w:numPr>
          <w:ilvl w:val="1"/>
          <w:numId w:val="4"/>
        </w:numPr>
      </w:pPr>
      <w:r>
        <w:t xml:space="preserve">refer the grievance/dispute to the BCP or to independent mediation (see mediation option below), while maintaining oversight; or </w:t>
      </w:r>
    </w:p>
    <w:p w:rsidR="004C1787" w:rsidRDefault="006407B9" w:rsidP="001B7604">
      <w:pPr>
        <w:pStyle w:val="ListParagraph"/>
        <w:numPr>
          <w:ilvl w:val="1"/>
          <w:numId w:val="4"/>
        </w:numPr>
      </w:pPr>
      <w:r>
        <w:t>determine that the request was outside the scope and mandate of the RSC and refer it elsewhere (e.g. to Ministry of Justice and Police or to the courts).</w:t>
      </w:r>
    </w:p>
    <w:p w:rsidR="00871B5F" w:rsidRDefault="00871B5F" w:rsidP="00871B5F">
      <w:pPr>
        <w:pStyle w:val="ListParagraph"/>
        <w:ind w:left="1440"/>
      </w:pPr>
    </w:p>
    <w:p w:rsidR="00871B5F" w:rsidRDefault="00BB2A96" w:rsidP="001B7604">
      <w:pPr>
        <w:pStyle w:val="ListParagraph"/>
        <w:numPr>
          <w:ilvl w:val="0"/>
          <w:numId w:val="4"/>
        </w:numPr>
      </w:pPr>
      <w:r w:rsidRPr="00BB2A96">
        <w:rPr>
          <w:b/>
        </w:rPr>
        <w:t>NIMOS</w:t>
      </w:r>
      <w:r>
        <w:rPr>
          <w:b/>
        </w:rPr>
        <w:t xml:space="preserve">: </w:t>
      </w:r>
      <w:r w:rsidR="00871B5F">
        <w:t xml:space="preserve">Given the central coordinating and management role that NIMOS is expected to play, it would be advisable to give </w:t>
      </w:r>
      <w:r w:rsidR="006407B9">
        <w:t xml:space="preserve">NIMOS </w:t>
      </w:r>
      <w:r w:rsidR="00871B5F">
        <w:t>responsibility to serve</w:t>
      </w:r>
      <w:r>
        <w:t xml:space="preserve"> as the secretariat</w:t>
      </w:r>
      <w:r w:rsidR="006407B9">
        <w:t xml:space="preserve"> for the FGRM. </w:t>
      </w:r>
      <w:r w:rsidR="00871B5F">
        <w:t>NIMOS</w:t>
      </w:r>
      <w:r w:rsidR="006407B9">
        <w:t xml:space="preserve"> could take responsibility for </w:t>
      </w:r>
    </w:p>
    <w:p w:rsidR="00871B5F" w:rsidRDefault="006407B9" w:rsidP="001B7604">
      <w:pPr>
        <w:pStyle w:val="ListParagraph"/>
        <w:numPr>
          <w:ilvl w:val="1"/>
          <w:numId w:val="4"/>
        </w:numPr>
      </w:pPr>
      <w:r>
        <w:t>publicizing the existence of the FGRM and the procedure for using it (directly</w:t>
      </w:r>
      <w:r w:rsidR="00871B5F">
        <w:t>,</w:t>
      </w:r>
      <w:r>
        <w:t xml:space="preserve"> and </w:t>
      </w:r>
      <w:r w:rsidR="00871B5F">
        <w:t>by ensuring that</w:t>
      </w:r>
      <w:r>
        <w:t xml:space="preserve"> </w:t>
      </w:r>
      <w:r w:rsidR="00871B5F">
        <w:t>RSC</w:t>
      </w:r>
      <w:r>
        <w:t xml:space="preserve"> and </w:t>
      </w:r>
      <w:r w:rsidR="00C57F71">
        <w:t>MGC</w:t>
      </w:r>
      <w:r w:rsidR="00871B5F">
        <w:t xml:space="preserve"> members educate their organizations and constituencies)</w:t>
      </w:r>
      <w:r>
        <w:t xml:space="preserve">; </w:t>
      </w:r>
    </w:p>
    <w:p w:rsidR="00871B5F" w:rsidRDefault="00871B5F" w:rsidP="001B7604">
      <w:pPr>
        <w:pStyle w:val="ListParagraph"/>
        <w:numPr>
          <w:ilvl w:val="1"/>
          <w:numId w:val="4"/>
        </w:numPr>
      </w:pPr>
      <w:r>
        <w:t>receiving</w:t>
      </w:r>
      <w:r w:rsidR="006407B9">
        <w:t xml:space="preserve"> and log </w:t>
      </w:r>
      <w:r w:rsidR="00BB2A96">
        <w:t>request</w:t>
      </w:r>
      <w:r w:rsidR="006407B9">
        <w:t>s for grievance/dispute resolution</w:t>
      </w:r>
      <w:r>
        <w:t>;</w:t>
      </w:r>
    </w:p>
    <w:p w:rsidR="00871B5F" w:rsidRDefault="00871B5F" w:rsidP="001B7604">
      <w:pPr>
        <w:pStyle w:val="ListParagraph"/>
        <w:numPr>
          <w:ilvl w:val="1"/>
          <w:numId w:val="4"/>
        </w:numPr>
      </w:pPr>
      <w:r>
        <w:t>acknowledging receipt to the requestor; determining</w:t>
      </w:r>
      <w:r w:rsidR="00BB2A96">
        <w:t xml:space="preserve"> eligibility (using a simple s</w:t>
      </w:r>
      <w:r>
        <w:t>et of eligibility criteria);</w:t>
      </w:r>
    </w:p>
    <w:p w:rsidR="00871B5F" w:rsidRDefault="00BB2A96" w:rsidP="001B7604">
      <w:pPr>
        <w:pStyle w:val="ListParagraph"/>
        <w:numPr>
          <w:ilvl w:val="1"/>
          <w:numId w:val="4"/>
        </w:numPr>
      </w:pPr>
      <w:r>
        <w:t xml:space="preserve"> forward</w:t>
      </w:r>
      <w:r w:rsidR="00871B5F">
        <w:t>ing</w:t>
      </w:r>
      <w:r>
        <w:t xml:space="preserve"> eligible requests to the </w:t>
      </w:r>
      <w:r w:rsidR="001011E8">
        <w:t>RSC</w:t>
      </w:r>
      <w:r>
        <w:t xml:space="preserve"> for review and action</w:t>
      </w:r>
      <w:r w:rsidR="006407B9">
        <w:t xml:space="preserve">, and </w:t>
      </w:r>
    </w:p>
    <w:p w:rsidR="00BB2A96" w:rsidRDefault="006407B9" w:rsidP="001B7604">
      <w:pPr>
        <w:pStyle w:val="ListParagraph"/>
        <w:numPr>
          <w:ilvl w:val="1"/>
          <w:numId w:val="4"/>
        </w:numPr>
      </w:pPr>
      <w:r>
        <w:t>track</w:t>
      </w:r>
      <w:r w:rsidR="00871B5F">
        <w:t>ing</w:t>
      </w:r>
      <w:r>
        <w:t xml:space="preserve"> and document</w:t>
      </w:r>
      <w:r w:rsidR="00871B5F">
        <w:t>ing</w:t>
      </w:r>
      <w:r>
        <w:t xml:space="preserve"> efforts at grievance/dispute resolution and their outcomes.</w:t>
      </w:r>
    </w:p>
    <w:p w:rsidR="00871B5F" w:rsidRPr="006407B9" w:rsidRDefault="00871B5F" w:rsidP="00871B5F">
      <w:pPr>
        <w:pStyle w:val="ListParagraph"/>
      </w:pPr>
    </w:p>
    <w:p w:rsidR="004C1787" w:rsidRDefault="003917BD" w:rsidP="001B7604">
      <w:pPr>
        <w:pStyle w:val="ListParagraph"/>
        <w:numPr>
          <w:ilvl w:val="0"/>
          <w:numId w:val="7"/>
        </w:numPr>
      </w:pPr>
      <w:r w:rsidRPr="003917BD">
        <w:rPr>
          <w:b/>
        </w:rPr>
        <w:t>MGC</w:t>
      </w:r>
      <w:r>
        <w:t xml:space="preserve">: </w:t>
      </w:r>
      <w:r w:rsidR="001011E8">
        <w:t>As noted above, it is the consultant’s view that the RSC is better suited than the RSC to be the “first tier” of the FGRM. If this view is accepted by the REDD+ stakeholders, then</w:t>
      </w:r>
      <w:r w:rsidR="00840465">
        <w:t xml:space="preserve"> </w:t>
      </w:r>
      <w:r w:rsidR="001011E8">
        <w:t>they will need to</w:t>
      </w:r>
      <w:r w:rsidR="00840465">
        <w:t xml:space="preserve"> re-consider the role of the MGC. MGC’s highest value may be for </w:t>
      </w:r>
      <w:r>
        <w:t xml:space="preserve">social communication and education </w:t>
      </w:r>
      <w:r w:rsidR="00840465">
        <w:t xml:space="preserve">about REDD+ as an opportunity to support the sustainable development and conservation of Suriname’s extraordinary natural resources. MGC’s outreach and communication could include information about the </w:t>
      </w:r>
      <w:r>
        <w:t xml:space="preserve">FGRM and how to use it. </w:t>
      </w:r>
      <w:r w:rsidR="00840465">
        <w:t xml:space="preserve">Members of the MGC who also sit on the REDD+ </w:t>
      </w:r>
      <w:r>
        <w:t>Steering Committee could also support dispute resolution in specific cases where engagement of their constituencies would be relevant and helpful.</w:t>
      </w:r>
    </w:p>
    <w:p w:rsidR="001011E8" w:rsidRDefault="001011E8" w:rsidP="001011E8">
      <w:pPr>
        <w:pStyle w:val="ListParagraph"/>
      </w:pPr>
    </w:p>
    <w:p w:rsidR="00562E6D" w:rsidRDefault="003917BD" w:rsidP="001B7604">
      <w:pPr>
        <w:pStyle w:val="ListParagraph"/>
        <w:numPr>
          <w:ilvl w:val="0"/>
          <w:numId w:val="7"/>
        </w:numPr>
      </w:pPr>
      <w:r w:rsidRPr="003917BD">
        <w:rPr>
          <w:b/>
        </w:rPr>
        <w:lastRenderedPageBreak/>
        <w:t>B</w:t>
      </w:r>
      <w:r w:rsidR="001011E8">
        <w:rPr>
          <w:b/>
        </w:rPr>
        <w:t xml:space="preserve">ureau for </w:t>
      </w:r>
      <w:r w:rsidRPr="003917BD">
        <w:rPr>
          <w:b/>
        </w:rPr>
        <w:t>C</w:t>
      </w:r>
      <w:r w:rsidR="001011E8">
        <w:rPr>
          <w:b/>
        </w:rPr>
        <w:t xml:space="preserve">ontact with the </w:t>
      </w:r>
      <w:r w:rsidRPr="003917BD">
        <w:rPr>
          <w:b/>
        </w:rPr>
        <w:t>P</w:t>
      </w:r>
      <w:r w:rsidR="001011E8">
        <w:rPr>
          <w:b/>
        </w:rPr>
        <w:t>eople</w:t>
      </w:r>
      <w:r w:rsidR="0092661A">
        <w:rPr>
          <w:b/>
        </w:rPr>
        <w:t xml:space="preserve"> </w:t>
      </w:r>
      <w:r w:rsidR="0092661A">
        <w:t>(BCP)</w:t>
      </w:r>
      <w:r>
        <w:t xml:space="preserve">: </w:t>
      </w:r>
      <w:r w:rsidR="0092661A">
        <w:t xml:space="preserve">Respecting the view of a number of government stakeholders that the BCP can be a useful mechanism for dispute resolution in some cases, but also recognizing that other stakeholders have real concerns about its legitimacy, transparency and independence, </w:t>
      </w:r>
      <w:r w:rsidR="00562E6D">
        <w:t xml:space="preserve">it may be advisable to offer the </w:t>
      </w:r>
      <w:r>
        <w:t xml:space="preserve">BCP </w:t>
      </w:r>
      <w:r w:rsidR="00562E6D">
        <w:t xml:space="preserve">as an option, </w:t>
      </w:r>
      <w:r w:rsidR="00562E6D">
        <w:rPr>
          <w:i/>
        </w:rPr>
        <w:t xml:space="preserve">but not as a </w:t>
      </w:r>
      <w:r w:rsidR="00562E6D" w:rsidRPr="00562E6D">
        <w:rPr>
          <w:i/>
        </w:rPr>
        <w:t>requirement</w:t>
      </w:r>
      <w:r w:rsidR="00562E6D">
        <w:t xml:space="preserve">, to stakeholders involved in grievances and disputes. The BCP could be an option at two stages in the dispute resolution process: </w:t>
      </w:r>
      <w:r>
        <w:t>after initial review by the Steering Committee, if the Steering Committee is unable to resolve the dispute and if the stakeholders want to go direct to BCP, rather than using independent mediation</w:t>
      </w:r>
      <w:r w:rsidR="00562E6D">
        <w:t xml:space="preserve">  (see option for mediation below)</w:t>
      </w:r>
      <w:r>
        <w:t>; or following an effort at mediation, if that effort fails to resolve the grievance/dispute.</w:t>
      </w:r>
      <w:r w:rsidR="00562E6D">
        <w:t xml:space="preserve"> If the BCP is to be involved in the REDD+ FGRM, it would be advisable to e</w:t>
      </w:r>
      <w:r>
        <w:t xml:space="preserve">nsure that </w:t>
      </w:r>
    </w:p>
    <w:p w:rsidR="00562E6D" w:rsidRDefault="00562E6D" w:rsidP="001B7604">
      <w:pPr>
        <w:pStyle w:val="ListParagraph"/>
        <w:numPr>
          <w:ilvl w:val="1"/>
          <w:numId w:val="7"/>
        </w:numPr>
      </w:pPr>
      <w:r>
        <w:t xml:space="preserve">BCP’s Terms of Reference, including its staffing; its relationship to the Cabinet; and any aspects of its structure or procedure that are designed to ensure impartiality and independence from specific government interests; are made public </w:t>
      </w:r>
      <w:r w:rsidR="00D06832">
        <w:t>and are available to stakeholders who may wish to consider BCP as an option for resolving grievances and disputes;</w:t>
      </w:r>
    </w:p>
    <w:p w:rsidR="00562E6D" w:rsidRDefault="003917BD" w:rsidP="001B7604">
      <w:pPr>
        <w:pStyle w:val="ListParagraph"/>
        <w:numPr>
          <w:ilvl w:val="1"/>
          <w:numId w:val="7"/>
        </w:numPr>
      </w:pPr>
      <w:r>
        <w:t>BCP has clear and transparent procedur</w:t>
      </w:r>
      <w:r w:rsidR="00556053">
        <w:t>es for receivi</w:t>
      </w:r>
      <w:r w:rsidR="00562E6D">
        <w:t>ng, responding to, and resolving disputes</w:t>
      </w:r>
      <w:r w:rsidR="00D06832">
        <w:t>;</w:t>
      </w:r>
    </w:p>
    <w:p w:rsidR="00562E6D" w:rsidRDefault="00562E6D" w:rsidP="001B7604">
      <w:pPr>
        <w:pStyle w:val="ListParagraph"/>
        <w:numPr>
          <w:ilvl w:val="1"/>
          <w:numId w:val="7"/>
        </w:numPr>
      </w:pPr>
      <w:r>
        <w:t>there is a clear and transparent procedure for BCP to</w:t>
      </w:r>
      <w:r w:rsidR="00556053">
        <w:t xml:space="preserve"> </w:t>
      </w:r>
      <w:r>
        <w:t xml:space="preserve">refer </w:t>
      </w:r>
      <w:r w:rsidR="00556053">
        <w:t>unresolved disputes</w:t>
      </w:r>
      <w:r>
        <w:t xml:space="preserve"> to mediation, to the </w:t>
      </w:r>
      <w:r w:rsidR="006946A1">
        <w:t>P</w:t>
      </w:r>
      <w:r>
        <w:t xml:space="preserve">arliamentary </w:t>
      </w:r>
      <w:r w:rsidR="006946A1">
        <w:t>C</w:t>
      </w:r>
      <w:r>
        <w:t xml:space="preserve">ommission on </w:t>
      </w:r>
      <w:r w:rsidR="006946A1">
        <w:t>C</w:t>
      </w:r>
      <w:r>
        <w:t>limate Change</w:t>
      </w:r>
      <w:r w:rsidR="00556053">
        <w:t>,</w:t>
      </w:r>
      <w:r>
        <w:t xml:space="preserve"> or back to the RSC</w:t>
      </w:r>
      <w:r w:rsidR="00D06832">
        <w:t>; and</w:t>
      </w:r>
    </w:p>
    <w:p w:rsidR="003917BD" w:rsidRDefault="00D06832" w:rsidP="001B7604">
      <w:pPr>
        <w:pStyle w:val="ListParagraph"/>
        <w:numPr>
          <w:ilvl w:val="1"/>
          <w:numId w:val="7"/>
        </w:numPr>
      </w:pPr>
      <w:r>
        <w:t xml:space="preserve"> BCP has a format and protocol for documenting its work on REDD+ cases and sharing that documentation </w:t>
      </w:r>
      <w:r w:rsidR="00556053">
        <w:t xml:space="preserve">with the </w:t>
      </w:r>
      <w:r>
        <w:t>RSC.</w:t>
      </w:r>
    </w:p>
    <w:p w:rsidR="00562E6D" w:rsidRDefault="00562E6D" w:rsidP="00D06832">
      <w:pPr>
        <w:pStyle w:val="ListParagraph"/>
        <w:ind w:left="1440"/>
      </w:pPr>
    </w:p>
    <w:p w:rsidR="001B7604" w:rsidRDefault="001B7604" w:rsidP="001B7604">
      <w:pPr>
        <w:pStyle w:val="ListParagraph"/>
        <w:numPr>
          <w:ilvl w:val="0"/>
          <w:numId w:val="7"/>
        </w:numPr>
      </w:pPr>
      <w:r>
        <w:rPr>
          <w:b/>
        </w:rPr>
        <w:t>Parliamentary Commission on Climate Change (</w:t>
      </w:r>
      <w:r w:rsidR="00556053">
        <w:rPr>
          <w:b/>
        </w:rPr>
        <w:t>PCCC</w:t>
      </w:r>
      <w:r>
        <w:rPr>
          <w:b/>
        </w:rPr>
        <w:t>)</w:t>
      </w:r>
      <w:r w:rsidR="00556053" w:rsidRPr="00556053">
        <w:t>:</w:t>
      </w:r>
      <w:r w:rsidR="00556053">
        <w:t xml:space="preserve"> </w:t>
      </w:r>
      <w:r w:rsidR="00D06832">
        <w:t xml:space="preserve">It may well be worth experimenting with the PCCC as the final tier of dispute resolution, </w:t>
      </w:r>
      <w:r w:rsidR="00556053">
        <w:t xml:space="preserve">for stakeholders whose disputes have not been resolved at previous stages (by the </w:t>
      </w:r>
      <w:r w:rsidR="00D06832">
        <w:t>RSC</w:t>
      </w:r>
      <w:r w:rsidR="00556053">
        <w:t>,</w:t>
      </w:r>
      <w:r w:rsidR="004C1787">
        <w:t xml:space="preserve"> BCP or independent mediation</w:t>
      </w:r>
      <w:r w:rsidR="00556053">
        <w:t xml:space="preserve">). </w:t>
      </w:r>
      <w:r>
        <w:t>If the PCCC is to play this role, it will be important to provide the following:</w:t>
      </w:r>
    </w:p>
    <w:p w:rsidR="001B7604" w:rsidRDefault="001B7604" w:rsidP="001B7604">
      <w:pPr>
        <w:pStyle w:val="ListParagraph"/>
        <w:numPr>
          <w:ilvl w:val="1"/>
          <w:numId w:val="7"/>
        </w:numPr>
      </w:pPr>
      <w:r>
        <w:t>C</w:t>
      </w:r>
      <w:r w:rsidR="00556053">
        <w:t>lear</w:t>
      </w:r>
      <w:r>
        <w:t xml:space="preserve"> PCCC</w:t>
      </w:r>
      <w:r w:rsidR="00556053">
        <w:t xml:space="preserve"> terms of reference and procedures for its dispute resolution role, including definition of conflict of interest, declaration of conflict of interest for each case, and recusal by any member of the PCCC who declares conflict of interest. </w:t>
      </w:r>
    </w:p>
    <w:p w:rsidR="004C1787" w:rsidRDefault="001B7604" w:rsidP="001B7604">
      <w:pPr>
        <w:pStyle w:val="ListParagraph"/>
        <w:numPr>
          <w:ilvl w:val="1"/>
          <w:numId w:val="7"/>
        </w:numPr>
      </w:pPr>
      <w:r>
        <w:t>Clear definition of</w:t>
      </w:r>
      <w:r w:rsidR="00556053">
        <w:t xml:space="preserve"> the </w:t>
      </w:r>
      <w:r>
        <w:t>types</w:t>
      </w:r>
      <w:r w:rsidR="00556053">
        <w:t xml:space="preserve"> of disputes that can be brought to the PCCC, and the actions that PCCC can take to resolve disputes (such as conciliation/mediation; dialogue with or formal review of relevant government ministries/agencies; providing a binding opinion (only if the stakeholders consent to be bound and have a legally enforceable way of binding themselves); and/or raising the issue for consideration by the full Parliament and the President.</w:t>
      </w:r>
    </w:p>
    <w:p w:rsidR="001B7604" w:rsidRDefault="001B7604" w:rsidP="001B7604">
      <w:pPr>
        <w:pStyle w:val="ListParagraph"/>
        <w:numPr>
          <w:ilvl w:val="1"/>
          <w:numId w:val="7"/>
        </w:numPr>
      </w:pPr>
      <w:r>
        <w:t xml:space="preserve">Specification of the kinds of disputes that should not be brought to the PCCC (e.g. very local disputes that do not raise significant national policy issues, or disputes that are primarily between a single Ministry and an </w:t>
      </w:r>
      <w:r>
        <w:lastRenderedPageBreak/>
        <w:t>aggrieved party and which should be resolvable directly by the Ministry, etc.)</w:t>
      </w:r>
      <w:r w:rsidR="004B7E7E">
        <w:t>.</w:t>
      </w:r>
    </w:p>
    <w:p w:rsidR="004C1787" w:rsidRPr="001B7604" w:rsidRDefault="004C1787" w:rsidP="001B7604">
      <w:pPr>
        <w:pStyle w:val="Heading1"/>
        <w:numPr>
          <w:ilvl w:val="1"/>
          <w:numId w:val="12"/>
        </w:numPr>
        <w:spacing w:before="240" w:after="240"/>
        <w:rPr>
          <w:sz w:val="24"/>
          <w:szCs w:val="24"/>
        </w:rPr>
      </w:pPr>
      <w:bookmarkStart w:id="15" w:name="_Toc247210106"/>
      <w:r w:rsidRPr="001B7604">
        <w:rPr>
          <w:sz w:val="24"/>
          <w:szCs w:val="24"/>
        </w:rPr>
        <w:t>Add a mediation option to the FGRM</w:t>
      </w:r>
      <w:bookmarkEnd w:id="15"/>
      <w:r w:rsidRPr="001B7604">
        <w:rPr>
          <w:sz w:val="24"/>
          <w:szCs w:val="24"/>
        </w:rPr>
        <w:t xml:space="preserve"> </w:t>
      </w:r>
    </w:p>
    <w:p w:rsidR="000D223F" w:rsidRDefault="001B7604" w:rsidP="001B7604">
      <w:r>
        <w:t>As noted above, e</w:t>
      </w:r>
      <w:r w:rsidR="000D223F">
        <w:t>ach of the initial proposed elements of the FGRM structure raises some questions about capacity to facilitate dispute/grievance resolution, and about perceived impartiality. The refinements recommended above can partially</w:t>
      </w:r>
      <w:r>
        <w:t>,</w:t>
      </w:r>
      <w:r w:rsidR="000D223F">
        <w:t xml:space="preserve"> but probably not fully</w:t>
      </w:r>
      <w:r>
        <w:t>,</w:t>
      </w:r>
      <w:r w:rsidR="000D223F">
        <w:t xml:space="preserve"> address</w:t>
      </w:r>
      <w:r>
        <w:t xml:space="preserve"> these</w:t>
      </w:r>
      <w:r w:rsidR="000D223F">
        <w:t xml:space="preserve"> issues of capacity and impartiality.</w:t>
      </w:r>
    </w:p>
    <w:p w:rsidR="00BB2A96" w:rsidRDefault="000D223F" w:rsidP="001B7604">
      <w:r>
        <w:t xml:space="preserve">An independent mediation option would further strengthen the FGRM. </w:t>
      </w:r>
      <w:r w:rsidR="00BB2A96">
        <w:t>Mediation is a voluntary process in which parties to a dispute work with a competent, impartial mediator to explore the issues in the dispute, understand each other’s interests and concerns, develop and negotiate options to resolve the dispute, and, if satisfactory options can be developed, resolve the dispute through a voluntary agreement. The parties, not the mediator, take the lead in developing options, and the parties, not the mediator, decide whether to agree to a particular option.</w:t>
      </w:r>
    </w:p>
    <w:p w:rsidR="00BB2A96" w:rsidRDefault="00BB2A96" w:rsidP="001B7604">
      <w:r>
        <w:t>For the FGRM, t</w:t>
      </w:r>
      <w:r w:rsidR="000D223F">
        <w:t xml:space="preserve">his </w:t>
      </w:r>
      <w:r w:rsidR="001B7604">
        <w:t xml:space="preserve">independent mediation </w:t>
      </w:r>
      <w:r w:rsidR="000D223F">
        <w:t xml:space="preserve">option could include: </w:t>
      </w:r>
    </w:p>
    <w:p w:rsidR="00BB2A96" w:rsidRDefault="000D223F" w:rsidP="001B7604">
      <w:pPr>
        <w:pStyle w:val="ListParagraph"/>
        <w:numPr>
          <w:ilvl w:val="0"/>
          <w:numId w:val="4"/>
        </w:numPr>
        <w:contextualSpacing w:val="0"/>
      </w:pPr>
      <w:r>
        <w:t>a roster/panel of independent mediators</w:t>
      </w:r>
      <w:r w:rsidR="00BB2A96">
        <w:t xml:space="preserve"> (independence meaning </w:t>
      </w:r>
      <w:r w:rsidR="004B7E7E">
        <w:t xml:space="preserve">that mediators should </w:t>
      </w:r>
      <w:r w:rsidR="00BB2A96">
        <w:t>not employed</w:t>
      </w:r>
      <w:r w:rsidR="004B7E7E">
        <w:t xml:space="preserve"> </w:t>
      </w:r>
      <w:r w:rsidR="00BB2A96">
        <w:t>by government or any other stakeholder represented on the Steering Committee,</w:t>
      </w:r>
      <w:r w:rsidR="004B7E7E">
        <w:t xml:space="preserve"> should not be highly dependent on any one stakeholder for their livelihood,</w:t>
      </w:r>
      <w:r w:rsidR="00BB2A96">
        <w:t xml:space="preserve"> and </w:t>
      </w:r>
      <w:r w:rsidR="004B7E7E">
        <w:t>should have</w:t>
      </w:r>
      <w:r w:rsidR="00BB2A96">
        <w:t xml:space="preserve"> no conflict of interest on any specific case they would mediate)</w:t>
      </w:r>
      <w:r>
        <w:t>;</w:t>
      </w:r>
    </w:p>
    <w:p w:rsidR="00BB2A96" w:rsidRDefault="000D223F" w:rsidP="001B7604">
      <w:pPr>
        <w:pStyle w:val="ListParagraph"/>
        <w:numPr>
          <w:ilvl w:val="0"/>
          <w:numId w:val="4"/>
        </w:numPr>
        <w:contextualSpacing w:val="0"/>
      </w:pPr>
      <w:r>
        <w:t xml:space="preserve">a procedure for the </w:t>
      </w:r>
      <w:r w:rsidR="004B7E7E">
        <w:t>RSC</w:t>
      </w:r>
      <w:r>
        <w:t xml:space="preserve"> to refer disputes to this panel with the consent of the parties in dispute; </w:t>
      </w:r>
    </w:p>
    <w:p w:rsidR="00BB2A96" w:rsidRDefault="000D223F" w:rsidP="001B7604">
      <w:pPr>
        <w:pStyle w:val="ListParagraph"/>
        <w:numPr>
          <w:ilvl w:val="0"/>
          <w:numId w:val="4"/>
        </w:numPr>
        <w:contextualSpacing w:val="0"/>
      </w:pPr>
      <w:r>
        <w:t xml:space="preserve">a set of guidelines for mediation that would be followed by mediators and parties involved in mediation; </w:t>
      </w:r>
    </w:p>
    <w:p w:rsidR="00BB2A96" w:rsidRDefault="000D223F" w:rsidP="001B7604">
      <w:pPr>
        <w:pStyle w:val="ListParagraph"/>
        <w:numPr>
          <w:ilvl w:val="0"/>
          <w:numId w:val="4"/>
        </w:numPr>
        <w:contextualSpacing w:val="0"/>
      </w:pPr>
      <w:r>
        <w:t xml:space="preserve">a mechanism to fund the work of mediators on the roster/panel to resolve disputes; and </w:t>
      </w:r>
    </w:p>
    <w:p w:rsidR="000D223F" w:rsidRDefault="000D223F" w:rsidP="001B7604">
      <w:pPr>
        <w:pStyle w:val="ListParagraph"/>
        <w:numPr>
          <w:ilvl w:val="0"/>
          <w:numId w:val="4"/>
        </w:numPr>
        <w:contextualSpacing w:val="0"/>
      </w:pPr>
      <w:r>
        <w:t>a procedure to document the process and outcome of mediation</w:t>
      </w:r>
      <w:r w:rsidR="00BB2A96">
        <w:t xml:space="preserve"> as part of the </w:t>
      </w:r>
      <w:r w:rsidR="004B7E7E">
        <w:t>RSC’s</w:t>
      </w:r>
      <w:r w:rsidR="00BB2A96">
        <w:t xml:space="preserve"> tracking of grievance/dispute handling.</w:t>
      </w:r>
    </w:p>
    <w:p w:rsidR="001B7604" w:rsidRDefault="00BB2A96" w:rsidP="001B7604">
      <w:r>
        <w:t xml:space="preserve">Mediators on the roster/panel should have at least the following qualifications: </w:t>
      </w:r>
    </w:p>
    <w:p w:rsidR="001B7604" w:rsidRDefault="00BB2A96" w:rsidP="001B7604">
      <w:pPr>
        <w:pStyle w:val="ListParagraph"/>
        <w:numPr>
          <w:ilvl w:val="0"/>
          <w:numId w:val="13"/>
        </w:numPr>
        <w:contextualSpacing w:val="0"/>
      </w:pPr>
      <w:r>
        <w:t xml:space="preserve">professional experience and expertise in impartial mediation; </w:t>
      </w:r>
    </w:p>
    <w:p w:rsidR="001B7604" w:rsidRDefault="00BB2A96" w:rsidP="001B7604">
      <w:pPr>
        <w:pStyle w:val="ListParagraph"/>
        <w:numPr>
          <w:ilvl w:val="0"/>
          <w:numId w:val="13"/>
        </w:numPr>
        <w:contextualSpacing w:val="0"/>
      </w:pPr>
      <w:r>
        <w:t xml:space="preserve">knowledge of forest management issues in Suriname and the region, including an understanding of indigenous and tribal culture and practices; </w:t>
      </w:r>
    </w:p>
    <w:p w:rsidR="001B7604" w:rsidRDefault="00BB2A96" w:rsidP="001B7604">
      <w:pPr>
        <w:pStyle w:val="ListParagraph"/>
        <w:numPr>
          <w:ilvl w:val="0"/>
          <w:numId w:val="13"/>
        </w:numPr>
        <w:contextualSpacing w:val="0"/>
      </w:pPr>
      <w:r>
        <w:t xml:space="preserve">Dutch language proficiency; </w:t>
      </w:r>
    </w:p>
    <w:p w:rsidR="001B7604" w:rsidRDefault="00BB2A96" w:rsidP="001B7604">
      <w:pPr>
        <w:pStyle w:val="ListParagraph"/>
        <w:numPr>
          <w:ilvl w:val="0"/>
          <w:numId w:val="13"/>
        </w:numPr>
        <w:contextualSpacing w:val="0"/>
      </w:pPr>
      <w:r>
        <w:t xml:space="preserve">availability in principle for assignments of up to 20 days; and </w:t>
      </w:r>
    </w:p>
    <w:p w:rsidR="001B7604" w:rsidRDefault="00BB2A96" w:rsidP="001B7604">
      <w:pPr>
        <w:pStyle w:val="ListParagraph"/>
        <w:numPr>
          <w:ilvl w:val="0"/>
          <w:numId w:val="13"/>
        </w:numPr>
      </w:pPr>
      <w:r>
        <w:t>willingness to declare all relationships and interests that may affect their ability to act as impartial mediators in particular cases.</w:t>
      </w:r>
    </w:p>
    <w:p w:rsidR="00583BE0" w:rsidRDefault="004B7E7E" w:rsidP="00583BE0">
      <w:r>
        <w:lastRenderedPageBreak/>
        <w:t>If mediation succeeded in resolving the dispute or grievance</w:t>
      </w:r>
      <w:r w:rsidR="004C1787">
        <w:t xml:space="preserve">, </w:t>
      </w:r>
      <w:r w:rsidR="006407B9">
        <w:t xml:space="preserve">the </w:t>
      </w:r>
      <w:r>
        <w:t>outcome w</w:t>
      </w:r>
      <w:r w:rsidR="004C1787">
        <w:t xml:space="preserve">ould be documented by NIMOS and reviewed by the Steering Committee. If it </w:t>
      </w:r>
      <w:r>
        <w:t>were</w:t>
      </w:r>
      <w:r w:rsidR="004C1787">
        <w:t xml:space="preserve"> unsuccessful, stakeholders </w:t>
      </w:r>
      <w:r w:rsidR="006407B9">
        <w:t>would have the option to return to the RSC for assistance; use the BCP (if</w:t>
      </w:r>
      <w:r>
        <w:t xml:space="preserve"> they had not already tried to);</w:t>
      </w:r>
      <w:r w:rsidR="006407B9">
        <w:t xml:space="preserve"> or, if both mediation and the BCP had been tried, request that the RS</w:t>
      </w:r>
      <w:r w:rsidR="001B7604">
        <w:t>C refer their case to the PCCC.</w:t>
      </w:r>
    </w:p>
    <w:p w:rsidR="00604E9D" w:rsidRPr="001B7604" w:rsidRDefault="00C96786" w:rsidP="001B7604">
      <w:pPr>
        <w:pStyle w:val="Heading1"/>
        <w:numPr>
          <w:ilvl w:val="1"/>
          <w:numId w:val="12"/>
        </w:numPr>
        <w:spacing w:before="240" w:after="240"/>
        <w:rPr>
          <w:sz w:val="24"/>
          <w:szCs w:val="24"/>
        </w:rPr>
      </w:pPr>
      <w:bookmarkStart w:id="16" w:name="_Toc247210107"/>
      <w:r w:rsidRPr="001B7604">
        <w:rPr>
          <w:sz w:val="24"/>
          <w:szCs w:val="24"/>
        </w:rPr>
        <w:t>Use</w:t>
      </w:r>
      <w:r w:rsidR="00EE67DD">
        <w:rPr>
          <w:sz w:val="24"/>
          <w:szCs w:val="24"/>
        </w:rPr>
        <w:t xml:space="preserve"> REDD+ Assistants to support</w:t>
      </w:r>
      <w:r w:rsidR="00C1751D" w:rsidRPr="001B7604">
        <w:rPr>
          <w:sz w:val="24"/>
          <w:szCs w:val="24"/>
        </w:rPr>
        <w:t xml:space="preserve"> </w:t>
      </w:r>
      <w:r w:rsidR="00404FF0" w:rsidRPr="001B7604">
        <w:rPr>
          <w:sz w:val="24"/>
          <w:szCs w:val="24"/>
        </w:rPr>
        <w:t>grievance/dispute resolution</w:t>
      </w:r>
      <w:bookmarkEnd w:id="16"/>
    </w:p>
    <w:p w:rsidR="00974FBE" w:rsidRDefault="004B7E7E" w:rsidP="004B7E7E">
      <w:r>
        <w:t>In discussing how local residents in the interior would gain access to the FGRM, some stakeholders raised a s</w:t>
      </w:r>
      <w:r w:rsidR="00404FF0">
        <w:t>igni</w:t>
      </w:r>
      <w:r>
        <w:t xml:space="preserve">ficant concern that communities and </w:t>
      </w:r>
      <w:r w:rsidR="00404FF0">
        <w:t xml:space="preserve">community members in </w:t>
      </w:r>
      <w:r>
        <w:t xml:space="preserve">the </w:t>
      </w:r>
      <w:r w:rsidR="00404FF0">
        <w:t>interior will find it challenging (</w:t>
      </w:r>
      <w:r>
        <w:t xml:space="preserve">in terms of distance, cost, and </w:t>
      </w:r>
      <w:r w:rsidR="00404FF0">
        <w:t xml:space="preserve">time) to </w:t>
      </w:r>
      <w:r>
        <w:t xml:space="preserve">use an FGRM based in Paramaribo. </w:t>
      </w:r>
    </w:p>
    <w:p w:rsidR="004B7E7E" w:rsidRDefault="004B7E7E" w:rsidP="004B7E7E">
      <w:r>
        <w:t>One option to facilitate access to the FGRM would be to have the</w:t>
      </w:r>
      <w:r w:rsidR="00404FF0">
        <w:t xml:space="preserve"> REDD+ Assistants to serve as first point of contact for community members and local business interests who have concerns about REDD+</w:t>
      </w:r>
      <w:r>
        <w:t xml:space="preserve">. The REDD+ Assistants are a group of members of indigenous and Maroon communities, selected by their leaders, and trained to understand and be able to explain REDD+ concepts, institutions and procedures to people living in their towns and villages (UN-REDD 2013, 20).  </w:t>
      </w:r>
    </w:p>
    <w:p w:rsidR="00974FBE" w:rsidRDefault="004B7E7E" w:rsidP="004B7E7E">
      <w:r>
        <w:t xml:space="preserve">The first group of twenty </w:t>
      </w:r>
      <w:r w:rsidR="00404FF0">
        <w:t>REDD+ Assistants</w:t>
      </w:r>
      <w:r>
        <w:t xml:space="preserve"> (2 from each of the four indigenous tribes and six Maroon tribes)</w:t>
      </w:r>
      <w:r w:rsidR="00404FF0">
        <w:t xml:space="preserve"> </w:t>
      </w:r>
      <w:r>
        <w:t xml:space="preserve">have already been involved in facilitating outreach and </w:t>
      </w:r>
      <w:r w:rsidR="00404FF0">
        <w:t xml:space="preserve">communication </w:t>
      </w:r>
      <w:r>
        <w:t xml:space="preserve">about </w:t>
      </w:r>
      <w:r w:rsidR="00404FF0">
        <w:t xml:space="preserve">REDD+ </w:t>
      </w:r>
      <w:r>
        <w:t xml:space="preserve">in their communities. </w:t>
      </w:r>
      <w:r w:rsidR="00974FBE">
        <w:t xml:space="preserve">The same group (and others who may be trained later) could assist in providing information about the FGRM and how to use it; serve as first points of contact within their communities; and also serve as points of contact and information for </w:t>
      </w:r>
      <w:r w:rsidR="00C1751D">
        <w:t>l</w:t>
      </w:r>
      <w:r w:rsidR="00300DD3">
        <w:t>ocal authorities (District Commissioner, District Committee, Resort Committee</w:t>
      </w:r>
      <w:r w:rsidR="00C1751D">
        <w:t>, police</w:t>
      </w:r>
      <w:r w:rsidR="00300DD3">
        <w:t xml:space="preserve">) </w:t>
      </w:r>
      <w:r w:rsidR="00C1751D">
        <w:t>with regard to complaints and conce</w:t>
      </w:r>
      <w:r w:rsidR="00974FBE">
        <w:t xml:space="preserve">rns related to REDD+ activities. </w:t>
      </w:r>
    </w:p>
    <w:p w:rsidR="00404FF0" w:rsidRDefault="00974FBE" w:rsidP="004B7E7E">
      <w:r>
        <w:t xml:space="preserve">To build the capacity of REDD+ Assistants to play this role, additional training could be provided, including an overview of the FGRM, its purpose, procedures and options; basic skills in responding to individuals who are involved in disputes and grievances; and clear procedural guidance on the roles that REDD+ Assistants would play in communicating with the RSC and local authorities about grievances and disputes. </w:t>
      </w:r>
    </w:p>
    <w:p w:rsidR="00C96786" w:rsidRPr="001B7604" w:rsidRDefault="00C96786" w:rsidP="001B7604">
      <w:pPr>
        <w:pStyle w:val="Heading1"/>
        <w:numPr>
          <w:ilvl w:val="1"/>
          <w:numId w:val="12"/>
        </w:numPr>
        <w:spacing w:before="240" w:after="240"/>
        <w:rPr>
          <w:sz w:val="24"/>
          <w:szCs w:val="24"/>
        </w:rPr>
      </w:pPr>
      <w:bookmarkStart w:id="17" w:name="_Toc247210108"/>
      <w:r w:rsidRPr="001B7604">
        <w:rPr>
          <w:sz w:val="24"/>
          <w:szCs w:val="24"/>
        </w:rPr>
        <w:t xml:space="preserve">Ensure that District Commissioners are </w:t>
      </w:r>
      <w:r w:rsidR="00EE67DD">
        <w:rPr>
          <w:sz w:val="24"/>
          <w:szCs w:val="24"/>
        </w:rPr>
        <w:t>informed about</w:t>
      </w:r>
      <w:r w:rsidRPr="001B7604">
        <w:rPr>
          <w:sz w:val="24"/>
          <w:szCs w:val="24"/>
        </w:rPr>
        <w:t xml:space="preserve"> REDD+ FGRM, and </w:t>
      </w:r>
      <w:r w:rsidR="00EE67DD">
        <w:rPr>
          <w:sz w:val="24"/>
          <w:szCs w:val="24"/>
        </w:rPr>
        <w:t xml:space="preserve">about </w:t>
      </w:r>
      <w:r w:rsidRPr="001B7604">
        <w:rPr>
          <w:sz w:val="24"/>
          <w:szCs w:val="24"/>
        </w:rPr>
        <w:t>disputes and dispute resolution efforts in their districts</w:t>
      </w:r>
      <w:bookmarkEnd w:id="17"/>
    </w:p>
    <w:p w:rsidR="00C96786" w:rsidRDefault="00C1751D" w:rsidP="00974FBE">
      <w:r>
        <w:t xml:space="preserve">Over the next several years, as </w:t>
      </w:r>
      <w:r w:rsidR="00974FBE">
        <w:t xml:space="preserve">the central </w:t>
      </w:r>
      <w:r>
        <w:t>government’s decentralization initiative continues, it may be</w:t>
      </w:r>
      <w:r w:rsidR="00974FBE">
        <w:t xml:space="preserve"> possible for REDD+ to link more closely to increasingly empowered local authorities for </w:t>
      </w:r>
      <w:r>
        <w:t>grieva</w:t>
      </w:r>
      <w:r w:rsidR="00974FBE">
        <w:t>nce/dispute resolution</w:t>
      </w:r>
      <w:r>
        <w:t>.</w:t>
      </w:r>
      <w:r w:rsidR="00974FBE">
        <w:t xml:space="preserve"> The role of local authorities may be particularly relevant to highly localized disputes, for instance among local forest users involved in REDD+, farmers and small scale miners.</w:t>
      </w:r>
      <w:r>
        <w:t xml:space="preserve"> </w:t>
      </w:r>
      <w:r w:rsidR="00974FBE">
        <w:t xml:space="preserve">However, for the time being the capacity and legitimacy of local authorities remains highly uneven, and their role in grievance and dispute resolution should only grow as and when they have increased authority, capacity and accountability to local residents. </w:t>
      </w:r>
    </w:p>
    <w:p w:rsidR="00404FF0" w:rsidRDefault="00974FBE" w:rsidP="00974FBE">
      <w:r>
        <w:lastRenderedPageBreak/>
        <w:t>During</w:t>
      </w:r>
      <w:r w:rsidR="00C1751D">
        <w:t xml:space="preserve"> </w:t>
      </w:r>
      <w:r>
        <w:t>the Readiness phase,</w:t>
      </w:r>
      <w:r w:rsidR="00C1751D">
        <w:t xml:space="preserve"> </w:t>
      </w:r>
      <w:r>
        <w:t xml:space="preserve">it is important to </w:t>
      </w:r>
      <w:r w:rsidR="004C1787">
        <w:t>ensure</w:t>
      </w:r>
      <w:r w:rsidR="00C96786">
        <w:t xml:space="preserve"> that D</w:t>
      </w:r>
      <w:r>
        <w:t xml:space="preserve">istrict </w:t>
      </w:r>
      <w:r w:rsidR="00C96786">
        <w:t>C</w:t>
      </w:r>
      <w:r>
        <w:t>ommissioner</w:t>
      </w:r>
      <w:r w:rsidR="00C96786">
        <w:t xml:space="preserve">s are </w:t>
      </w:r>
      <w:r>
        <w:t>informed about</w:t>
      </w:r>
      <w:r w:rsidR="00C96786">
        <w:t xml:space="preserve"> REDD+</w:t>
      </w:r>
      <w:r>
        <w:t xml:space="preserve"> overall, and about</w:t>
      </w:r>
      <w:r w:rsidR="00C96786">
        <w:t xml:space="preserve"> REDD+ mechanisms t</w:t>
      </w:r>
      <w:r>
        <w:t xml:space="preserve">o prevent and resolve disputes. They should also be </w:t>
      </w:r>
      <w:r w:rsidR="00C96786">
        <w:t xml:space="preserve">notified of any specific disputes in their districts that have been brought to the </w:t>
      </w:r>
      <w:r>
        <w:t>RSC</w:t>
      </w:r>
      <w:r w:rsidR="00C96786">
        <w:t xml:space="preserve">, and informed about the process of dispute resolution efforts and their outcomes. </w:t>
      </w:r>
      <w:r>
        <w:t xml:space="preserve">NIMOS, potentially supported by the REDD+ assistants, could take the lead on this </w:t>
      </w:r>
      <w:r w:rsidR="00C96786">
        <w:t xml:space="preserve">information sharing. </w:t>
      </w:r>
      <w:r>
        <w:t>The MGC could also assist, particularly through its local authority representatives.</w:t>
      </w:r>
    </w:p>
    <w:p w:rsidR="00F600F0" w:rsidRDefault="00F600F0" w:rsidP="00C96786">
      <w:pPr>
        <w:pStyle w:val="Heading1"/>
      </w:pPr>
      <w:bookmarkStart w:id="18" w:name="_Toc247210109"/>
      <w:r>
        <w:t>Next Steps</w:t>
      </w:r>
      <w:bookmarkEnd w:id="18"/>
    </w:p>
    <w:p w:rsidR="00974FBE" w:rsidRDefault="00974FBE" w:rsidP="00974FBE"/>
    <w:p w:rsidR="00974FBE" w:rsidRDefault="00974FBE" w:rsidP="00974FBE">
      <w:r>
        <w:t xml:space="preserve">This assessment has presented an overview of the forest sector in Suriname, the likely grievance and dispute risks associated with REDD+, current and proposed mechanisms for preventing and resolving forest-related grievances and disputes, and options for strengthening those mechanisms in order to minimize the number of serious disputes and grievances associated with REDD+ in Suriname. </w:t>
      </w:r>
    </w:p>
    <w:p w:rsidR="00974FBE" w:rsidRDefault="00974FBE" w:rsidP="00974FBE">
      <w:r>
        <w:t xml:space="preserve">The assessment team </w:t>
      </w:r>
      <w:r w:rsidR="00A45136">
        <w:t>plans</w:t>
      </w:r>
      <w:r>
        <w:t xml:space="preserve"> the following next steps:</w:t>
      </w:r>
    </w:p>
    <w:p w:rsidR="00A45136" w:rsidRDefault="00A45136" w:rsidP="001B7604">
      <w:pPr>
        <w:pStyle w:val="ListParagraph"/>
        <w:numPr>
          <w:ilvl w:val="0"/>
          <w:numId w:val="8"/>
        </w:numPr>
      </w:pPr>
      <w:r>
        <w:t>Invite comment on this draft assessment from REDD+ stakeholders in Suriname</w:t>
      </w:r>
    </w:p>
    <w:p w:rsidR="005446AC" w:rsidRDefault="005446AC" w:rsidP="001B7604">
      <w:pPr>
        <w:pStyle w:val="ListParagraph"/>
        <w:numPr>
          <w:ilvl w:val="0"/>
          <w:numId w:val="8"/>
        </w:numPr>
      </w:pPr>
      <w:r>
        <w:t>Incorporate feedback and finalize report</w:t>
      </w:r>
    </w:p>
    <w:p w:rsidR="005446AC" w:rsidRPr="005446AC" w:rsidRDefault="005446AC" w:rsidP="001B7604">
      <w:pPr>
        <w:pStyle w:val="ListParagraph"/>
        <w:numPr>
          <w:ilvl w:val="0"/>
          <w:numId w:val="8"/>
        </w:numPr>
      </w:pPr>
      <w:r>
        <w:t>B</w:t>
      </w:r>
      <w:r w:rsidRPr="005446AC">
        <w:t xml:space="preserve">rief </w:t>
      </w:r>
      <w:r w:rsidR="00A45136">
        <w:t xml:space="preserve">a </w:t>
      </w:r>
      <w:r w:rsidRPr="005446AC">
        <w:t xml:space="preserve">consultant who will draft </w:t>
      </w:r>
      <w:r w:rsidR="00A45136">
        <w:t xml:space="preserve">the UNDP </w:t>
      </w:r>
      <w:r w:rsidRPr="005446AC">
        <w:t>pro</w:t>
      </w:r>
      <w:r>
        <w:t xml:space="preserve">ject </w:t>
      </w:r>
      <w:r w:rsidRPr="005446AC">
        <w:t>doc</w:t>
      </w:r>
      <w:r>
        <w:t>ument</w:t>
      </w:r>
      <w:r w:rsidRPr="005446AC">
        <w:t xml:space="preserve"> on </w:t>
      </w:r>
      <w:r w:rsidR="00A45136">
        <w:t>this assessment and its implications for UNDP and partners’ work in the Readiness phase</w:t>
      </w:r>
      <w:r w:rsidRPr="005446AC">
        <w:t>.</w:t>
      </w:r>
    </w:p>
    <w:p w:rsidR="005446AC" w:rsidRDefault="005446AC" w:rsidP="001B7604">
      <w:pPr>
        <w:pStyle w:val="ListParagraph"/>
        <w:numPr>
          <w:ilvl w:val="0"/>
          <w:numId w:val="8"/>
        </w:numPr>
      </w:pPr>
      <w:r w:rsidRPr="005446AC">
        <w:t xml:space="preserve">Work with </w:t>
      </w:r>
      <w:r w:rsidR="00A45136">
        <w:t xml:space="preserve">the </w:t>
      </w:r>
      <w:r w:rsidRPr="005446AC">
        <w:t xml:space="preserve">consultant to follow up on remaining questions in country; finalize activities and incorporate text and activities into </w:t>
      </w:r>
      <w:r w:rsidR="00A45136">
        <w:t xml:space="preserve">the UNDP </w:t>
      </w:r>
      <w:r w:rsidRPr="005446AC">
        <w:t>project document.</w:t>
      </w:r>
    </w:p>
    <w:p w:rsidR="00C96786" w:rsidRDefault="00A45136" w:rsidP="00A45136">
      <w:r>
        <w:t>The assessment team again wishes to thank all Suriname REDD+ stakeholders whom we interviewed. We look forward to receiving feedback on this draft report.</w:t>
      </w:r>
    </w:p>
    <w:p w:rsidR="00A45136" w:rsidRDefault="00A45136" w:rsidP="00A45136"/>
    <w:p w:rsidR="00A45136" w:rsidRDefault="00A45136">
      <w:pPr>
        <w:spacing w:after="200"/>
        <w:rPr>
          <w:rFonts w:eastAsiaTheme="majorEastAsia" w:cstheme="majorBidi"/>
          <w:b/>
          <w:bCs/>
          <w:color w:val="345A8A" w:themeColor="accent1" w:themeShade="B5"/>
          <w:sz w:val="32"/>
          <w:szCs w:val="32"/>
        </w:rPr>
      </w:pPr>
      <w:r>
        <w:br w:type="page"/>
      </w:r>
    </w:p>
    <w:p w:rsidR="00A45136" w:rsidRPr="00A45136" w:rsidRDefault="00A45136" w:rsidP="00A45136">
      <w:pPr>
        <w:pStyle w:val="Heading1"/>
        <w:numPr>
          <w:ilvl w:val="0"/>
          <w:numId w:val="0"/>
        </w:numPr>
        <w:ind w:left="360"/>
        <w:jc w:val="center"/>
      </w:pPr>
      <w:bookmarkStart w:id="19" w:name="_Toc247210110"/>
      <w:r w:rsidRPr="00A45136">
        <w:lastRenderedPageBreak/>
        <w:t>References</w:t>
      </w:r>
      <w:bookmarkEnd w:id="19"/>
    </w:p>
    <w:p w:rsidR="0033088D" w:rsidRDefault="0033088D" w:rsidP="005446AC">
      <w:pPr>
        <w:pStyle w:val="ListParagraph"/>
      </w:pPr>
    </w:p>
    <w:p w:rsidR="0033088D" w:rsidRDefault="0033088D" w:rsidP="005446AC">
      <w:pPr>
        <w:pStyle w:val="ListParagraph"/>
      </w:pPr>
    </w:p>
    <w:p w:rsidR="00A45136" w:rsidRPr="00A45136" w:rsidRDefault="00A45136" w:rsidP="00A45136">
      <w:pPr>
        <w:spacing w:after="240"/>
      </w:pPr>
      <w:r>
        <w:t xml:space="preserve">UNDP-World Bank 2013. </w:t>
      </w:r>
      <w:r w:rsidR="0033088D" w:rsidRPr="00A45136">
        <w:rPr>
          <w:i/>
        </w:rPr>
        <w:t>Joint UNDP – World Bank FCPF Guidance Note for REDD+ Countries: Establishing and Strengthening Grievance Resolution Mechanisms</w:t>
      </w:r>
      <w:r>
        <w:t>. New York and Washington, DC: UNDP and World Bank.</w:t>
      </w:r>
    </w:p>
    <w:p w:rsidR="00A45136" w:rsidRDefault="00A45136" w:rsidP="00A45136">
      <w:pPr>
        <w:spacing w:after="240"/>
      </w:pPr>
      <w:r w:rsidRPr="00A45136">
        <w:t xml:space="preserve">Forest Carbon Partnership Facility </w:t>
      </w:r>
      <w:r w:rsidR="00901A63" w:rsidRPr="00A45136">
        <w:t>(FCPF)</w:t>
      </w:r>
      <w:r>
        <w:t xml:space="preserve"> 2013. “</w:t>
      </w:r>
      <w:r w:rsidR="00901A63" w:rsidRPr="00A45136">
        <w:t>Resolution PC/14/2013/7</w:t>
      </w:r>
      <w:r>
        <w:t xml:space="preserve">: </w:t>
      </w:r>
      <w:r w:rsidR="00901A63" w:rsidRPr="00A45136">
        <w:t>Suriname’s Readiness Preparation Proposal</w:t>
      </w:r>
      <w:r>
        <w:t>.” Washington, DC: World Bank for FCPF.</w:t>
      </w:r>
    </w:p>
    <w:p w:rsidR="00A45136" w:rsidRDefault="00A45136" w:rsidP="00A45136">
      <w:pPr>
        <w:spacing w:after="240"/>
      </w:pPr>
      <w:r>
        <w:t>UN-REDD 2013.</w:t>
      </w:r>
      <w:r w:rsidR="00901A63">
        <w:t xml:space="preserve"> </w:t>
      </w:r>
      <w:r w:rsidR="00901A63" w:rsidRPr="00A45136">
        <w:rPr>
          <w:i/>
        </w:rPr>
        <w:t>Readiness Pr</w:t>
      </w:r>
      <w:r>
        <w:rPr>
          <w:i/>
        </w:rPr>
        <w:t>eparation Proposal (R-PP) f</w:t>
      </w:r>
      <w:r w:rsidRPr="00A45136">
        <w:rPr>
          <w:i/>
        </w:rPr>
        <w:t>or</w:t>
      </w:r>
      <w:r w:rsidR="00901A63" w:rsidRPr="00A45136">
        <w:rPr>
          <w:i/>
        </w:rPr>
        <w:t xml:space="preserve"> Suriname</w:t>
      </w:r>
      <w:r w:rsidR="006304AB">
        <w:rPr>
          <w:i/>
        </w:rPr>
        <w:t xml:space="preserve">, </w:t>
      </w:r>
      <w:r w:rsidR="006304AB">
        <w:t>Version 6 Final Draft</w:t>
      </w:r>
      <w:r w:rsidR="00901A63" w:rsidRPr="00A45136">
        <w:t xml:space="preserve"> </w:t>
      </w:r>
      <w:r>
        <w:t xml:space="preserve"> (dated </w:t>
      </w:r>
      <w:r w:rsidR="006304AB">
        <w:t xml:space="preserve">24 June </w:t>
      </w:r>
      <w:r w:rsidR="00901A63" w:rsidRPr="00A45136">
        <w:t>2013</w:t>
      </w:r>
      <w:r>
        <w:t>). Paramaribo: UN-REDD.</w:t>
      </w:r>
      <w:r w:rsidR="00901A63" w:rsidRPr="00A45136">
        <w:t xml:space="preserve"> </w:t>
      </w:r>
    </w:p>
    <w:p w:rsidR="00C038C1" w:rsidRPr="00A45136" w:rsidRDefault="00A45136" w:rsidP="00CA171F">
      <w:pPr>
        <w:spacing w:after="240"/>
      </w:pPr>
      <w:r>
        <w:t>UNDP 2013: “</w:t>
      </w:r>
      <w:r w:rsidR="00C038C1" w:rsidRPr="00A45136">
        <w:t>Key Findings and Implications of the Saramaka Judgment for the Readiness Preparation Proposal Document</w:t>
      </w:r>
      <w:r>
        <w:t xml:space="preserve">.” Dated </w:t>
      </w:r>
      <w:r w:rsidR="00C038C1" w:rsidRPr="00A45136">
        <w:t>12 November 2013</w:t>
      </w:r>
      <w:r>
        <w:t>. New York: UNDP.</w:t>
      </w:r>
    </w:p>
    <w:p w:rsidR="0033088D" w:rsidRDefault="006304AB" w:rsidP="00CA171F">
      <w:pPr>
        <w:pStyle w:val="Heading1"/>
        <w:numPr>
          <w:ilvl w:val="0"/>
          <w:numId w:val="0"/>
        </w:numPr>
        <w:ind w:left="360"/>
        <w:jc w:val="center"/>
      </w:pPr>
      <w:r>
        <w:t>Persons Interviewed</w:t>
      </w:r>
    </w:p>
    <w:p w:rsidR="006304AB" w:rsidRDefault="006304AB" w:rsidP="00A45136"/>
    <w:p w:rsidR="00CA171F" w:rsidRPr="00CA171F" w:rsidRDefault="00CA171F" w:rsidP="00CA171F">
      <w:r w:rsidRPr="00CA171F">
        <w:t xml:space="preserve">Mr. Errol </w:t>
      </w:r>
      <w:proofErr w:type="spellStart"/>
      <w:r w:rsidRPr="00CA171F">
        <w:t>Alibux</w:t>
      </w:r>
      <w:proofErr w:type="spellEnd"/>
      <w:r>
        <w:t xml:space="preserve">, </w:t>
      </w:r>
      <w:r w:rsidRPr="00CA171F">
        <w:t>Advisor of the President</w:t>
      </w:r>
    </w:p>
    <w:p w:rsidR="00CA171F" w:rsidRPr="00CA171F" w:rsidRDefault="00CA171F" w:rsidP="00CA171F">
      <w:pPr>
        <w:rPr>
          <w:rFonts w:cs="Arial"/>
        </w:rPr>
      </w:pPr>
      <w:r w:rsidRPr="00CA171F">
        <w:rPr>
          <w:rFonts w:cs="Arial"/>
        </w:rPr>
        <w:t>Mr. Edward Belfort, Minister of Justice and Police</w:t>
      </w:r>
    </w:p>
    <w:p w:rsidR="00CA171F" w:rsidRPr="00CA171F" w:rsidRDefault="00CA171F" w:rsidP="00CA171F">
      <w:r w:rsidRPr="00CA171F">
        <w:t>Ms. Lisa Best, Former assistant R-PP project</w:t>
      </w:r>
    </w:p>
    <w:p w:rsidR="006304AB" w:rsidRPr="00CA171F" w:rsidRDefault="00104484" w:rsidP="00CA171F">
      <w:pPr>
        <w:rPr>
          <w:rFonts w:cs="Arial"/>
        </w:rPr>
      </w:pPr>
      <w:r>
        <w:rPr>
          <w:rFonts w:cs="Arial"/>
        </w:rPr>
        <w:t xml:space="preserve">Mr. Lesley Artist, Chairman, </w:t>
      </w:r>
      <w:r w:rsidR="006304AB" w:rsidRPr="00CA171F">
        <w:rPr>
          <w:rFonts w:cs="Arial"/>
        </w:rPr>
        <w:t>VIDS</w:t>
      </w:r>
    </w:p>
    <w:p w:rsidR="00CA171F" w:rsidRPr="00CA171F" w:rsidRDefault="00CA171F" w:rsidP="00CA171F">
      <w:r w:rsidRPr="00CA171F">
        <w:t>Mrs. Castillo, National Security Staff, Cabinet of the President</w:t>
      </w:r>
    </w:p>
    <w:p w:rsidR="00CA171F" w:rsidRPr="00CA171F" w:rsidRDefault="00CA171F" w:rsidP="00CA171F">
      <w:r w:rsidRPr="00CA171F">
        <w:t xml:space="preserve">Mrs. Jennifer </w:t>
      </w:r>
      <w:proofErr w:type="spellStart"/>
      <w:r w:rsidRPr="00CA171F">
        <w:t>Geerlings</w:t>
      </w:r>
      <w:proofErr w:type="spellEnd"/>
      <w:r w:rsidRPr="00CA171F">
        <w:t>-Simons, Speaker of the Parliament</w:t>
      </w:r>
    </w:p>
    <w:p w:rsidR="00CA171F" w:rsidRDefault="00CA171F" w:rsidP="00CA171F">
      <w:pPr>
        <w:rPr>
          <w:rFonts w:cs="Arial"/>
        </w:rPr>
      </w:pPr>
      <w:r w:rsidRPr="00CA171F">
        <w:rPr>
          <w:rFonts w:cs="Arial"/>
        </w:rPr>
        <w:t xml:space="preserve">Mr. John </w:t>
      </w:r>
      <w:proofErr w:type="spellStart"/>
      <w:r w:rsidRPr="00CA171F">
        <w:rPr>
          <w:rFonts w:cs="Arial"/>
        </w:rPr>
        <w:t>Goedschalk</w:t>
      </w:r>
      <w:proofErr w:type="spellEnd"/>
      <w:r w:rsidRPr="00CA171F">
        <w:rPr>
          <w:rFonts w:cs="Arial"/>
        </w:rPr>
        <w:t>, Director Conservation International</w:t>
      </w:r>
      <w:r w:rsidR="00104484">
        <w:rPr>
          <w:rFonts w:cs="Arial"/>
        </w:rPr>
        <w:t xml:space="preserve"> Suriname</w:t>
      </w:r>
      <w:r w:rsidRPr="00CA171F">
        <w:rPr>
          <w:rFonts w:cs="Arial"/>
        </w:rPr>
        <w:t>;</w:t>
      </w:r>
      <w:r w:rsidR="00104484">
        <w:rPr>
          <w:rFonts w:cs="Arial"/>
        </w:rPr>
        <w:t xml:space="preserve"> Government f</w:t>
      </w:r>
      <w:r w:rsidRPr="00CA171F">
        <w:rPr>
          <w:rFonts w:cs="Arial"/>
        </w:rPr>
        <w:t>ocal point</w:t>
      </w:r>
      <w:r w:rsidR="00104484">
        <w:rPr>
          <w:rFonts w:cs="Arial"/>
        </w:rPr>
        <w:t>,</w:t>
      </w:r>
      <w:r w:rsidRPr="00CA171F">
        <w:rPr>
          <w:rFonts w:cs="Arial"/>
        </w:rPr>
        <w:t xml:space="preserve"> UNFCCC</w:t>
      </w:r>
    </w:p>
    <w:p w:rsidR="00E3258A" w:rsidRPr="00CA171F" w:rsidRDefault="00E3258A" w:rsidP="00CA171F">
      <w:pPr>
        <w:rPr>
          <w:rFonts w:cs="Arial"/>
        </w:rPr>
      </w:pPr>
      <w:r>
        <w:rPr>
          <w:rFonts w:cs="Arial"/>
        </w:rPr>
        <w:t xml:space="preserve">Ms. Gina Griffith, NIMOS </w:t>
      </w:r>
    </w:p>
    <w:p w:rsidR="00CA171F" w:rsidRPr="00CA171F" w:rsidRDefault="00CA171F" w:rsidP="00CA171F">
      <w:r w:rsidRPr="00CA171F">
        <w:t xml:space="preserve">Mr. Chris </w:t>
      </w:r>
      <w:proofErr w:type="gramStart"/>
      <w:r w:rsidRPr="00CA171F">
        <w:t>Healy ,</w:t>
      </w:r>
      <w:proofErr w:type="gramEnd"/>
      <w:r w:rsidRPr="00CA171F">
        <w:t xml:space="preserve"> Director of Amazon Conservation Team Suriname</w:t>
      </w:r>
    </w:p>
    <w:p w:rsidR="00CA171F" w:rsidRPr="00CA171F" w:rsidRDefault="00CA171F" w:rsidP="00CA171F">
      <w:r w:rsidRPr="00CA171F">
        <w:t xml:space="preserve">Mr. Jim </w:t>
      </w:r>
      <w:proofErr w:type="spellStart"/>
      <w:r w:rsidRPr="00CA171F">
        <w:t>Hok</w:t>
      </w:r>
      <w:proofErr w:type="spellEnd"/>
      <w:r w:rsidRPr="00CA171F">
        <w:t>, Minister of Natural Resources</w:t>
      </w:r>
    </w:p>
    <w:p w:rsidR="00CA171F" w:rsidRPr="00CA171F" w:rsidRDefault="00CA171F" w:rsidP="00CA171F">
      <w:pPr>
        <w:rPr>
          <w:rFonts w:cs="Arial"/>
        </w:rPr>
      </w:pPr>
      <w:r w:rsidRPr="00CA171F">
        <w:rPr>
          <w:rFonts w:cs="Arial"/>
        </w:rPr>
        <w:t xml:space="preserve">Mrs. Inez </w:t>
      </w:r>
      <w:proofErr w:type="spellStart"/>
      <w:r w:rsidRPr="00CA171F">
        <w:rPr>
          <w:rFonts w:cs="Arial"/>
        </w:rPr>
        <w:t>Huyzen</w:t>
      </w:r>
      <w:proofErr w:type="spellEnd"/>
      <w:r w:rsidRPr="00CA171F">
        <w:rPr>
          <w:rFonts w:cs="Arial"/>
        </w:rPr>
        <w:t xml:space="preserve"> – </w:t>
      </w:r>
      <w:proofErr w:type="spellStart"/>
      <w:r w:rsidRPr="00CA171F">
        <w:rPr>
          <w:rFonts w:cs="Arial"/>
        </w:rPr>
        <w:t>Sedney</w:t>
      </w:r>
      <w:proofErr w:type="spellEnd"/>
      <w:r w:rsidRPr="00CA171F">
        <w:rPr>
          <w:rFonts w:cs="Arial"/>
        </w:rPr>
        <w:t xml:space="preserve">, </w:t>
      </w:r>
      <w:r w:rsidRPr="00CA171F">
        <w:t>Permanent Secretary, Ministry of Justice and Police</w:t>
      </w:r>
    </w:p>
    <w:p w:rsidR="00CA171F" w:rsidRPr="00CA171F" w:rsidRDefault="00104484" w:rsidP="00CA171F">
      <w:r>
        <w:t xml:space="preserve">Mr. Hugo </w:t>
      </w:r>
      <w:proofErr w:type="spellStart"/>
      <w:r>
        <w:t>Jabini</w:t>
      </w:r>
      <w:proofErr w:type="spellEnd"/>
      <w:r>
        <w:t>, Chairman,</w:t>
      </w:r>
      <w:r w:rsidR="00CA171F" w:rsidRPr="00CA171F">
        <w:t xml:space="preserve"> The Association of Saramaka Authorities </w:t>
      </w:r>
    </w:p>
    <w:p w:rsidR="00CA171F" w:rsidRPr="00CA171F" w:rsidRDefault="00CA171F" w:rsidP="00CA171F">
      <w:pPr>
        <w:rPr>
          <w:rFonts w:cs="Arial"/>
        </w:rPr>
      </w:pPr>
      <w:r w:rsidRPr="00CA171F">
        <w:rPr>
          <w:rFonts w:cs="Arial"/>
        </w:rPr>
        <w:t xml:space="preserve">Ms. </w:t>
      </w:r>
      <w:proofErr w:type="spellStart"/>
      <w:r w:rsidRPr="00CA171F">
        <w:rPr>
          <w:rFonts w:cs="Arial"/>
        </w:rPr>
        <w:t>Josee</w:t>
      </w:r>
      <w:proofErr w:type="spellEnd"/>
      <w:r w:rsidRPr="00CA171F">
        <w:rPr>
          <w:rFonts w:cs="Arial"/>
        </w:rPr>
        <w:t>, Member of VIDS</w:t>
      </w:r>
    </w:p>
    <w:p w:rsidR="006304AB" w:rsidRPr="00CA171F" w:rsidRDefault="006304AB" w:rsidP="00CA171F">
      <w:pPr>
        <w:rPr>
          <w:rFonts w:cs="Arial"/>
        </w:rPr>
      </w:pPr>
      <w:r w:rsidRPr="00CA171F">
        <w:rPr>
          <w:rFonts w:cs="Arial"/>
        </w:rPr>
        <w:t>Mr.</w:t>
      </w:r>
      <w:r w:rsidR="00CA171F" w:rsidRPr="00CA171F">
        <w:rPr>
          <w:rFonts w:cs="Arial"/>
        </w:rPr>
        <w:t xml:space="preserve"> </w:t>
      </w:r>
      <w:r w:rsidRPr="00CA171F">
        <w:rPr>
          <w:rFonts w:cs="Arial"/>
        </w:rPr>
        <w:t xml:space="preserve">Ramses </w:t>
      </w:r>
      <w:proofErr w:type="spellStart"/>
      <w:r w:rsidRPr="00CA171F">
        <w:rPr>
          <w:rFonts w:cs="Arial"/>
        </w:rPr>
        <w:t>Kajoeramare</w:t>
      </w:r>
      <w:proofErr w:type="spellEnd"/>
      <w:r w:rsidRPr="00CA171F">
        <w:rPr>
          <w:rFonts w:cs="Arial"/>
        </w:rPr>
        <w:t>, Member of VIDS</w:t>
      </w:r>
    </w:p>
    <w:p w:rsidR="00CA171F" w:rsidRPr="00CA171F" w:rsidRDefault="00104484" w:rsidP="00CA171F">
      <w:r>
        <w:t xml:space="preserve">Mr. </w:t>
      </w:r>
      <w:proofErr w:type="spellStart"/>
      <w:r>
        <w:t>R.van</w:t>
      </w:r>
      <w:proofErr w:type="spellEnd"/>
      <w:r>
        <w:t xml:space="preserve"> </w:t>
      </w:r>
      <w:proofErr w:type="spellStart"/>
      <w:r>
        <w:t>Kanten</w:t>
      </w:r>
      <w:proofErr w:type="spellEnd"/>
      <w:r>
        <w:t>, Director,</w:t>
      </w:r>
      <w:r w:rsidR="00CA171F" w:rsidRPr="00CA171F">
        <w:t xml:space="preserve"> </w:t>
      </w:r>
      <w:proofErr w:type="spellStart"/>
      <w:r w:rsidR="00CA171F" w:rsidRPr="00CA171F">
        <w:t>Tropenbos</w:t>
      </w:r>
      <w:proofErr w:type="spellEnd"/>
      <w:r w:rsidR="00CA171F" w:rsidRPr="00CA171F">
        <w:t xml:space="preserve"> Suriname</w:t>
      </w:r>
    </w:p>
    <w:p w:rsidR="00E3258A" w:rsidRPr="00CA171F" w:rsidRDefault="00E3258A" w:rsidP="00E3258A">
      <w:r w:rsidRPr="00CA171F">
        <w:t>Mr. H. Lim A Po, Attorney</w:t>
      </w:r>
    </w:p>
    <w:p w:rsidR="00CA171F" w:rsidRPr="00CA171F" w:rsidRDefault="00CA171F" w:rsidP="00CA171F">
      <w:r w:rsidRPr="00CA171F">
        <w:t xml:space="preserve">Mr. Martin </w:t>
      </w:r>
      <w:proofErr w:type="spellStart"/>
      <w:r w:rsidRPr="00CA171F">
        <w:t>Misidjan</w:t>
      </w:r>
      <w:proofErr w:type="spellEnd"/>
      <w:r w:rsidRPr="00CA171F">
        <w:t xml:space="preserve">, </w:t>
      </w:r>
      <w:r w:rsidR="001A0F0D">
        <w:t>Presidential Commissioner for Land Rights</w:t>
      </w:r>
    </w:p>
    <w:p w:rsidR="00CA171F" w:rsidRPr="00CA171F" w:rsidRDefault="00CA171F" w:rsidP="00CA171F">
      <w:r w:rsidRPr="00CA171F">
        <w:lastRenderedPageBreak/>
        <w:t xml:space="preserve">Mrs. </w:t>
      </w:r>
      <w:proofErr w:type="gramStart"/>
      <w:r w:rsidRPr="00CA171F">
        <w:t xml:space="preserve">Ellen  </w:t>
      </w:r>
      <w:proofErr w:type="spellStart"/>
      <w:r w:rsidRPr="00CA171F">
        <w:t>Naarendorp</w:t>
      </w:r>
      <w:proofErr w:type="spellEnd"/>
      <w:proofErr w:type="gramEnd"/>
      <w:r w:rsidRPr="00CA171F">
        <w:t>, Permanent Secretary, Ministry of Foreign Affairs</w:t>
      </w:r>
    </w:p>
    <w:p w:rsidR="00CA171F" w:rsidRPr="00CA171F" w:rsidRDefault="00CA171F" w:rsidP="00CA171F">
      <w:pPr>
        <w:rPr>
          <w:rFonts w:cs="Arial"/>
        </w:rPr>
      </w:pPr>
      <w:r w:rsidRPr="00CA171F">
        <w:rPr>
          <w:rFonts w:cs="Arial"/>
        </w:rPr>
        <w:t xml:space="preserve">Mr. Max </w:t>
      </w:r>
      <w:proofErr w:type="spellStart"/>
      <w:r w:rsidRPr="00CA171F">
        <w:rPr>
          <w:rFonts w:cs="Arial"/>
        </w:rPr>
        <w:t>Ooft</w:t>
      </w:r>
      <w:proofErr w:type="spellEnd"/>
      <w:proofErr w:type="gramStart"/>
      <w:r w:rsidRPr="00CA171F">
        <w:rPr>
          <w:rFonts w:cs="Arial"/>
        </w:rPr>
        <w:t xml:space="preserve">, </w:t>
      </w:r>
      <w:r>
        <w:rPr>
          <w:rFonts w:cs="Arial"/>
        </w:rPr>
        <w:t>??</w:t>
      </w:r>
      <w:proofErr w:type="gramEnd"/>
      <w:r w:rsidRPr="00CA171F">
        <w:rPr>
          <w:rFonts w:cs="Arial"/>
        </w:rPr>
        <w:t>VIDS staff??</w:t>
      </w:r>
    </w:p>
    <w:p w:rsidR="006304AB" w:rsidRPr="00CA171F" w:rsidRDefault="00CA171F" w:rsidP="00CA171F">
      <w:proofErr w:type="spellStart"/>
      <w:r w:rsidRPr="00CA171F">
        <w:t>Mr.Cedric</w:t>
      </w:r>
      <w:proofErr w:type="spellEnd"/>
      <w:r w:rsidRPr="00CA171F">
        <w:t xml:space="preserve"> </w:t>
      </w:r>
      <w:proofErr w:type="spellStart"/>
      <w:r w:rsidRPr="00CA171F">
        <w:t>Nelom</w:t>
      </w:r>
      <w:proofErr w:type="spellEnd"/>
      <w:r w:rsidRPr="00CA171F">
        <w:t xml:space="preserve">, </w:t>
      </w:r>
      <w:r w:rsidR="00104484">
        <w:t>Acting Director,</w:t>
      </w:r>
      <w:r w:rsidR="006304AB" w:rsidRPr="00CA171F">
        <w:t xml:space="preserve"> NIMOS</w:t>
      </w:r>
    </w:p>
    <w:p w:rsidR="00CA171F" w:rsidRPr="00CA171F" w:rsidRDefault="00CA171F" w:rsidP="00CA171F">
      <w:pPr>
        <w:rPr>
          <w:rFonts w:cs="Arial"/>
        </w:rPr>
      </w:pPr>
      <w:r w:rsidRPr="00CA171F">
        <w:rPr>
          <w:rFonts w:cs="Arial"/>
        </w:rPr>
        <w:t xml:space="preserve">Ms. </w:t>
      </w:r>
      <w:proofErr w:type="spellStart"/>
      <w:r w:rsidRPr="00CA171F">
        <w:rPr>
          <w:rFonts w:cs="Arial"/>
        </w:rPr>
        <w:t>Jornell</w:t>
      </w:r>
      <w:proofErr w:type="spellEnd"/>
      <w:r w:rsidRPr="00CA171F">
        <w:rPr>
          <w:rFonts w:cs="Arial"/>
        </w:rPr>
        <w:t xml:space="preserve"> </w:t>
      </w:r>
      <w:proofErr w:type="spellStart"/>
      <w:r w:rsidRPr="00CA171F">
        <w:rPr>
          <w:rFonts w:cs="Arial"/>
        </w:rPr>
        <w:t>Vinkwolk</w:t>
      </w:r>
      <w:proofErr w:type="spellEnd"/>
      <w:r w:rsidRPr="00CA171F">
        <w:rPr>
          <w:rFonts w:cs="Arial"/>
        </w:rPr>
        <w:t xml:space="preserve">, </w:t>
      </w:r>
      <w:r w:rsidRPr="00CA171F">
        <w:t>Human Rights Bureau</w:t>
      </w:r>
      <w:r w:rsidRPr="00CA171F">
        <w:rPr>
          <w:rFonts w:cs="Arial"/>
        </w:rPr>
        <w:t xml:space="preserve">, </w:t>
      </w:r>
      <w:r w:rsidRPr="00CA171F">
        <w:t>Ministry of Justice and Police</w:t>
      </w:r>
    </w:p>
    <w:p w:rsidR="00CA171F" w:rsidRPr="00CA171F" w:rsidRDefault="00CA171F" w:rsidP="00CA171F">
      <w:pPr>
        <w:rPr>
          <w:rFonts w:cs="Arial"/>
        </w:rPr>
      </w:pPr>
      <w:r w:rsidRPr="00CA171F">
        <w:rPr>
          <w:rFonts w:cs="Arial"/>
        </w:rPr>
        <w:t xml:space="preserve">Mrs. </w:t>
      </w:r>
      <w:proofErr w:type="spellStart"/>
      <w:r w:rsidRPr="00CA171F">
        <w:rPr>
          <w:rFonts w:cs="Arial"/>
        </w:rPr>
        <w:t>Ifna</w:t>
      </w:r>
      <w:proofErr w:type="spellEnd"/>
      <w:r w:rsidRPr="00CA171F">
        <w:rPr>
          <w:rFonts w:cs="Arial"/>
        </w:rPr>
        <w:t xml:space="preserve"> </w:t>
      </w:r>
      <w:proofErr w:type="spellStart"/>
      <w:r w:rsidRPr="00CA171F">
        <w:rPr>
          <w:rFonts w:cs="Arial"/>
        </w:rPr>
        <w:t>Vrede</w:t>
      </w:r>
      <w:proofErr w:type="spellEnd"/>
      <w:r w:rsidRPr="00CA171F">
        <w:rPr>
          <w:rFonts w:cs="Arial"/>
        </w:rPr>
        <w:t>, Permanent Secretary, Ministry of Regional Development</w:t>
      </w:r>
    </w:p>
    <w:p w:rsidR="00CA171F" w:rsidRPr="00CA171F" w:rsidRDefault="00CA171F" w:rsidP="00CA171F"/>
    <w:p w:rsidR="00CA171F" w:rsidRPr="00054436" w:rsidRDefault="00CA171F" w:rsidP="006304AB"/>
    <w:p w:rsidR="006304AB" w:rsidRDefault="006304AB" w:rsidP="00A45136"/>
    <w:sectPr w:rsidR="006304AB" w:rsidSect="00EE67DD">
      <w:headerReference w:type="default" r:id="rId13"/>
      <w:footerReference w:type="defaul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C2" w:rsidRDefault="006932C2" w:rsidP="00FC2287">
      <w:pPr>
        <w:spacing w:after="0"/>
      </w:pPr>
      <w:r>
        <w:separator/>
      </w:r>
    </w:p>
  </w:endnote>
  <w:endnote w:type="continuationSeparator" w:id="0">
    <w:p w:rsidR="006932C2" w:rsidRDefault="006932C2" w:rsidP="00FC22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1F" w:rsidRPr="00EE67DD" w:rsidRDefault="00CA171F">
    <w:pPr>
      <w:pStyle w:val="Footer"/>
      <w:rPr>
        <w:rStyle w:val="PageNumber"/>
        <w:sz w:val="20"/>
        <w:szCs w:val="20"/>
      </w:rPr>
    </w:pPr>
    <w:r w:rsidRPr="00EE67DD">
      <w:rPr>
        <w:sz w:val="20"/>
        <w:szCs w:val="20"/>
      </w:rPr>
      <w:t>Draft Suriname REDD+ FGRM Assessment Report</w:t>
    </w:r>
    <w:r w:rsidRPr="00EE67DD">
      <w:rPr>
        <w:sz w:val="20"/>
        <w:szCs w:val="20"/>
      </w:rPr>
      <w:tab/>
    </w:r>
    <w:r>
      <w:rPr>
        <w:sz w:val="20"/>
        <w:szCs w:val="20"/>
      </w:rPr>
      <w:tab/>
    </w:r>
    <w:r w:rsidRPr="00EE67DD">
      <w:rPr>
        <w:rStyle w:val="PageNumber"/>
        <w:sz w:val="20"/>
        <w:szCs w:val="20"/>
      </w:rPr>
      <w:fldChar w:fldCharType="begin"/>
    </w:r>
    <w:r w:rsidRPr="00EE67DD">
      <w:rPr>
        <w:rStyle w:val="PageNumber"/>
        <w:sz w:val="20"/>
        <w:szCs w:val="20"/>
      </w:rPr>
      <w:instrText xml:space="preserve"> PAGE </w:instrText>
    </w:r>
    <w:r w:rsidRPr="00EE67DD">
      <w:rPr>
        <w:rStyle w:val="PageNumber"/>
        <w:sz w:val="20"/>
        <w:szCs w:val="20"/>
      </w:rPr>
      <w:fldChar w:fldCharType="separate"/>
    </w:r>
    <w:r w:rsidR="00B8211C">
      <w:rPr>
        <w:rStyle w:val="PageNumber"/>
        <w:noProof/>
        <w:sz w:val="20"/>
        <w:szCs w:val="20"/>
      </w:rPr>
      <w:t>21</w:t>
    </w:r>
    <w:r w:rsidRPr="00EE67DD">
      <w:rPr>
        <w:rStyle w:val="PageNumber"/>
        <w:sz w:val="20"/>
        <w:szCs w:val="20"/>
      </w:rPr>
      <w:fldChar w:fldCharType="end"/>
    </w:r>
  </w:p>
  <w:p w:rsidR="00CA171F" w:rsidRPr="00EE67DD" w:rsidRDefault="00CA171F">
    <w:pPr>
      <w:pStyle w:val="Footer"/>
      <w:rPr>
        <w:sz w:val="20"/>
        <w:szCs w:val="20"/>
      </w:rPr>
    </w:pPr>
    <w:r w:rsidRPr="00EE67DD">
      <w:rPr>
        <w:rStyle w:val="PageNumber"/>
        <w:sz w:val="20"/>
        <w:szCs w:val="20"/>
      </w:rPr>
      <w:t>November 27,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C2" w:rsidRDefault="006932C2" w:rsidP="00FC2287">
      <w:pPr>
        <w:spacing w:after="0"/>
      </w:pPr>
      <w:r>
        <w:separator/>
      </w:r>
    </w:p>
  </w:footnote>
  <w:footnote w:type="continuationSeparator" w:id="0">
    <w:p w:rsidR="006932C2" w:rsidRDefault="006932C2" w:rsidP="00FC2287">
      <w:pPr>
        <w:spacing w:after="0"/>
      </w:pPr>
      <w:r>
        <w:continuationSeparator/>
      </w:r>
    </w:p>
  </w:footnote>
  <w:footnote w:id="1">
    <w:p w:rsidR="00CA171F" w:rsidRDefault="00CA171F" w:rsidP="003D3F7E">
      <w:pPr>
        <w:pStyle w:val="FootnoteText"/>
      </w:pPr>
      <w:r w:rsidRPr="003D3F7E">
        <w:rPr>
          <w:rStyle w:val="FootnoteReference"/>
          <w:sz w:val="20"/>
          <w:szCs w:val="20"/>
        </w:rPr>
        <w:footnoteRef/>
      </w:r>
      <w:r>
        <w:t xml:space="preserve"> </w:t>
      </w:r>
      <w:r w:rsidRPr="003D3F7E">
        <w:rPr>
          <w:sz w:val="20"/>
          <w:szCs w:val="20"/>
        </w:rPr>
        <w:t xml:space="preserve">This </w:t>
      </w:r>
      <w:r>
        <w:rPr>
          <w:sz w:val="20"/>
          <w:szCs w:val="20"/>
        </w:rPr>
        <w:t xml:space="preserve">Draft </w:t>
      </w:r>
      <w:r w:rsidRPr="003D3F7E">
        <w:rPr>
          <w:sz w:val="20"/>
          <w:szCs w:val="20"/>
        </w:rPr>
        <w:t xml:space="preserve">Report </w:t>
      </w:r>
      <w:r>
        <w:rPr>
          <w:sz w:val="20"/>
          <w:szCs w:val="20"/>
        </w:rPr>
        <w:t xml:space="preserve">was </w:t>
      </w:r>
      <w:r w:rsidRPr="003D3F7E">
        <w:rPr>
          <w:sz w:val="20"/>
          <w:szCs w:val="20"/>
        </w:rPr>
        <w:t>prepared by David Fairman, Managing Director, Consensus Building Institute (www.cbuilding.org), for UN-REDD Cambodia.</w:t>
      </w:r>
    </w:p>
    <w:p w:rsidR="00CA171F" w:rsidRDefault="00CA17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1F" w:rsidRDefault="00CA1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EC1506"/>
    <w:lvl w:ilvl="0">
      <w:start w:val="1"/>
      <w:numFmt w:val="upperRoman"/>
      <w:pStyle w:val="ListNumber"/>
      <w:lvlText w:val="%1."/>
      <w:lvlJc w:val="left"/>
      <w:pPr>
        <w:tabs>
          <w:tab w:val="num" w:pos="360"/>
        </w:tabs>
        <w:ind w:left="360" w:hanging="360"/>
      </w:pPr>
    </w:lvl>
  </w:abstractNum>
  <w:abstractNum w:abstractNumId="1">
    <w:nsid w:val="08653558"/>
    <w:multiLevelType w:val="hybridMultilevel"/>
    <w:tmpl w:val="6D12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E333E"/>
    <w:multiLevelType w:val="hybridMultilevel"/>
    <w:tmpl w:val="1CC6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9363A"/>
    <w:multiLevelType w:val="hybridMultilevel"/>
    <w:tmpl w:val="33D2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85DB5"/>
    <w:multiLevelType w:val="multilevel"/>
    <w:tmpl w:val="6B565F7A"/>
    <w:lvl w:ilvl="0">
      <w:start w:val="1"/>
      <w:numFmt w:val="decimal"/>
      <w:pStyle w:val="Heading1"/>
      <w:lvlText w:val="%1."/>
      <w:lvlJc w:val="left"/>
      <w:pPr>
        <w:ind w:left="360" w:hanging="360"/>
      </w:pPr>
    </w:lvl>
    <w:lvl w:ilvl="1">
      <w:start w:val="1"/>
      <w:numFmt w:val="decimal"/>
      <w:pStyle w:val="Heading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A11557"/>
    <w:multiLevelType w:val="hybridMultilevel"/>
    <w:tmpl w:val="9E640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424E15"/>
    <w:multiLevelType w:val="hybridMultilevel"/>
    <w:tmpl w:val="BE229AB0"/>
    <w:lvl w:ilvl="0" w:tplc="8832CE1C">
      <w:start w:val="1"/>
      <w:numFmt w:val="bullet"/>
      <w:pStyle w:val="Agenda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4C7568FC"/>
    <w:multiLevelType w:val="hybridMultilevel"/>
    <w:tmpl w:val="D4BE28A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D36C69"/>
    <w:multiLevelType w:val="hybridMultilevel"/>
    <w:tmpl w:val="7B46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F26FAC"/>
    <w:multiLevelType w:val="hybridMultilevel"/>
    <w:tmpl w:val="C12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60FE9"/>
    <w:multiLevelType w:val="hybridMultilevel"/>
    <w:tmpl w:val="08B0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A1545"/>
    <w:multiLevelType w:val="hybridMultilevel"/>
    <w:tmpl w:val="CFE2C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46589"/>
    <w:multiLevelType w:val="hybridMultilevel"/>
    <w:tmpl w:val="4E3C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11"/>
  </w:num>
  <w:num w:numId="5">
    <w:abstractNumId w:val="5"/>
  </w:num>
  <w:num w:numId="6">
    <w:abstractNumId w:val="8"/>
  </w:num>
  <w:num w:numId="7">
    <w:abstractNumId w:val="12"/>
  </w:num>
  <w:num w:numId="8">
    <w:abstractNumId w:val="3"/>
  </w:num>
  <w:num w:numId="9">
    <w:abstractNumId w:val="10"/>
  </w:num>
  <w:num w:numId="10">
    <w:abstractNumId w:val="2"/>
  </w:num>
  <w:num w:numId="11">
    <w:abstractNumId w:val="9"/>
  </w:num>
  <w:num w:numId="12">
    <w:abstractNumId w:val="4"/>
  </w:num>
  <w:num w:numId="13">
    <w:abstractNumId w:val="7"/>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0"/>
    <w:rsid w:val="000148F4"/>
    <w:rsid w:val="00025760"/>
    <w:rsid w:val="00034D0C"/>
    <w:rsid w:val="0006326E"/>
    <w:rsid w:val="00076635"/>
    <w:rsid w:val="000D223F"/>
    <w:rsid w:val="001011E8"/>
    <w:rsid w:val="00104484"/>
    <w:rsid w:val="001109E8"/>
    <w:rsid w:val="0012034D"/>
    <w:rsid w:val="001431DC"/>
    <w:rsid w:val="00167800"/>
    <w:rsid w:val="00174C88"/>
    <w:rsid w:val="00182608"/>
    <w:rsid w:val="00182EFF"/>
    <w:rsid w:val="001A0F0D"/>
    <w:rsid w:val="001B4592"/>
    <w:rsid w:val="001B7604"/>
    <w:rsid w:val="001D278D"/>
    <w:rsid w:val="001D5E5C"/>
    <w:rsid w:val="002033C3"/>
    <w:rsid w:val="00222B9A"/>
    <w:rsid w:val="00280CE5"/>
    <w:rsid w:val="00293C32"/>
    <w:rsid w:val="002E1FEA"/>
    <w:rsid w:val="002E38CA"/>
    <w:rsid w:val="00300DD3"/>
    <w:rsid w:val="00303A81"/>
    <w:rsid w:val="00315C63"/>
    <w:rsid w:val="0033088D"/>
    <w:rsid w:val="00344419"/>
    <w:rsid w:val="00346BE4"/>
    <w:rsid w:val="00362270"/>
    <w:rsid w:val="0037642C"/>
    <w:rsid w:val="003776E1"/>
    <w:rsid w:val="00380E52"/>
    <w:rsid w:val="00381938"/>
    <w:rsid w:val="00385B79"/>
    <w:rsid w:val="003917BD"/>
    <w:rsid w:val="00391ABE"/>
    <w:rsid w:val="003A60F8"/>
    <w:rsid w:val="003C6D63"/>
    <w:rsid w:val="003D3F7E"/>
    <w:rsid w:val="003F73A3"/>
    <w:rsid w:val="00404FF0"/>
    <w:rsid w:val="0041318D"/>
    <w:rsid w:val="00436ACA"/>
    <w:rsid w:val="004844ED"/>
    <w:rsid w:val="004B7E7E"/>
    <w:rsid w:val="004C1787"/>
    <w:rsid w:val="004C4E6B"/>
    <w:rsid w:val="004E6BDE"/>
    <w:rsid w:val="00501CCF"/>
    <w:rsid w:val="005071C1"/>
    <w:rsid w:val="005446AC"/>
    <w:rsid w:val="00553E8F"/>
    <w:rsid w:val="00556053"/>
    <w:rsid w:val="00562E6D"/>
    <w:rsid w:val="00580775"/>
    <w:rsid w:val="00583BE0"/>
    <w:rsid w:val="0058420C"/>
    <w:rsid w:val="005A1448"/>
    <w:rsid w:val="005D539A"/>
    <w:rsid w:val="00604E9D"/>
    <w:rsid w:val="00607135"/>
    <w:rsid w:val="006304AB"/>
    <w:rsid w:val="006407B9"/>
    <w:rsid w:val="00667698"/>
    <w:rsid w:val="00680E6B"/>
    <w:rsid w:val="00681AE2"/>
    <w:rsid w:val="006932C2"/>
    <w:rsid w:val="006946A1"/>
    <w:rsid w:val="0069561C"/>
    <w:rsid w:val="0069798A"/>
    <w:rsid w:val="006B0E32"/>
    <w:rsid w:val="006B79C6"/>
    <w:rsid w:val="006C0A28"/>
    <w:rsid w:val="006D26DD"/>
    <w:rsid w:val="007108D2"/>
    <w:rsid w:val="0072565C"/>
    <w:rsid w:val="00727A7D"/>
    <w:rsid w:val="00740766"/>
    <w:rsid w:val="00756883"/>
    <w:rsid w:val="00763E08"/>
    <w:rsid w:val="007E0BF1"/>
    <w:rsid w:val="007E69E2"/>
    <w:rsid w:val="008007E2"/>
    <w:rsid w:val="0081576F"/>
    <w:rsid w:val="00820027"/>
    <w:rsid w:val="008229B6"/>
    <w:rsid w:val="00840465"/>
    <w:rsid w:val="0085036C"/>
    <w:rsid w:val="00871B5F"/>
    <w:rsid w:val="008B5C70"/>
    <w:rsid w:val="008B5EC6"/>
    <w:rsid w:val="008D2232"/>
    <w:rsid w:val="008D61C1"/>
    <w:rsid w:val="008F3545"/>
    <w:rsid w:val="00901A63"/>
    <w:rsid w:val="0092661A"/>
    <w:rsid w:val="00927307"/>
    <w:rsid w:val="00950D30"/>
    <w:rsid w:val="0097430F"/>
    <w:rsid w:val="00974FBE"/>
    <w:rsid w:val="009A1E20"/>
    <w:rsid w:val="009D767B"/>
    <w:rsid w:val="009F62E4"/>
    <w:rsid w:val="009F6A3E"/>
    <w:rsid w:val="00A25878"/>
    <w:rsid w:val="00A45136"/>
    <w:rsid w:val="00AC387D"/>
    <w:rsid w:val="00AC5BA1"/>
    <w:rsid w:val="00AD0A8B"/>
    <w:rsid w:val="00B40251"/>
    <w:rsid w:val="00B748BE"/>
    <w:rsid w:val="00B8211C"/>
    <w:rsid w:val="00BB2A96"/>
    <w:rsid w:val="00BE545B"/>
    <w:rsid w:val="00C038C1"/>
    <w:rsid w:val="00C1751D"/>
    <w:rsid w:val="00C426A6"/>
    <w:rsid w:val="00C57F71"/>
    <w:rsid w:val="00C9547B"/>
    <w:rsid w:val="00C96786"/>
    <w:rsid w:val="00CA171F"/>
    <w:rsid w:val="00CC53F2"/>
    <w:rsid w:val="00D06832"/>
    <w:rsid w:val="00D22422"/>
    <w:rsid w:val="00D30BA5"/>
    <w:rsid w:val="00D427EA"/>
    <w:rsid w:val="00D81098"/>
    <w:rsid w:val="00DB4BCC"/>
    <w:rsid w:val="00E023C3"/>
    <w:rsid w:val="00E060CE"/>
    <w:rsid w:val="00E2768C"/>
    <w:rsid w:val="00E3258A"/>
    <w:rsid w:val="00E40340"/>
    <w:rsid w:val="00EB7356"/>
    <w:rsid w:val="00EC284D"/>
    <w:rsid w:val="00ED7739"/>
    <w:rsid w:val="00EE67DD"/>
    <w:rsid w:val="00F06AF8"/>
    <w:rsid w:val="00F40A5A"/>
    <w:rsid w:val="00F44FA7"/>
    <w:rsid w:val="00F600F0"/>
    <w:rsid w:val="00F6062B"/>
    <w:rsid w:val="00FC22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8C"/>
    <w:pPr>
      <w:spacing w:after="120"/>
    </w:pPr>
    <w:rPr>
      <w:rFonts w:asciiTheme="majorHAnsi" w:hAnsiTheme="majorHAnsi"/>
    </w:rPr>
  </w:style>
  <w:style w:type="paragraph" w:styleId="Heading1">
    <w:name w:val="heading 1"/>
    <w:basedOn w:val="Normal"/>
    <w:next w:val="Normal"/>
    <w:link w:val="Heading1Char"/>
    <w:uiPriority w:val="9"/>
    <w:qFormat/>
    <w:rsid w:val="00763E08"/>
    <w:pPr>
      <w:keepNext/>
      <w:keepLines/>
      <w:numPr>
        <w:numId w:val="12"/>
      </w:numPr>
      <w:spacing w:before="480" w:after="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3E08"/>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D46ABA"/>
    <w:pPr>
      <w:numPr>
        <w:numId w:val="1"/>
      </w:numPr>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2"/>
      </w:numPr>
    </w:pPr>
  </w:style>
  <w:style w:type="character" w:customStyle="1" w:styleId="Heading1Char">
    <w:name w:val="Heading 1 Char"/>
    <w:basedOn w:val="DefaultParagraphFont"/>
    <w:link w:val="Heading1"/>
    <w:uiPriority w:val="9"/>
    <w:rsid w:val="00763E0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776E1"/>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3776E1"/>
    <w:pPr>
      <w:spacing w:before="120" w:after="0"/>
    </w:pPr>
    <w:rPr>
      <w:b/>
      <w:color w:val="548DD4"/>
    </w:rPr>
  </w:style>
  <w:style w:type="paragraph" w:styleId="TOC2">
    <w:name w:val="toc 2"/>
    <w:basedOn w:val="Normal"/>
    <w:next w:val="Normal"/>
    <w:autoRedefine/>
    <w:uiPriority w:val="39"/>
    <w:unhideWhenUsed/>
    <w:rsid w:val="003776E1"/>
    <w:pPr>
      <w:spacing w:after="0"/>
    </w:pPr>
    <w:rPr>
      <w:rFonts w:asciiTheme="minorHAnsi" w:hAnsiTheme="minorHAnsi"/>
      <w:sz w:val="22"/>
      <w:szCs w:val="22"/>
    </w:rPr>
  </w:style>
  <w:style w:type="paragraph" w:styleId="TOC3">
    <w:name w:val="toc 3"/>
    <w:basedOn w:val="Normal"/>
    <w:next w:val="Normal"/>
    <w:autoRedefine/>
    <w:uiPriority w:val="39"/>
    <w:unhideWhenUsed/>
    <w:rsid w:val="003776E1"/>
    <w:pPr>
      <w:spacing w:after="0"/>
      <w:ind w:left="240"/>
    </w:pPr>
    <w:rPr>
      <w:rFonts w:asciiTheme="minorHAnsi" w:hAnsiTheme="minorHAnsi"/>
      <w:i/>
      <w:sz w:val="22"/>
      <w:szCs w:val="22"/>
    </w:rPr>
  </w:style>
  <w:style w:type="paragraph" w:styleId="TOC4">
    <w:name w:val="toc 4"/>
    <w:basedOn w:val="Normal"/>
    <w:next w:val="Normal"/>
    <w:autoRedefine/>
    <w:uiPriority w:val="39"/>
    <w:unhideWhenUsed/>
    <w:rsid w:val="003776E1"/>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3776E1"/>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3776E1"/>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776E1"/>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776E1"/>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3776E1"/>
    <w:pPr>
      <w:pBdr>
        <w:between w:val="double" w:sz="6" w:space="0" w:color="auto"/>
      </w:pBdr>
      <w:spacing w:after="0"/>
      <w:ind w:left="1680"/>
    </w:pPr>
    <w:rPr>
      <w:rFonts w:asciiTheme="minorHAnsi" w:hAnsiTheme="minorHAnsi"/>
      <w:sz w:val="20"/>
      <w:szCs w:val="20"/>
    </w:rPr>
  </w:style>
  <w:style w:type="character" w:customStyle="1" w:styleId="Heading2Char">
    <w:name w:val="Heading 2 Char"/>
    <w:basedOn w:val="DefaultParagraphFont"/>
    <w:link w:val="Heading2"/>
    <w:uiPriority w:val="9"/>
    <w:rsid w:val="00763E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82608"/>
    <w:pPr>
      <w:ind w:left="720"/>
      <w:contextualSpacing/>
    </w:pPr>
  </w:style>
  <w:style w:type="paragraph" w:styleId="EndnoteText">
    <w:name w:val="endnote text"/>
    <w:basedOn w:val="Normal"/>
    <w:link w:val="EndnoteTextChar"/>
    <w:uiPriority w:val="99"/>
    <w:unhideWhenUsed/>
    <w:rsid w:val="00FC2287"/>
    <w:pPr>
      <w:spacing w:after="0"/>
    </w:pPr>
    <w:rPr>
      <w:rFonts w:asciiTheme="minorHAnsi" w:hAnsiTheme="minorHAnsi"/>
      <w:lang w:eastAsia="en-US"/>
    </w:rPr>
  </w:style>
  <w:style w:type="character" w:customStyle="1" w:styleId="EndnoteTextChar">
    <w:name w:val="Endnote Text Char"/>
    <w:basedOn w:val="DefaultParagraphFont"/>
    <w:link w:val="EndnoteText"/>
    <w:uiPriority w:val="99"/>
    <w:rsid w:val="00FC2287"/>
    <w:rPr>
      <w:lang w:eastAsia="en-US"/>
    </w:rPr>
  </w:style>
  <w:style w:type="character" w:styleId="EndnoteReference">
    <w:name w:val="endnote reference"/>
    <w:basedOn w:val="DefaultParagraphFont"/>
    <w:uiPriority w:val="99"/>
    <w:unhideWhenUsed/>
    <w:rsid w:val="00FC2287"/>
    <w:rPr>
      <w:vertAlign w:val="superscript"/>
    </w:rPr>
  </w:style>
  <w:style w:type="paragraph" w:customStyle="1" w:styleId="Default">
    <w:name w:val="Default"/>
    <w:rsid w:val="008D61C1"/>
    <w:pPr>
      <w:widowControl w:val="0"/>
      <w:autoSpaceDE w:val="0"/>
      <w:autoSpaceDN w:val="0"/>
      <w:adjustRightInd w:val="0"/>
      <w:spacing w:after="0"/>
    </w:pPr>
    <w:rPr>
      <w:rFonts w:ascii="Calibri" w:hAnsi="Calibri" w:cs="Calibri"/>
      <w:color w:val="000000"/>
    </w:rPr>
  </w:style>
  <w:style w:type="character" w:styleId="Hyperlink">
    <w:name w:val="Hyperlink"/>
    <w:basedOn w:val="DefaultParagraphFont"/>
    <w:uiPriority w:val="99"/>
    <w:unhideWhenUsed/>
    <w:rsid w:val="007E0BF1"/>
    <w:rPr>
      <w:color w:val="0000FF" w:themeColor="hyperlink"/>
      <w:u w:val="single"/>
    </w:rPr>
  </w:style>
  <w:style w:type="paragraph" w:styleId="Header">
    <w:name w:val="header"/>
    <w:basedOn w:val="Normal"/>
    <w:link w:val="HeaderChar"/>
    <w:uiPriority w:val="99"/>
    <w:unhideWhenUsed/>
    <w:rsid w:val="00362270"/>
    <w:pPr>
      <w:tabs>
        <w:tab w:val="center" w:pos="4320"/>
        <w:tab w:val="right" w:pos="8640"/>
      </w:tabs>
      <w:spacing w:after="0"/>
    </w:pPr>
  </w:style>
  <w:style w:type="character" w:customStyle="1" w:styleId="HeaderChar">
    <w:name w:val="Header Char"/>
    <w:basedOn w:val="DefaultParagraphFont"/>
    <w:link w:val="Header"/>
    <w:uiPriority w:val="99"/>
    <w:rsid w:val="00362270"/>
    <w:rPr>
      <w:rFonts w:asciiTheme="majorHAnsi" w:hAnsiTheme="majorHAnsi"/>
    </w:rPr>
  </w:style>
  <w:style w:type="paragraph" w:styleId="Footer">
    <w:name w:val="footer"/>
    <w:basedOn w:val="Normal"/>
    <w:link w:val="FooterChar"/>
    <w:uiPriority w:val="99"/>
    <w:unhideWhenUsed/>
    <w:rsid w:val="00362270"/>
    <w:pPr>
      <w:tabs>
        <w:tab w:val="center" w:pos="4320"/>
        <w:tab w:val="right" w:pos="8640"/>
      </w:tabs>
      <w:spacing w:after="0"/>
    </w:pPr>
  </w:style>
  <w:style w:type="character" w:customStyle="1" w:styleId="FooterChar">
    <w:name w:val="Footer Char"/>
    <w:basedOn w:val="DefaultParagraphFont"/>
    <w:link w:val="Footer"/>
    <w:uiPriority w:val="99"/>
    <w:rsid w:val="00362270"/>
    <w:rPr>
      <w:rFonts w:asciiTheme="majorHAnsi" w:hAnsiTheme="majorHAnsi"/>
    </w:rPr>
  </w:style>
  <w:style w:type="paragraph" w:customStyle="1" w:styleId="Heading11">
    <w:name w:val="Heading 1.1"/>
    <w:basedOn w:val="Heading1"/>
    <w:autoRedefine/>
    <w:qFormat/>
    <w:rsid w:val="00756883"/>
    <w:pPr>
      <w:numPr>
        <w:ilvl w:val="1"/>
      </w:numPr>
    </w:pPr>
    <w:rPr>
      <w:sz w:val="24"/>
      <w:szCs w:val="24"/>
    </w:rPr>
  </w:style>
  <w:style w:type="character" w:styleId="PageNumber">
    <w:name w:val="page number"/>
    <w:basedOn w:val="DefaultParagraphFont"/>
    <w:uiPriority w:val="99"/>
    <w:semiHidden/>
    <w:unhideWhenUsed/>
    <w:rsid w:val="00EE67DD"/>
  </w:style>
  <w:style w:type="paragraph" w:styleId="FootnoteText">
    <w:name w:val="footnote text"/>
    <w:basedOn w:val="Normal"/>
    <w:link w:val="FootnoteTextChar"/>
    <w:unhideWhenUsed/>
    <w:rsid w:val="003D3F7E"/>
    <w:pPr>
      <w:spacing w:after="0"/>
    </w:pPr>
  </w:style>
  <w:style w:type="character" w:customStyle="1" w:styleId="FootnoteTextChar">
    <w:name w:val="Footnote Text Char"/>
    <w:basedOn w:val="DefaultParagraphFont"/>
    <w:link w:val="FootnoteText"/>
    <w:rsid w:val="003D3F7E"/>
    <w:rPr>
      <w:rFonts w:asciiTheme="majorHAnsi" w:hAnsiTheme="majorHAnsi"/>
    </w:rPr>
  </w:style>
  <w:style w:type="character" w:styleId="FootnoteReference">
    <w:name w:val="footnote reference"/>
    <w:basedOn w:val="DefaultParagraphFont"/>
    <w:uiPriority w:val="99"/>
    <w:unhideWhenUsed/>
    <w:rsid w:val="003D3F7E"/>
    <w:rPr>
      <w:vertAlign w:val="superscript"/>
    </w:rPr>
  </w:style>
  <w:style w:type="table" w:styleId="TableGrid">
    <w:name w:val="Table Grid"/>
    <w:basedOn w:val="TableNormal"/>
    <w:uiPriority w:val="59"/>
    <w:rsid w:val="006304AB"/>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8C"/>
    <w:pPr>
      <w:spacing w:after="120"/>
    </w:pPr>
    <w:rPr>
      <w:rFonts w:asciiTheme="majorHAnsi" w:hAnsiTheme="majorHAnsi"/>
    </w:rPr>
  </w:style>
  <w:style w:type="paragraph" w:styleId="Heading1">
    <w:name w:val="heading 1"/>
    <w:basedOn w:val="Normal"/>
    <w:next w:val="Normal"/>
    <w:link w:val="Heading1Char"/>
    <w:uiPriority w:val="9"/>
    <w:qFormat/>
    <w:rsid w:val="00763E08"/>
    <w:pPr>
      <w:keepNext/>
      <w:keepLines/>
      <w:numPr>
        <w:numId w:val="12"/>
      </w:numPr>
      <w:spacing w:before="480" w:after="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3E08"/>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D46ABA"/>
    <w:pPr>
      <w:numPr>
        <w:numId w:val="1"/>
      </w:numPr>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2"/>
      </w:numPr>
    </w:pPr>
  </w:style>
  <w:style w:type="character" w:customStyle="1" w:styleId="Heading1Char">
    <w:name w:val="Heading 1 Char"/>
    <w:basedOn w:val="DefaultParagraphFont"/>
    <w:link w:val="Heading1"/>
    <w:uiPriority w:val="9"/>
    <w:rsid w:val="00763E0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776E1"/>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3776E1"/>
    <w:pPr>
      <w:spacing w:before="120" w:after="0"/>
    </w:pPr>
    <w:rPr>
      <w:b/>
      <w:color w:val="548DD4"/>
    </w:rPr>
  </w:style>
  <w:style w:type="paragraph" w:styleId="TOC2">
    <w:name w:val="toc 2"/>
    <w:basedOn w:val="Normal"/>
    <w:next w:val="Normal"/>
    <w:autoRedefine/>
    <w:uiPriority w:val="39"/>
    <w:unhideWhenUsed/>
    <w:rsid w:val="003776E1"/>
    <w:pPr>
      <w:spacing w:after="0"/>
    </w:pPr>
    <w:rPr>
      <w:rFonts w:asciiTheme="minorHAnsi" w:hAnsiTheme="minorHAnsi"/>
      <w:sz w:val="22"/>
      <w:szCs w:val="22"/>
    </w:rPr>
  </w:style>
  <w:style w:type="paragraph" w:styleId="TOC3">
    <w:name w:val="toc 3"/>
    <w:basedOn w:val="Normal"/>
    <w:next w:val="Normal"/>
    <w:autoRedefine/>
    <w:uiPriority w:val="39"/>
    <w:unhideWhenUsed/>
    <w:rsid w:val="003776E1"/>
    <w:pPr>
      <w:spacing w:after="0"/>
      <w:ind w:left="240"/>
    </w:pPr>
    <w:rPr>
      <w:rFonts w:asciiTheme="minorHAnsi" w:hAnsiTheme="minorHAnsi"/>
      <w:i/>
      <w:sz w:val="22"/>
      <w:szCs w:val="22"/>
    </w:rPr>
  </w:style>
  <w:style w:type="paragraph" w:styleId="TOC4">
    <w:name w:val="toc 4"/>
    <w:basedOn w:val="Normal"/>
    <w:next w:val="Normal"/>
    <w:autoRedefine/>
    <w:uiPriority w:val="39"/>
    <w:unhideWhenUsed/>
    <w:rsid w:val="003776E1"/>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3776E1"/>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3776E1"/>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776E1"/>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776E1"/>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3776E1"/>
    <w:pPr>
      <w:pBdr>
        <w:between w:val="double" w:sz="6" w:space="0" w:color="auto"/>
      </w:pBdr>
      <w:spacing w:after="0"/>
      <w:ind w:left="1680"/>
    </w:pPr>
    <w:rPr>
      <w:rFonts w:asciiTheme="minorHAnsi" w:hAnsiTheme="minorHAnsi"/>
      <w:sz w:val="20"/>
      <w:szCs w:val="20"/>
    </w:rPr>
  </w:style>
  <w:style w:type="character" w:customStyle="1" w:styleId="Heading2Char">
    <w:name w:val="Heading 2 Char"/>
    <w:basedOn w:val="DefaultParagraphFont"/>
    <w:link w:val="Heading2"/>
    <w:uiPriority w:val="9"/>
    <w:rsid w:val="00763E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82608"/>
    <w:pPr>
      <w:ind w:left="720"/>
      <w:contextualSpacing/>
    </w:pPr>
  </w:style>
  <w:style w:type="paragraph" w:styleId="EndnoteText">
    <w:name w:val="endnote text"/>
    <w:basedOn w:val="Normal"/>
    <w:link w:val="EndnoteTextChar"/>
    <w:uiPriority w:val="99"/>
    <w:unhideWhenUsed/>
    <w:rsid w:val="00FC2287"/>
    <w:pPr>
      <w:spacing w:after="0"/>
    </w:pPr>
    <w:rPr>
      <w:rFonts w:asciiTheme="minorHAnsi" w:hAnsiTheme="minorHAnsi"/>
      <w:lang w:eastAsia="en-US"/>
    </w:rPr>
  </w:style>
  <w:style w:type="character" w:customStyle="1" w:styleId="EndnoteTextChar">
    <w:name w:val="Endnote Text Char"/>
    <w:basedOn w:val="DefaultParagraphFont"/>
    <w:link w:val="EndnoteText"/>
    <w:uiPriority w:val="99"/>
    <w:rsid w:val="00FC2287"/>
    <w:rPr>
      <w:lang w:eastAsia="en-US"/>
    </w:rPr>
  </w:style>
  <w:style w:type="character" w:styleId="EndnoteReference">
    <w:name w:val="endnote reference"/>
    <w:basedOn w:val="DefaultParagraphFont"/>
    <w:uiPriority w:val="99"/>
    <w:unhideWhenUsed/>
    <w:rsid w:val="00FC2287"/>
    <w:rPr>
      <w:vertAlign w:val="superscript"/>
    </w:rPr>
  </w:style>
  <w:style w:type="paragraph" w:customStyle="1" w:styleId="Default">
    <w:name w:val="Default"/>
    <w:rsid w:val="008D61C1"/>
    <w:pPr>
      <w:widowControl w:val="0"/>
      <w:autoSpaceDE w:val="0"/>
      <w:autoSpaceDN w:val="0"/>
      <w:adjustRightInd w:val="0"/>
      <w:spacing w:after="0"/>
    </w:pPr>
    <w:rPr>
      <w:rFonts w:ascii="Calibri" w:hAnsi="Calibri" w:cs="Calibri"/>
      <w:color w:val="000000"/>
    </w:rPr>
  </w:style>
  <w:style w:type="character" w:styleId="Hyperlink">
    <w:name w:val="Hyperlink"/>
    <w:basedOn w:val="DefaultParagraphFont"/>
    <w:uiPriority w:val="99"/>
    <w:unhideWhenUsed/>
    <w:rsid w:val="007E0BF1"/>
    <w:rPr>
      <w:color w:val="0000FF" w:themeColor="hyperlink"/>
      <w:u w:val="single"/>
    </w:rPr>
  </w:style>
  <w:style w:type="paragraph" w:styleId="Header">
    <w:name w:val="header"/>
    <w:basedOn w:val="Normal"/>
    <w:link w:val="HeaderChar"/>
    <w:uiPriority w:val="99"/>
    <w:unhideWhenUsed/>
    <w:rsid w:val="00362270"/>
    <w:pPr>
      <w:tabs>
        <w:tab w:val="center" w:pos="4320"/>
        <w:tab w:val="right" w:pos="8640"/>
      </w:tabs>
      <w:spacing w:after="0"/>
    </w:pPr>
  </w:style>
  <w:style w:type="character" w:customStyle="1" w:styleId="HeaderChar">
    <w:name w:val="Header Char"/>
    <w:basedOn w:val="DefaultParagraphFont"/>
    <w:link w:val="Header"/>
    <w:uiPriority w:val="99"/>
    <w:rsid w:val="00362270"/>
    <w:rPr>
      <w:rFonts w:asciiTheme="majorHAnsi" w:hAnsiTheme="majorHAnsi"/>
    </w:rPr>
  </w:style>
  <w:style w:type="paragraph" w:styleId="Footer">
    <w:name w:val="footer"/>
    <w:basedOn w:val="Normal"/>
    <w:link w:val="FooterChar"/>
    <w:uiPriority w:val="99"/>
    <w:unhideWhenUsed/>
    <w:rsid w:val="00362270"/>
    <w:pPr>
      <w:tabs>
        <w:tab w:val="center" w:pos="4320"/>
        <w:tab w:val="right" w:pos="8640"/>
      </w:tabs>
      <w:spacing w:after="0"/>
    </w:pPr>
  </w:style>
  <w:style w:type="character" w:customStyle="1" w:styleId="FooterChar">
    <w:name w:val="Footer Char"/>
    <w:basedOn w:val="DefaultParagraphFont"/>
    <w:link w:val="Footer"/>
    <w:uiPriority w:val="99"/>
    <w:rsid w:val="00362270"/>
    <w:rPr>
      <w:rFonts w:asciiTheme="majorHAnsi" w:hAnsiTheme="majorHAnsi"/>
    </w:rPr>
  </w:style>
  <w:style w:type="paragraph" w:customStyle="1" w:styleId="Heading11">
    <w:name w:val="Heading 1.1"/>
    <w:basedOn w:val="Heading1"/>
    <w:autoRedefine/>
    <w:qFormat/>
    <w:rsid w:val="00756883"/>
    <w:pPr>
      <w:numPr>
        <w:ilvl w:val="1"/>
      </w:numPr>
    </w:pPr>
    <w:rPr>
      <w:sz w:val="24"/>
      <w:szCs w:val="24"/>
    </w:rPr>
  </w:style>
  <w:style w:type="character" w:styleId="PageNumber">
    <w:name w:val="page number"/>
    <w:basedOn w:val="DefaultParagraphFont"/>
    <w:uiPriority w:val="99"/>
    <w:semiHidden/>
    <w:unhideWhenUsed/>
    <w:rsid w:val="00EE67DD"/>
  </w:style>
  <w:style w:type="paragraph" w:styleId="FootnoteText">
    <w:name w:val="footnote text"/>
    <w:basedOn w:val="Normal"/>
    <w:link w:val="FootnoteTextChar"/>
    <w:unhideWhenUsed/>
    <w:rsid w:val="003D3F7E"/>
    <w:pPr>
      <w:spacing w:after="0"/>
    </w:pPr>
  </w:style>
  <w:style w:type="character" w:customStyle="1" w:styleId="FootnoteTextChar">
    <w:name w:val="Footnote Text Char"/>
    <w:basedOn w:val="DefaultParagraphFont"/>
    <w:link w:val="FootnoteText"/>
    <w:rsid w:val="003D3F7E"/>
    <w:rPr>
      <w:rFonts w:asciiTheme="majorHAnsi" w:hAnsiTheme="majorHAnsi"/>
    </w:rPr>
  </w:style>
  <w:style w:type="character" w:styleId="FootnoteReference">
    <w:name w:val="footnote reference"/>
    <w:basedOn w:val="DefaultParagraphFont"/>
    <w:uiPriority w:val="99"/>
    <w:unhideWhenUsed/>
    <w:rsid w:val="003D3F7E"/>
    <w:rPr>
      <w:vertAlign w:val="superscript"/>
    </w:rPr>
  </w:style>
  <w:style w:type="table" w:styleId="TableGrid">
    <w:name w:val="Table Grid"/>
    <w:basedOn w:val="TableNormal"/>
    <w:uiPriority w:val="59"/>
    <w:rsid w:val="006304AB"/>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3016">
      <w:bodyDiv w:val="1"/>
      <w:marLeft w:val="0"/>
      <w:marRight w:val="0"/>
      <w:marTop w:val="0"/>
      <w:marBottom w:val="0"/>
      <w:divBdr>
        <w:top w:val="none" w:sz="0" w:space="0" w:color="auto"/>
        <w:left w:val="none" w:sz="0" w:space="0" w:color="auto"/>
        <w:bottom w:val="none" w:sz="0" w:space="0" w:color="auto"/>
        <w:right w:val="none" w:sz="0" w:space="0" w:color="auto"/>
      </w:divBdr>
      <w:divsChild>
        <w:div w:id="243413885">
          <w:marLeft w:val="0"/>
          <w:marRight w:val="0"/>
          <w:marTop w:val="0"/>
          <w:marBottom w:val="0"/>
          <w:divBdr>
            <w:top w:val="none" w:sz="0" w:space="0" w:color="auto"/>
            <w:left w:val="none" w:sz="0" w:space="0" w:color="auto"/>
            <w:bottom w:val="none" w:sz="0" w:space="0" w:color="auto"/>
            <w:right w:val="none" w:sz="0" w:space="0" w:color="auto"/>
          </w:divBdr>
        </w:div>
        <w:div w:id="1825928846">
          <w:marLeft w:val="0"/>
          <w:marRight w:val="0"/>
          <w:marTop w:val="0"/>
          <w:marBottom w:val="0"/>
          <w:divBdr>
            <w:top w:val="none" w:sz="0" w:space="0" w:color="auto"/>
            <w:left w:val="none" w:sz="0" w:space="0" w:color="auto"/>
            <w:bottom w:val="none" w:sz="0" w:space="0" w:color="auto"/>
            <w:right w:val="none" w:sz="0" w:space="0" w:color="auto"/>
          </w:divBdr>
        </w:div>
        <w:div w:id="1229920741">
          <w:marLeft w:val="0"/>
          <w:marRight w:val="0"/>
          <w:marTop w:val="0"/>
          <w:marBottom w:val="0"/>
          <w:divBdr>
            <w:top w:val="none" w:sz="0" w:space="0" w:color="auto"/>
            <w:left w:val="none" w:sz="0" w:space="0" w:color="auto"/>
            <w:bottom w:val="none" w:sz="0" w:space="0" w:color="auto"/>
            <w:right w:val="none" w:sz="0" w:space="0" w:color="auto"/>
          </w:divBdr>
        </w:div>
        <w:div w:id="2053992029">
          <w:marLeft w:val="0"/>
          <w:marRight w:val="0"/>
          <w:marTop w:val="0"/>
          <w:marBottom w:val="0"/>
          <w:divBdr>
            <w:top w:val="none" w:sz="0" w:space="0" w:color="auto"/>
            <w:left w:val="none" w:sz="0" w:space="0" w:color="auto"/>
            <w:bottom w:val="none" w:sz="0" w:space="0" w:color="auto"/>
            <w:right w:val="none" w:sz="0" w:space="0" w:color="auto"/>
          </w:divBdr>
        </w:div>
        <w:div w:id="99569876">
          <w:marLeft w:val="0"/>
          <w:marRight w:val="0"/>
          <w:marTop w:val="0"/>
          <w:marBottom w:val="0"/>
          <w:divBdr>
            <w:top w:val="none" w:sz="0" w:space="0" w:color="auto"/>
            <w:left w:val="none" w:sz="0" w:space="0" w:color="auto"/>
            <w:bottom w:val="none" w:sz="0" w:space="0" w:color="auto"/>
            <w:right w:val="none" w:sz="0" w:space="0" w:color="auto"/>
          </w:divBdr>
        </w:div>
        <w:div w:id="81217754">
          <w:marLeft w:val="0"/>
          <w:marRight w:val="0"/>
          <w:marTop w:val="0"/>
          <w:marBottom w:val="0"/>
          <w:divBdr>
            <w:top w:val="none" w:sz="0" w:space="0" w:color="auto"/>
            <w:left w:val="none" w:sz="0" w:space="0" w:color="auto"/>
            <w:bottom w:val="none" w:sz="0" w:space="0" w:color="auto"/>
            <w:right w:val="none" w:sz="0" w:space="0" w:color="auto"/>
          </w:divBdr>
        </w:div>
        <w:div w:id="1893685523">
          <w:marLeft w:val="0"/>
          <w:marRight w:val="0"/>
          <w:marTop w:val="0"/>
          <w:marBottom w:val="0"/>
          <w:divBdr>
            <w:top w:val="none" w:sz="0" w:space="0" w:color="auto"/>
            <w:left w:val="none" w:sz="0" w:space="0" w:color="auto"/>
            <w:bottom w:val="none" w:sz="0" w:space="0" w:color="auto"/>
            <w:right w:val="none" w:sz="0" w:space="0" w:color="auto"/>
          </w:divBdr>
        </w:div>
        <w:div w:id="1412969405">
          <w:marLeft w:val="0"/>
          <w:marRight w:val="0"/>
          <w:marTop w:val="0"/>
          <w:marBottom w:val="0"/>
          <w:divBdr>
            <w:top w:val="none" w:sz="0" w:space="0" w:color="auto"/>
            <w:left w:val="none" w:sz="0" w:space="0" w:color="auto"/>
            <w:bottom w:val="none" w:sz="0" w:space="0" w:color="auto"/>
            <w:right w:val="none" w:sz="0" w:space="0" w:color="auto"/>
          </w:divBdr>
        </w:div>
        <w:div w:id="1583100857">
          <w:marLeft w:val="0"/>
          <w:marRight w:val="0"/>
          <w:marTop w:val="0"/>
          <w:marBottom w:val="0"/>
          <w:divBdr>
            <w:top w:val="none" w:sz="0" w:space="0" w:color="auto"/>
            <w:left w:val="none" w:sz="0" w:space="0" w:color="auto"/>
            <w:bottom w:val="none" w:sz="0" w:space="0" w:color="auto"/>
            <w:right w:val="none" w:sz="0" w:space="0" w:color="auto"/>
          </w:divBdr>
        </w:div>
        <w:div w:id="1789815573">
          <w:marLeft w:val="0"/>
          <w:marRight w:val="0"/>
          <w:marTop w:val="0"/>
          <w:marBottom w:val="0"/>
          <w:divBdr>
            <w:top w:val="none" w:sz="0" w:space="0" w:color="auto"/>
            <w:left w:val="none" w:sz="0" w:space="0" w:color="auto"/>
            <w:bottom w:val="none" w:sz="0" w:space="0" w:color="auto"/>
            <w:right w:val="none" w:sz="0" w:space="0" w:color="auto"/>
          </w:divBdr>
        </w:div>
        <w:div w:id="523130087">
          <w:marLeft w:val="0"/>
          <w:marRight w:val="0"/>
          <w:marTop w:val="0"/>
          <w:marBottom w:val="0"/>
          <w:divBdr>
            <w:top w:val="none" w:sz="0" w:space="0" w:color="auto"/>
            <w:left w:val="none" w:sz="0" w:space="0" w:color="auto"/>
            <w:bottom w:val="none" w:sz="0" w:space="0" w:color="auto"/>
            <w:right w:val="none" w:sz="0" w:space="0" w:color="auto"/>
          </w:divBdr>
        </w:div>
        <w:div w:id="845484198">
          <w:marLeft w:val="0"/>
          <w:marRight w:val="0"/>
          <w:marTop w:val="0"/>
          <w:marBottom w:val="0"/>
          <w:divBdr>
            <w:top w:val="none" w:sz="0" w:space="0" w:color="auto"/>
            <w:left w:val="none" w:sz="0" w:space="0" w:color="auto"/>
            <w:bottom w:val="none" w:sz="0" w:space="0" w:color="auto"/>
            <w:right w:val="none" w:sz="0" w:space="0" w:color="auto"/>
          </w:divBdr>
        </w:div>
        <w:div w:id="728069822">
          <w:marLeft w:val="0"/>
          <w:marRight w:val="0"/>
          <w:marTop w:val="0"/>
          <w:marBottom w:val="0"/>
          <w:divBdr>
            <w:top w:val="none" w:sz="0" w:space="0" w:color="auto"/>
            <w:left w:val="none" w:sz="0" w:space="0" w:color="auto"/>
            <w:bottom w:val="none" w:sz="0" w:space="0" w:color="auto"/>
            <w:right w:val="none" w:sz="0" w:space="0" w:color="auto"/>
          </w:divBdr>
        </w:div>
        <w:div w:id="31348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redd.net/index.php?option=com_docman&amp;task=doc_download&amp;gid=10462&amp;Itemid=53"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Consensus Building Institute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86020-5FE3-406F-B01B-5809C549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8077</Words>
  <Characters>46042</Characters>
  <Application>Microsoft Office Word</Application>
  <DocSecurity>0</DocSecurity>
  <Lines>383</Lines>
  <Paragraphs>108</Paragraphs>
  <ScaleCrop>false</ScaleCrop>
  <Company>CBI, Inc.</Company>
  <LinksUpToDate>false</LinksUpToDate>
  <CharactersWithSpaces>54011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Fairman</dc:creator>
  <cp:lastModifiedBy>Jennifer Laughlin</cp:lastModifiedBy>
  <cp:revision>4</cp:revision>
  <dcterms:created xsi:type="dcterms:W3CDTF">2013-12-02T16:05:00Z</dcterms:created>
  <dcterms:modified xsi:type="dcterms:W3CDTF">2013-12-02T16:17:00Z</dcterms:modified>
</cp:coreProperties>
</file>