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158" w:rsidRPr="004A5122" w:rsidRDefault="00F30158" w:rsidP="00F30158">
      <w:pPr>
        <w:rPr>
          <w:b/>
          <w:sz w:val="28"/>
        </w:rPr>
      </w:pPr>
      <w:r w:rsidRPr="004A5122">
        <w:rPr>
          <w:b/>
          <w:noProof/>
          <w:sz w:val="28"/>
          <w:lang w:val="en-GB" w:eastAsia="en-GB"/>
        </w:rPr>
        <w:drawing>
          <wp:inline distT="0" distB="0" distL="0" distR="0">
            <wp:extent cx="1324397" cy="521731"/>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4397" cy="521731"/>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r w:rsidRPr="004A5122">
        <w:rPr>
          <w:b/>
          <w:noProof/>
          <w:sz w:val="28"/>
          <w:lang w:val="en-GB" w:eastAsia="en-GB"/>
        </w:rPr>
        <w:drawing>
          <wp:inline distT="0" distB="0" distL="0" distR="0">
            <wp:extent cx="1219200" cy="522632"/>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522632"/>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tbl>
      <w:tblPr>
        <w:tblStyle w:val="TableGrid"/>
        <w:tblpPr w:leftFromText="180" w:rightFromText="180" w:vertAnchor="page" w:horzAnchor="margin" w:tblpY="2631"/>
        <w:tblW w:w="0" w:type="auto"/>
        <w:shd w:val="clear" w:color="auto" w:fill="92D050"/>
        <w:tblLook w:val="04A0"/>
      </w:tblPr>
      <w:tblGrid>
        <w:gridCol w:w="9576"/>
      </w:tblGrid>
      <w:tr w:rsidR="00F30158" w:rsidTr="008E4E10">
        <w:tc>
          <w:tcPr>
            <w:tcW w:w="9576" w:type="dxa"/>
            <w:shd w:val="clear" w:color="auto" w:fill="92D050"/>
          </w:tcPr>
          <w:p w:rsidR="00F30158" w:rsidRPr="00B44202" w:rsidRDefault="009873B7" w:rsidP="008E4E10">
            <w:pPr>
              <w:jc w:val="center"/>
              <w:rPr>
                <w:b/>
                <w:sz w:val="32"/>
              </w:rPr>
            </w:pPr>
            <w:r>
              <w:rPr>
                <w:b/>
                <w:sz w:val="32"/>
              </w:rPr>
              <w:t>Strengthening Accountability in REDD+</w:t>
            </w:r>
            <w:r w:rsidR="00F30158">
              <w:rPr>
                <w:b/>
                <w:sz w:val="32"/>
              </w:rPr>
              <w:t xml:space="preserve"> in Africa</w:t>
            </w:r>
            <w:r>
              <w:rPr>
                <w:b/>
                <w:sz w:val="32"/>
              </w:rPr>
              <w:t>: Awareness Raising and Training S</w:t>
            </w:r>
            <w:r w:rsidR="00F30158" w:rsidRPr="00B44202">
              <w:rPr>
                <w:b/>
                <w:sz w:val="32"/>
              </w:rPr>
              <w:t>essions</w:t>
            </w:r>
          </w:p>
          <w:p w:rsidR="00002827" w:rsidRDefault="00002827" w:rsidP="008E4E10">
            <w:pPr>
              <w:jc w:val="center"/>
              <w:rPr>
                <w:i/>
                <w:sz w:val="24"/>
              </w:rPr>
            </w:pPr>
          </w:p>
          <w:p w:rsidR="00F30158" w:rsidRPr="00002827" w:rsidRDefault="00002827" w:rsidP="008E4E10">
            <w:pPr>
              <w:jc w:val="center"/>
              <w:rPr>
                <w:i/>
                <w:sz w:val="32"/>
              </w:rPr>
            </w:pPr>
            <w:r w:rsidRPr="00002827">
              <w:rPr>
                <w:i/>
                <w:sz w:val="24"/>
              </w:rPr>
              <w:t>proposed</w:t>
            </w:r>
            <w:r>
              <w:rPr>
                <w:i/>
                <w:sz w:val="24"/>
              </w:rPr>
              <w:t xml:space="preserve"> dates</w:t>
            </w:r>
            <w:r w:rsidRPr="00002827">
              <w:rPr>
                <w:i/>
                <w:sz w:val="24"/>
              </w:rPr>
              <w:t xml:space="preserve">: </w:t>
            </w:r>
            <w:r w:rsidR="00D6252C" w:rsidRPr="00002827">
              <w:rPr>
                <w:i/>
                <w:sz w:val="24"/>
              </w:rPr>
              <w:t>19-21 March 2012</w:t>
            </w:r>
            <w:r w:rsidRPr="00002827">
              <w:rPr>
                <w:i/>
                <w:sz w:val="24"/>
              </w:rPr>
              <w:t xml:space="preserve"> (or 20-22 March)</w:t>
            </w:r>
          </w:p>
        </w:tc>
      </w:tr>
    </w:tbl>
    <w:p w:rsidR="00F30158" w:rsidRDefault="00F30158"/>
    <w:p w:rsidR="00F30158" w:rsidRPr="00B73F39" w:rsidRDefault="00F30158" w:rsidP="00F30158">
      <w:pPr>
        <w:jc w:val="both"/>
        <w:rPr>
          <w:rFonts w:cstheme="minorHAnsi"/>
          <w:b/>
        </w:rPr>
      </w:pPr>
      <w:r w:rsidRPr="00B73F39">
        <w:rPr>
          <w:rFonts w:cstheme="minorHAnsi"/>
          <w:b/>
        </w:rPr>
        <w:t>Background</w:t>
      </w:r>
    </w:p>
    <w:p w:rsidR="00F30158" w:rsidRDefault="00F30158" w:rsidP="00F30158">
      <w:pPr>
        <w:jc w:val="both"/>
        <w:rPr>
          <w:rFonts w:cstheme="minorHAnsi"/>
        </w:rPr>
      </w:pPr>
      <w:r w:rsidRPr="00A638F6">
        <w:rPr>
          <w:rFonts w:cstheme="minorHAnsi"/>
        </w:rPr>
        <w:t xml:space="preserve">As the international community and member states strive to work out a concrete deal to address climate change issues in Rio, the initiative to reduce emissions from the forestry sector is gaining impetus. </w:t>
      </w:r>
      <w:r w:rsidRPr="007C076B">
        <w:rPr>
          <w:rFonts w:cstheme="minorHAnsi"/>
        </w:rPr>
        <w:t xml:space="preserve">The </w:t>
      </w:r>
      <w:r>
        <w:rPr>
          <w:rFonts w:cstheme="minorHAnsi"/>
        </w:rPr>
        <w:t>REDD+ mechanism (</w:t>
      </w:r>
      <w:r w:rsidRPr="007C076B">
        <w:rPr>
          <w:rFonts w:cstheme="minorHAnsi"/>
        </w:rPr>
        <w:t>Reducing Emissions from Deforestation and Forest Degradation in Developing Countries</w:t>
      </w:r>
      <w:r>
        <w:rPr>
          <w:rFonts w:cstheme="minorHAnsi"/>
        </w:rPr>
        <w:t xml:space="preserve">) will potentially offer </w:t>
      </w:r>
      <w:r w:rsidRPr="00A638F6">
        <w:rPr>
          <w:rFonts w:cstheme="minorHAnsi"/>
        </w:rPr>
        <w:t xml:space="preserve">significant financial incentive designed to encourage forest-rich countries to cut carbon emissions from their forest sector, through the conservation of standing forests and more sustainable forest activities. </w:t>
      </w:r>
      <w:r>
        <w:rPr>
          <w:rFonts w:cstheme="minorHAnsi"/>
        </w:rPr>
        <w:t xml:space="preserve">These activities are supported by multilateral partnerships such as the UN-REDD Programme and the FCPF, as well as bilateral initiatives. </w:t>
      </w:r>
    </w:p>
    <w:p w:rsidR="00F30158" w:rsidRDefault="00F30158" w:rsidP="00F30158">
      <w:pPr>
        <w:jc w:val="both"/>
        <w:rPr>
          <w:rFonts w:cstheme="minorHAnsi"/>
        </w:rPr>
      </w:pPr>
      <w:r w:rsidRPr="00A638F6">
        <w:rPr>
          <w:rFonts w:cstheme="minorHAnsi"/>
        </w:rPr>
        <w:t xml:space="preserve">Climate change is </w:t>
      </w:r>
      <w:r>
        <w:rPr>
          <w:rFonts w:cstheme="minorHAnsi"/>
        </w:rPr>
        <w:t xml:space="preserve">already </w:t>
      </w:r>
      <w:r w:rsidRPr="00A638F6">
        <w:rPr>
          <w:rFonts w:cstheme="minorHAnsi"/>
        </w:rPr>
        <w:t xml:space="preserve">high on the agenda of almost all African governments. During </w:t>
      </w:r>
      <w:r>
        <w:rPr>
          <w:rFonts w:cstheme="minorHAnsi"/>
        </w:rPr>
        <w:t xml:space="preserve">several of the high-level forums, including the recent </w:t>
      </w:r>
      <w:r w:rsidRPr="00A638F6">
        <w:rPr>
          <w:rFonts w:cstheme="minorHAnsi"/>
        </w:rPr>
        <w:t>gathering in Addis</w:t>
      </w:r>
      <w:r>
        <w:rPr>
          <w:rFonts w:cstheme="minorHAnsi"/>
        </w:rPr>
        <w:t xml:space="preserve"> on ‘</w:t>
      </w:r>
      <w:hyperlink r:id="rId10" w:history="1">
        <w:r w:rsidRPr="002F64CD">
          <w:rPr>
            <w:rStyle w:val="Hyperlink"/>
            <w:rFonts w:cstheme="minorHAnsi"/>
          </w:rPr>
          <w:t>Green Economy and Structural Transformation</w:t>
        </w:r>
      </w:hyperlink>
      <w:r>
        <w:rPr>
          <w:rFonts w:cstheme="minorHAnsi"/>
        </w:rPr>
        <w:t>’</w:t>
      </w:r>
      <w:r w:rsidRPr="00A638F6">
        <w:rPr>
          <w:rFonts w:cstheme="minorHAnsi"/>
        </w:rPr>
        <w:t xml:space="preserve">, African leaders showed a firm commitment to dealing with climate change challenges and chart a low-carbon development trajectory. </w:t>
      </w:r>
      <w:r>
        <w:rPr>
          <w:rFonts w:cstheme="minorHAnsi"/>
        </w:rPr>
        <w:t xml:space="preserve">The significant forest reserves and carbon stocks offered in Africa’s forest-rich countries could benefit from financial compensation through REDD+. As these countries work towards expanding sustainable livelihood options and better economic opportunities to many of their citizens, the REDD+ mechanism could greatly contribute to the achievement of national development goals, including the MDGs. </w:t>
      </w:r>
    </w:p>
    <w:p w:rsidR="00F30158" w:rsidRDefault="00F30158" w:rsidP="00F30158">
      <w:pPr>
        <w:jc w:val="both"/>
        <w:rPr>
          <w:rFonts w:cstheme="minorHAnsi"/>
        </w:rPr>
      </w:pPr>
      <w:r>
        <w:rPr>
          <w:rFonts w:cstheme="minorHAnsi"/>
        </w:rPr>
        <w:t>As of November 2011, the number of UN-REDD partner countries in Sub-Saharan Africa</w:t>
      </w:r>
      <w:r w:rsidR="00010C73">
        <w:rPr>
          <w:rFonts w:cstheme="minorHAnsi"/>
        </w:rPr>
        <w:t xml:space="preserve"> </w:t>
      </w:r>
      <w:r>
        <w:rPr>
          <w:rFonts w:cstheme="minorHAnsi"/>
        </w:rPr>
        <w:t xml:space="preserve">has reached eleven. The Democratic Republic of Congo, Nigeria, Tanzania and Zambia receive direct UN-REDD funding support </w:t>
      </w:r>
      <w:r w:rsidR="000966EB">
        <w:rPr>
          <w:rFonts w:cstheme="minorHAnsi"/>
        </w:rPr>
        <w:t xml:space="preserve">for implementing national UN-REDD Programmes, </w:t>
      </w:r>
      <w:r>
        <w:rPr>
          <w:rFonts w:cstheme="minorHAnsi"/>
        </w:rPr>
        <w:t xml:space="preserve">while the </w:t>
      </w:r>
      <w:r w:rsidR="000966EB">
        <w:rPr>
          <w:rFonts w:cstheme="minorHAnsi"/>
        </w:rPr>
        <w:t xml:space="preserve">eleven </w:t>
      </w:r>
      <w:r>
        <w:rPr>
          <w:rFonts w:cstheme="minorHAnsi"/>
        </w:rPr>
        <w:t>other countries (</w:t>
      </w:r>
      <w:r w:rsidR="000966EB">
        <w:rPr>
          <w:rFonts w:cstheme="minorHAnsi"/>
        </w:rPr>
        <w:t xml:space="preserve">Benin, Cameroon, </w:t>
      </w:r>
      <w:r w:rsidRPr="00526D7E">
        <w:rPr>
          <w:rFonts w:cstheme="minorHAnsi"/>
        </w:rPr>
        <w:t xml:space="preserve">Central African Republic, </w:t>
      </w:r>
      <w:r>
        <w:rPr>
          <w:rFonts w:cstheme="minorHAnsi"/>
        </w:rPr>
        <w:t xml:space="preserve">Republic of Congo, </w:t>
      </w:r>
      <w:r w:rsidRPr="00526D7E">
        <w:rPr>
          <w:rFonts w:cstheme="minorHAnsi"/>
        </w:rPr>
        <w:t xml:space="preserve">Côte d'Ivoire, Ethiopia, Gabon, </w:t>
      </w:r>
      <w:r w:rsidR="000966EB">
        <w:rPr>
          <w:rFonts w:cstheme="minorHAnsi"/>
        </w:rPr>
        <w:t xml:space="preserve">Ghana, </w:t>
      </w:r>
      <w:r>
        <w:rPr>
          <w:rFonts w:cstheme="minorHAnsi"/>
        </w:rPr>
        <w:t xml:space="preserve">Kenya, South </w:t>
      </w:r>
      <w:r w:rsidRPr="00526D7E">
        <w:rPr>
          <w:rFonts w:cstheme="minorHAnsi"/>
        </w:rPr>
        <w:t>Sudan</w:t>
      </w:r>
      <w:r>
        <w:rPr>
          <w:rFonts w:cstheme="minorHAnsi"/>
        </w:rPr>
        <w:t xml:space="preserve"> and Sudan) </w:t>
      </w:r>
      <w:r w:rsidR="000966EB">
        <w:rPr>
          <w:rFonts w:cstheme="minorHAnsi"/>
        </w:rPr>
        <w:t>are</w:t>
      </w:r>
      <w:r>
        <w:rPr>
          <w:rFonts w:cstheme="minorHAnsi"/>
        </w:rPr>
        <w:t xml:space="preserve"> UN-REDD partners</w:t>
      </w:r>
      <w:r w:rsidRPr="00526D7E">
        <w:rPr>
          <w:rFonts w:cstheme="minorHAnsi"/>
        </w:rPr>
        <w:t>.</w:t>
      </w:r>
      <w:r>
        <w:rPr>
          <w:rFonts w:cstheme="minorHAnsi"/>
        </w:rPr>
        <w:t xml:space="preserve"> Please see annex 1 for details of p</w:t>
      </w:r>
      <w:r w:rsidRPr="00E962BB">
        <w:rPr>
          <w:rFonts w:cstheme="minorHAnsi"/>
        </w:rPr>
        <w:t>artner countries r</w:t>
      </w:r>
      <w:r>
        <w:rPr>
          <w:rFonts w:cstheme="minorHAnsi"/>
        </w:rPr>
        <w:t xml:space="preserve">eceiving direct UN‐REDD funding </w:t>
      </w:r>
      <w:r w:rsidRPr="00E962BB">
        <w:rPr>
          <w:rFonts w:cstheme="minorHAnsi"/>
        </w:rPr>
        <w:t>support</w:t>
      </w:r>
      <w:r>
        <w:rPr>
          <w:rFonts w:cstheme="minorHAnsi"/>
        </w:rPr>
        <w:t xml:space="preserve"> and other partner countries.</w:t>
      </w:r>
    </w:p>
    <w:p w:rsidR="00F30158" w:rsidRDefault="00F30158" w:rsidP="00F30158">
      <w:pPr>
        <w:jc w:val="both"/>
        <w:rPr>
          <w:rFonts w:cstheme="minorHAnsi"/>
          <w:b/>
        </w:rPr>
      </w:pPr>
      <w:r>
        <w:rPr>
          <w:rFonts w:cstheme="minorHAnsi"/>
        </w:rPr>
        <w:t>In spite of the enormous potential benefit of REDD+, the underlying political and socio-economic vulnerabilities in many of the UN-REDD partner countries in Africa pose a significant challenge to the realization of REDD+ objectives. Although vulnerabilities such as weak institutional capacity, underdeveloped legal and accountability systems, fragility, exclusion, etc. affect almost all sectors of the economy, the forestry sector in particular is believed to fare worse. A recent study by TI</w:t>
      </w:r>
      <w:r>
        <w:rPr>
          <w:rStyle w:val="FootnoteReference"/>
          <w:rFonts w:cstheme="minorHAnsi"/>
        </w:rPr>
        <w:footnoteReference w:id="1"/>
      </w:r>
      <w:r>
        <w:rPr>
          <w:rFonts w:cstheme="minorHAnsi"/>
        </w:rPr>
        <w:t xml:space="preserve"> asserts the </w:t>
      </w:r>
      <w:r>
        <w:rPr>
          <w:rFonts w:cstheme="minorHAnsi"/>
        </w:rPr>
        <w:lastRenderedPageBreak/>
        <w:t xml:space="preserve">poor quality of forest governance around the world and how the sector suffers from illegal and corrupt practices. The oft-cited estimate of the World Bank estimates the amount of revenue lost from illegal logging and tax evasion in this sector at around $5 billion a year. </w:t>
      </w:r>
    </w:p>
    <w:p w:rsidR="00F30158" w:rsidRPr="00B73F39" w:rsidRDefault="00F30158" w:rsidP="00F30158">
      <w:pPr>
        <w:jc w:val="both"/>
        <w:rPr>
          <w:rFonts w:cstheme="minorHAnsi"/>
          <w:b/>
        </w:rPr>
      </w:pPr>
      <w:r w:rsidRPr="00B73F39">
        <w:rPr>
          <w:rFonts w:cstheme="minorHAnsi"/>
          <w:b/>
        </w:rPr>
        <w:t>Why corruption?</w:t>
      </w:r>
    </w:p>
    <w:p w:rsidR="00F30158" w:rsidRPr="00ED03F0" w:rsidRDefault="00F30158" w:rsidP="00F30158">
      <w:pPr>
        <w:jc w:val="both"/>
        <w:rPr>
          <w:rFonts w:cstheme="minorHAnsi"/>
        </w:rPr>
      </w:pPr>
      <w:r>
        <w:rPr>
          <w:rFonts w:cstheme="minorHAnsi"/>
          <w:noProof/>
          <w:lang w:val="en-GB" w:eastAsia="en-GB"/>
        </w:rPr>
        <w:drawing>
          <wp:anchor distT="0" distB="0" distL="114300" distR="114300" simplePos="0" relativeHeight="251659264" behindDoc="0" locked="0" layoutInCell="1" allowOverlap="1">
            <wp:simplePos x="0" y="0"/>
            <wp:positionH relativeFrom="column">
              <wp:posOffset>2894965</wp:posOffset>
            </wp:positionH>
            <wp:positionV relativeFrom="paragraph">
              <wp:posOffset>941070</wp:posOffset>
            </wp:positionV>
            <wp:extent cx="3114675" cy="2752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4675" cy="2752725"/>
                    </a:xfrm>
                    <a:prstGeom prst="rect">
                      <a:avLst/>
                    </a:prstGeom>
                    <a:noFill/>
                    <a:ln>
                      <a:noFill/>
                    </a:ln>
                  </pic:spPr>
                </pic:pic>
              </a:graphicData>
            </a:graphic>
          </wp:anchor>
        </w:drawing>
      </w:r>
      <w:r w:rsidRPr="00ED03F0">
        <w:rPr>
          <w:rFonts w:cstheme="minorHAnsi"/>
        </w:rPr>
        <w:t xml:space="preserve">As it is true with many extractive sectors, forest resources </w:t>
      </w:r>
      <w:r>
        <w:rPr>
          <w:rFonts w:cstheme="minorHAnsi"/>
        </w:rPr>
        <w:t xml:space="preserve">and lands </w:t>
      </w:r>
      <w:r w:rsidRPr="00ED03F0">
        <w:rPr>
          <w:rFonts w:cstheme="minorHAnsi"/>
        </w:rPr>
        <w:t>are considered key for economic development and</w:t>
      </w:r>
      <w:r>
        <w:rPr>
          <w:rFonts w:cstheme="minorHAnsi"/>
        </w:rPr>
        <w:t>, with a surge in global demand for commodities they are becoming</w:t>
      </w:r>
      <w:r w:rsidRPr="00ED03F0">
        <w:rPr>
          <w:rFonts w:cstheme="minorHAnsi"/>
        </w:rPr>
        <w:t xml:space="preserve"> increasingly lucrative. </w:t>
      </w:r>
      <w:r>
        <w:rPr>
          <w:rFonts w:cstheme="minorHAnsi"/>
        </w:rPr>
        <w:t>Yet</w:t>
      </w:r>
      <w:r w:rsidRPr="00ED03F0">
        <w:rPr>
          <w:rFonts w:cstheme="minorHAnsi"/>
        </w:rPr>
        <w:t xml:space="preserve"> many of the countries where these forest resources are found tend to have the weakest legal and institutional frameworks. </w:t>
      </w:r>
      <w:r>
        <w:rPr>
          <w:rFonts w:cstheme="minorHAnsi"/>
        </w:rPr>
        <w:t xml:space="preserve">For instance, as can be seen in this graph, the average score on controlling corruption in those countries participating in UN-REDD programmes in Sub-Saharan Africa is (17.4) only about half of that of the Sub-Saharan Africa average (31%). </w:t>
      </w:r>
      <w:r w:rsidRPr="00ED03F0">
        <w:rPr>
          <w:rFonts w:cstheme="minorHAnsi"/>
        </w:rPr>
        <w:t xml:space="preserve">This makes these countries vulnerable to corruption and </w:t>
      </w:r>
      <w:r>
        <w:rPr>
          <w:rFonts w:cstheme="minorHAnsi"/>
        </w:rPr>
        <w:t xml:space="preserve">to the </w:t>
      </w:r>
      <w:r w:rsidRPr="00ED03F0">
        <w:rPr>
          <w:rFonts w:cstheme="minorHAnsi"/>
        </w:rPr>
        <w:t xml:space="preserve">mismanagement of resources, compromising </w:t>
      </w:r>
      <w:r>
        <w:rPr>
          <w:rFonts w:cstheme="minorHAnsi"/>
        </w:rPr>
        <w:t xml:space="preserve">not only </w:t>
      </w:r>
      <w:r w:rsidRPr="00ED03F0">
        <w:rPr>
          <w:rFonts w:cstheme="minorHAnsi"/>
        </w:rPr>
        <w:t>the potential gains from implementing REDD+ programmes</w:t>
      </w:r>
      <w:r>
        <w:rPr>
          <w:rFonts w:cstheme="minorHAnsi"/>
        </w:rPr>
        <w:t>, but also the very sustainability of the mechanism</w:t>
      </w:r>
      <w:r w:rsidRPr="00ED03F0">
        <w:rPr>
          <w:rFonts w:cstheme="minorHAnsi"/>
        </w:rPr>
        <w:t xml:space="preserve">. </w:t>
      </w:r>
    </w:p>
    <w:p w:rsidR="00F30158" w:rsidRDefault="00F30158" w:rsidP="00F30158">
      <w:pPr>
        <w:jc w:val="both"/>
        <w:rPr>
          <w:rFonts w:cstheme="minorHAnsi"/>
        </w:rPr>
      </w:pPr>
      <w:r w:rsidRPr="00A638F6">
        <w:rPr>
          <w:rFonts w:cstheme="minorHAnsi"/>
        </w:rPr>
        <w:t>Considering the centrality of good and fair governance of forest resources and the distribution of benefits to the success of REDD+ policies and measures,</w:t>
      </w:r>
      <w:r>
        <w:rPr>
          <w:rFonts w:cstheme="minorHAnsi"/>
        </w:rPr>
        <w:t xml:space="preserve"> UNDP is leading </w:t>
      </w:r>
      <w:r w:rsidRPr="000F5730">
        <w:rPr>
          <w:rFonts w:cstheme="minorHAnsi"/>
        </w:rPr>
        <w:t>i</w:t>
      </w:r>
      <w:r>
        <w:rPr>
          <w:rFonts w:cstheme="minorHAnsi"/>
        </w:rPr>
        <w:t>n</w:t>
      </w:r>
      <w:r w:rsidRPr="000F5730">
        <w:rPr>
          <w:rFonts w:cstheme="minorHAnsi"/>
        </w:rPr>
        <w:t xml:space="preserve"> developing a comprehensive approach to support effective and inclusive</w:t>
      </w:r>
      <w:r w:rsidR="00B25958">
        <w:rPr>
          <w:rFonts w:cstheme="minorHAnsi"/>
        </w:rPr>
        <w:t xml:space="preserve"> </w:t>
      </w:r>
      <w:r w:rsidRPr="000F5730">
        <w:rPr>
          <w:rFonts w:cstheme="minorHAnsi"/>
        </w:rPr>
        <w:t>national governance systems in REDD+ partner countries</w:t>
      </w:r>
      <w:r>
        <w:rPr>
          <w:rFonts w:cstheme="minorHAnsi"/>
        </w:rPr>
        <w:t xml:space="preserve">. By drawing on its expertise on anti-corruption, UNDP offers support to promote transparency and accountability in REDD+ systems by helping countries identify and mitigate potential corruption risks in </w:t>
      </w:r>
      <w:r w:rsidRPr="00A638F6">
        <w:rPr>
          <w:rFonts w:cstheme="minorHAnsi"/>
        </w:rPr>
        <w:t xml:space="preserve">the design, implementation and payment </w:t>
      </w:r>
      <w:r>
        <w:rPr>
          <w:rFonts w:cstheme="minorHAnsi"/>
        </w:rPr>
        <w:t xml:space="preserve">distribution processes of REDD+ </w:t>
      </w:r>
      <w:r w:rsidRPr="00A638F6">
        <w:rPr>
          <w:rFonts w:cstheme="minorHAnsi"/>
        </w:rPr>
        <w:t>as one of its priorities</w:t>
      </w:r>
      <w:r>
        <w:rPr>
          <w:rFonts w:cstheme="minorHAnsi"/>
        </w:rPr>
        <w:t>.</w:t>
      </w:r>
    </w:p>
    <w:p w:rsidR="00F92D32" w:rsidRPr="00F92D32" w:rsidRDefault="00F92D32" w:rsidP="00F92D32">
      <w:pPr>
        <w:jc w:val="both"/>
        <w:rPr>
          <w:rFonts w:cstheme="minorHAnsi"/>
        </w:rPr>
      </w:pPr>
      <w:r w:rsidRPr="00F92D32">
        <w:rPr>
          <w:rFonts w:cstheme="minorHAnsi"/>
        </w:rPr>
        <w:t xml:space="preserve">The UN-REDD Programme has integrated activities on anti-corruption as </w:t>
      </w:r>
      <w:r>
        <w:rPr>
          <w:rFonts w:cstheme="minorHAnsi"/>
        </w:rPr>
        <w:t xml:space="preserve">a core element of its five-year </w:t>
      </w:r>
      <w:r w:rsidRPr="00F92D32">
        <w:rPr>
          <w:rFonts w:cstheme="minorHAnsi"/>
        </w:rPr>
        <w:t>Programme Strategy</w:t>
      </w:r>
      <w:r>
        <w:rPr>
          <w:rStyle w:val="FootnoteReference"/>
          <w:rFonts w:cstheme="minorHAnsi"/>
        </w:rPr>
        <w:footnoteReference w:id="2"/>
      </w:r>
      <w:r w:rsidRPr="00F92D32">
        <w:rPr>
          <w:rFonts w:cstheme="minorHAnsi"/>
        </w:rPr>
        <w:t>, supported by its Global programme Fram</w:t>
      </w:r>
      <w:r>
        <w:rPr>
          <w:rFonts w:cstheme="minorHAnsi"/>
        </w:rPr>
        <w:t>ework Document 2011-2015</w:t>
      </w:r>
      <w:r w:rsidR="00382E6C">
        <w:rPr>
          <w:rStyle w:val="FootnoteReference"/>
          <w:rFonts w:cstheme="minorHAnsi"/>
        </w:rPr>
        <w:footnoteReference w:id="3"/>
      </w:r>
      <w:r>
        <w:rPr>
          <w:rFonts w:cstheme="minorHAnsi"/>
        </w:rPr>
        <w:t xml:space="preserve">4, with </w:t>
      </w:r>
      <w:r w:rsidRPr="00F92D32">
        <w:rPr>
          <w:rFonts w:cstheme="minorHAnsi"/>
        </w:rPr>
        <w:t>UNDP the lead agency. These activities are implemented together wit</w:t>
      </w:r>
      <w:r w:rsidR="00382E6C">
        <w:rPr>
          <w:rFonts w:cstheme="minorHAnsi"/>
        </w:rPr>
        <w:t>h the Global Programme on Anti-</w:t>
      </w:r>
      <w:r w:rsidRPr="00F92D32">
        <w:rPr>
          <w:rFonts w:cstheme="minorHAnsi"/>
        </w:rPr>
        <w:t>Corruption for Development Effectiveness (PACDE) of UNDP’s ant</w:t>
      </w:r>
      <w:r w:rsidR="00382E6C">
        <w:rPr>
          <w:rFonts w:cstheme="minorHAnsi"/>
        </w:rPr>
        <w:t xml:space="preserve">i-corruption unit. They include </w:t>
      </w:r>
      <w:r w:rsidRPr="00F92D32">
        <w:rPr>
          <w:rFonts w:cstheme="minorHAnsi"/>
        </w:rPr>
        <w:t>guidance on institutional frameworks for equitable, transparent and accountable benefit distribution</w:t>
      </w:r>
      <w:r w:rsidR="00B25958">
        <w:rPr>
          <w:rFonts w:cstheme="minorHAnsi"/>
        </w:rPr>
        <w:t xml:space="preserve"> </w:t>
      </w:r>
      <w:r w:rsidRPr="00F92D32">
        <w:rPr>
          <w:rFonts w:cstheme="minorHAnsi"/>
        </w:rPr>
        <w:t>systems in REDD+; strengthening the integrity of fiduciary systems fo</w:t>
      </w:r>
      <w:r w:rsidR="00382E6C">
        <w:rPr>
          <w:rFonts w:cstheme="minorHAnsi"/>
        </w:rPr>
        <w:t xml:space="preserve">r receiving and disbursement of </w:t>
      </w:r>
      <w:r w:rsidRPr="00F92D32">
        <w:rPr>
          <w:rFonts w:cstheme="minorHAnsi"/>
        </w:rPr>
        <w:t>funds, coordinating anti-corruption activities at the national, region</w:t>
      </w:r>
      <w:r w:rsidR="00382E6C">
        <w:rPr>
          <w:rFonts w:cstheme="minorHAnsi"/>
        </w:rPr>
        <w:t xml:space="preserve">al and international level; and </w:t>
      </w:r>
      <w:r w:rsidRPr="00F92D32">
        <w:rPr>
          <w:rFonts w:cstheme="minorHAnsi"/>
        </w:rPr>
        <w:t>supporting the capacity of multiple stakeholders to jointly mitigate corruption risks.</w:t>
      </w:r>
    </w:p>
    <w:p w:rsidR="00F92D32" w:rsidRDefault="00F92D32" w:rsidP="00382E6C">
      <w:pPr>
        <w:jc w:val="both"/>
        <w:rPr>
          <w:rFonts w:cstheme="minorHAnsi"/>
        </w:rPr>
      </w:pPr>
      <w:r w:rsidRPr="00F92D32">
        <w:rPr>
          <w:rFonts w:cstheme="minorHAnsi"/>
        </w:rPr>
        <w:lastRenderedPageBreak/>
        <w:t>The PACDE workplan for 2011</w:t>
      </w:r>
      <w:r w:rsidR="00382E6C">
        <w:rPr>
          <w:rFonts w:cstheme="minorHAnsi"/>
        </w:rPr>
        <w:t>/2</w:t>
      </w:r>
      <w:r w:rsidRPr="00F92D32">
        <w:rPr>
          <w:rFonts w:cstheme="minorHAnsi"/>
        </w:rPr>
        <w:t xml:space="preserve"> has made capacity building for</w:t>
      </w:r>
      <w:r w:rsidR="00382E6C">
        <w:rPr>
          <w:rFonts w:cstheme="minorHAnsi"/>
        </w:rPr>
        <w:t xml:space="preserve"> UN staff and UN-REDD programme</w:t>
      </w:r>
      <w:r w:rsidR="000966EB">
        <w:rPr>
          <w:rFonts w:cstheme="minorHAnsi"/>
        </w:rPr>
        <w:t xml:space="preserve"> </w:t>
      </w:r>
      <w:r w:rsidRPr="00F92D32">
        <w:rPr>
          <w:rFonts w:cstheme="minorHAnsi"/>
        </w:rPr>
        <w:t>management units a priority.</w:t>
      </w:r>
      <w:r w:rsidR="000966EB">
        <w:rPr>
          <w:rFonts w:cstheme="minorHAnsi"/>
        </w:rPr>
        <w:t xml:space="preserve"> </w:t>
      </w:r>
      <w:r w:rsidR="00382E6C" w:rsidRPr="00382E6C">
        <w:rPr>
          <w:rFonts w:cstheme="minorHAnsi"/>
        </w:rPr>
        <w:t>In this context PACDE, in partnership with the UN-REDD Programme</w:t>
      </w:r>
      <w:r w:rsidR="000966EB">
        <w:rPr>
          <w:rFonts w:cstheme="minorHAnsi"/>
        </w:rPr>
        <w:t xml:space="preserve"> </w:t>
      </w:r>
      <w:r w:rsidR="00382E6C">
        <w:rPr>
          <w:rFonts w:cstheme="minorHAnsi"/>
        </w:rPr>
        <w:t xml:space="preserve">has organized two awareness raising and training sessions </w:t>
      </w:r>
      <w:r w:rsidR="00382E6C" w:rsidRPr="00382E6C">
        <w:rPr>
          <w:rFonts w:cstheme="minorHAnsi"/>
        </w:rPr>
        <w:t xml:space="preserve">in </w:t>
      </w:r>
      <w:r w:rsidR="00382E6C">
        <w:rPr>
          <w:rFonts w:cstheme="minorHAnsi"/>
        </w:rPr>
        <w:t>Nepal and Thailand for Asia-</w:t>
      </w:r>
      <w:r w:rsidR="000966EB">
        <w:rPr>
          <w:rFonts w:cstheme="minorHAnsi"/>
        </w:rPr>
        <w:t>P</w:t>
      </w:r>
      <w:r w:rsidR="00382E6C">
        <w:rPr>
          <w:rFonts w:cstheme="minorHAnsi"/>
        </w:rPr>
        <w:t xml:space="preserve">acific region. </w:t>
      </w:r>
      <w:r w:rsidR="000966EB">
        <w:rPr>
          <w:rFonts w:cstheme="minorHAnsi"/>
        </w:rPr>
        <w:t>Similarly, t</w:t>
      </w:r>
      <w:r w:rsidR="00382E6C">
        <w:rPr>
          <w:rFonts w:cstheme="minorHAnsi"/>
        </w:rPr>
        <w:t xml:space="preserve">his planned </w:t>
      </w:r>
      <w:r w:rsidR="000966EB">
        <w:rPr>
          <w:rFonts w:cstheme="minorHAnsi"/>
        </w:rPr>
        <w:t xml:space="preserve">workshop </w:t>
      </w:r>
      <w:r w:rsidR="00382E6C">
        <w:rPr>
          <w:rFonts w:cstheme="minorHAnsi"/>
        </w:rPr>
        <w:t xml:space="preserve">in Africa </w:t>
      </w:r>
      <w:r w:rsidR="0008464E">
        <w:rPr>
          <w:rFonts w:cstheme="minorHAnsi"/>
        </w:rPr>
        <w:t xml:space="preserve">is part of the capacity development effort of PACDE and UN REDD programme and </w:t>
      </w:r>
      <w:r w:rsidR="005B08EE">
        <w:rPr>
          <w:rFonts w:cstheme="minorHAnsi"/>
        </w:rPr>
        <w:t xml:space="preserve">will build </w:t>
      </w:r>
      <w:r w:rsidR="00D72EB4">
        <w:rPr>
          <w:rFonts w:cstheme="minorHAnsi"/>
        </w:rPr>
        <w:t>up</w:t>
      </w:r>
      <w:r w:rsidR="005B08EE">
        <w:rPr>
          <w:rFonts w:cstheme="minorHAnsi"/>
        </w:rPr>
        <w:t xml:space="preserve">on the findings and lessons from the </w:t>
      </w:r>
      <w:r w:rsidR="00D72EB4">
        <w:rPr>
          <w:rFonts w:cstheme="minorHAnsi"/>
        </w:rPr>
        <w:t>Asia-Pacific experience</w:t>
      </w:r>
      <w:r w:rsidR="005B08EE">
        <w:rPr>
          <w:rFonts w:cstheme="minorHAnsi"/>
        </w:rPr>
        <w:t xml:space="preserve">. </w:t>
      </w:r>
    </w:p>
    <w:p w:rsidR="00F30158" w:rsidRPr="00A33188" w:rsidRDefault="00F30158" w:rsidP="00F30158">
      <w:pPr>
        <w:jc w:val="both"/>
        <w:rPr>
          <w:rFonts w:cstheme="minorHAnsi"/>
          <w:b/>
        </w:rPr>
      </w:pPr>
      <w:r>
        <w:rPr>
          <w:rFonts w:cstheme="minorHAnsi"/>
          <w:b/>
        </w:rPr>
        <w:t>What is the main g</w:t>
      </w:r>
      <w:r w:rsidRPr="00A33188">
        <w:rPr>
          <w:rFonts w:cstheme="minorHAnsi"/>
          <w:b/>
        </w:rPr>
        <w:t>oal</w:t>
      </w:r>
      <w:r>
        <w:rPr>
          <w:rFonts w:cstheme="minorHAnsi"/>
          <w:b/>
        </w:rPr>
        <w:t xml:space="preserve"> of this event?</w:t>
      </w:r>
    </w:p>
    <w:p w:rsidR="00F30158" w:rsidRPr="00A638F6" w:rsidRDefault="00F30158" w:rsidP="00F30158">
      <w:pPr>
        <w:jc w:val="both"/>
        <w:rPr>
          <w:rFonts w:cstheme="minorHAnsi"/>
        </w:rPr>
      </w:pPr>
      <w:r>
        <w:rPr>
          <w:rFonts w:cstheme="minorHAnsi"/>
        </w:rPr>
        <w:t>The main goal of this event is to sensitize participants on why and how to address corruption risks in REDD+. Considering that some UN-REDD partner countries might have advanced in REDD</w:t>
      </w:r>
      <w:r w:rsidR="000966EB">
        <w:rPr>
          <w:rFonts w:cstheme="minorHAnsi"/>
        </w:rPr>
        <w:t>+</w:t>
      </w:r>
      <w:r>
        <w:rPr>
          <w:rFonts w:cstheme="minorHAnsi"/>
        </w:rPr>
        <w:t xml:space="preserve"> readiness than others, such forum </w:t>
      </w:r>
      <w:r w:rsidR="000966EB">
        <w:rPr>
          <w:rFonts w:cstheme="minorHAnsi"/>
        </w:rPr>
        <w:t>will also</w:t>
      </w:r>
      <w:r>
        <w:rPr>
          <w:rFonts w:cstheme="minorHAnsi"/>
        </w:rPr>
        <w:t xml:space="preserve"> serve as a useful knowledge exchange and peer learning opportunity.   </w:t>
      </w:r>
    </w:p>
    <w:p w:rsidR="00F30158" w:rsidRDefault="00F92D32" w:rsidP="00F30158">
      <w:pPr>
        <w:jc w:val="both"/>
        <w:rPr>
          <w:rFonts w:cstheme="minorHAnsi"/>
        </w:rPr>
      </w:pPr>
      <w:r>
        <w:rPr>
          <w:rFonts w:cstheme="minorHAnsi"/>
        </w:rPr>
        <w:t>This goal will be achieved by</w:t>
      </w:r>
      <w:r w:rsidR="00F30158">
        <w:rPr>
          <w:rFonts w:cstheme="minorHAnsi"/>
        </w:rPr>
        <w:t>:</w:t>
      </w:r>
    </w:p>
    <w:p w:rsidR="00F30158" w:rsidRPr="007E56CA" w:rsidRDefault="0076150C" w:rsidP="00F30158">
      <w:pPr>
        <w:pStyle w:val="ListParagraph"/>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Discuss</w:t>
      </w:r>
      <w:r w:rsidR="00F92D32">
        <w:rPr>
          <w:rFonts w:asciiTheme="minorHAnsi" w:hAnsiTheme="minorHAnsi" w:cstheme="minorHAnsi"/>
          <w:sz w:val="22"/>
          <w:szCs w:val="22"/>
        </w:rPr>
        <w:t>ing</w:t>
      </w:r>
      <w:r>
        <w:rPr>
          <w:rFonts w:asciiTheme="minorHAnsi" w:hAnsiTheme="minorHAnsi" w:cstheme="minorHAnsi"/>
          <w:sz w:val="22"/>
          <w:szCs w:val="22"/>
        </w:rPr>
        <w:t xml:space="preserve"> the </w:t>
      </w:r>
      <w:r w:rsidR="00F92D32">
        <w:rPr>
          <w:rFonts w:asciiTheme="minorHAnsi" w:hAnsiTheme="minorHAnsi" w:cstheme="minorHAnsi"/>
          <w:sz w:val="22"/>
          <w:szCs w:val="22"/>
        </w:rPr>
        <w:t>foundation</w:t>
      </w:r>
      <w:r>
        <w:rPr>
          <w:rFonts w:asciiTheme="minorHAnsi" w:hAnsiTheme="minorHAnsi" w:cstheme="minorHAnsi"/>
          <w:sz w:val="22"/>
          <w:szCs w:val="22"/>
        </w:rPr>
        <w:t xml:space="preserve"> for </w:t>
      </w:r>
      <w:r w:rsidR="00F30158" w:rsidRPr="007E56CA">
        <w:rPr>
          <w:rFonts w:asciiTheme="minorHAnsi" w:hAnsiTheme="minorHAnsi" w:cstheme="minorHAnsi"/>
          <w:sz w:val="22"/>
          <w:szCs w:val="22"/>
        </w:rPr>
        <w:t>address</w:t>
      </w:r>
      <w:r>
        <w:rPr>
          <w:rFonts w:asciiTheme="minorHAnsi" w:hAnsiTheme="minorHAnsi" w:cstheme="minorHAnsi"/>
          <w:sz w:val="22"/>
          <w:szCs w:val="22"/>
        </w:rPr>
        <w:t xml:space="preserve">ing corruption risks in REDD+ </w:t>
      </w:r>
    </w:p>
    <w:p w:rsidR="00F30158" w:rsidRPr="007E56CA" w:rsidRDefault="0076150C" w:rsidP="00F30158">
      <w:pPr>
        <w:pStyle w:val="ListParagraph"/>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Identify</w:t>
      </w:r>
      <w:r w:rsidR="00F92D32">
        <w:rPr>
          <w:rFonts w:asciiTheme="minorHAnsi" w:hAnsiTheme="minorHAnsi" w:cstheme="minorHAnsi"/>
          <w:sz w:val="22"/>
          <w:szCs w:val="22"/>
        </w:rPr>
        <w:t xml:space="preserve">ing </w:t>
      </w:r>
      <w:r w:rsidR="00F30158" w:rsidRPr="007E56CA">
        <w:rPr>
          <w:rFonts w:asciiTheme="minorHAnsi" w:hAnsiTheme="minorHAnsi" w:cstheme="minorHAnsi"/>
          <w:sz w:val="22"/>
          <w:szCs w:val="22"/>
        </w:rPr>
        <w:t>tools exist to do so (anti-corruption provisions, measures) for the different phases of REDD+, including through a reflection on existing anti-corruption measures in the forestry sector that could also affect REDD+</w:t>
      </w:r>
    </w:p>
    <w:p w:rsidR="0076150C" w:rsidRPr="007E56CA" w:rsidRDefault="0076150C" w:rsidP="0076150C">
      <w:pPr>
        <w:pStyle w:val="ListParagraph"/>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Shar</w:t>
      </w:r>
      <w:r w:rsidR="00F92D32">
        <w:rPr>
          <w:rFonts w:asciiTheme="minorHAnsi" w:hAnsiTheme="minorHAnsi" w:cstheme="minorHAnsi"/>
          <w:sz w:val="22"/>
          <w:szCs w:val="22"/>
        </w:rPr>
        <w:t>ing</w:t>
      </w:r>
      <w:r w:rsidR="000966EB">
        <w:rPr>
          <w:rFonts w:asciiTheme="minorHAnsi" w:hAnsiTheme="minorHAnsi" w:cstheme="minorHAnsi"/>
          <w:sz w:val="22"/>
          <w:szCs w:val="22"/>
        </w:rPr>
        <w:t xml:space="preserve"> </w:t>
      </w:r>
      <w:r w:rsidRPr="007E56CA">
        <w:rPr>
          <w:rFonts w:asciiTheme="minorHAnsi" w:hAnsiTheme="minorHAnsi" w:cstheme="minorHAnsi"/>
          <w:sz w:val="22"/>
          <w:szCs w:val="22"/>
        </w:rPr>
        <w:t>progresses and lessons learned on existing activities initiated in UN-REDD African partner countries</w:t>
      </w:r>
    </w:p>
    <w:p w:rsidR="00F30158" w:rsidRPr="007E56CA" w:rsidRDefault="000966EB" w:rsidP="00F30158">
      <w:pPr>
        <w:pStyle w:val="ListParagraph"/>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Highlighting l</w:t>
      </w:r>
      <w:r w:rsidR="0076150C">
        <w:rPr>
          <w:rFonts w:asciiTheme="minorHAnsi" w:hAnsiTheme="minorHAnsi" w:cstheme="minorHAnsi"/>
          <w:sz w:val="22"/>
          <w:szCs w:val="22"/>
        </w:rPr>
        <w:t xml:space="preserve">inkages between anti-corruption for REDD+ and on-going </w:t>
      </w:r>
      <w:r w:rsidR="00F30158" w:rsidRPr="007E56CA">
        <w:rPr>
          <w:rFonts w:asciiTheme="minorHAnsi" w:hAnsiTheme="minorHAnsi" w:cstheme="minorHAnsi"/>
          <w:sz w:val="22"/>
          <w:szCs w:val="22"/>
        </w:rPr>
        <w:t>governance activities supported by UNDP and the UN-REDD programme</w:t>
      </w:r>
      <w:r w:rsidR="0076150C" w:rsidRPr="007E56CA">
        <w:rPr>
          <w:rFonts w:asciiTheme="minorHAnsi" w:hAnsiTheme="minorHAnsi" w:cstheme="minorHAnsi"/>
          <w:sz w:val="22"/>
          <w:szCs w:val="22"/>
        </w:rPr>
        <w:t>, and</w:t>
      </w:r>
    </w:p>
    <w:p w:rsidR="00F30158" w:rsidRPr="007E56CA" w:rsidRDefault="00D72EB4" w:rsidP="00F30158">
      <w:pPr>
        <w:pStyle w:val="ListParagraph"/>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Providing incentives for collaborating and networking on </w:t>
      </w:r>
      <w:r w:rsidR="000966EB">
        <w:rPr>
          <w:rFonts w:asciiTheme="minorHAnsi" w:hAnsiTheme="minorHAnsi" w:cstheme="minorHAnsi"/>
          <w:sz w:val="22"/>
          <w:szCs w:val="22"/>
        </w:rPr>
        <w:t xml:space="preserve">the </w:t>
      </w:r>
      <w:r>
        <w:rPr>
          <w:rFonts w:asciiTheme="minorHAnsi" w:hAnsiTheme="minorHAnsi" w:cstheme="minorHAnsi"/>
          <w:sz w:val="22"/>
          <w:szCs w:val="22"/>
        </w:rPr>
        <w:t xml:space="preserve">anti-corruption agenda </w:t>
      </w:r>
      <w:r w:rsidR="000966EB">
        <w:rPr>
          <w:rFonts w:asciiTheme="minorHAnsi" w:hAnsiTheme="minorHAnsi" w:cstheme="minorHAnsi"/>
          <w:sz w:val="22"/>
          <w:szCs w:val="22"/>
        </w:rPr>
        <w:t>for</w:t>
      </w:r>
      <w:r>
        <w:rPr>
          <w:rFonts w:asciiTheme="minorHAnsi" w:hAnsiTheme="minorHAnsi" w:cstheme="minorHAnsi"/>
          <w:sz w:val="22"/>
          <w:szCs w:val="22"/>
        </w:rPr>
        <w:t xml:space="preserve"> REDD+.</w:t>
      </w:r>
    </w:p>
    <w:p w:rsidR="00F30158" w:rsidRDefault="00F30158" w:rsidP="00F30158">
      <w:pPr>
        <w:jc w:val="both"/>
        <w:rPr>
          <w:rFonts w:cstheme="minorHAnsi"/>
          <w:b/>
        </w:rPr>
      </w:pPr>
    </w:p>
    <w:p w:rsidR="00F30158" w:rsidRPr="00A33188" w:rsidRDefault="00F30158" w:rsidP="00F30158">
      <w:pPr>
        <w:jc w:val="both"/>
        <w:rPr>
          <w:rFonts w:cstheme="minorHAnsi"/>
          <w:b/>
        </w:rPr>
      </w:pPr>
      <w:r>
        <w:rPr>
          <w:rFonts w:cstheme="minorHAnsi"/>
          <w:b/>
        </w:rPr>
        <w:t>Who are the target p</w:t>
      </w:r>
      <w:r w:rsidRPr="00A33188">
        <w:rPr>
          <w:rFonts w:cstheme="minorHAnsi"/>
          <w:b/>
        </w:rPr>
        <w:t>articipants</w:t>
      </w:r>
      <w:r>
        <w:rPr>
          <w:rFonts w:cstheme="minorHAnsi"/>
          <w:b/>
        </w:rPr>
        <w:t>?</w:t>
      </w:r>
    </w:p>
    <w:p w:rsidR="00F30158" w:rsidRPr="00F24699" w:rsidRDefault="00F30158" w:rsidP="00F30158">
      <w:pPr>
        <w:pStyle w:val="ListParagraph"/>
        <w:numPr>
          <w:ilvl w:val="0"/>
          <w:numId w:val="1"/>
        </w:numPr>
        <w:spacing w:line="276" w:lineRule="auto"/>
        <w:jc w:val="both"/>
        <w:rPr>
          <w:rFonts w:asciiTheme="minorHAnsi" w:hAnsiTheme="minorHAnsi" w:cstheme="minorHAnsi"/>
          <w:sz w:val="22"/>
          <w:szCs w:val="22"/>
        </w:rPr>
      </w:pPr>
      <w:r w:rsidRPr="00F24699">
        <w:rPr>
          <w:rFonts w:asciiTheme="minorHAnsi" w:hAnsiTheme="minorHAnsi" w:cstheme="minorHAnsi"/>
          <w:sz w:val="22"/>
          <w:szCs w:val="22"/>
        </w:rPr>
        <w:t xml:space="preserve">Government REDD+ focal points from the </w:t>
      </w:r>
      <w:r>
        <w:rPr>
          <w:rFonts w:asciiTheme="minorHAnsi" w:hAnsiTheme="minorHAnsi" w:cstheme="minorHAnsi"/>
          <w:sz w:val="22"/>
          <w:szCs w:val="22"/>
        </w:rPr>
        <w:t xml:space="preserve">REDD partner </w:t>
      </w:r>
      <w:r w:rsidRPr="00F24699">
        <w:rPr>
          <w:rFonts w:asciiTheme="minorHAnsi" w:hAnsiTheme="minorHAnsi" w:cstheme="minorHAnsi"/>
          <w:sz w:val="22"/>
          <w:szCs w:val="22"/>
        </w:rPr>
        <w:t xml:space="preserve">countries </w:t>
      </w:r>
      <w:r>
        <w:rPr>
          <w:rFonts w:asciiTheme="minorHAnsi" w:hAnsiTheme="minorHAnsi" w:cstheme="minorHAnsi"/>
          <w:sz w:val="22"/>
          <w:szCs w:val="22"/>
        </w:rPr>
        <w:t>in the region</w:t>
      </w:r>
    </w:p>
    <w:p w:rsidR="00F30158" w:rsidRDefault="00F30158" w:rsidP="00F30158">
      <w:pPr>
        <w:pStyle w:val="ListParagraph"/>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Members of Programme Management U</w:t>
      </w:r>
      <w:r w:rsidRPr="00F24699">
        <w:rPr>
          <w:rFonts w:asciiTheme="minorHAnsi" w:hAnsiTheme="minorHAnsi" w:cstheme="minorHAnsi"/>
          <w:sz w:val="22"/>
          <w:szCs w:val="22"/>
        </w:rPr>
        <w:t>nites</w:t>
      </w:r>
      <w:r>
        <w:rPr>
          <w:rFonts w:asciiTheme="minorHAnsi" w:hAnsiTheme="minorHAnsi" w:cstheme="minorHAnsi"/>
          <w:sz w:val="22"/>
          <w:szCs w:val="22"/>
        </w:rPr>
        <w:t xml:space="preserve"> (PMUs)</w:t>
      </w:r>
      <w:r w:rsidRPr="00F24699">
        <w:rPr>
          <w:rFonts w:asciiTheme="minorHAnsi" w:hAnsiTheme="minorHAnsi" w:cstheme="minorHAnsi"/>
          <w:sz w:val="22"/>
          <w:szCs w:val="22"/>
        </w:rPr>
        <w:t xml:space="preserve"> in countries where a national UN-REDD programme is under implementation</w:t>
      </w:r>
    </w:p>
    <w:p w:rsidR="00530DE9" w:rsidRPr="00F24699" w:rsidRDefault="00530DE9" w:rsidP="00F30158">
      <w:pPr>
        <w:pStyle w:val="ListParagraph"/>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Representatives from Anti-corruption bodies (ACAs, Audit bureau, law enforcement bodies, etc.) </w:t>
      </w:r>
    </w:p>
    <w:p w:rsidR="00F30158" w:rsidRPr="00F24699" w:rsidRDefault="00F30158" w:rsidP="00F30158">
      <w:pPr>
        <w:pStyle w:val="ListParagraph"/>
        <w:numPr>
          <w:ilvl w:val="0"/>
          <w:numId w:val="1"/>
        </w:numPr>
        <w:spacing w:line="276" w:lineRule="auto"/>
        <w:jc w:val="both"/>
        <w:rPr>
          <w:rFonts w:asciiTheme="minorHAnsi" w:hAnsiTheme="minorHAnsi" w:cstheme="minorHAnsi"/>
          <w:sz w:val="22"/>
          <w:szCs w:val="22"/>
        </w:rPr>
      </w:pPr>
      <w:r w:rsidRPr="00F24699">
        <w:rPr>
          <w:rFonts w:asciiTheme="minorHAnsi" w:hAnsiTheme="minorHAnsi" w:cstheme="minorHAnsi"/>
          <w:sz w:val="22"/>
          <w:szCs w:val="22"/>
        </w:rPr>
        <w:t>Civil society</w:t>
      </w:r>
      <w:r>
        <w:rPr>
          <w:rFonts w:asciiTheme="minorHAnsi" w:hAnsiTheme="minorHAnsi" w:cstheme="minorHAnsi"/>
          <w:sz w:val="22"/>
          <w:szCs w:val="22"/>
        </w:rPr>
        <w:t xml:space="preserve"> and media</w:t>
      </w:r>
      <w:r w:rsidRPr="00F24699">
        <w:rPr>
          <w:rFonts w:asciiTheme="minorHAnsi" w:hAnsiTheme="minorHAnsi" w:cstheme="minorHAnsi"/>
          <w:sz w:val="22"/>
          <w:szCs w:val="22"/>
        </w:rPr>
        <w:t xml:space="preserve"> stakeholders</w:t>
      </w:r>
      <w:r>
        <w:rPr>
          <w:rFonts w:asciiTheme="minorHAnsi" w:hAnsiTheme="minorHAnsi" w:cstheme="minorHAnsi"/>
          <w:sz w:val="22"/>
          <w:szCs w:val="22"/>
        </w:rPr>
        <w:t xml:space="preserve"> who are active in REDD+ and anti-corruption</w:t>
      </w:r>
    </w:p>
    <w:p w:rsidR="00F30158" w:rsidRPr="00F24699" w:rsidRDefault="00F30158" w:rsidP="00F30158">
      <w:pPr>
        <w:pStyle w:val="ListParagraph"/>
        <w:numPr>
          <w:ilvl w:val="0"/>
          <w:numId w:val="1"/>
        </w:numPr>
        <w:spacing w:line="276" w:lineRule="auto"/>
        <w:jc w:val="both"/>
        <w:rPr>
          <w:rFonts w:asciiTheme="minorHAnsi" w:hAnsiTheme="minorHAnsi" w:cstheme="minorHAnsi"/>
          <w:sz w:val="22"/>
          <w:szCs w:val="22"/>
        </w:rPr>
      </w:pPr>
      <w:r w:rsidRPr="00F24699">
        <w:rPr>
          <w:rFonts w:asciiTheme="minorHAnsi" w:hAnsiTheme="minorHAnsi" w:cstheme="minorHAnsi"/>
          <w:sz w:val="22"/>
          <w:szCs w:val="22"/>
        </w:rPr>
        <w:t xml:space="preserve">UNDP country office delegates supporting </w:t>
      </w:r>
      <w:r>
        <w:rPr>
          <w:rFonts w:asciiTheme="minorHAnsi" w:hAnsiTheme="minorHAnsi" w:cstheme="minorHAnsi"/>
          <w:sz w:val="22"/>
          <w:szCs w:val="22"/>
        </w:rPr>
        <w:t xml:space="preserve">the </w:t>
      </w:r>
      <w:r w:rsidRPr="00F24699">
        <w:rPr>
          <w:rFonts w:asciiTheme="minorHAnsi" w:hAnsiTheme="minorHAnsi" w:cstheme="minorHAnsi"/>
          <w:sz w:val="22"/>
          <w:szCs w:val="22"/>
        </w:rPr>
        <w:t xml:space="preserve">UN-REDD process </w:t>
      </w:r>
    </w:p>
    <w:p w:rsidR="00F30158" w:rsidRDefault="007B6A86" w:rsidP="007B6A86">
      <w:pPr>
        <w:pStyle w:val="ListParagraph"/>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Regional and global p</w:t>
      </w:r>
      <w:r w:rsidR="00A639C0">
        <w:rPr>
          <w:rFonts w:asciiTheme="minorHAnsi" w:hAnsiTheme="minorHAnsi" w:cstheme="minorHAnsi"/>
          <w:sz w:val="22"/>
          <w:szCs w:val="22"/>
        </w:rPr>
        <w:t xml:space="preserve">artners (AU, UNECA, </w:t>
      </w:r>
      <w:r w:rsidRPr="007B6A86">
        <w:rPr>
          <w:rFonts w:asciiTheme="minorHAnsi" w:hAnsiTheme="minorHAnsi" w:cstheme="minorHAnsi"/>
          <w:sz w:val="22"/>
          <w:szCs w:val="22"/>
        </w:rPr>
        <w:t>COMIFAC</w:t>
      </w:r>
      <w:r>
        <w:rPr>
          <w:rFonts w:asciiTheme="minorHAnsi" w:hAnsiTheme="minorHAnsi" w:cstheme="minorHAnsi"/>
          <w:sz w:val="22"/>
          <w:szCs w:val="22"/>
        </w:rPr>
        <w:t xml:space="preserve">, SADC, </w:t>
      </w:r>
      <w:r w:rsidR="00A639C0">
        <w:rPr>
          <w:rFonts w:asciiTheme="minorHAnsi" w:hAnsiTheme="minorHAnsi" w:cstheme="minorHAnsi"/>
          <w:sz w:val="22"/>
          <w:szCs w:val="22"/>
        </w:rPr>
        <w:t xml:space="preserve">TI, </w:t>
      </w:r>
      <w:r>
        <w:rPr>
          <w:rFonts w:asciiTheme="minorHAnsi" w:hAnsiTheme="minorHAnsi" w:cstheme="minorHAnsi"/>
          <w:sz w:val="22"/>
          <w:szCs w:val="22"/>
        </w:rPr>
        <w:t xml:space="preserve">WB, </w:t>
      </w:r>
      <w:r w:rsidR="00A639C0">
        <w:rPr>
          <w:rFonts w:asciiTheme="minorHAnsi" w:hAnsiTheme="minorHAnsi" w:cstheme="minorHAnsi"/>
          <w:sz w:val="22"/>
          <w:szCs w:val="22"/>
        </w:rPr>
        <w:t>Norway, …)</w:t>
      </w:r>
    </w:p>
    <w:p w:rsidR="00F30158" w:rsidRDefault="00F30158" w:rsidP="00010C73">
      <w:pPr>
        <w:pStyle w:val="ListParagraph"/>
        <w:numPr>
          <w:ilvl w:val="0"/>
          <w:numId w:val="1"/>
        </w:numPr>
        <w:spacing w:line="276" w:lineRule="auto"/>
        <w:jc w:val="both"/>
      </w:pPr>
      <w:r>
        <w:rPr>
          <w:rFonts w:asciiTheme="minorHAnsi" w:hAnsiTheme="minorHAnsi" w:cstheme="minorHAnsi"/>
          <w:sz w:val="22"/>
          <w:szCs w:val="22"/>
        </w:rPr>
        <w:t>Maximum number 60</w:t>
      </w:r>
    </w:p>
    <w:p w:rsidR="00010C73" w:rsidRDefault="00010C73" w:rsidP="00F30158">
      <w:pPr>
        <w:rPr>
          <w:b/>
        </w:rPr>
      </w:pPr>
    </w:p>
    <w:p w:rsidR="00885A5C" w:rsidRPr="00885A5C" w:rsidRDefault="00010C73" w:rsidP="00F30158">
      <w:pPr>
        <w:rPr>
          <w:b/>
        </w:rPr>
      </w:pPr>
      <w:r w:rsidRPr="00885A5C">
        <w:rPr>
          <w:b/>
        </w:rPr>
        <w:t>Inputs:</w:t>
      </w:r>
      <w:r w:rsidR="00885A5C" w:rsidRPr="00885A5C">
        <w:rPr>
          <w:b/>
        </w:rPr>
        <w:t xml:space="preserve"> </w:t>
      </w:r>
    </w:p>
    <w:p w:rsidR="00885A5C" w:rsidRDefault="00885A5C" w:rsidP="00F30158">
      <w:r>
        <w:t>- UNDP guidance to programming on AC and REDD + (for COs)</w:t>
      </w:r>
    </w:p>
    <w:p w:rsidR="00885A5C" w:rsidRDefault="00885A5C" w:rsidP="00F30158">
      <w:r>
        <w:t>- results of online poll on corruption risks in countries</w:t>
      </w:r>
    </w:p>
    <w:p w:rsidR="00885A5C" w:rsidRDefault="00885A5C" w:rsidP="00F30158">
      <w:r>
        <w:t>- distribution of relevant studies and fast facts (on PGA)</w:t>
      </w:r>
    </w:p>
    <w:p w:rsidR="00712041" w:rsidRPr="00D72EB4" w:rsidRDefault="00D72EB4" w:rsidP="002E12CD">
      <w:pPr>
        <w:jc w:val="center"/>
        <w:rPr>
          <w:b/>
        </w:rPr>
      </w:pPr>
      <w:r w:rsidRPr="00D72EB4">
        <w:rPr>
          <w:b/>
        </w:rPr>
        <w:lastRenderedPageBreak/>
        <w:t>Agenda</w:t>
      </w:r>
    </w:p>
    <w:tbl>
      <w:tblPr>
        <w:tblStyle w:val="LightList-Accent3"/>
        <w:tblW w:w="0" w:type="auto"/>
        <w:tblLook w:val="04A0"/>
      </w:tblPr>
      <w:tblGrid>
        <w:gridCol w:w="1626"/>
        <w:gridCol w:w="3522"/>
        <w:gridCol w:w="1440"/>
        <w:gridCol w:w="2610"/>
      </w:tblGrid>
      <w:tr w:rsidR="00853156" w:rsidRPr="008064EA" w:rsidTr="002E12CD">
        <w:trPr>
          <w:cnfStyle w:val="100000000000"/>
        </w:trPr>
        <w:tc>
          <w:tcPr>
            <w:cnfStyle w:val="001000000000"/>
            <w:tcW w:w="1626" w:type="dxa"/>
          </w:tcPr>
          <w:p w:rsidR="00853156" w:rsidRPr="008064EA" w:rsidRDefault="00853156" w:rsidP="00D72EB4">
            <w:pPr>
              <w:jc w:val="center"/>
              <w:rPr>
                <w:rFonts w:cstheme="minorHAnsi"/>
                <w:sz w:val="20"/>
                <w:szCs w:val="20"/>
              </w:rPr>
            </w:pPr>
            <w:r w:rsidRPr="008064EA">
              <w:rPr>
                <w:rFonts w:cstheme="minorHAnsi"/>
                <w:sz w:val="20"/>
                <w:szCs w:val="20"/>
              </w:rPr>
              <w:t>Sessions</w:t>
            </w:r>
          </w:p>
        </w:tc>
        <w:tc>
          <w:tcPr>
            <w:tcW w:w="3522" w:type="dxa"/>
          </w:tcPr>
          <w:p w:rsidR="00853156" w:rsidRPr="008064EA" w:rsidRDefault="00853156" w:rsidP="00D72EB4">
            <w:pPr>
              <w:jc w:val="center"/>
              <w:cnfStyle w:val="100000000000"/>
              <w:rPr>
                <w:rFonts w:cstheme="minorHAnsi"/>
                <w:sz w:val="20"/>
                <w:szCs w:val="20"/>
              </w:rPr>
            </w:pPr>
            <w:r w:rsidRPr="008064EA">
              <w:rPr>
                <w:rFonts w:cstheme="minorHAnsi"/>
                <w:sz w:val="20"/>
                <w:szCs w:val="20"/>
              </w:rPr>
              <w:t>Topics</w:t>
            </w:r>
          </w:p>
        </w:tc>
        <w:tc>
          <w:tcPr>
            <w:tcW w:w="1440" w:type="dxa"/>
          </w:tcPr>
          <w:p w:rsidR="00853156" w:rsidRPr="008064EA" w:rsidRDefault="00853156" w:rsidP="00D72EB4">
            <w:pPr>
              <w:jc w:val="center"/>
              <w:cnfStyle w:val="100000000000"/>
              <w:rPr>
                <w:rFonts w:cstheme="minorHAnsi"/>
                <w:sz w:val="20"/>
                <w:szCs w:val="20"/>
              </w:rPr>
            </w:pPr>
            <w:r w:rsidRPr="008064EA">
              <w:rPr>
                <w:rFonts w:cstheme="minorHAnsi"/>
                <w:sz w:val="20"/>
                <w:szCs w:val="20"/>
              </w:rPr>
              <w:t>Facilitation/</w:t>
            </w:r>
            <w:r w:rsidR="00010C73" w:rsidRPr="008064EA">
              <w:rPr>
                <w:rFonts w:cstheme="minorHAnsi"/>
                <w:sz w:val="20"/>
                <w:szCs w:val="20"/>
              </w:rPr>
              <w:t xml:space="preserve"> </w:t>
            </w:r>
            <w:r w:rsidRPr="008064EA">
              <w:rPr>
                <w:rFonts w:cstheme="minorHAnsi"/>
                <w:sz w:val="20"/>
                <w:szCs w:val="20"/>
              </w:rPr>
              <w:t>Presentation</w:t>
            </w:r>
          </w:p>
        </w:tc>
        <w:tc>
          <w:tcPr>
            <w:tcW w:w="2610" w:type="dxa"/>
          </w:tcPr>
          <w:p w:rsidR="00853156" w:rsidRPr="008064EA" w:rsidRDefault="00853156" w:rsidP="00D72EB4">
            <w:pPr>
              <w:jc w:val="center"/>
              <w:cnfStyle w:val="100000000000"/>
              <w:rPr>
                <w:rFonts w:cstheme="minorHAnsi"/>
                <w:sz w:val="20"/>
                <w:szCs w:val="20"/>
              </w:rPr>
            </w:pPr>
            <w:r w:rsidRPr="008064EA">
              <w:rPr>
                <w:rFonts w:cstheme="minorHAnsi"/>
                <w:sz w:val="20"/>
                <w:szCs w:val="20"/>
              </w:rPr>
              <w:t>Goals and outputs</w:t>
            </w:r>
          </w:p>
        </w:tc>
      </w:tr>
      <w:tr w:rsidR="00853156" w:rsidRPr="008064EA" w:rsidTr="002E12CD">
        <w:trPr>
          <w:cnfStyle w:val="000000100000"/>
        </w:trPr>
        <w:tc>
          <w:tcPr>
            <w:cnfStyle w:val="001000000000"/>
            <w:tcW w:w="1626" w:type="dxa"/>
          </w:tcPr>
          <w:p w:rsidR="00853156" w:rsidRPr="008064EA" w:rsidRDefault="00853156" w:rsidP="00F30158">
            <w:pPr>
              <w:rPr>
                <w:rFonts w:cstheme="minorHAnsi"/>
                <w:sz w:val="20"/>
                <w:szCs w:val="20"/>
              </w:rPr>
            </w:pPr>
            <w:r w:rsidRPr="008064EA">
              <w:rPr>
                <w:rFonts w:cstheme="minorHAnsi"/>
                <w:sz w:val="20"/>
                <w:szCs w:val="20"/>
              </w:rPr>
              <w:t xml:space="preserve">Opening Session </w:t>
            </w:r>
          </w:p>
        </w:tc>
        <w:tc>
          <w:tcPr>
            <w:tcW w:w="3522" w:type="dxa"/>
          </w:tcPr>
          <w:p w:rsidR="00853156" w:rsidRPr="008064EA" w:rsidRDefault="00853156" w:rsidP="00F30158">
            <w:pPr>
              <w:cnfStyle w:val="000000100000"/>
              <w:rPr>
                <w:rFonts w:cstheme="minorHAnsi"/>
                <w:b/>
                <w:sz w:val="20"/>
                <w:szCs w:val="20"/>
              </w:rPr>
            </w:pPr>
            <w:r w:rsidRPr="008064EA">
              <w:rPr>
                <w:rFonts w:cstheme="minorHAnsi"/>
                <w:b/>
                <w:sz w:val="20"/>
                <w:szCs w:val="20"/>
              </w:rPr>
              <w:t>Why Governance and REDD+</w:t>
            </w:r>
          </w:p>
          <w:p w:rsidR="00853156" w:rsidRPr="008064EA" w:rsidRDefault="00853156" w:rsidP="00F30158">
            <w:pPr>
              <w:cnfStyle w:val="000000100000"/>
              <w:rPr>
                <w:rFonts w:cstheme="minorHAnsi"/>
                <w:sz w:val="20"/>
                <w:szCs w:val="20"/>
              </w:rPr>
            </w:pPr>
            <w:r w:rsidRPr="008064EA">
              <w:rPr>
                <w:rFonts w:cstheme="minorHAnsi"/>
                <w:sz w:val="20"/>
                <w:szCs w:val="20"/>
              </w:rPr>
              <w:t>Overview of UN-REDD governance programme</w:t>
            </w:r>
            <w:r w:rsidR="00885A5C" w:rsidRPr="008064EA">
              <w:rPr>
                <w:rFonts w:cstheme="minorHAnsi"/>
                <w:sz w:val="20"/>
                <w:szCs w:val="20"/>
              </w:rPr>
              <w:t>, including stakeholder engagement (and FPIC), safeguards, legislative frameworks</w:t>
            </w:r>
            <w:r w:rsidR="00010C73" w:rsidRPr="008064EA">
              <w:rPr>
                <w:rFonts w:cstheme="minorHAnsi"/>
                <w:sz w:val="20"/>
                <w:szCs w:val="20"/>
              </w:rPr>
              <w:t>.</w:t>
            </w:r>
          </w:p>
          <w:p w:rsidR="00853156" w:rsidRPr="008064EA" w:rsidRDefault="00853156" w:rsidP="00F30158">
            <w:pPr>
              <w:cnfStyle w:val="000000100000"/>
              <w:rPr>
                <w:rFonts w:cstheme="minorHAnsi"/>
                <w:b/>
                <w:sz w:val="20"/>
                <w:szCs w:val="20"/>
              </w:rPr>
            </w:pPr>
          </w:p>
          <w:p w:rsidR="00853156" w:rsidRPr="008064EA" w:rsidRDefault="00853156" w:rsidP="000966EB">
            <w:pPr>
              <w:cnfStyle w:val="000000100000"/>
              <w:rPr>
                <w:rFonts w:cstheme="minorHAnsi"/>
                <w:sz w:val="20"/>
                <w:szCs w:val="20"/>
              </w:rPr>
            </w:pPr>
            <w:r w:rsidRPr="008064EA">
              <w:rPr>
                <w:rFonts w:cstheme="minorHAnsi"/>
                <w:sz w:val="20"/>
                <w:szCs w:val="20"/>
              </w:rPr>
              <w:t>Understanding corruption risks in REDD+ (re: findings from Staying on Track and other sources)</w:t>
            </w:r>
          </w:p>
          <w:p w:rsidR="00853156" w:rsidRPr="008064EA" w:rsidRDefault="00853156" w:rsidP="00F30158">
            <w:pPr>
              <w:cnfStyle w:val="000000100000"/>
              <w:rPr>
                <w:rFonts w:cstheme="minorHAnsi"/>
                <w:sz w:val="20"/>
                <w:szCs w:val="20"/>
              </w:rPr>
            </w:pPr>
          </w:p>
        </w:tc>
        <w:tc>
          <w:tcPr>
            <w:tcW w:w="1440" w:type="dxa"/>
          </w:tcPr>
          <w:p w:rsidR="00853156" w:rsidRPr="008064EA" w:rsidRDefault="00853156" w:rsidP="00F30158">
            <w:pPr>
              <w:cnfStyle w:val="000000100000"/>
              <w:rPr>
                <w:rFonts w:cstheme="minorHAnsi"/>
                <w:sz w:val="20"/>
                <w:szCs w:val="20"/>
              </w:rPr>
            </w:pPr>
          </w:p>
        </w:tc>
        <w:tc>
          <w:tcPr>
            <w:tcW w:w="2610" w:type="dxa"/>
          </w:tcPr>
          <w:p w:rsidR="00853156" w:rsidRPr="008064EA" w:rsidRDefault="00853156" w:rsidP="00F30158">
            <w:pPr>
              <w:cnfStyle w:val="000000100000"/>
              <w:rPr>
                <w:rFonts w:cstheme="minorHAnsi"/>
                <w:sz w:val="20"/>
                <w:szCs w:val="20"/>
              </w:rPr>
            </w:pPr>
            <w:r w:rsidRPr="008064EA">
              <w:rPr>
                <w:rFonts w:cstheme="minorHAnsi"/>
                <w:sz w:val="20"/>
                <w:szCs w:val="20"/>
              </w:rPr>
              <w:t xml:space="preserve">Participants realize the importance of tackling corruption to a successful REDD+; </w:t>
            </w:r>
          </w:p>
          <w:p w:rsidR="00853156" w:rsidRPr="008064EA" w:rsidRDefault="00853156" w:rsidP="00F30158">
            <w:pPr>
              <w:cnfStyle w:val="000000100000"/>
              <w:rPr>
                <w:rFonts w:cstheme="minorHAnsi"/>
                <w:sz w:val="20"/>
                <w:szCs w:val="20"/>
              </w:rPr>
            </w:pPr>
          </w:p>
          <w:p w:rsidR="00853156" w:rsidRPr="008064EA" w:rsidRDefault="00853156" w:rsidP="00F30158">
            <w:pPr>
              <w:cnfStyle w:val="000000100000"/>
              <w:rPr>
                <w:rFonts w:cstheme="minorHAnsi"/>
                <w:sz w:val="20"/>
                <w:szCs w:val="20"/>
              </w:rPr>
            </w:pPr>
            <w:r w:rsidRPr="008064EA">
              <w:rPr>
                <w:rFonts w:cstheme="minorHAnsi"/>
                <w:sz w:val="20"/>
                <w:szCs w:val="20"/>
              </w:rPr>
              <w:t>Participants see that this body of work is coherent with existing support by UN-REDD (including stakeholder engagement)</w:t>
            </w:r>
          </w:p>
          <w:p w:rsidR="00853156" w:rsidRPr="008064EA" w:rsidRDefault="00853156" w:rsidP="00F30158">
            <w:pPr>
              <w:cnfStyle w:val="000000100000"/>
              <w:rPr>
                <w:rFonts w:cstheme="minorHAnsi"/>
                <w:sz w:val="20"/>
                <w:szCs w:val="20"/>
              </w:rPr>
            </w:pPr>
          </w:p>
        </w:tc>
      </w:tr>
      <w:tr w:rsidR="00853156" w:rsidRPr="008064EA" w:rsidTr="002E12CD">
        <w:tc>
          <w:tcPr>
            <w:cnfStyle w:val="001000000000"/>
            <w:tcW w:w="1626" w:type="dxa"/>
          </w:tcPr>
          <w:p w:rsidR="00853156" w:rsidRPr="008064EA" w:rsidRDefault="00853156" w:rsidP="00F30158">
            <w:pPr>
              <w:rPr>
                <w:rFonts w:cstheme="minorHAnsi"/>
                <w:sz w:val="20"/>
                <w:szCs w:val="20"/>
              </w:rPr>
            </w:pPr>
            <w:r w:rsidRPr="008064EA">
              <w:rPr>
                <w:rFonts w:cstheme="minorHAnsi"/>
                <w:sz w:val="20"/>
                <w:szCs w:val="20"/>
              </w:rPr>
              <w:t>Session 1</w:t>
            </w:r>
          </w:p>
        </w:tc>
        <w:tc>
          <w:tcPr>
            <w:tcW w:w="3522" w:type="dxa"/>
          </w:tcPr>
          <w:p w:rsidR="00F66DD4" w:rsidRPr="008064EA" w:rsidRDefault="00853156" w:rsidP="00010C73">
            <w:pPr>
              <w:cnfStyle w:val="000000000000"/>
              <w:rPr>
                <w:rFonts w:cstheme="minorHAnsi"/>
                <w:b/>
                <w:sz w:val="20"/>
                <w:szCs w:val="20"/>
              </w:rPr>
            </w:pPr>
            <w:r w:rsidRPr="008064EA">
              <w:rPr>
                <w:rFonts w:cstheme="minorHAnsi"/>
                <w:b/>
                <w:sz w:val="20"/>
                <w:szCs w:val="20"/>
              </w:rPr>
              <w:t xml:space="preserve">What are the building blocks for preventing corruption </w:t>
            </w:r>
          </w:p>
          <w:p w:rsidR="00853156" w:rsidRPr="008064EA" w:rsidRDefault="00853156" w:rsidP="00F66DD4">
            <w:pPr>
              <w:pStyle w:val="ListParagraph"/>
              <w:numPr>
                <w:ilvl w:val="0"/>
                <w:numId w:val="3"/>
              </w:numPr>
              <w:cnfStyle w:val="000000000000"/>
              <w:rPr>
                <w:rFonts w:asciiTheme="minorHAnsi" w:hAnsiTheme="minorHAnsi" w:cstheme="minorHAnsi"/>
                <w:sz w:val="20"/>
                <w:szCs w:val="20"/>
              </w:rPr>
            </w:pPr>
            <w:r w:rsidRPr="008064EA">
              <w:rPr>
                <w:rFonts w:asciiTheme="minorHAnsi" w:hAnsiTheme="minorHAnsi" w:cstheme="minorHAnsi"/>
                <w:sz w:val="20"/>
                <w:szCs w:val="20"/>
              </w:rPr>
              <w:t>Anti-corruption norms, strategies, institutions and tools</w:t>
            </w:r>
          </w:p>
          <w:p w:rsidR="00853156" w:rsidRPr="008064EA" w:rsidRDefault="00853156" w:rsidP="00F66DD4">
            <w:pPr>
              <w:pStyle w:val="ListParagraph"/>
              <w:numPr>
                <w:ilvl w:val="0"/>
                <w:numId w:val="3"/>
              </w:numPr>
              <w:cnfStyle w:val="000000000000"/>
              <w:rPr>
                <w:rFonts w:asciiTheme="minorHAnsi" w:hAnsiTheme="minorHAnsi" w:cstheme="minorHAnsi"/>
                <w:sz w:val="20"/>
                <w:szCs w:val="20"/>
              </w:rPr>
            </w:pPr>
            <w:r w:rsidRPr="008064EA">
              <w:rPr>
                <w:rFonts w:asciiTheme="minorHAnsi" w:hAnsiTheme="minorHAnsi" w:cstheme="minorHAnsi"/>
                <w:sz w:val="20"/>
                <w:szCs w:val="20"/>
              </w:rPr>
              <w:t xml:space="preserve">Legal instruments to curb corruption (e.g., access to information act, whistle-blower protection laws, conflict of interest protection laws, </w:t>
            </w:r>
            <w:r w:rsidR="00885A5C" w:rsidRPr="008064EA">
              <w:rPr>
                <w:rFonts w:asciiTheme="minorHAnsi" w:hAnsiTheme="minorHAnsi" w:cstheme="minorHAnsi"/>
                <w:sz w:val="20"/>
                <w:szCs w:val="20"/>
              </w:rPr>
              <w:t>investigative journalism on corrupt practices ,  Use of IT to track and report corruption (e.g., ‘Ushahidi’ (Kenya), ‘I Paid a Bribe’ (India), etc.)</w:t>
            </w:r>
          </w:p>
          <w:p w:rsidR="00F66DD4" w:rsidRPr="008064EA" w:rsidRDefault="00F66DD4" w:rsidP="00F66DD4">
            <w:pPr>
              <w:pStyle w:val="ListParagraph"/>
              <w:cnfStyle w:val="000000000000"/>
              <w:rPr>
                <w:rFonts w:asciiTheme="minorHAnsi" w:hAnsiTheme="minorHAnsi" w:cstheme="minorHAnsi"/>
                <w:sz w:val="20"/>
                <w:szCs w:val="20"/>
              </w:rPr>
            </w:pPr>
          </w:p>
        </w:tc>
        <w:tc>
          <w:tcPr>
            <w:tcW w:w="1440" w:type="dxa"/>
          </w:tcPr>
          <w:p w:rsidR="00853156" w:rsidRPr="008064EA" w:rsidRDefault="00853156" w:rsidP="00F30158">
            <w:pPr>
              <w:cnfStyle w:val="000000000000"/>
              <w:rPr>
                <w:rFonts w:cstheme="minorHAnsi"/>
                <w:sz w:val="20"/>
                <w:szCs w:val="20"/>
              </w:rPr>
            </w:pPr>
          </w:p>
        </w:tc>
        <w:tc>
          <w:tcPr>
            <w:tcW w:w="2610" w:type="dxa"/>
          </w:tcPr>
          <w:p w:rsidR="00853156" w:rsidRPr="008064EA" w:rsidRDefault="00853156" w:rsidP="00F30158">
            <w:pPr>
              <w:cnfStyle w:val="000000000000"/>
              <w:rPr>
                <w:rFonts w:cstheme="minorHAnsi"/>
                <w:sz w:val="20"/>
                <w:szCs w:val="20"/>
              </w:rPr>
            </w:pPr>
            <w:r w:rsidRPr="008064EA">
              <w:rPr>
                <w:rFonts w:cstheme="minorHAnsi"/>
                <w:sz w:val="20"/>
                <w:szCs w:val="20"/>
              </w:rPr>
              <w:t xml:space="preserve">Participants have an understanding of the tools and realize that existing systems, regulations and laws can be built upon, and if possible how these have been applied in the forest sector </w:t>
            </w:r>
          </w:p>
        </w:tc>
      </w:tr>
      <w:tr w:rsidR="00853156" w:rsidRPr="008064EA" w:rsidTr="002E12CD">
        <w:trPr>
          <w:cnfStyle w:val="000000100000"/>
        </w:trPr>
        <w:tc>
          <w:tcPr>
            <w:cnfStyle w:val="001000000000"/>
            <w:tcW w:w="1626" w:type="dxa"/>
          </w:tcPr>
          <w:p w:rsidR="00853156" w:rsidRPr="008064EA" w:rsidRDefault="00853156" w:rsidP="0043757B">
            <w:pPr>
              <w:rPr>
                <w:rFonts w:cstheme="minorHAnsi"/>
                <w:sz w:val="20"/>
                <w:szCs w:val="20"/>
              </w:rPr>
            </w:pPr>
            <w:r w:rsidRPr="008064EA">
              <w:rPr>
                <w:rFonts w:cstheme="minorHAnsi"/>
                <w:sz w:val="20"/>
                <w:szCs w:val="20"/>
              </w:rPr>
              <w:t>Session 2</w:t>
            </w:r>
          </w:p>
        </w:tc>
        <w:tc>
          <w:tcPr>
            <w:tcW w:w="3522" w:type="dxa"/>
          </w:tcPr>
          <w:p w:rsidR="00853156" w:rsidRPr="008064EA" w:rsidRDefault="00853156" w:rsidP="00BB7637">
            <w:pPr>
              <w:cnfStyle w:val="000000100000"/>
              <w:rPr>
                <w:rFonts w:cstheme="minorHAnsi"/>
                <w:b/>
                <w:sz w:val="20"/>
                <w:szCs w:val="20"/>
              </w:rPr>
            </w:pPr>
            <w:r w:rsidRPr="008064EA">
              <w:rPr>
                <w:rFonts w:cstheme="minorHAnsi"/>
                <w:b/>
                <w:sz w:val="20"/>
                <w:szCs w:val="20"/>
              </w:rPr>
              <w:t>Approach, tools and resources to determine specific corruption risks and priority actions</w:t>
            </w:r>
          </w:p>
          <w:p w:rsidR="00853156" w:rsidRPr="008064EA" w:rsidRDefault="00853156" w:rsidP="00BB7637">
            <w:pPr>
              <w:pStyle w:val="ListParagraph"/>
              <w:numPr>
                <w:ilvl w:val="0"/>
                <w:numId w:val="4"/>
              </w:numPr>
              <w:cnfStyle w:val="000000100000"/>
              <w:rPr>
                <w:rFonts w:asciiTheme="minorHAnsi" w:hAnsiTheme="minorHAnsi" w:cstheme="minorHAnsi"/>
                <w:sz w:val="20"/>
                <w:szCs w:val="20"/>
              </w:rPr>
            </w:pPr>
            <w:r w:rsidRPr="008064EA">
              <w:rPr>
                <w:rFonts w:asciiTheme="minorHAnsi" w:hAnsiTheme="minorHAnsi" w:cstheme="minorHAnsi"/>
                <w:sz w:val="20"/>
                <w:szCs w:val="20"/>
              </w:rPr>
              <w:t>Participatory governance assessments including  corruption risks in REDD+ (e.g., Nigeria)</w:t>
            </w:r>
          </w:p>
          <w:p w:rsidR="00853156" w:rsidRPr="008064EA" w:rsidRDefault="00853156" w:rsidP="00853156">
            <w:pPr>
              <w:pStyle w:val="ListParagraph"/>
              <w:numPr>
                <w:ilvl w:val="0"/>
                <w:numId w:val="4"/>
              </w:numPr>
              <w:cnfStyle w:val="000000100000"/>
              <w:rPr>
                <w:rFonts w:asciiTheme="minorHAnsi" w:hAnsiTheme="minorHAnsi" w:cstheme="minorHAnsi"/>
                <w:sz w:val="20"/>
                <w:szCs w:val="20"/>
              </w:rPr>
            </w:pPr>
            <w:r w:rsidRPr="008064EA">
              <w:rPr>
                <w:rFonts w:asciiTheme="minorHAnsi" w:hAnsiTheme="minorHAnsi" w:cstheme="minorHAnsi"/>
                <w:sz w:val="20"/>
                <w:szCs w:val="20"/>
              </w:rPr>
              <w:t>Political Economy Analysis in REDD+: findings and lessons from DRC (Norad/UNDP/PWC study, World Bank’s political economy study</w:t>
            </w:r>
          </w:p>
          <w:p w:rsidR="00853156" w:rsidRPr="008064EA" w:rsidRDefault="00853156" w:rsidP="008064EA">
            <w:pPr>
              <w:pStyle w:val="ListParagraph"/>
              <w:cnfStyle w:val="000000100000"/>
              <w:rPr>
                <w:rFonts w:asciiTheme="minorHAnsi" w:hAnsiTheme="minorHAnsi" w:cstheme="minorHAnsi"/>
                <w:sz w:val="20"/>
                <w:szCs w:val="20"/>
              </w:rPr>
            </w:pPr>
          </w:p>
        </w:tc>
        <w:tc>
          <w:tcPr>
            <w:tcW w:w="1440" w:type="dxa"/>
          </w:tcPr>
          <w:p w:rsidR="00853156" w:rsidRPr="008064EA" w:rsidRDefault="00853156" w:rsidP="0050438A">
            <w:pPr>
              <w:cnfStyle w:val="000000100000"/>
              <w:rPr>
                <w:rFonts w:cstheme="minorHAnsi"/>
                <w:sz w:val="20"/>
                <w:szCs w:val="20"/>
              </w:rPr>
            </w:pPr>
            <w:r w:rsidRPr="008064EA">
              <w:rPr>
                <w:rFonts w:cstheme="minorHAnsi"/>
                <w:sz w:val="20"/>
                <w:szCs w:val="20"/>
              </w:rPr>
              <w:t xml:space="preserve">Presentations by : </w:t>
            </w:r>
          </w:p>
          <w:p w:rsidR="00853156" w:rsidRPr="008064EA" w:rsidRDefault="00853156" w:rsidP="00853156">
            <w:pPr>
              <w:cnfStyle w:val="000000100000"/>
              <w:rPr>
                <w:rFonts w:cstheme="minorHAnsi"/>
                <w:sz w:val="20"/>
                <w:szCs w:val="20"/>
              </w:rPr>
            </w:pPr>
            <w:r w:rsidRPr="008064EA">
              <w:rPr>
                <w:rFonts w:cstheme="minorHAnsi"/>
                <w:sz w:val="20"/>
                <w:szCs w:val="20"/>
              </w:rPr>
              <w:t>Marie Laberge on PGA</w:t>
            </w:r>
          </w:p>
          <w:p w:rsidR="00853156" w:rsidRPr="008064EA" w:rsidRDefault="00853156" w:rsidP="00853156">
            <w:pPr>
              <w:cnfStyle w:val="000000100000"/>
              <w:rPr>
                <w:rFonts w:cstheme="minorHAnsi"/>
                <w:sz w:val="20"/>
                <w:szCs w:val="20"/>
              </w:rPr>
            </w:pPr>
            <w:r w:rsidRPr="008064EA">
              <w:rPr>
                <w:rFonts w:cstheme="minorHAnsi"/>
                <w:sz w:val="20"/>
                <w:szCs w:val="20"/>
              </w:rPr>
              <w:t xml:space="preserve"> Nigeria </w:t>
            </w:r>
          </w:p>
          <w:p w:rsidR="00853156" w:rsidRPr="008064EA" w:rsidRDefault="00853156" w:rsidP="00853156">
            <w:pPr>
              <w:cnfStyle w:val="000000100000"/>
              <w:rPr>
                <w:rFonts w:cstheme="minorHAnsi"/>
                <w:sz w:val="20"/>
                <w:szCs w:val="20"/>
              </w:rPr>
            </w:pPr>
            <w:r w:rsidRPr="008064EA">
              <w:rPr>
                <w:rFonts w:cstheme="minorHAnsi"/>
                <w:sz w:val="20"/>
                <w:szCs w:val="20"/>
              </w:rPr>
              <w:t xml:space="preserve">and DRC’s CN </w:t>
            </w:r>
          </w:p>
        </w:tc>
        <w:tc>
          <w:tcPr>
            <w:tcW w:w="2610" w:type="dxa"/>
          </w:tcPr>
          <w:p w:rsidR="00853156" w:rsidRPr="008064EA" w:rsidRDefault="00853156" w:rsidP="0050438A">
            <w:pPr>
              <w:cnfStyle w:val="000000100000"/>
              <w:rPr>
                <w:rFonts w:cstheme="minorHAnsi"/>
                <w:sz w:val="20"/>
                <w:szCs w:val="20"/>
              </w:rPr>
            </w:pPr>
            <w:r w:rsidRPr="008064EA">
              <w:rPr>
                <w:rFonts w:cstheme="minorHAnsi"/>
                <w:sz w:val="20"/>
                <w:szCs w:val="20"/>
              </w:rPr>
              <w:t>Participants are aware that some countries are already tackling the issue and hear it directly from them</w:t>
            </w:r>
          </w:p>
        </w:tc>
      </w:tr>
      <w:tr w:rsidR="00853156" w:rsidRPr="008064EA" w:rsidTr="002E12CD">
        <w:tc>
          <w:tcPr>
            <w:cnfStyle w:val="001000000000"/>
            <w:tcW w:w="1626" w:type="dxa"/>
          </w:tcPr>
          <w:p w:rsidR="00853156" w:rsidRPr="008064EA" w:rsidRDefault="00853156" w:rsidP="0043757B">
            <w:pPr>
              <w:rPr>
                <w:rFonts w:cstheme="minorHAnsi"/>
                <w:sz w:val="20"/>
                <w:szCs w:val="20"/>
              </w:rPr>
            </w:pPr>
            <w:r w:rsidRPr="008064EA">
              <w:rPr>
                <w:rFonts w:cstheme="minorHAnsi"/>
                <w:sz w:val="20"/>
                <w:szCs w:val="20"/>
              </w:rPr>
              <w:t>Session 3</w:t>
            </w:r>
          </w:p>
        </w:tc>
        <w:tc>
          <w:tcPr>
            <w:tcW w:w="3522" w:type="dxa"/>
          </w:tcPr>
          <w:p w:rsidR="00853156" w:rsidRPr="008064EA" w:rsidRDefault="00853156" w:rsidP="00BB7637">
            <w:pPr>
              <w:cnfStyle w:val="000000000000"/>
              <w:rPr>
                <w:rFonts w:cstheme="minorHAnsi"/>
                <w:b/>
                <w:sz w:val="20"/>
                <w:szCs w:val="20"/>
              </w:rPr>
            </w:pPr>
            <w:r w:rsidRPr="008064EA">
              <w:rPr>
                <w:rFonts w:cstheme="minorHAnsi"/>
                <w:b/>
                <w:sz w:val="20"/>
                <w:szCs w:val="20"/>
              </w:rPr>
              <w:t>Group exercise:</w:t>
            </w:r>
          </w:p>
          <w:p w:rsidR="00853156" w:rsidRPr="008064EA" w:rsidRDefault="00853156" w:rsidP="0008453D">
            <w:pPr>
              <w:pStyle w:val="ListParagraph"/>
              <w:numPr>
                <w:ilvl w:val="0"/>
                <w:numId w:val="3"/>
              </w:numPr>
              <w:cnfStyle w:val="000000000000"/>
              <w:rPr>
                <w:rFonts w:asciiTheme="minorHAnsi" w:hAnsiTheme="minorHAnsi" w:cstheme="minorHAnsi"/>
                <w:sz w:val="20"/>
                <w:szCs w:val="20"/>
              </w:rPr>
            </w:pPr>
            <w:r w:rsidRPr="008064EA">
              <w:rPr>
                <w:rFonts w:asciiTheme="minorHAnsi" w:hAnsiTheme="minorHAnsi" w:cstheme="minorHAnsi"/>
                <w:sz w:val="20"/>
                <w:szCs w:val="20"/>
              </w:rPr>
              <w:t xml:space="preserve">Potential corruption risk identification </w:t>
            </w:r>
          </w:p>
        </w:tc>
        <w:tc>
          <w:tcPr>
            <w:tcW w:w="1440" w:type="dxa"/>
          </w:tcPr>
          <w:p w:rsidR="00853156" w:rsidRPr="008064EA" w:rsidRDefault="00853156" w:rsidP="00F30158">
            <w:pPr>
              <w:cnfStyle w:val="000000000000"/>
              <w:rPr>
                <w:rFonts w:cstheme="minorHAnsi"/>
                <w:sz w:val="20"/>
                <w:szCs w:val="20"/>
              </w:rPr>
            </w:pPr>
          </w:p>
        </w:tc>
        <w:tc>
          <w:tcPr>
            <w:tcW w:w="2610" w:type="dxa"/>
          </w:tcPr>
          <w:p w:rsidR="00853156" w:rsidRPr="008064EA" w:rsidRDefault="00885A5C" w:rsidP="00F30158">
            <w:pPr>
              <w:cnfStyle w:val="000000000000"/>
              <w:rPr>
                <w:rFonts w:cstheme="minorHAnsi"/>
                <w:sz w:val="20"/>
                <w:szCs w:val="20"/>
              </w:rPr>
            </w:pPr>
            <w:r w:rsidRPr="008064EA">
              <w:rPr>
                <w:rFonts w:cstheme="minorHAnsi"/>
                <w:sz w:val="20"/>
                <w:szCs w:val="20"/>
              </w:rPr>
              <w:t xml:space="preserve">Based on result of the poll, participants think about what to do in each situation. </w:t>
            </w:r>
          </w:p>
          <w:p w:rsidR="00885A5C" w:rsidRPr="008064EA" w:rsidRDefault="00885A5C" w:rsidP="00F30158">
            <w:pPr>
              <w:cnfStyle w:val="000000000000"/>
              <w:rPr>
                <w:rFonts w:cstheme="minorHAnsi"/>
                <w:sz w:val="20"/>
                <w:szCs w:val="20"/>
              </w:rPr>
            </w:pPr>
          </w:p>
          <w:p w:rsidR="00885A5C" w:rsidRPr="008064EA" w:rsidRDefault="00885A5C" w:rsidP="00F30158">
            <w:pPr>
              <w:cnfStyle w:val="000000000000"/>
              <w:rPr>
                <w:rFonts w:cstheme="minorHAnsi"/>
                <w:sz w:val="20"/>
                <w:szCs w:val="20"/>
              </w:rPr>
            </w:pPr>
            <w:r w:rsidRPr="008064EA">
              <w:rPr>
                <w:rFonts w:cstheme="minorHAnsi"/>
                <w:sz w:val="20"/>
                <w:szCs w:val="20"/>
              </w:rPr>
              <w:t xml:space="preserve">Alternative is to give them a fake country profile and ask to brainstorm on what can be done and by whom. </w:t>
            </w:r>
          </w:p>
          <w:p w:rsidR="00885A5C" w:rsidRPr="008064EA" w:rsidRDefault="00885A5C" w:rsidP="00F30158">
            <w:pPr>
              <w:cnfStyle w:val="000000000000"/>
              <w:rPr>
                <w:rFonts w:cstheme="minorHAnsi"/>
                <w:sz w:val="20"/>
                <w:szCs w:val="20"/>
              </w:rPr>
            </w:pPr>
          </w:p>
        </w:tc>
      </w:tr>
      <w:tr w:rsidR="00853156" w:rsidRPr="008064EA" w:rsidTr="008064EA">
        <w:trPr>
          <w:cnfStyle w:val="000000100000"/>
          <w:trHeight w:val="2500"/>
        </w:trPr>
        <w:tc>
          <w:tcPr>
            <w:cnfStyle w:val="001000000000"/>
            <w:tcW w:w="1626" w:type="dxa"/>
          </w:tcPr>
          <w:p w:rsidR="00853156" w:rsidRPr="008064EA" w:rsidRDefault="00853156" w:rsidP="0043757B">
            <w:pPr>
              <w:rPr>
                <w:rFonts w:cstheme="minorHAnsi"/>
                <w:sz w:val="20"/>
                <w:szCs w:val="20"/>
              </w:rPr>
            </w:pPr>
            <w:r w:rsidRPr="008064EA">
              <w:rPr>
                <w:rFonts w:cstheme="minorHAnsi"/>
                <w:sz w:val="20"/>
                <w:szCs w:val="20"/>
              </w:rPr>
              <w:lastRenderedPageBreak/>
              <w:t>Session 4</w:t>
            </w:r>
          </w:p>
        </w:tc>
        <w:tc>
          <w:tcPr>
            <w:tcW w:w="3522" w:type="dxa"/>
          </w:tcPr>
          <w:p w:rsidR="00853156" w:rsidRPr="008064EA" w:rsidRDefault="00853156" w:rsidP="00BB7637">
            <w:pPr>
              <w:cnfStyle w:val="000000100000"/>
              <w:rPr>
                <w:rFonts w:cstheme="minorHAnsi"/>
                <w:b/>
                <w:sz w:val="20"/>
                <w:szCs w:val="20"/>
              </w:rPr>
            </w:pPr>
            <w:r w:rsidRPr="008064EA">
              <w:rPr>
                <w:rFonts w:cstheme="minorHAnsi"/>
                <w:b/>
                <w:sz w:val="20"/>
                <w:szCs w:val="20"/>
              </w:rPr>
              <w:t>REDD+ as an opportunity to establish transparent systems : Technology opening a new frontier to promote transparency in development programmes: any lessons for REDD+</w:t>
            </w:r>
          </w:p>
          <w:p w:rsidR="00853156" w:rsidRPr="008064EA" w:rsidRDefault="00885A5C" w:rsidP="00BB7637">
            <w:pPr>
              <w:pStyle w:val="ListParagraph"/>
              <w:numPr>
                <w:ilvl w:val="0"/>
                <w:numId w:val="3"/>
              </w:numPr>
              <w:cnfStyle w:val="000000100000"/>
              <w:rPr>
                <w:rFonts w:asciiTheme="minorHAnsi" w:hAnsiTheme="minorHAnsi" w:cstheme="minorHAnsi"/>
                <w:sz w:val="20"/>
                <w:szCs w:val="20"/>
              </w:rPr>
            </w:pPr>
            <w:r w:rsidRPr="008064EA">
              <w:rPr>
                <w:rFonts w:asciiTheme="minorHAnsi" w:hAnsiTheme="minorHAnsi" w:cstheme="minorHAnsi"/>
                <w:sz w:val="20"/>
                <w:szCs w:val="20"/>
              </w:rPr>
              <w:t>Engagement of stakeholders could mean establishing or building on c</w:t>
            </w:r>
            <w:r w:rsidR="00853156" w:rsidRPr="008064EA">
              <w:rPr>
                <w:rFonts w:asciiTheme="minorHAnsi" w:hAnsiTheme="minorHAnsi" w:cstheme="minorHAnsi"/>
                <w:sz w:val="20"/>
                <w:szCs w:val="20"/>
              </w:rPr>
              <w:t>itizens</w:t>
            </w:r>
            <w:r w:rsidRPr="008064EA">
              <w:rPr>
                <w:rFonts w:asciiTheme="minorHAnsi" w:hAnsiTheme="minorHAnsi" w:cstheme="minorHAnsi"/>
                <w:sz w:val="20"/>
                <w:szCs w:val="20"/>
              </w:rPr>
              <w:t xml:space="preserve"> </w:t>
            </w:r>
            <w:r w:rsidR="00853156" w:rsidRPr="008064EA">
              <w:rPr>
                <w:rFonts w:asciiTheme="minorHAnsi" w:hAnsiTheme="minorHAnsi" w:cstheme="minorHAnsi"/>
                <w:sz w:val="20"/>
                <w:szCs w:val="20"/>
              </w:rPr>
              <w:t xml:space="preserve">policy and budget monitoring (PETS, CRCs, etc.) </w:t>
            </w:r>
          </w:p>
          <w:p w:rsidR="00853156" w:rsidRPr="008064EA" w:rsidRDefault="00853156" w:rsidP="0008453D">
            <w:pPr>
              <w:pStyle w:val="ListParagraph"/>
              <w:numPr>
                <w:ilvl w:val="0"/>
                <w:numId w:val="3"/>
              </w:numPr>
              <w:cnfStyle w:val="000000100000"/>
              <w:rPr>
                <w:rFonts w:asciiTheme="minorHAnsi" w:hAnsiTheme="minorHAnsi" w:cstheme="minorHAnsi"/>
                <w:sz w:val="20"/>
                <w:szCs w:val="20"/>
              </w:rPr>
            </w:pPr>
            <w:r w:rsidRPr="008064EA">
              <w:rPr>
                <w:rFonts w:asciiTheme="minorHAnsi" w:hAnsiTheme="minorHAnsi" w:cstheme="minorHAnsi"/>
                <w:sz w:val="20"/>
                <w:szCs w:val="20"/>
              </w:rPr>
              <w:t>Benefit distribution systems portal (e.g., Bol</w:t>
            </w:r>
            <w:bookmarkStart w:id="0" w:name="_GoBack"/>
            <w:bookmarkEnd w:id="0"/>
            <w:r w:rsidRPr="008064EA">
              <w:rPr>
                <w:rFonts w:asciiTheme="minorHAnsi" w:hAnsiTheme="minorHAnsi" w:cstheme="minorHAnsi"/>
                <w:sz w:val="20"/>
                <w:szCs w:val="20"/>
              </w:rPr>
              <w:t>saFamilia (Brazil))</w:t>
            </w:r>
          </w:p>
        </w:tc>
        <w:tc>
          <w:tcPr>
            <w:tcW w:w="1440" w:type="dxa"/>
          </w:tcPr>
          <w:p w:rsidR="00853156" w:rsidRPr="008064EA" w:rsidRDefault="00853156" w:rsidP="00F30158">
            <w:pPr>
              <w:cnfStyle w:val="000000100000"/>
              <w:rPr>
                <w:rFonts w:cstheme="minorHAnsi"/>
                <w:sz w:val="20"/>
                <w:szCs w:val="20"/>
              </w:rPr>
            </w:pPr>
          </w:p>
        </w:tc>
        <w:tc>
          <w:tcPr>
            <w:tcW w:w="2610" w:type="dxa"/>
          </w:tcPr>
          <w:p w:rsidR="00853156" w:rsidRPr="008064EA" w:rsidRDefault="00885A5C" w:rsidP="00F30158">
            <w:pPr>
              <w:cnfStyle w:val="000000100000"/>
              <w:rPr>
                <w:rFonts w:cstheme="minorHAnsi"/>
                <w:sz w:val="20"/>
                <w:szCs w:val="20"/>
              </w:rPr>
            </w:pPr>
            <w:r w:rsidRPr="008064EA">
              <w:rPr>
                <w:rFonts w:cstheme="minorHAnsi"/>
                <w:sz w:val="20"/>
                <w:szCs w:val="20"/>
              </w:rPr>
              <w:t>Participants realize that REDD+ does not only bring in risk, but also opportunities to create systems that are transparent. Th</w:t>
            </w:r>
            <w:r w:rsidR="00F66DD4" w:rsidRPr="008064EA">
              <w:rPr>
                <w:rFonts w:cstheme="minorHAnsi"/>
                <w:sz w:val="20"/>
                <w:szCs w:val="20"/>
              </w:rPr>
              <w:t>e</w:t>
            </w:r>
            <w:r w:rsidRPr="008064EA">
              <w:rPr>
                <w:rFonts w:cstheme="minorHAnsi"/>
                <w:sz w:val="20"/>
                <w:szCs w:val="20"/>
              </w:rPr>
              <w:t xml:space="preserve"> idea is that REDD+ is not forest sector activities as usual, since by its very nature it has to be predicated upon participatory systems  </w:t>
            </w:r>
          </w:p>
          <w:p w:rsidR="00885A5C" w:rsidRPr="008064EA" w:rsidRDefault="00885A5C" w:rsidP="00F30158">
            <w:pPr>
              <w:cnfStyle w:val="000000100000"/>
              <w:rPr>
                <w:rFonts w:cstheme="minorHAnsi"/>
                <w:sz w:val="20"/>
                <w:szCs w:val="20"/>
              </w:rPr>
            </w:pPr>
          </w:p>
          <w:p w:rsidR="00885A5C" w:rsidRPr="008064EA" w:rsidRDefault="00885A5C" w:rsidP="00F30158">
            <w:pPr>
              <w:cnfStyle w:val="000000100000"/>
              <w:rPr>
                <w:rFonts w:cstheme="minorHAnsi"/>
                <w:sz w:val="20"/>
                <w:szCs w:val="20"/>
              </w:rPr>
            </w:pPr>
          </w:p>
          <w:p w:rsidR="00885A5C" w:rsidRPr="008064EA" w:rsidRDefault="00885A5C" w:rsidP="00F30158">
            <w:pPr>
              <w:cnfStyle w:val="000000100000"/>
              <w:rPr>
                <w:rFonts w:cstheme="minorHAnsi"/>
                <w:sz w:val="20"/>
                <w:szCs w:val="20"/>
              </w:rPr>
            </w:pPr>
          </w:p>
        </w:tc>
      </w:tr>
      <w:tr w:rsidR="00853156" w:rsidRPr="008064EA" w:rsidTr="002E12CD">
        <w:tc>
          <w:tcPr>
            <w:cnfStyle w:val="001000000000"/>
            <w:tcW w:w="1626" w:type="dxa"/>
          </w:tcPr>
          <w:p w:rsidR="00853156" w:rsidRPr="008064EA" w:rsidRDefault="00853156" w:rsidP="00F30158">
            <w:pPr>
              <w:rPr>
                <w:rFonts w:cstheme="minorHAnsi"/>
                <w:sz w:val="20"/>
                <w:szCs w:val="20"/>
              </w:rPr>
            </w:pPr>
            <w:r w:rsidRPr="008064EA">
              <w:rPr>
                <w:rFonts w:cstheme="minorHAnsi"/>
                <w:sz w:val="20"/>
                <w:szCs w:val="20"/>
              </w:rPr>
              <w:t>Session 5</w:t>
            </w:r>
          </w:p>
        </w:tc>
        <w:tc>
          <w:tcPr>
            <w:tcW w:w="3522" w:type="dxa"/>
          </w:tcPr>
          <w:p w:rsidR="00853156" w:rsidRPr="008064EA" w:rsidRDefault="00853156" w:rsidP="00BB7637">
            <w:pPr>
              <w:cnfStyle w:val="000000000000"/>
              <w:rPr>
                <w:rFonts w:cstheme="minorHAnsi"/>
                <w:b/>
                <w:sz w:val="20"/>
                <w:szCs w:val="20"/>
              </w:rPr>
            </w:pPr>
            <w:r w:rsidRPr="008064EA">
              <w:rPr>
                <w:rFonts w:cstheme="minorHAnsi"/>
                <w:b/>
                <w:sz w:val="20"/>
                <w:szCs w:val="20"/>
              </w:rPr>
              <w:t xml:space="preserve">How to integrate anti-corruption into REDD+ programming </w:t>
            </w:r>
          </w:p>
          <w:p w:rsidR="00853156" w:rsidRPr="008064EA" w:rsidRDefault="00853156" w:rsidP="00BB7637">
            <w:pPr>
              <w:pStyle w:val="ListParagraph"/>
              <w:numPr>
                <w:ilvl w:val="0"/>
                <w:numId w:val="3"/>
              </w:numPr>
              <w:cnfStyle w:val="000000000000"/>
              <w:rPr>
                <w:rFonts w:asciiTheme="minorHAnsi" w:hAnsiTheme="minorHAnsi" w:cstheme="minorHAnsi"/>
                <w:sz w:val="20"/>
                <w:szCs w:val="20"/>
              </w:rPr>
            </w:pPr>
            <w:r w:rsidRPr="008064EA">
              <w:rPr>
                <w:rFonts w:asciiTheme="minorHAnsi" w:hAnsiTheme="minorHAnsi" w:cstheme="minorHAnsi"/>
                <w:sz w:val="20"/>
                <w:szCs w:val="20"/>
              </w:rPr>
              <w:t>Linkages with on-going governance/anti-corruption initiatives at global, regional and country levels</w:t>
            </w:r>
          </w:p>
        </w:tc>
        <w:tc>
          <w:tcPr>
            <w:tcW w:w="1440" w:type="dxa"/>
          </w:tcPr>
          <w:p w:rsidR="00853156" w:rsidRPr="008064EA" w:rsidRDefault="00853156" w:rsidP="00F30158">
            <w:pPr>
              <w:cnfStyle w:val="000000000000"/>
              <w:rPr>
                <w:rFonts w:cstheme="minorHAnsi"/>
                <w:sz w:val="20"/>
                <w:szCs w:val="20"/>
              </w:rPr>
            </w:pPr>
          </w:p>
        </w:tc>
        <w:tc>
          <w:tcPr>
            <w:tcW w:w="2610" w:type="dxa"/>
          </w:tcPr>
          <w:p w:rsidR="00853156" w:rsidRPr="008064EA" w:rsidRDefault="00853156" w:rsidP="00F30158">
            <w:pPr>
              <w:cnfStyle w:val="000000000000"/>
              <w:rPr>
                <w:rFonts w:cstheme="minorHAnsi"/>
                <w:sz w:val="20"/>
                <w:szCs w:val="20"/>
              </w:rPr>
            </w:pPr>
          </w:p>
        </w:tc>
      </w:tr>
      <w:tr w:rsidR="00853156" w:rsidRPr="008064EA" w:rsidTr="002E12CD">
        <w:trPr>
          <w:cnfStyle w:val="000000100000"/>
        </w:trPr>
        <w:tc>
          <w:tcPr>
            <w:cnfStyle w:val="001000000000"/>
            <w:tcW w:w="1626" w:type="dxa"/>
          </w:tcPr>
          <w:p w:rsidR="00853156" w:rsidRPr="008064EA" w:rsidRDefault="00853156" w:rsidP="007A3DE5">
            <w:pPr>
              <w:rPr>
                <w:rFonts w:cstheme="minorHAnsi"/>
                <w:sz w:val="20"/>
                <w:szCs w:val="20"/>
              </w:rPr>
            </w:pPr>
            <w:r w:rsidRPr="008064EA">
              <w:rPr>
                <w:rFonts w:cstheme="minorHAnsi"/>
                <w:sz w:val="20"/>
                <w:szCs w:val="20"/>
              </w:rPr>
              <w:t>Session 6</w:t>
            </w:r>
          </w:p>
        </w:tc>
        <w:tc>
          <w:tcPr>
            <w:tcW w:w="3522" w:type="dxa"/>
          </w:tcPr>
          <w:p w:rsidR="00853156" w:rsidRPr="008064EA" w:rsidRDefault="00853156" w:rsidP="00BB7637">
            <w:pPr>
              <w:cnfStyle w:val="000000100000"/>
              <w:rPr>
                <w:rFonts w:cstheme="minorHAnsi"/>
                <w:b/>
                <w:sz w:val="20"/>
                <w:szCs w:val="20"/>
              </w:rPr>
            </w:pPr>
            <w:r w:rsidRPr="008064EA">
              <w:rPr>
                <w:rFonts w:cstheme="minorHAnsi"/>
                <w:b/>
                <w:sz w:val="20"/>
                <w:szCs w:val="20"/>
              </w:rPr>
              <w:t xml:space="preserve">Group exercise: </w:t>
            </w:r>
          </w:p>
          <w:p w:rsidR="00853156" w:rsidRPr="008064EA" w:rsidRDefault="00853156" w:rsidP="00F92D32">
            <w:pPr>
              <w:pStyle w:val="ListParagraph"/>
              <w:numPr>
                <w:ilvl w:val="0"/>
                <w:numId w:val="3"/>
              </w:numPr>
              <w:cnfStyle w:val="000000100000"/>
              <w:rPr>
                <w:rFonts w:asciiTheme="minorHAnsi" w:hAnsiTheme="minorHAnsi" w:cstheme="minorHAnsi"/>
                <w:sz w:val="20"/>
                <w:szCs w:val="20"/>
              </w:rPr>
            </w:pPr>
            <w:r w:rsidRPr="008064EA">
              <w:rPr>
                <w:rFonts w:asciiTheme="minorHAnsi" w:hAnsiTheme="minorHAnsi" w:cstheme="minorHAnsi"/>
                <w:sz w:val="20"/>
                <w:szCs w:val="20"/>
              </w:rPr>
              <w:t xml:space="preserve">Anti-corruption entry points in REDD+: opportunities and challenges  </w:t>
            </w:r>
          </w:p>
        </w:tc>
        <w:tc>
          <w:tcPr>
            <w:tcW w:w="1440" w:type="dxa"/>
          </w:tcPr>
          <w:p w:rsidR="00853156" w:rsidRPr="008064EA" w:rsidRDefault="00853156" w:rsidP="00F30158">
            <w:pPr>
              <w:cnfStyle w:val="000000100000"/>
              <w:rPr>
                <w:rFonts w:cstheme="minorHAnsi"/>
                <w:sz w:val="20"/>
                <w:szCs w:val="20"/>
              </w:rPr>
            </w:pPr>
          </w:p>
        </w:tc>
        <w:tc>
          <w:tcPr>
            <w:tcW w:w="2610" w:type="dxa"/>
          </w:tcPr>
          <w:p w:rsidR="00853156" w:rsidRPr="008064EA" w:rsidRDefault="00853156" w:rsidP="00F30158">
            <w:pPr>
              <w:cnfStyle w:val="000000100000"/>
              <w:rPr>
                <w:rFonts w:cstheme="minorHAnsi"/>
                <w:sz w:val="20"/>
                <w:szCs w:val="20"/>
              </w:rPr>
            </w:pPr>
          </w:p>
        </w:tc>
      </w:tr>
      <w:tr w:rsidR="00853156" w:rsidRPr="008064EA" w:rsidTr="002E12CD">
        <w:tc>
          <w:tcPr>
            <w:cnfStyle w:val="001000000000"/>
            <w:tcW w:w="1626" w:type="dxa"/>
          </w:tcPr>
          <w:p w:rsidR="00853156" w:rsidRPr="008064EA" w:rsidRDefault="00853156" w:rsidP="007A3DE5">
            <w:pPr>
              <w:rPr>
                <w:rFonts w:cstheme="minorHAnsi"/>
                <w:sz w:val="20"/>
                <w:szCs w:val="20"/>
              </w:rPr>
            </w:pPr>
            <w:r w:rsidRPr="008064EA">
              <w:rPr>
                <w:rFonts w:cstheme="minorHAnsi"/>
                <w:sz w:val="20"/>
                <w:szCs w:val="20"/>
              </w:rPr>
              <w:t>Session 7</w:t>
            </w:r>
          </w:p>
        </w:tc>
        <w:tc>
          <w:tcPr>
            <w:tcW w:w="3522" w:type="dxa"/>
          </w:tcPr>
          <w:p w:rsidR="00853156" w:rsidRPr="008064EA" w:rsidRDefault="00853156" w:rsidP="00BB7637">
            <w:pPr>
              <w:cnfStyle w:val="000000000000"/>
              <w:rPr>
                <w:rFonts w:cstheme="minorHAnsi"/>
                <w:b/>
                <w:sz w:val="20"/>
                <w:szCs w:val="20"/>
              </w:rPr>
            </w:pPr>
            <w:r w:rsidRPr="008064EA">
              <w:rPr>
                <w:rFonts w:cstheme="minorHAnsi"/>
                <w:b/>
                <w:sz w:val="20"/>
                <w:szCs w:val="20"/>
              </w:rPr>
              <w:t>Capacity development of Civil Society for anti-corruption in REDD+</w:t>
            </w:r>
          </w:p>
          <w:p w:rsidR="00853156" w:rsidRPr="008064EA" w:rsidRDefault="00853156" w:rsidP="00BB7637">
            <w:pPr>
              <w:pStyle w:val="ListParagraph"/>
              <w:numPr>
                <w:ilvl w:val="0"/>
                <w:numId w:val="3"/>
              </w:numPr>
              <w:cnfStyle w:val="000000000000"/>
              <w:rPr>
                <w:rFonts w:asciiTheme="minorHAnsi" w:hAnsiTheme="minorHAnsi" w:cstheme="minorHAnsi"/>
                <w:sz w:val="20"/>
                <w:szCs w:val="20"/>
              </w:rPr>
            </w:pPr>
            <w:r w:rsidRPr="008064EA">
              <w:rPr>
                <w:rFonts w:asciiTheme="minorHAnsi" w:hAnsiTheme="minorHAnsi" w:cstheme="minorHAnsi"/>
                <w:sz w:val="20"/>
                <w:szCs w:val="20"/>
              </w:rPr>
              <w:t xml:space="preserve">UNDP’s approach to assessing CSOs’ capacity gaps and assets </w:t>
            </w:r>
          </w:p>
          <w:p w:rsidR="00853156" w:rsidRPr="008064EA" w:rsidRDefault="00853156" w:rsidP="00BB7637">
            <w:pPr>
              <w:pStyle w:val="ListParagraph"/>
              <w:numPr>
                <w:ilvl w:val="0"/>
                <w:numId w:val="3"/>
              </w:numPr>
              <w:cnfStyle w:val="000000000000"/>
              <w:rPr>
                <w:rFonts w:asciiTheme="minorHAnsi" w:hAnsiTheme="minorHAnsi" w:cstheme="minorHAnsi"/>
                <w:sz w:val="20"/>
                <w:szCs w:val="20"/>
              </w:rPr>
            </w:pPr>
            <w:r w:rsidRPr="008064EA">
              <w:rPr>
                <w:rFonts w:asciiTheme="minorHAnsi" w:hAnsiTheme="minorHAnsi" w:cstheme="minorHAnsi"/>
                <w:sz w:val="20"/>
                <w:szCs w:val="20"/>
              </w:rPr>
              <w:t>TI’s Manual for Assessing Integrity in the Development and Implementation of National REDD+ Strategies</w:t>
            </w:r>
          </w:p>
        </w:tc>
        <w:tc>
          <w:tcPr>
            <w:tcW w:w="1440" w:type="dxa"/>
          </w:tcPr>
          <w:p w:rsidR="00853156" w:rsidRPr="008064EA" w:rsidRDefault="00853156" w:rsidP="00F30158">
            <w:pPr>
              <w:cnfStyle w:val="000000000000"/>
              <w:rPr>
                <w:rFonts w:cstheme="minorHAnsi"/>
                <w:sz w:val="20"/>
                <w:szCs w:val="20"/>
              </w:rPr>
            </w:pPr>
          </w:p>
        </w:tc>
        <w:tc>
          <w:tcPr>
            <w:tcW w:w="2610" w:type="dxa"/>
          </w:tcPr>
          <w:p w:rsidR="00853156" w:rsidRPr="008064EA" w:rsidRDefault="00853156" w:rsidP="00F30158">
            <w:pPr>
              <w:cnfStyle w:val="000000000000"/>
              <w:rPr>
                <w:rFonts w:cstheme="minorHAnsi"/>
                <w:sz w:val="20"/>
                <w:szCs w:val="20"/>
              </w:rPr>
            </w:pPr>
          </w:p>
        </w:tc>
      </w:tr>
      <w:tr w:rsidR="00853156" w:rsidRPr="008064EA" w:rsidTr="002E12CD">
        <w:trPr>
          <w:cnfStyle w:val="000000100000"/>
        </w:trPr>
        <w:tc>
          <w:tcPr>
            <w:cnfStyle w:val="001000000000"/>
            <w:tcW w:w="1626" w:type="dxa"/>
          </w:tcPr>
          <w:p w:rsidR="00853156" w:rsidRPr="008064EA" w:rsidRDefault="002E12CD" w:rsidP="007A3DE5">
            <w:pPr>
              <w:rPr>
                <w:rFonts w:cstheme="minorHAnsi"/>
                <w:sz w:val="20"/>
                <w:szCs w:val="20"/>
              </w:rPr>
            </w:pPr>
            <w:r w:rsidRPr="008064EA">
              <w:rPr>
                <w:rFonts w:cstheme="minorHAnsi"/>
                <w:sz w:val="20"/>
                <w:szCs w:val="20"/>
              </w:rPr>
              <w:t xml:space="preserve">Closing </w:t>
            </w:r>
          </w:p>
        </w:tc>
        <w:tc>
          <w:tcPr>
            <w:tcW w:w="3522" w:type="dxa"/>
          </w:tcPr>
          <w:p w:rsidR="00853156" w:rsidRPr="008064EA" w:rsidRDefault="00853156" w:rsidP="00BB7637">
            <w:pPr>
              <w:cnfStyle w:val="000000100000"/>
              <w:rPr>
                <w:rFonts w:cstheme="minorHAnsi"/>
                <w:sz w:val="20"/>
                <w:szCs w:val="20"/>
              </w:rPr>
            </w:pPr>
          </w:p>
        </w:tc>
        <w:tc>
          <w:tcPr>
            <w:tcW w:w="1440" w:type="dxa"/>
          </w:tcPr>
          <w:p w:rsidR="00853156" w:rsidRPr="008064EA" w:rsidRDefault="00853156" w:rsidP="00F30158">
            <w:pPr>
              <w:cnfStyle w:val="000000100000"/>
              <w:rPr>
                <w:rFonts w:cstheme="minorHAnsi"/>
                <w:sz w:val="20"/>
                <w:szCs w:val="20"/>
              </w:rPr>
            </w:pPr>
          </w:p>
        </w:tc>
        <w:tc>
          <w:tcPr>
            <w:tcW w:w="2610" w:type="dxa"/>
          </w:tcPr>
          <w:p w:rsidR="00853156" w:rsidRPr="008064EA" w:rsidRDefault="00853156" w:rsidP="00F30158">
            <w:pPr>
              <w:cnfStyle w:val="000000100000"/>
              <w:rPr>
                <w:rFonts w:cstheme="minorHAnsi"/>
                <w:sz w:val="20"/>
                <w:szCs w:val="20"/>
              </w:rPr>
            </w:pPr>
          </w:p>
        </w:tc>
      </w:tr>
    </w:tbl>
    <w:p w:rsidR="00F30158" w:rsidRDefault="00F30158" w:rsidP="00F30158"/>
    <w:p w:rsidR="007B6A86" w:rsidRDefault="007B6A86" w:rsidP="00F30158"/>
    <w:p w:rsidR="00F66DD4" w:rsidRDefault="00F66DD4" w:rsidP="00F30158"/>
    <w:p w:rsidR="002E12CD" w:rsidRDefault="002E12CD">
      <w:r>
        <w:br w:type="page"/>
      </w:r>
    </w:p>
    <w:p w:rsidR="00F30158" w:rsidRDefault="00F30158" w:rsidP="00F30158">
      <w:pPr>
        <w:rPr>
          <w:rFonts w:cstheme="minorHAnsi"/>
          <w:b/>
          <w:u w:val="single"/>
        </w:rPr>
      </w:pPr>
      <w:r>
        <w:rPr>
          <w:rFonts w:cstheme="minorHAnsi"/>
          <w:b/>
          <w:u w:val="single"/>
        </w:rPr>
        <w:lastRenderedPageBreak/>
        <w:t xml:space="preserve">Annex 1 - </w:t>
      </w:r>
      <w:r w:rsidRPr="00AB774D">
        <w:rPr>
          <w:rFonts w:cstheme="minorHAnsi"/>
          <w:b/>
          <w:u w:val="single"/>
        </w:rPr>
        <w:t>Details</w:t>
      </w:r>
      <w:r>
        <w:rPr>
          <w:rFonts w:cstheme="minorHAnsi"/>
          <w:b/>
          <w:u w:val="single"/>
        </w:rPr>
        <w:t xml:space="preserve"> on UN-REDD </w:t>
      </w:r>
      <w:r w:rsidRPr="00AB774D">
        <w:rPr>
          <w:rFonts w:cstheme="minorHAnsi"/>
          <w:b/>
          <w:u w:val="single"/>
        </w:rPr>
        <w:t xml:space="preserve">partner countries </w:t>
      </w:r>
      <w:r>
        <w:rPr>
          <w:rFonts w:cstheme="minorHAnsi"/>
          <w:b/>
          <w:u w:val="single"/>
        </w:rPr>
        <w:t xml:space="preserve">in Sub-Saharan Africa </w:t>
      </w:r>
    </w:p>
    <w:tbl>
      <w:tblPr>
        <w:tblW w:w="9810" w:type="dxa"/>
        <w:tblInd w:w="216" w:type="dxa"/>
        <w:tblLayout w:type="fixed"/>
        <w:tblCellMar>
          <w:left w:w="0" w:type="dxa"/>
          <w:right w:w="0" w:type="dxa"/>
        </w:tblCellMar>
        <w:tblLook w:val="0420"/>
      </w:tblPr>
      <w:tblGrid>
        <w:gridCol w:w="504"/>
        <w:gridCol w:w="1476"/>
        <w:gridCol w:w="1260"/>
        <w:gridCol w:w="1440"/>
        <w:gridCol w:w="1530"/>
        <w:gridCol w:w="1260"/>
        <w:gridCol w:w="1260"/>
        <w:gridCol w:w="1080"/>
      </w:tblGrid>
      <w:tr w:rsidR="00F30158" w:rsidRPr="00693DF2" w:rsidTr="008E4E10">
        <w:trPr>
          <w:trHeight w:val="1041"/>
        </w:trPr>
        <w:tc>
          <w:tcPr>
            <w:tcW w:w="504" w:type="dxa"/>
            <w:tcBorders>
              <w:top w:val="single" w:sz="8" w:space="0" w:color="FFFFFF"/>
              <w:left w:val="single" w:sz="8" w:space="0" w:color="FFFFFF"/>
              <w:bottom w:val="single" w:sz="24" w:space="0" w:color="FFFFFF"/>
              <w:right w:val="single" w:sz="8" w:space="0" w:color="FFFFFF"/>
            </w:tcBorders>
            <w:shd w:val="clear" w:color="auto" w:fill="4F81BD"/>
            <w:tcMar>
              <w:top w:w="82" w:type="dxa"/>
              <w:left w:w="216" w:type="dxa"/>
              <w:bottom w:w="82" w:type="dxa"/>
              <w:right w:w="216" w:type="dxa"/>
            </w:tcMar>
            <w:vAlign w:val="center"/>
            <w:hideMark/>
          </w:tcPr>
          <w:p w:rsidR="00F30158" w:rsidRPr="00693DF2" w:rsidRDefault="00F30158" w:rsidP="008E4E10">
            <w:pPr>
              <w:rPr>
                <w:b/>
                <w:sz w:val="20"/>
                <w:szCs w:val="20"/>
              </w:rPr>
            </w:pPr>
          </w:p>
        </w:tc>
        <w:tc>
          <w:tcPr>
            <w:tcW w:w="1476" w:type="dxa"/>
            <w:tcBorders>
              <w:top w:val="single" w:sz="8" w:space="0" w:color="FFFFFF"/>
              <w:left w:val="single" w:sz="8" w:space="0" w:color="FFFFFF"/>
              <w:bottom w:val="single" w:sz="24" w:space="0" w:color="FFFFFF"/>
              <w:right w:val="single" w:sz="8" w:space="0" w:color="FFFFFF"/>
            </w:tcBorders>
            <w:shd w:val="clear" w:color="auto" w:fill="4F81BD"/>
            <w:tcMar>
              <w:top w:w="82" w:type="dxa"/>
              <w:left w:w="216" w:type="dxa"/>
              <w:bottom w:w="82" w:type="dxa"/>
              <w:right w:w="216" w:type="dxa"/>
            </w:tcMar>
            <w:vAlign w:val="center"/>
            <w:hideMark/>
          </w:tcPr>
          <w:p w:rsidR="00F30158" w:rsidRPr="00693DF2" w:rsidRDefault="00F30158" w:rsidP="008E4E10">
            <w:pPr>
              <w:rPr>
                <w:b/>
                <w:sz w:val="20"/>
                <w:szCs w:val="20"/>
              </w:rPr>
            </w:pPr>
            <w:r w:rsidRPr="00693DF2">
              <w:rPr>
                <w:b/>
                <w:bCs/>
                <w:sz w:val="20"/>
                <w:szCs w:val="20"/>
              </w:rPr>
              <w:t>UN-REDD Partner Country</w:t>
            </w:r>
          </w:p>
        </w:tc>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82" w:type="dxa"/>
              <w:left w:w="216" w:type="dxa"/>
              <w:bottom w:w="82" w:type="dxa"/>
              <w:right w:w="216" w:type="dxa"/>
            </w:tcMar>
            <w:vAlign w:val="center"/>
            <w:hideMark/>
          </w:tcPr>
          <w:p w:rsidR="00F30158" w:rsidRPr="00693DF2" w:rsidRDefault="00F30158" w:rsidP="008E4E10">
            <w:pPr>
              <w:rPr>
                <w:b/>
                <w:sz w:val="20"/>
                <w:szCs w:val="20"/>
              </w:rPr>
            </w:pPr>
            <w:r w:rsidRPr="00693DF2">
              <w:rPr>
                <w:b/>
                <w:bCs/>
                <w:sz w:val="20"/>
                <w:szCs w:val="20"/>
              </w:rPr>
              <w:t xml:space="preserve">Expression of interest </w:t>
            </w:r>
          </w:p>
        </w:tc>
        <w:tc>
          <w:tcPr>
            <w:tcW w:w="1440" w:type="dxa"/>
            <w:tcBorders>
              <w:top w:val="single" w:sz="8" w:space="0" w:color="FFFFFF"/>
              <w:left w:val="single" w:sz="8" w:space="0" w:color="FFFFFF"/>
              <w:bottom w:val="single" w:sz="24" w:space="0" w:color="FFFFFF"/>
              <w:right w:val="single" w:sz="8" w:space="0" w:color="FFFFFF"/>
            </w:tcBorders>
            <w:shd w:val="clear" w:color="auto" w:fill="4F81BD"/>
            <w:tcMar>
              <w:top w:w="82" w:type="dxa"/>
              <w:left w:w="216" w:type="dxa"/>
              <w:bottom w:w="82" w:type="dxa"/>
              <w:right w:w="216" w:type="dxa"/>
            </w:tcMar>
            <w:vAlign w:val="center"/>
            <w:hideMark/>
          </w:tcPr>
          <w:p w:rsidR="00F30158" w:rsidRPr="00693DF2" w:rsidRDefault="00F30158" w:rsidP="008E4E10">
            <w:pPr>
              <w:rPr>
                <w:b/>
                <w:sz w:val="20"/>
                <w:szCs w:val="20"/>
              </w:rPr>
            </w:pPr>
            <w:r w:rsidRPr="00693DF2">
              <w:rPr>
                <w:b/>
                <w:bCs/>
                <w:sz w:val="20"/>
                <w:szCs w:val="20"/>
              </w:rPr>
              <w:t xml:space="preserve">Validation Meeting </w:t>
            </w:r>
          </w:p>
        </w:tc>
        <w:tc>
          <w:tcPr>
            <w:tcW w:w="1530" w:type="dxa"/>
            <w:tcBorders>
              <w:top w:val="single" w:sz="8" w:space="0" w:color="FFFFFF"/>
              <w:left w:val="single" w:sz="8" w:space="0" w:color="FFFFFF"/>
              <w:bottom w:val="single" w:sz="24" w:space="0" w:color="FFFFFF"/>
              <w:right w:val="single" w:sz="8" w:space="0" w:color="FFFFFF"/>
            </w:tcBorders>
            <w:shd w:val="clear" w:color="auto" w:fill="4F81BD"/>
            <w:tcMar>
              <w:top w:w="82" w:type="dxa"/>
              <w:left w:w="216" w:type="dxa"/>
              <w:bottom w:w="82" w:type="dxa"/>
              <w:right w:w="216" w:type="dxa"/>
            </w:tcMar>
            <w:vAlign w:val="center"/>
            <w:hideMark/>
          </w:tcPr>
          <w:p w:rsidR="00F30158" w:rsidRPr="00693DF2" w:rsidRDefault="00F30158" w:rsidP="008E4E10">
            <w:pPr>
              <w:rPr>
                <w:b/>
                <w:sz w:val="20"/>
                <w:szCs w:val="20"/>
              </w:rPr>
            </w:pPr>
            <w:r w:rsidRPr="00693DF2">
              <w:rPr>
                <w:b/>
                <w:bCs/>
                <w:sz w:val="20"/>
                <w:szCs w:val="20"/>
              </w:rPr>
              <w:t>NP approved</w:t>
            </w:r>
          </w:p>
        </w:tc>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82" w:type="dxa"/>
              <w:left w:w="216" w:type="dxa"/>
              <w:bottom w:w="82" w:type="dxa"/>
              <w:right w:w="216" w:type="dxa"/>
            </w:tcMar>
            <w:vAlign w:val="center"/>
            <w:hideMark/>
          </w:tcPr>
          <w:p w:rsidR="00F30158" w:rsidRPr="00693DF2" w:rsidRDefault="00F30158" w:rsidP="008E4E10">
            <w:pPr>
              <w:rPr>
                <w:b/>
                <w:sz w:val="20"/>
                <w:szCs w:val="20"/>
              </w:rPr>
            </w:pPr>
            <w:r w:rsidRPr="00693DF2">
              <w:rPr>
                <w:b/>
                <w:bCs/>
                <w:sz w:val="20"/>
                <w:szCs w:val="20"/>
              </w:rPr>
              <w:t>NP  signed</w:t>
            </w:r>
          </w:p>
        </w:tc>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82" w:type="dxa"/>
              <w:left w:w="216" w:type="dxa"/>
              <w:bottom w:w="82" w:type="dxa"/>
              <w:right w:w="216" w:type="dxa"/>
            </w:tcMar>
            <w:vAlign w:val="center"/>
            <w:hideMark/>
          </w:tcPr>
          <w:p w:rsidR="00F30158" w:rsidRPr="00693DF2" w:rsidRDefault="00F30158" w:rsidP="008E4E10">
            <w:pPr>
              <w:rPr>
                <w:b/>
                <w:sz w:val="20"/>
                <w:szCs w:val="20"/>
              </w:rPr>
            </w:pPr>
            <w:r w:rsidRPr="00693DF2">
              <w:rPr>
                <w:b/>
                <w:bCs/>
                <w:sz w:val="20"/>
                <w:szCs w:val="20"/>
              </w:rPr>
              <w:t>NP under implementation</w:t>
            </w:r>
          </w:p>
        </w:tc>
        <w:tc>
          <w:tcPr>
            <w:tcW w:w="1080" w:type="dxa"/>
            <w:tcBorders>
              <w:top w:val="single" w:sz="8" w:space="0" w:color="FFFFFF"/>
              <w:left w:val="single" w:sz="8" w:space="0" w:color="FFFFFF"/>
              <w:bottom w:val="single" w:sz="24" w:space="0" w:color="FFFFFF"/>
              <w:right w:val="single" w:sz="8" w:space="0" w:color="FFFFFF"/>
            </w:tcBorders>
            <w:shd w:val="clear" w:color="auto" w:fill="4F81BD"/>
            <w:tcMar>
              <w:top w:w="82" w:type="dxa"/>
              <w:left w:w="216" w:type="dxa"/>
              <w:bottom w:w="82" w:type="dxa"/>
              <w:right w:w="216" w:type="dxa"/>
            </w:tcMar>
            <w:vAlign w:val="center"/>
            <w:hideMark/>
          </w:tcPr>
          <w:p w:rsidR="00F30158" w:rsidRPr="00693DF2" w:rsidRDefault="00F30158" w:rsidP="008E4E10">
            <w:pPr>
              <w:rPr>
                <w:b/>
                <w:sz w:val="20"/>
                <w:szCs w:val="20"/>
              </w:rPr>
            </w:pPr>
            <w:r w:rsidRPr="00693DF2">
              <w:rPr>
                <w:b/>
                <w:bCs/>
                <w:sz w:val="20"/>
                <w:szCs w:val="20"/>
              </w:rPr>
              <w:t>Member of FCPF</w:t>
            </w:r>
          </w:p>
        </w:tc>
      </w:tr>
      <w:tr w:rsidR="00F30158" w:rsidRPr="00693DF2" w:rsidTr="008E4E10">
        <w:trPr>
          <w:trHeight w:val="555"/>
        </w:trPr>
        <w:tc>
          <w:tcPr>
            <w:tcW w:w="50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tcPr>
          <w:p w:rsidR="00F30158" w:rsidRPr="00693DF2" w:rsidRDefault="00F30158" w:rsidP="008E4E10">
            <w:pPr>
              <w:rPr>
                <w:sz w:val="20"/>
                <w:szCs w:val="20"/>
              </w:rPr>
            </w:pPr>
            <w:r>
              <w:rPr>
                <w:sz w:val="20"/>
                <w:szCs w:val="20"/>
              </w:rPr>
              <w:t>1</w:t>
            </w:r>
          </w:p>
        </w:tc>
        <w:tc>
          <w:tcPr>
            <w:tcW w:w="147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r w:rsidRPr="00693DF2">
              <w:rPr>
                <w:rFonts w:eastAsiaTheme="minorEastAsia"/>
                <w:bCs/>
                <w:sz w:val="20"/>
                <w:szCs w:val="20"/>
              </w:rPr>
              <w:t>Central African Republic</w:t>
            </w:r>
          </w:p>
        </w:tc>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r w:rsidRPr="00693DF2">
              <w:rPr>
                <w:rFonts w:eastAsiaTheme="minorEastAsia"/>
                <w:sz w:val="20"/>
                <w:szCs w:val="20"/>
              </w:rPr>
              <w:t>29 Apr 2010</w:t>
            </w:r>
          </w:p>
        </w:tc>
        <w:tc>
          <w:tcPr>
            <w:tcW w:w="14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p>
        </w:tc>
        <w:tc>
          <w:tcPr>
            <w:tcW w:w="15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p>
        </w:tc>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p>
        </w:tc>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jc w:val="center"/>
              <w:rPr>
                <w:sz w:val="20"/>
                <w:szCs w:val="20"/>
              </w:rPr>
            </w:pPr>
          </w:p>
        </w:tc>
        <w:tc>
          <w:tcPr>
            <w:tcW w:w="10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jc w:val="center"/>
              <w:rPr>
                <w:sz w:val="20"/>
                <w:szCs w:val="20"/>
              </w:rPr>
            </w:pPr>
            <w:r w:rsidRPr="00693DF2">
              <w:rPr>
                <w:sz w:val="20"/>
                <w:szCs w:val="20"/>
              </w:rPr>
              <w:sym w:font="Wingdings" w:char="F0FC"/>
            </w:r>
          </w:p>
        </w:tc>
      </w:tr>
      <w:tr w:rsidR="00F30158" w:rsidRPr="00693DF2" w:rsidTr="008E4E10">
        <w:trPr>
          <w:trHeight w:val="487"/>
        </w:trPr>
        <w:tc>
          <w:tcPr>
            <w:tcW w:w="5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Pr>
                <w:sz w:val="20"/>
                <w:szCs w:val="20"/>
              </w:rPr>
              <w:t>2</w:t>
            </w:r>
          </w:p>
        </w:tc>
        <w:tc>
          <w:tcPr>
            <w:tcW w:w="14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r w:rsidRPr="00693DF2">
              <w:rPr>
                <w:rFonts w:eastAsiaTheme="minorEastAsia"/>
                <w:bCs/>
                <w:sz w:val="20"/>
                <w:szCs w:val="20"/>
              </w:rPr>
              <w:t>Côte d’Ivoire</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r w:rsidRPr="00693DF2">
              <w:rPr>
                <w:rFonts w:eastAsiaTheme="minorEastAsia"/>
                <w:sz w:val="20"/>
                <w:szCs w:val="20"/>
              </w:rPr>
              <w:t>19 Oct 2010</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jc w:val="center"/>
              <w:rPr>
                <w:sz w:val="20"/>
                <w:szCs w:val="20"/>
              </w:rPr>
            </w:pP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jc w:val="center"/>
              <w:rPr>
                <w:sz w:val="20"/>
                <w:szCs w:val="20"/>
              </w:rPr>
            </w:pPr>
          </w:p>
        </w:tc>
      </w:tr>
      <w:tr w:rsidR="00F30158" w:rsidRPr="00693DF2" w:rsidTr="008E4E10">
        <w:trPr>
          <w:trHeight w:val="757"/>
        </w:trPr>
        <w:tc>
          <w:tcPr>
            <w:tcW w:w="5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tcPr>
          <w:p w:rsidR="00F30158" w:rsidRPr="00693DF2" w:rsidRDefault="00F30158" w:rsidP="008E4E10">
            <w:pPr>
              <w:rPr>
                <w:sz w:val="20"/>
                <w:szCs w:val="20"/>
              </w:rPr>
            </w:pPr>
            <w:r>
              <w:rPr>
                <w:sz w:val="20"/>
                <w:szCs w:val="20"/>
              </w:rPr>
              <w:t>3</w:t>
            </w:r>
          </w:p>
        </w:tc>
        <w:tc>
          <w:tcPr>
            <w:tcW w:w="14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r w:rsidRPr="00693DF2">
              <w:rPr>
                <w:rFonts w:eastAsiaTheme="minorEastAsia"/>
                <w:bCs/>
                <w:sz w:val="20"/>
                <w:szCs w:val="20"/>
              </w:rPr>
              <w:t>DRC</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r w:rsidRPr="00693DF2">
              <w:rPr>
                <w:sz w:val="20"/>
                <w:szCs w:val="20"/>
              </w:rPr>
              <w:t>18 Sep 2008</w:t>
            </w: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r w:rsidRPr="00693DF2">
              <w:rPr>
                <w:sz w:val="20"/>
                <w:szCs w:val="20"/>
              </w:rPr>
              <w:t>Initial: 30 Jan 09</w:t>
            </w:r>
          </w:p>
          <w:p w:rsidR="00F30158" w:rsidRPr="00693DF2" w:rsidRDefault="00F30158" w:rsidP="008E4E10">
            <w:pPr>
              <w:rPr>
                <w:sz w:val="20"/>
                <w:szCs w:val="20"/>
              </w:rPr>
            </w:pPr>
            <w:r w:rsidRPr="00693DF2">
              <w:rPr>
                <w:sz w:val="20"/>
                <w:szCs w:val="20"/>
              </w:rPr>
              <w:t>Full: 19 Jan 10</w:t>
            </w:r>
          </w:p>
        </w:tc>
        <w:tc>
          <w:tcPr>
            <w:tcW w:w="15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r w:rsidRPr="00693DF2">
              <w:rPr>
                <w:sz w:val="20"/>
                <w:szCs w:val="20"/>
              </w:rPr>
              <w:t>Initial: 10 Mar 09</w:t>
            </w:r>
          </w:p>
          <w:p w:rsidR="00F30158" w:rsidRPr="00693DF2" w:rsidRDefault="00F30158" w:rsidP="008E4E10">
            <w:pPr>
              <w:rPr>
                <w:sz w:val="20"/>
                <w:szCs w:val="20"/>
              </w:rPr>
            </w:pPr>
            <w:r w:rsidRPr="00693DF2">
              <w:rPr>
                <w:sz w:val="20"/>
                <w:szCs w:val="20"/>
              </w:rPr>
              <w:t>Full: 18 Mar 10</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r w:rsidRPr="00693DF2">
              <w:rPr>
                <w:sz w:val="20"/>
                <w:szCs w:val="20"/>
              </w:rPr>
              <w:t>Initial: July 09</w:t>
            </w:r>
          </w:p>
          <w:p w:rsidR="00F30158" w:rsidRPr="00693DF2" w:rsidRDefault="00F30158" w:rsidP="008E4E10">
            <w:pPr>
              <w:rPr>
                <w:sz w:val="20"/>
                <w:szCs w:val="20"/>
              </w:rPr>
            </w:pPr>
            <w:r w:rsidRPr="00693DF2">
              <w:rPr>
                <w:sz w:val="20"/>
                <w:szCs w:val="20"/>
              </w:rPr>
              <w:t>Full: 13 Oct 10</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jc w:val="center"/>
              <w:rPr>
                <w:sz w:val="20"/>
                <w:szCs w:val="20"/>
              </w:rPr>
            </w:pPr>
            <w:r w:rsidRPr="00693DF2">
              <w:rPr>
                <w:sz w:val="20"/>
                <w:szCs w:val="20"/>
              </w:rPr>
              <w:sym w:font="Wingdings" w:char="F0FC"/>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jc w:val="center"/>
              <w:rPr>
                <w:sz w:val="20"/>
                <w:szCs w:val="20"/>
              </w:rPr>
            </w:pPr>
            <w:r w:rsidRPr="00693DF2">
              <w:rPr>
                <w:sz w:val="20"/>
                <w:szCs w:val="20"/>
              </w:rPr>
              <w:sym w:font="Wingdings" w:char="F0FC"/>
            </w:r>
          </w:p>
        </w:tc>
      </w:tr>
      <w:tr w:rsidR="00F30158" w:rsidRPr="00693DF2" w:rsidTr="008E4E10">
        <w:trPr>
          <w:trHeight w:val="397"/>
        </w:trPr>
        <w:tc>
          <w:tcPr>
            <w:tcW w:w="5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Pr>
                <w:sz w:val="20"/>
                <w:szCs w:val="20"/>
              </w:rPr>
              <w:t>4</w:t>
            </w:r>
          </w:p>
        </w:tc>
        <w:tc>
          <w:tcPr>
            <w:tcW w:w="14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r w:rsidRPr="00693DF2">
              <w:rPr>
                <w:rFonts w:eastAsiaTheme="minorEastAsia"/>
                <w:bCs/>
                <w:sz w:val="20"/>
                <w:szCs w:val="20"/>
              </w:rPr>
              <w:t>Ethiopia</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r w:rsidRPr="00693DF2">
              <w:rPr>
                <w:rFonts w:eastAsiaTheme="minorEastAsia"/>
                <w:sz w:val="20"/>
                <w:szCs w:val="20"/>
              </w:rPr>
              <w:t>15 Apr 2011</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jc w:val="center"/>
              <w:rPr>
                <w:sz w:val="20"/>
                <w:szCs w:val="20"/>
              </w:rPr>
            </w:pP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jc w:val="center"/>
              <w:rPr>
                <w:sz w:val="20"/>
                <w:szCs w:val="20"/>
              </w:rPr>
            </w:pPr>
            <w:r w:rsidRPr="00693DF2">
              <w:rPr>
                <w:sz w:val="20"/>
                <w:szCs w:val="20"/>
              </w:rPr>
              <w:sym w:font="Wingdings" w:char="F0FC"/>
            </w:r>
          </w:p>
        </w:tc>
      </w:tr>
      <w:tr w:rsidR="00F30158" w:rsidRPr="00693DF2" w:rsidTr="008E4E10">
        <w:trPr>
          <w:trHeight w:val="433"/>
        </w:trPr>
        <w:tc>
          <w:tcPr>
            <w:tcW w:w="5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tcPr>
          <w:p w:rsidR="00F30158" w:rsidRPr="00693DF2" w:rsidRDefault="00F30158" w:rsidP="008E4E10">
            <w:pPr>
              <w:rPr>
                <w:sz w:val="20"/>
                <w:szCs w:val="20"/>
              </w:rPr>
            </w:pPr>
            <w:r>
              <w:rPr>
                <w:sz w:val="20"/>
                <w:szCs w:val="20"/>
              </w:rPr>
              <w:t>5</w:t>
            </w:r>
          </w:p>
        </w:tc>
        <w:tc>
          <w:tcPr>
            <w:tcW w:w="14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r w:rsidRPr="00693DF2">
              <w:rPr>
                <w:rFonts w:eastAsiaTheme="minorEastAsia"/>
                <w:bCs/>
                <w:sz w:val="20"/>
                <w:szCs w:val="20"/>
              </w:rPr>
              <w:t>Gabon</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r w:rsidRPr="00693DF2">
              <w:rPr>
                <w:rFonts w:eastAsiaTheme="minorEastAsia"/>
                <w:sz w:val="20"/>
                <w:szCs w:val="20"/>
              </w:rPr>
              <w:t>9 July 2010</w:t>
            </w: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p>
        </w:tc>
        <w:tc>
          <w:tcPr>
            <w:tcW w:w="15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jc w:val="center"/>
              <w:rPr>
                <w:sz w:val="20"/>
                <w:szCs w:val="20"/>
              </w:rPr>
            </w:pP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F30158" w:rsidRPr="00693DF2" w:rsidRDefault="00F30158" w:rsidP="008E4E10">
            <w:pPr>
              <w:jc w:val="center"/>
              <w:rPr>
                <w:sz w:val="20"/>
                <w:szCs w:val="20"/>
              </w:rPr>
            </w:pPr>
            <w:r w:rsidRPr="00693DF2">
              <w:rPr>
                <w:sz w:val="20"/>
                <w:szCs w:val="20"/>
              </w:rPr>
              <w:sym w:font="Wingdings" w:char="F0FC"/>
            </w:r>
          </w:p>
        </w:tc>
      </w:tr>
      <w:tr w:rsidR="00F30158" w:rsidRPr="00693DF2" w:rsidTr="008E4E10">
        <w:trPr>
          <w:trHeight w:val="460"/>
        </w:trPr>
        <w:tc>
          <w:tcPr>
            <w:tcW w:w="5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Pr>
                <w:sz w:val="20"/>
                <w:szCs w:val="20"/>
              </w:rPr>
              <w:t>6</w:t>
            </w:r>
          </w:p>
        </w:tc>
        <w:tc>
          <w:tcPr>
            <w:tcW w:w="14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r w:rsidRPr="00693DF2">
              <w:rPr>
                <w:rFonts w:eastAsiaTheme="minorEastAsia"/>
                <w:bCs/>
                <w:sz w:val="20"/>
                <w:szCs w:val="20"/>
              </w:rPr>
              <w:t>Kenya</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r w:rsidRPr="00693DF2">
              <w:rPr>
                <w:rFonts w:eastAsiaTheme="minorEastAsia"/>
                <w:sz w:val="20"/>
                <w:szCs w:val="20"/>
              </w:rPr>
              <w:t>12 Jan 2010</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jc w:val="center"/>
              <w:rPr>
                <w:sz w:val="20"/>
                <w:szCs w:val="20"/>
              </w:rPr>
            </w:pP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F30158" w:rsidRPr="00693DF2" w:rsidRDefault="00F30158" w:rsidP="008E4E10">
            <w:pPr>
              <w:jc w:val="center"/>
              <w:rPr>
                <w:sz w:val="20"/>
                <w:szCs w:val="20"/>
              </w:rPr>
            </w:pPr>
            <w:r w:rsidRPr="00693DF2">
              <w:rPr>
                <w:sz w:val="20"/>
                <w:szCs w:val="20"/>
              </w:rPr>
              <w:sym w:font="Wingdings" w:char="F0FC"/>
            </w:r>
          </w:p>
        </w:tc>
      </w:tr>
      <w:tr w:rsidR="00F30158" w:rsidRPr="00693DF2" w:rsidTr="008E4E10">
        <w:trPr>
          <w:trHeight w:val="388"/>
        </w:trPr>
        <w:tc>
          <w:tcPr>
            <w:tcW w:w="5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Pr>
                <w:sz w:val="20"/>
                <w:szCs w:val="20"/>
              </w:rPr>
              <w:t>7</w:t>
            </w:r>
          </w:p>
        </w:tc>
        <w:tc>
          <w:tcPr>
            <w:tcW w:w="14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bCs/>
                <w:sz w:val="20"/>
                <w:szCs w:val="20"/>
              </w:rPr>
            </w:pPr>
            <w:r w:rsidRPr="00693DF2">
              <w:rPr>
                <w:bCs/>
                <w:sz w:val="20"/>
                <w:szCs w:val="20"/>
              </w:rPr>
              <w:t>Nigeria</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3 Nov  2009</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22 Feb 2011</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jc w:val="center"/>
              <w:rPr>
                <w:sz w:val="20"/>
                <w:szCs w:val="20"/>
              </w:rPr>
            </w:pP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jc w:val="center"/>
              <w:rPr>
                <w:sz w:val="20"/>
                <w:szCs w:val="20"/>
              </w:rPr>
            </w:pPr>
          </w:p>
        </w:tc>
      </w:tr>
      <w:tr w:rsidR="00F30158" w:rsidRPr="00693DF2" w:rsidTr="008E4E10">
        <w:trPr>
          <w:trHeight w:val="505"/>
        </w:trPr>
        <w:tc>
          <w:tcPr>
            <w:tcW w:w="5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Pr>
                <w:sz w:val="20"/>
                <w:szCs w:val="20"/>
              </w:rPr>
              <w:t>8</w:t>
            </w:r>
          </w:p>
        </w:tc>
        <w:tc>
          <w:tcPr>
            <w:tcW w:w="14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bCs/>
                <w:sz w:val="20"/>
                <w:szCs w:val="20"/>
              </w:rPr>
            </w:pPr>
            <w:r w:rsidRPr="00693DF2">
              <w:rPr>
                <w:bCs/>
                <w:sz w:val="20"/>
                <w:szCs w:val="20"/>
              </w:rPr>
              <w:t>Republic of Congo</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11 Feb 2009</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jc w:val="center"/>
              <w:rPr>
                <w:sz w:val="20"/>
                <w:szCs w:val="20"/>
              </w:rPr>
            </w:pP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jc w:val="center"/>
              <w:rPr>
                <w:sz w:val="20"/>
                <w:szCs w:val="20"/>
              </w:rPr>
            </w:pPr>
            <w:r w:rsidRPr="00693DF2">
              <w:rPr>
                <w:sz w:val="20"/>
                <w:szCs w:val="20"/>
              </w:rPr>
              <w:sym w:font="Wingdings" w:char="F0FC"/>
            </w:r>
          </w:p>
        </w:tc>
      </w:tr>
      <w:tr w:rsidR="00F30158" w:rsidRPr="00693DF2" w:rsidTr="008E4E10">
        <w:trPr>
          <w:trHeight w:val="415"/>
        </w:trPr>
        <w:tc>
          <w:tcPr>
            <w:tcW w:w="5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Pr>
                <w:sz w:val="20"/>
                <w:szCs w:val="20"/>
              </w:rPr>
              <w:t>9</w:t>
            </w:r>
          </w:p>
        </w:tc>
        <w:tc>
          <w:tcPr>
            <w:tcW w:w="14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bCs/>
                <w:sz w:val="20"/>
                <w:szCs w:val="20"/>
              </w:rPr>
            </w:pPr>
            <w:r w:rsidRPr="00693DF2">
              <w:rPr>
                <w:bCs/>
                <w:sz w:val="20"/>
                <w:szCs w:val="20"/>
              </w:rPr>
              <w:t>Sudan</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23 Dec 2009</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jc w:val="center"/>
              <w:rPr>
                <w:sz w:val="20"/>
                <w:szCs w:val="20"/>
              </w:rPr>
            </w:pP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jc w:val="center"/>
              <w:rPr>
                <w:sz w:val="20"/>
                <w:szCs w:val="20"/>
              </w:rPr>
            </w:pPr>
          </w:p>
        </w:tc>
      </w:tr>
      <w:tr w:rsidR="00F30158" w:rsidRPr="00693DF2" w:rsidTr="008E4E10">
        <w:trPr>
          <w:trHeight w:val="343"/>
        </w:trPr>
        <w:tc>
          <w:tcPr>
            <w:tcW w:w="5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Pr>
                <w:sz w:val="20"/>
                <w:szCs w:val="20"/>
              </w:rPr>
              <w:t>10</w:t>
            </w:r>
          </w:p>
        </w:tc>
        <w:tc>
          <w:tcPr>
            <w:tcW w:w="14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bCs/>
                <w:sz w:val="20"/>
                <w:szCs w:val="20"/>
              </w:rPr>
            </w:pPr>
            <w:r w:rsidRPr="00693DF2">
              <w:rPr>
                <w:bCs/>
                <w:sz w:val="20"/>
                <w:szCs w:val="20"/>
              </w:rPr>
              <w:t>Tanzania</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22 Sep 2008</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N/A</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10 Mar 2009</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22 Dec 2009</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jc w:val="center"/>
              <w:rPr>
                <w:sz w:val="20"/>
                <w:szCs w:val="20"/>
              </w:rPr>
            </w:pPr>
            <w:r w:rsidRPr="00693DF2">
              <w:rPr>
                <w:sz w:val="20"/>
                <w:szCs w:val="20"/>
              </w:rPr>
              <w:sym w:font="Wingdings" w:char="F0FC"/>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jc w:val="center"/>
              <w:rPr>
                <w:sz w:val="20"/>
                <w:szCs w:val="20"/>
              </w:rPr>
            </w:pPr>
            <w:r w:rsidRPr="00693DF2">
              <w:rPr>
                <w:sz w:val="20"/>
                <w:szCs w:val="20"/>
              </w:rPr>
              <w:sym w:font="Wingdings" w:char="F0FC"/>
            </w:r>
          </w:p>
        </w:tc>
      </w:tr>
      <w:tr w:rsidR="00F30158" w:rsidRPr="00693DF2" w:rsidTr="008E4E10">
        <w:trPr>
          <w:trHeight w:val="370"/>
        </w:trPr>
        <w:tc>
          <w:tcPr>
            <w:tcW w:w="5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Pr>
                <w:sz w:val="20"/>
                <w:szCs w:val="20"/>
              </w:rPr>
              <w:t>11</w:t>
            </w:r>
          </w:p>
        </w:tc>
        <w:tc>
          <w:tcPr>
            <w:tcW w:w="14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bCs/>
                <w:sz w:val="20"/>
                <w:szCs w:val="20"/>
              </w:rPr>
            </w:pPr>
            <w:r w:rsidRPr="00693DF2">
              <w:rPr>
                <w:bCs/>
                <w:sz w:val="20"/>
                <w:szCs w:val="20"/>
              </w:rPr>
              <w:t>Zambia</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5 Aug 2008</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3 Feb 2010</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18 Mar 2010</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rPr>
                <w:sz w:val="20"/>
                <w:szCs w:val="20"/>
              </w:rPr>
            </w:pPr>
            <w:r w:rsidRPr="00693DF2">
              <w:rPr>
                <w:sz w:val="20"/>
                <w:szCs w:val="20"/>
              </w:rPr>
              <w:t>20 Sep 2010</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jc w:val="center"/>
              <w:rPr>
                <w:sz w:val="20"/>
                <w:szCs w:val="20"/>
              </w:rPr>
            </w:pPr>
            <w:r w:rsidRPr="00693DF2">
              <w:rPr>
                <w:sz w:val="20"/>
                <w:szCs w:val="20"/>
              </w:rPr>
              <w:sym w:font="Wingdings" w:char="F0FC"/>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F30158" w:rsidRPr="00693DF2" w:rsidRDefault="00F30158" w:rsidP="008E4E10">
            <w:pPr>
              <w:jc w:val="center"/>
              <w:rPr>
                <w:sz w:val="20"/>
                <w:szCs w:val="20"/>
              </w:rPr>
            </w:pPr>
          </w:p>
        </w:tc>
      </w:tr>
    </w:tbl>
    <w:p w:rsidR="00F30158" w:rsidRDefault="00F30158" w:rsidP="00F30158"/>
    <w:p w:rsidR="00F30158" w:rsidRDefault="00F30158"/>
    <w:p w:rsidR="00F30158" w:rsidRDefault="00F30158"/>
    <w:sectPr w:rsidR="00F30158" w:rsidSect="005D050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968" w:rsidRDefault="00FF1968" w:rsidP="00F30158">
      <w:pPr>
        <w:spacing w:after="0" w:line="240" w:lineRule="auto"/>
      </w:pPr>
      <w:r>
        <w:separator/>
      </w:r>
    </w:p>
  </w:endnote>
  <w:endnote w:type="continuationSeparator" w:id="0">
    <w:p w:rsidR="00FF1968" w:rsidRDefault="00FF1968" w:rsidP="00F30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56" w:rsidRDefault="009311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56" w:rsidRDefault="009311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56" w:rsidRDefault="00931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968" w:rsidRDefault="00FF1968" w:rsidP="00F30158">
      <w:pPr>
        <w:spacing w:after="0" w:line="240" w:lineRule="auto"/>
      </w:pPr>
      <w:r>
        <w:separator/>
      </w:r>
    </w:p>
  </w:footnote>
  <w:footnote w:type="continuationSeparator" w:id="0">
    <w:p w:rsidR="00FF1968" w:rsidRDefault="00FF1968" w:rsidP="00F30158">
      <w:pPr>
        <w:spacing w:after="0" w:line="240" w:lineRule="auto"/>
      </w:pPr>
      <w:r>
        <w:continuationSeparator/>
      </w:r>
    </w:p>
  </w:footnote>
  <w:footnote w:id="1">
    <w:p w:rsidR="00F30158" w:rsidRPr="002F64CD" w:rsidRDefault="00F30158" w:rsidP="00F30158">
      <w:pPr>
        <w:pStyle w:val="FootnoteText"/>
        <w:rPr>
          <w:lang w:val="en-US"/>
        </w:rPr>
      </w:pPr>
      <w:r>
        <w:rPr>
          <w:rStyle w:val="FootnoteReference"/>
        </w:rPr>
        <w:footnoteRef/>
      </w:r>
      <w:r>
        <w:t xml:space="preserve"> TI (2010) </w:t>
      </w:r>
      <w:r w:rsidRPr="007A2ADA">
        <w:rPr>
          <w:sz w:val="18"/>
        </w:rPr>
        <w:t>Global Corruption Report: Climate Change</w:t>
      </w:r>
      <w:r>
        <w:rPr>
          <w:sz w:val="18"/>
        </w:rPr>
        <w:t xml:space="preserve"> (</w:t>
      </w:r>
      <w:hyperlink r:id="rId1" w:history="1">
        <w:r w:rsidRPr="007A2ADA">
          <w:rPr>
            <w:rStyle w:val="Hyperlink"/>
            <w:sz w:val="18"/>
          </w:rPr>
          <w:t>link</w:t>
        </w:r>
      </w:hyperlink>
      <w:r>
        <w:rPr>
          <w:sz w:val="18"/>
        </w:rPr>
        <w:t>)</w:t>
      </w:r>
    </w:p>
  </w:footnote>
  <w:footnote w:id="2">
    <w:p w:rsidR="00F92D32" w:rsidRPr="00002827" w:rsidRDefault="00F92D32" w:rsidP="00F92D32">
      <w:pPr>
        <w:pStyle w:val="FootnoteText"/>
        <w:rPr>
          <w:sz w:val="18"/>
          <w:szCs w:val="18"/>
          <w:lang w:val="fr-FR"/>
        </w:rPr>
      </w:pPr>
      <w:r>
        <w:rPr>
          <w:rStyle w:val="FootnoteReference"/>
        </w:rPr>
        <w:footnoteRef/>
      </w:r>
      <w:r w:rsidRPr="00C07641">
        <w:rPr>
          <w:sz w:val="18"/>
          <w:szCs w:val="18"/>
          <w:lang w:val="en-US"/>
        </w:rPr>
        <w:t xml:space="preserve">Five Year Strategy, UN-REDD Programme, 2011-2015. </w:t>
      </w:r>
      <w:r w:rsidRPr="00002827">
        <w:rPr>
          <w:sz w:val="18"/>
          <w:szCs w:val="18"/>
          <w:lang w:val="fr-FR"/>
        </w:rPr>
        <w:t>Available at</w:t>
      </w:r>
    </w:p>
    <w:p w:rsidR="00F92D32" w:rsidRPr="00002827" w:rsidRDefault="00E545BF" w:rsidP="00F92D32">
      <w:pPr>
        <w:pStyle w:val="FootnoteText"/>
        <w:rPr>
          <w:sz w:val="18"/>
          <w:szCs w:val="18"/>
          <w:lang w:val="fr-FR"/>
        </w:rPr>
      </w:pPr>
      <w:hyperlink r:id="rId2" w:history="1">
        <w:r w:rsidR="00382E6C" w:rsidRPr="00002827">
          <w:rPr>
            <w:rStyle w:val="Hyperlink"/>
            <w:sz w:val="18"/>
            <w:szCs w:val="18"/>
            <w:lang w:val="fr-FR"/>
          </w:rPr>
          <w:t>http://www.unredd.net/index.php?option=com_docman&amp;task=doc_download&amp;gid=4598&amp;Itemid=53</w:t>
        </w:r>
      </w:hyperlink>
    </w:p>
  </w:footnote>
  <w:footnote w:id="3">
    <w:p w:rsidR="00382E6C" w:rsidRPr="00002827" w:rsidRDefault="00382E6C" w:rsidP="00382E6C">
      <w:pPr>
        <w:pStyle w:val="FootnoteText"/>
        <w:rPr>
          <w:sz w:val="18"/>
          <w:szCs w:val="18"/>
          <w:lang w:val="fr-FR"/>
        </w:rPr>
      </w:pPr>
      <w:r w:rsidRPr="00C07641">
        <w:rPr>
          <w:rStyle w:val="FootnoteReference"/>
          <w:sz w:val="18"/>
          <w:szCs w:val="18"/>
        </w:rPr>
        <w:footnoteRef/>
      </w:r>
      <w:r w:rsidRPr="00002827">
        <w:rPr>
          <w:sz w:val="18"/>
          <w:szCs w:val="18"/>
          <w:lang w:val="fr-FR"/>
        </w:rPr>
        <w:t>«Support to National REDD+ Action: Global Programme Framework Document – 2011-2015», UN-REDD</w:t>
      </w:r>
    </w:p>
    <w:p w:rsidR="00382E6C" w:rsidRPr="00002827" w:rsidRDefault="00C07641" w:rsidP="00382E6C">
      <w:pPr>
        <w:pStyle w:val="FootnoteText"/>
        <w:rPr>
          <w:lang w:val="fr-FR"/>
        </w:rPr>
      </w:pPr>
      <w:r w:rsidRPr="00002827">
        <w:rPr>
          <w:sz w:val="18"/>
          <w:szCs w:val="18"/>
          <w:lang w:val="fr-FR"/>
        </w:rPr>
        <w:t xml:space="preserve">Programme, 2011, </w:t>
      </w:r>
      <w:hyperlink r:id="rId3" w:history="1">
        <w:r w:rsidR="00382E6C" w:rsidRPr="00002827">
          <w:rPr>
            <w:rStyle w:val="Hyperlink"/>
            <w:sz w:val="18"/>
            <w:szCs w:val="18"/>
            <w:lang w:val="fr-FR"/>
          </w:rPr>
          <w:t>http://www.unredd.net/index.php?option=com_docman&amp;task=doc_download&amp;gid=5534&amp;Itemid=53</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56" w:rsidRDefault="009311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530266"/>
      <w:docPartObj>
        <w:docPartGallery w:val="Watermarks"/>
        <w:docPartUnique/>
      </w:docPartObj>
    </w:sdtPr>
    <w:sdtContent>
      <w:p w:rsidR="00931156" w:rsidRDefault="00E545BF">
        <w:pPr>
          <w:pStyle w:val="Header"/>
        </w:pPr>
        <w:r w:rsidRPr="00E545BF">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56" w:rsidRDefault="009311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7401"/>
    <w:multiLevelType w:val="hybridMultilevel"/>
    <w:tmpl w:val="41301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7304DA"/>
    <w:multiLevelType w:val="hybridMultilevel"/>
    <w:tmpl w:val="9776F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6A3972"/>
    <w:multiLevelType w:val="hybridMultilevel"/>
    <w:tmpl w:val="6E76193E"/>
    <w:lvl w:ilvl="0" w:tplc="5AE46C8A">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4AD57F7"/>
    <w:multiLevelType w:val="hybridMultilevel"/>
    <w:tmpl w:val="BF640E8E"/>
    <w:lvl w:ilvl="0" w:tplc="5AE46C8A">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30158"/>
    <w:rsid w:val="00002827"/>
    <w:rsid w:val="00010C73"/>
    <w:rsid w:val="0008453D"/>
    <w:rsid w:val="0008464E"/>
    <w:rsid w:val="000966EB"/>
    <w:rsid w:val="001947BF"/>
    <w:rsid w:val="00221758"/>
    <w:rsid w:val="002E12CD"/>
    <w:rsid w:val="00340C67"/>
    <w:rsid w:val="00357961"/>
    <w:rsid w:val="00382E6C"/>
    <w:rsid w:val="0043757B"/>
    <w:rsid w:val="004B0F3A"/>
    <w:rsid w:val="00530DE9"/>
    <w:rsid w:val="005B08EE"/>
    <w:rsid w:val="005D0502"/>
    <w:rsid w:val="00605BAD"/>
    <w:rsid w:val="00662C32"/>
    <w:rsid w:val="00712041"/>
    <w:rsid w:val="0076150C"/>
    <w:rsid w:val="007A3DE5"/>
    <w:rsid w:val="007B6A86"/>
    <w:rsid w:val="007E64ED"/>
    <w:rsid w:val="008064EA"/>
    <w:rsid w:val="00853156"/>
    <w:rsid w:val="008558C3"/>
    <w:rsid w:val="00885A5C"/>
    <w:rsid w:val="008D5138"/>
    <w:rsid w:val="009115FA"/>
    <w:rsid w:val="00923D1B"/>
    <w:rsid w:val="00931156"/>
    <w:rsid w:val="00963883"/>
    <w:rsid w:val="009873B7"/>
    <w:rsid w:val="00990FFE"/>
    <w:rsid w:val="009C7CEA"/>
    <w:rsid w:val="00A31575"/>
    <w:rsid w:val="00A40C13"/>
    <w:rsid w:val="00A639C0"/>
    <w:rsid w:val="00AF44B2"/>
    <w:rsid w:val="00B25958"/>
    <w:rsid w:val="00BB7637"/>
    <w:rsid w:val="00C07641"/>
    <w:rsid w:val="00C71D5B"/>
    <w:rsid w:val="00D6252C"/>
    <w:rsid w:val="00D72EB4"/>
    <w:rsid w:val="00E545BF"/>
    <w:rsid w:val="00E637E6"/>
    <w:rsid w:val="00EA4B56"/>
    <w:rsid w:val="00F30158"/>
    <w:rsid w:val="00F30AB2"/>
    <w:rsid w:val="00F35708"/>
    <w:rsid w:val="00F66DD4"/>
    <w:rsid w:val="00F92D32"/>
    <w:rsid w:val="00FD400E"/>
    <w:rsid w:val="00FF19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0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158"/>
    <w:rPr>
      <w:rFonts w:ascii="Tahoma" w:hAnsi="Tahoma" w:cs="Tahoma"/>
      <w:sz w:val="16"/>
      <w:szCs w:val="16"/>
    </w:rPr>
  </w:style>
  <w:style w:type="paragraph" w:styleId="ListParagraph">
    <w:name w:val="List Paragraph"/>
    <w:basedOn w:val="Normal"/>
    <w:uiPriority w:val="34"/>
    <w:qFormat/>
    <w:rsid w:val="00F30158"/>
    <w:pPr>
      <w:spacing w:after="0" w:line="240" w:lineRule="auto"/>
      <w:ind w:left="720"/>
      <w:contextualSpacing/>
    </w:pPr>
    <w:rPr>
      <w:rFonts w:ascii="Myriad Pro" w:eastAsia="Times New Roman" w:hAnsi="Myriad Pro" w:cs="Times New Roman"/>
      <w:sz w:val="24"/>
      <w:szCs w:val="24"/>
      <w:lang w:val="en-GB" w:eastAsia="en-GB"/>
    </w:rPr>
  </w:style>
  <w:style w:type="character" w:styleId="Hyperlink">
    <w:name w:val="Hyperlink"/>
    <w:basedOn w:val="DefaultParagraphFont"/>
    <w:uiPriority w:val="99"/>
    <w:unhideWhenUsed/>
    <w:rsid w:val="00F30158"/>
    <w:rPr>
      <w:color w:val="0000FF" w:themeColor="hyperlink"/>
      <w:u w:val="single"/>
    </w:rPr>
  </w:style>
  <w:style w:type="paragraph" w:styleId="FootnoteText">
    <w:name w:val="footnote text"/>
    <w:basedOn w:val="Normal"/>
    <w:link w:val="FootnoteTextChar"/>
    <w:uiPriority w:val="99"/>
    <w:semiHidden/>
    <w:unhideWhenUsed/>
    <w:rsid w:val="00F30158"/>
    <w:pPr>
      <w:spacing w:after="0" w:line="240" w:lineRule="auto"/>
    </w:pPr>
    <w:rPr>
      <w:rFonts w:ascii="Myriad Pro" w:eastAsia="Times New Roman" w:hAnsi="Myriad Pro" w:cs="Times New Roman"/>
      <w:sz w:val="20"/>
      <w:szCs w:val="20"/>
      <w:lang w:val="en-GB" w:eastAsia="en-GB"/>
    </w:rPr>
  </w:style>
  <w:style w:type="character" w:customStyle="1" w:styleId="FootnoteTextChar">
    <w:name w:val="Footnote Text Char"/>
    <w:basedOn w:val="DefaultParagraphFont"/>
    <w:link w:val="FootnoteText"/>
    <w:uiPriority w:val="99"/>
    <w:semiHidden/>
    <w:rsid w:val="00F30158"/>
    <w:rPr>
      <w:rFonts w:ascii="Myriad Pro" w:eastAsia="Times New Roman" w:hAnsi="Myriad Pro" w:cs="Times New Roman"/>
      <w:sz w:val="20"/>
      <w:szCs w:val="20"/>
      <w:lang w:val="en-GB" w:eastAsia="en-GB"/>
    </w:rPr>
  </w:style>
  <w:style w:type="character" w:styleId="FootnoteReference">
    <w:name w:val="footnote reference"/>
    <w:basedOn w:val="DefaultParagraphFont"/>
    <w:uiPriority w:val="99"/>
    <w:semiHidden/>
    <w:unhideWhenUsed/>
    <w:rsid w:val="00F30158"/>
    <w:rPr>
      <w:vertAlign w:val="superscript"/>
    </w:rPr>
  </w:style>
  <w:style w:type="character" w:styleId="CommentReference">
    <w:name w:val="annotation reference"/>
    <w:basedOn w:val="DefaultParagraphFont"/>
    <w:uiPriority w:val="99"/>
    <w:semiHidden/>
    <w:unhideWhenUsed/>
    <w:rsid w:val="00F30158"/>
    <w:rPr>
      <w:sz w:val="16"/>
      <w:szCs w:val="16"/>
    </w:rPr>
  </w:style>
  <w:style w:type="paragraph" w:styleId="CommentText">
    <w:name w:val="annotation text"/>
    <w:basedOn w:val="Normal"/>
    <w:link w:val="CommentTextChar"/>
    <w:uiPriority w:val="99"/>
    <w:semiHidden/>
    <w:unhideWhenUsed/>
    <w:rsid w:val="00F30158"/>
    <w:pPr>
      <w:spacing w:after="0" w:line="240" w:lineRule="auto"/>
    </w:pPr>
    <w:rPr>
      <w:rFonts w:ascii="Myriad Pro" w:eastAsia="Times New Roman" w:hAnsi="Myriad Pro" w:cs="Times New Roman"/>
      <w:sz w:val="20"/>
      <w:szCs w:val="20"/>
      <w:lang w:val="en-GB" w:eastAsia="en-GB"/>
    </w:rPr>
  </w:style>
  <w:style w:type="character" w:customStyle="1" w:styleId="CommentTextChar">
    <w:name w:val="Comment Text Char"/>
    <w:basedOn w:val="DefaultParagraphFont"/>
    <w:link w:val="CommentText"/>
    <w:uiPriority w:val="99"/>
    <w:semiHidden/>
    <w:rsid w:val="00F30158"/>
    <w:rPr>
      <w:rFonts w:ascii="Myriad Pro" w:eastAsia="Times New Roman" w:hAnsi="Myriad Pro" w:cs="Times New Roman"/>
      <w:sz w:val="20"/>
      <w:szCs w:val="20"/>
      <w:lang w:val="en-GB" w:eastAsia="en-GB"/>
    </w:rPr>
  </w:style>
  <w:style w:type="table" w:styleId="LightList-Accent3">
    <w:name w:val="Light List Accent 3"/>
    <w:basedOn w:val="TableNormal"/>
    <w:uiPriority w:val="61"/>
    <w:rsid w:val="009873B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08464E"/>
    <w:rPr>
      <w:color w:val="800080" w:themeColor="followedHyperlink"/>
      <w:u w:val="single"/>
    </w:rPr>
  </w:style>
  <w:style w:type="paragraph" w:styleId="Header">
    <w:name w:val="header"/>
    <w:basedOn w:val="Normal"/>
    <w:link w:val="HeaderChar"/>
    <w:uiPriority w:val="99"/>
    <w:unhideWhenUsed/>
    <w:rsid w:val="00931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156"/>
  </w:style>
  <w:style w:type="paragraph" w:styleId="Footer">
    <w:name w:val="footer"/>
    <w:basedOn w:val="Normal"/>
    <w:link w:val="FooterChar"/>
    <w:uiPriority w:val="99"/>
    <w:unhideWhenUsed/>
    <w:rsid w:val="00931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56"/>
  </w:style>
  <w:style w:type="paragraph" w:styleId="CommentSubject">
    <w:name w:val="annotation subject"/>
    <w:basedOn w:val="CommentText"/>
    <w:next w:val="CommentText"/>
    <w:link w:val="CommentSubjectChar"/>
    <w:uiPriority w:val="99"/>
    <w:semiHidden/>
    <w:unhideWhenUsed/>
    <w:rsid w:val="0008453D"/>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08453D"/>
    <w:rPr>
      <w:rFonts w:ascii="Myriad Pro" w:eastAsia="Times New Roman" w:hAnsi="Myriad Pro" w:cs="Times New Roman"/>
      <w:b/>
      <w:bCs/>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0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158"/>
    <w:rPr>
      <w:rFonts w:ascii="Tahoma" w:hAnsi="Tahoma" w:cs="Tahoma"/>
      <w:sz w:val="16"/>
      <w:szCs w:val="16"/>
    </w:rPr>
  </w:style>
  <w:style w:type="paragraph" w:styleId="ListParagraph">
    <w:name w:val="List Paragraph"/>
    <w:basedOn w:val="Normal"/>
    <w:uiPriority w:val="34"/>
    <w:qFormat/>
    <w:rsid w:val="00F30158"/>
    <w:pPr>
      <w:spacing w:after="0" w:line="240" w:lineRule="auto"/>
      <w:ind w:left="720"/>
      <w:contextualSpacing/>
    </w:pPr>
    <w:rPr>
      <w:rFonts w:ascii="Myriad Pro" w:eastAsia="Times New Roman" w:hAnsi="Myriad Pro" w:cs="Times New Roman"/>
      <w:sz w:val="24"/>
      <w:szCs w:val="24"/>
      <w:lang w:val="en-GB" w:eastAsia="en-GB"/>
    </w:rPr>
  </w:style>
  <w:style w:type="character" w:styleId="Hyperlink">
    <w:name w:val="Hyperlink"/>
    <w:basedOn w:val="DefaultParagraphFont"/>
    <w:uiPriority w:val="99"/>
    <w:unhideWhenUsed/>
    <w:rsid w:val="00F30158"/>
    <w:rPr>
      <w:color w:val="0000FF" w:themeColor="hyperlink"/>
      <w:u w:val="single"/>
    </w:rPr>
  </w:style>
  <w:style w:type="paragraph" w:styleId="FootnoteText">
    <w:name w:val="footnote text"/>
    <w:basedOn w:val="Normal"/>
    <w:link w:val="FootnoteTextChar"/>
    <w:uiPriority w:val="99"/>
    <w:semiHidden/>
    <w:unhideWhenUsed/>
    <w:rsid w:val="00F30158"/>
    <w:pPr>
      <w:spacing w:after="0" w:line="240" w:lineRule="auto"/>
    </w:pPr>
    <w:rPr>
      <w:rFonts w:ascii="Myriad Pro" w:eastAsia="Times New Roman" w:hAnsi="Myriad Pro" w:cs="Times New Roman"/>
      <w:sz w:val="20"/>
      <w:szCs w:val="20"/>
      <w:lang w:val="en-GB" w:eastAsia="en-GB"/>
    </w:rPr>
  </w:style>
  <w:style w:type="character" w:customStyle="1" w:styleId="FootnoteTextChar">
    <w:name w:val="Footnote Text Char"/>
    <w:basedOn w:val="DefaultParagraphFont"/>
    <w:link w:val="FootnoteText"/>
    <w:uiPriority w:val="99"/>
    <w:semiHidden/>
    <w:rsid w:val="00F30158"/>
    <w:rPr>
      <w:rFonts w:ascii="Myriad Pro" w:eastAsia="Times New Roman" w:hAnsi="Myriad Pro" w:cs="Times New Roman"/>
      <w:sz w:val="20"/>
      <w:szCs w:val="20"/>
      <w:lang w:val="en-GB" w:eastAsia="en-GB"/>
    </w:rPr>
  </w:style>
  <w:style w:type="character" w:styleId="FootnoteReference">
    <w:name w:val="footnote reference"/>
    <w:basedOn w:val="DefaultParagraphFont"/>
    <w:uiPriority w:val="99"/>
    <w:semiHidden/>
    <w:unhideWhenUsed/>
    <w:rsid w:val="00F30158"/>
    <w:rPr>
      <w:vertAlign w:val="superscript"/>
    </w:rPr>
  </w:style>
  <w:style w:type="character" w:styleId="CommentReference">
    <w:name w:val="annotation reference"/>
    <w:basedOn w:val="DefaultParagraphFont"/>
    <w:uiPriority w:val="99"/>
    <w:semiHidden/>
    <w:unhideWhenUsed/>
    <w:rsid w:val="00F30158"/>
    <w:rPr>
      <w:sz w:val="16"/>
      <w:szCs w:val="16"/>
    </w:rPr>
  </w:style>
  <w:style w:type="paragraph" w:styleId="CommentText">
    <w:name w:val="annotation text"/>
    <w:basedOn w:val="Normal"/>
    <w:link w:val="CommentTextChar"/>
    <w:uiPriority w:val="99"/>
    <w:semiHidden/>
    <w:unhideWhenUsed/>
    <w:rsid w:val="00F30158"/>
    <w:pPr>
      <w:spacing w:after="0" w:line="240" w:lineRule="auto"/>
    </w:pPr>
    <w:rPr>
      <w:rFonts w:ascii="Myriad Pro" w:eastAsia="Times New Roman" w:hAnsi="Myriad Pro" w:cs="Times New Roman"/>
      <w:sz w:val="20"/>
      <w:szCs w:val="20"/>
      <w:lang w:val="en-GB" w:eastAsia="en-GB"/>
    </w:rPr>
  </w:style>
  <w:style w:type="character" w:customStyle="1" w:styleId="CommentTextChar">
    <w:name w:val="Comment Text Char"/>
    <w:basedOn w:val="DefaultParagraphFont"/>
    <w:link w:val="CommentText"/>
    <w:uiPriority w:val="99"/>
    <w:semiHidden/>
    <w:rsid w:val="00F30158"/>
    <w:rPr>
      <w:rFonts w:ascii="Myriad Pro" w:eastAsia="Times New Roman" w:hAnsi="Myriad Pro" w:cs="Times New Roman"/>
      <w:sz w:val="20"/>
      <w:szCs w:val="20"/>
      <w:lang w:val="en-GB" w:eastAsia="en-GB"/>
    </w:rPr>
  </w:style>
  <w:style w:type="table" w:styleId="LightList-Accent3">
    <w:name w:val="Light List Accent 3"/>
    <w:basedOn w:val="TableNormal"/>
    <w:uiPriority w:val="61"/>
    <w:rsid w:val="009873B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08464E"/>
    <w:rPr>
      <w:color w:val="800080" w:themeColor="followedHyperlink"/>
      <w:u w:val="single"/>
    </w:rPr>
  </w:style>
  <w:style w:type="paragraph" w:styleId="Header">
    <w:name w:val="header"/>
    <w:basedOn w:val="Normal"/>
    <w:link w:val="HeaderChar"/>
    <w:uiPriority w:val="99"/>
    <w:unhideWhenUsed/>
    <w:rsid w:val="00931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156"/>
  </w:style>
  <w:style w:type="paragraph" w:styleId="Footer">
    <w:name w:val="footer"/>
    <w:basedOn w:val="Normal"/>
    <w:link w:val="FooterChar"/>
    <w:uiPriority w:val="99"/>
    <w:unhideWhenUsed/>
    <w:rsid w:val="00931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56"/>
  </w:style>
  <w:style w:type="paragraph" w:styleId="CommentSubject">
    <w:name w:val="annotation subject"/>
    <w:basedOn w:val="CommentText"/>
    <w:next w:val="CommentText"/>
    <w:link w:val="CommentSubjectChar"/>
    <w:uiPriority w:val="99"/>
    <w:semiHidden/>
    <w:unhideWhenUsed/>
    <w:rsid w:val="0008453D"/>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08453D"/>
    <w:rPr>
      <w:rFonts w:ascii="Myriad Pro" w:eastAsia="Times New Roman" w:hAnsi="Myriad Pro" w:cs="Times New Roman"/>
      <w:b/>
      <w:bCs/>
      <w:sz w:val="20"/>
      <w:szCs w:val="20"/>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arthsummit2012.org/news/africa-6th-economic-conference-opens-in-addis-experts-call-for-major-structural-transformation-of-african-econom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unredd.net/index.php?option=com_docman&amp;task=doc_download&amp;gid=5534&amp;Itemid=53" TargetMode="External"/><Relationship Id="rId2" Type="http://schemas.openxmlformats.org/officeDocument/2006/relationships/hyperlink" Target="http://www.unredd.net/index.php?option=com_docman&amp;task=doc_download&amp;gid=4598&amp;Itemid=53" TargetMode="External"/><Relationship Id="rId1" Type="http://schemas.openxmlformats.org/officeDocument/2006/relationships/hyperlink" Target="http://www.transparency.org/publications/g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4844-8909-4CF2-ADD4-640525F5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Tsegaye Lemma</dc:creator>
  <cp:lastModifiedBy>Josep A. Gari</cp:lastModifiedBy>
  <cp:revision>4</cp:revision>
  <dcterms:created xsi:type="dcterms:W3CDTF">2012-01-12T22:05:00Z</dcterms:created>
  <dcterms:modified xsi:type="dcterms:W3CDTF">2012-01-30T08:57:00Z</dcterms:modified>
</cp:coreProperties>
</file>