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36" w:rsidRPr="00CB56A6" w:rsidRDefault="002F62E8" w:rsidP="00CB56A6">
      <w:pPr>
        <w:jc w:val="center"/>
        <w:rPr>
          <w:b/>
          <w:color w:val="808080" w:themeColor="background1" w:themeShade="80"/>
          <w:sz w:val="32"/>
        </w:rPr>
      </w:pPr>
      <w:r>
        <w:rPr>
          <w:b/>
          <w:color w:val="808080" w:themeColor="background1" w:themeShade="80"/>
          <w:sz w:val="32"/>
        </w:rPr>
        <w:t xml:space="preserve">South-South Knowledge Exchange </w:t>
      </w:r>
      <w:r w:rsidR="000A6036" w:rsidRPr="00CB56A6">
        <w:rPr>
          <w:b/>
          <w:color w:val="808080" w:themeColor="background1" w:themeShade="80"/>
          <w:sz w:val="32"/>
        </w:rPr>
        <w:t>on national REDD+ fund architecture</w:t>
      </w:r>
      <w:r>
        <w:rPr>
          <w:b/>
          <w:color w:val="808080" w:themeColor="background1" w:themeShade="80"/>
          <w:sz w:val="32"/>
        </w:rPr>
        <w:t>s</w:t>
      </w:r>
    </w:p>
    <w:p w:rsidR="000A6036" w:rsidRPr="00CB56A6" w:rsidRDefault="002108C1" w:rsidP="00CB56A6">
      <w:pPr>
        <w:jc w:val="center"/>
        <w:rPr>
          <w:b/>
          <w:color w:val="808080" w:themeColor="background1" w:themeShade="80"/>
          <w:sz w:val="32"/>
        </w:rPr>
      </w:pPr>
      <w:r>
        <w:rPr>
          <w:b/>
          <w:color w:val="808080" w:themeColor="background1" w:themeShade="80"/>
          <w:sz w:val="32"/>
        </w:rPr>
        <w:t>C</w:t>
      </w:r>
      <w:r w:rsidR="000A6036" w:rsidRPr="00CB56A6">
        <w:rPr>
          <w:b/>
          <w:color w:val="808080" w:themeColor="background1" w:themeShade="80"/>
          <w:sz w:val="32"/>
        </w:rPr>
        <w:t>oncept note</w:t>
      </w:r>
    </w:p>
    <w:p w:rsidR="000A6036" w:rsidRPr="002F62E8" w:rsidRDefault="000A6036" w:rsidP="000A6036">
      <w:pPr>
        <w:rPr>
          <w:b/>
          <w:sz w:val="28"/>
          <w:u w:val="single"/>
        </w:rPr>
      </w:pPr>
      <w:r w:rsidRPr="002F62E8">
        <w:rPr>
          <w:b/>
          <w:sz w:val="28"/>
          <w:u w:val="single"/>
        </w:rPr>
        <w:t>Background</w:t>
      </w:r>
    </w:p>
    <w:p w:rsidR="000A6036" w:rsidRDefault="000A6036" w:rsidP="000A6036">
      <w:r>
        <w:t xml:space="preserve">Several countries have opted for the establishment </w:t>
      </w:r>
      <w:r w:rsidR="006B318A">
        <w:t>of</w:t>
      </w:r>
      <w:r>
        <w:t xml:space="preserve"> REDD+ fund</w:t>
      </w:r>
      <w:r w:rsidR="006B318A">
        <w:t>s</w:t>
      </w:r>
      <w:r>
        <w:t xml:space="preserve"> as funding modality to </w:t>
      </w:r>
      <w:r w:rsidR="002D318C">
        <w:t xml:space="preserve">channel different sources of funding towards </w:t>
      </w:r>
      <w:r>
        <w:t>the implementation of REDD+ activities</w:t>
      </w:r>
      <w:r w:rsidR="00671BA8">
        <w:t xml:space="preserve"> (DRC, Ethiopia, Indonesia, Vietna</w:t>
      </w:r>
      <w:r w:rsidR="00C250BE">
        <w:t>m</w:t>
      </w:r>
      <w:r w:rsidR="002108C1">
        <w:t xml:space="preserve"> and Colombia</w:t>
      </w:r>
      <w:r w:rsidR="00671BA8">
        <w:t>)</w:t>
      </w:r>
      <w:r>
        <w:t xml:space="preserve">. They are at different levels of development and are receiving international technical support from the World Bank and the UN-REDD program. There </w:t>
      </w:r>
      <w:r w:rsidR="006B318A">
        <w:t>are</w:t>
      </w:r>
      <w:r>
        <w:t xml:space="preserve"> lessons learnt in each of these countries that could be shared with other</w:t>
      </w:r>
      <w:r w:rsidR="000B73A7">
        <w:t xml:space="preserve"> countries and</w:t>
      </w:r>
      <w:r w:rsidR="00671BA8">
        <w:t xml:space="preserve"> used in</w:t>
      </w:r>
      <w:r w:rsidR="000B73A7">
        <w:t xml:space="preserve"> the</w:t>
      </w:r>
      <w:r w:rsidR="00671BA8">
        <w:t xml:space="preserve"> fund</w:t>
      </w:r>
      <w:r w:rsidR="000B73A7">
        <w:t xml:space="preserve"> design process</w:t>
      </w:r>
      <w:r w:rsidR="00671BA8">
        <w:t>. In addition</w:t>
      </w:r>
      <w:r w:rsidR="000B73A7">
        <w:t xml:space="preserve">, </w:t>
      </w:r>
      <w:r w:rsidR="00671BA8">
        <w:t>experiences in the field of conservation funds and forestry funds could also be relevant in this context.</w:t>
      </w:r>
      <w:r w:rsidR="006B318A">
        <w:t xml:space="preserve"> </w:t>
      </w:r>
      <w:r w:rsidR="006B318A" w:rsidRPr="006B318A">
        <w:rPr>
          <w:b/>
        </w:rPr>
        <w:t>The objective</w:t>
      </w:r>
      <w:r w:rsidR="006B318A">
        <w:t xml:space="preserve"> of </w:t>
      </w:r>
      <w:r w:rsidR="003E6193">
        <w:t xml:space="preserve">this series of South-South knowledge exchange dialogues </w:t>
      </w:r>
      <w:r w:rsidR="006B318A">
        <w:t xml:space="preserve">would be to </w:t>
      </w:r>
      <w:r w:rsidR="00671BA8">
        <w:t xml:space="preserve">exchange experiences on topics </w:t>
      </w:r>
      <w:r w:rsidR="006B318A">
        <w:t>relevant to fund design identified by DRC, Ethiopia</w:t>
      </w:r>
      <w:r w:rsidR="002D318C">
        <w:t xml:space="preserve">, </w:t>
      </w:r>
      <w:r w:rsidR="006B318A">
        <w:t>Indonesia</w:t>
      </w:r>
      <w:r w:rsidR="002108C1">
        <w:t>, Colombia</w:t>
      </w:r>
      <w:r w:rsidR="001D0CBA">
        <w:t xml:space="preserve"> and Vietnam</w:t>
      </w:r>
      <w:r w:rsidR="00255B52">
        <w:t>)</w:t>
      </w:r>
      <w:r w:rsidR="00671BA8">
        <w:t xml:space="preserve">. </w:t>
      </w:r>
      <w:r w:rsidR="003E6193">
        <w:t>This activity will be led by a partnership between the UNDP and the WB.</w:t>
      </w:r>
    </w:p>
    <w:p w:rsidR="00790EB9" w:rsidRPr="002F62E8" w:rsidRDefault="00790EB9" w:rsidP="00790EB9">
      <w:pPr>
        <w:rPr>
          <w:b/>
          <w:sz w:val="28"/>
          <w:u w:val="single"/>
        </w:rPr>
      </w:pPr>
      <w:r w:rsidRPr="002F62E8">
        <w:rPr>
          <w:b/>
          <w:sz w:val="28"/>
          <w:u w:val="single"/>
        </w:rPr>
        <w:t xml:space="preserve">Knowledge Exchange Concept </w:t>
      </w:r>
    </w:p>
    <w:p w:rsidR="00790EB9" w:rsidRDefault="00790EB9" w:rsidP="00790EB9">
      <w:r>
        <w:t>This South-South Knowledge exchange activity will foster a dialogue across countries currently dealing with the establishment of national REDD+ funds. It will be structured around a series of face-to-face meetings throughout 2013, complemented by potential field visits. Each meeting will provide a space for in-depth discussions on key topics identified by the targeted countries during the planning session.</w:t>
      </w:r>
    </w:p>
    <w:p w:rsidR="00790EB9" w:rsidRDefault="00790EB9" w:rsidP="00790EB9">
      <w:pPr>
        <w:pStyle w:val="ListParagraph"/>
        <w:numPr>
          <w:ilvl w:val="0"/>
          <w:numId w:val="2"/>
        </w:numPr>
      </w:pPr>
      <w:r w:rsidRPr="006B318A">
        <w:rPr>
          <w:b/>
        </w:rPr>
        <w:t xml:space="preserve">Pre-workshop </w:t>
      </w:r>
      <w:r>
        <w:rPr>
          <w:b/>
        </w:rPr>
        <w:t xml:space="preserve">in-country </w:t>
      </w:r>
      <w:r w:rsidRPr="006B318A">
        <w:rPr>
          <w:b/>
        </w:rPr>
        <w:t>dialog</w:t>
      </w:r>
      <w:r w:rsidRPr="006B318A">
        <w:t xml:space="preserve"> with </w:t>
      </w:r>
      <w:r>
        <w:t>DRC, Ethiopia, Vietnam and Indonesia</w:t>
      </w:r>
      <w:r w:rsidRPr="006B318A">
        <w:t xml:space="preserve"> </w:t>
      </w:r>
      <w:r>
        <w:t xml:space="preserve">to refine </w:t>
      </w:r>
      <w:r w:rsidRPr="006B318A">
        <w:t>topics</w:t>
      </w:r>
      <w:r>
        <w:t xml:space="preserve"> and expectations </w:t>
      </w:r>
      <w:r w:rsidRPr="006B318A">
        <w:t xml:space="preserve">to be presented during the planning workshop </w:t>
      </w:r>
    </w:p>
    <w:p w:rsidR="00790EB9" w:rsidRPr="006B318A" w:rsidRDefault="00790EB9" w:rsidP="00790EB9">
      <w:pPr>
        <w:pStyle w:val="ListParagraph"/>
        <w:numPr>
          <w:ilvl w:val="0"/>
          <w:numId w:val="2"/>
        </w:numPr>
      </w:pPr>
      <w:r w:rsidRPr="006B318A">
        <w:t xml:space="preserve">The first meeting would be a </w:t>
      </w:r>
      <w:r w:rsidRPr="006B318A">
        <w:rPr>
          <w:b/>
        </w:rPr>
        <w:t>planning meeting</w:t>
      </w:r>
      <w:r w:rsidRPr="006B318A">
        <w:t xml:space="preserve"> </w:t>
      </w:r>
      <w:r>
        <w:t xml:space="preserve">in Geneva </w:t>
      </w:r>
      <w:r w:rsidRPr="006B318A">
        <w:t>with brief snapshots of the topics</w:t>
      </w:r>
      <w:r>
        <w:t>,</w:t>
      </w:r>
      <w:r w:rsidRPr="006B318A">
        <w:t xml:space="preserve"> discussions on country needs</w:t>
      </w:r>
      <w:r>
        <w:t xml:space="preserve"> and identification of 3-4 key topics for further discussion</w:t>
      </w:r>
      <w:r w:rsidRPr="006B318A">
        <w:t xml:space="preserve">. </w:t>
      </w:r>
    </w:p>
    <w:p w:rsidR="00790EB9" w:rsidRDefault="00790EB9" w:rsidP="00790EB9">
      <w:pPr>
        <w:pStyle w:val="ListParagraph"/>
        <w:numPr>
          <w:ilvl w:val="0"/>
          <w:numId w:val="2"/>
        </w:numPr>
      </w:pPr>
      <w:r w:rsidRPr="006B318A">
        <w:t xml:space="preserve">Based on the planning meeting 3-4 key topics would be selected for which further international </w:t>
      </w:r>
      <w:r w:rsidRPr="006B318A">
        <w:rPr>
          <w:b/>
        </w:rPr>
        <w:t>technical meetings</w:t>
      </w:r>
      <w:r w:rsidRPr="006B318A">
        <w:t xml:space="preserve"> would be organized. </w:t>
      </w:r>
    </w:p>
    <w:p w:rsidR="00790EB9" w:rsidRPr="006B318A" w:rsidRDefault="00790EB9" w:rsidP="00790EB9">
      <w:pPr>
        <w:pStyle w:val="ListParagraph"/>
        <w:numPr>
          <w:ilvl w:val="0"/>
          <w:numId w:val="2"/>
        </w:numPr>
      </w:pPr>
      <w:r w:rsidRPr="006B318A">
        <w:rPr>
          <w:b/>
        </w:rPr>
        <w:t xml:space="preserve">Country specific </w:t>
      </w:r>
      <w:r w:rsidRPr="006B318A">
        <w:t>topics could be followed up in individual countries based if necessary</w:t>
      </w:r>
      <w:r>
        <w:t>, including through field visits</w:t>
      </w:r>
      <w:r w:rsidRPr="006B318A">
        <w:t xml:space="preserve">. </w:t>
      </w:r>
    </w:p>
    <w:p w:rsidR="00671BA8" w:rsidRPr="002F62E8" w:rsidRDefault="00671BA8" w:rsidP="000A6036">
      <w:pPr>
        <w:rPr>
          <w:b/>
          <w:sz w:val="28"/>
          <w:u w:val="single"/>
        </w:rPr>
      </w:pPr>
      <w:r w:rsidRPr="002F62E8">
        <w:rPr>
          <w:b/>
          <w:sz w:val="28"/>
          <w:u w:val="single"/>
        </w:rPr>
        <w:t>Proposed topics</w:t>
      </w:r>
    </w:p>
    <w:p w:rsidR="003602D2" w:rsidRDefault="00A055C8" w:rsidP="00A055C8">
      <w:r>
        <w:t xml:space="preserve">TOPIC 1: </w:t>
      </w:r>
      <w:r w:rsidR="003602D2">
        <w:t>Fund governance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Legal arrangements (i.e. country legal risk analysis)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Issues of fund governance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Capacity development of national entities to assume responsibilities in the governing structure of funds or become implementing partners/beneficiaries of the funds</w:t>
      </w:r>
    </w:p>
    <w:p w:rsidR="003602D2" w:rsidRDefault="003602D2" w:rsidP="003602D2">
      <w:pPr>
        <w:pStyle w:val="ListParagraph"/>
        <w:numPr>
          <w:ilvl w:val="2"/>
          <w:numId w:val="1"/>
        </w:numPr>
      </w:pPr>
      <w:r>
        <w:t>Functional capacities (financial management, links to PFM assessments and reforms, risk management (financial))</w:t>
      </w:r>
    </w:p>
    <w:p w:rsidR="003602D2" w:rsidRDefault="003602D2" w:rsidP="003602D2">
      <w:pPr>
        <w:pStyle w:val="ListParagraph"/>
        <w:numPr>
          <w:ilvl w:val="2"/>
          <w:numId w:val="1"/>
        </w:numPr>
      </w:pPr>
      <w:r>
        <w:t xml:space="preserve">Technical/programmatic capacities 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lastRenderedPageBreak/>
        <w:t>Transition planning to enhanced national ownership</w:t>
      </w:r>
    </w:p>
    <w:p w:rsidR="003602D2" w:rsidRDefault="00A055C8" w:rsidP="00A055C8">
      <w:r>
        <w:t xml:space="preserve">TOPIC 2: </w:t>
      </w:r>
      <w:r w:rsidR="003602D2">
        <w:t>Models of delivery</w:t>
      </w:r>
    </w:p>
    <w:p w:rsidR="00671BA8" w:rsidRDefault="00671BA8" w:rsidP="003602D2">
      <w:pPr>
        <w:pStyle w:val="ListParagraph"/>
        <w:numPr>
          <w:ilvl w:val="1"/>
          <w:numId w:val="1"/>
        </w:numPr>
      </w:pPr>
      <w:r>
        <w:t>Comparing on-budget modalities with extra-budgetary funds (and aligning extra-budgetary funds with country systems</w:t>
      </w:r>
      <w:r w:rsidR="000E6EED">
        <w:t>)</w:t>
      </w:r>
    </w:p>
    <w:p w:rsidR="000E6EED" w:rsidRDefault="000E6EED" w:rsidP="003602D2">
      <w:pPr>
        <w:pStyle w:val="ListParagraph"/>
        <w:numPr>
          <w:ilvl w:val="1"/>
          <w:numId w:val="1"/>
        </w:numPr>
      </w:pPr>
      <w:r>
        <w:t>Funds and the general fiscal environment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Fund types (sinking, endowment, revolving, combination)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Windows/sub-accounts to disburse the funds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Financial products that can be offered by the funds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Beneficiaries of the funds</w:t>
      </w:r>
    </w:p>
    <w:p w:rsidR="00A055C8" w:rsidRDefault="00A055C8" w:rsidP="00A055C8">
      <w:r>
        <w:t xml:space="preserve">TOPIC 3: </w:t>
      </w:r>
      <w:r w:rsidR="000E6EED">
        <w:t>Funds and REDD+ national programs (linkages)</w:t>
      </w:r>
    </w:p>
    <w:p w:rsidR="00671BA8" w:rsidRDefault="00A055C8" w:rsidP="00A055C8">
      <w:r>
        <w:t xml:space="preserve">TOPIC 4: </w:t>
      </w:r>
      <w:r w:rsidR="003602D2">
        <w:t>Resource mobilization (r</w:t>
      </w:r>
      <w:r w:rsidR="00671BA8">
        <w:t>aising capital and revenue for the funds</w:t>
      </w:r>
      <w:r w:rsidR="003602D2">
        <w:t>)</w:t>
      </w:r>
    </w:p>
    <w:p w:rsidR="003602D2" w:rsidRDefault="00A055C8" w:rsidP="00A055C8">
      <w:r>
        <w:t xml:space="preserve">TOPIC 5: </w:t>
      </w:r>
      <w:r w:rsidR="003602D2">
        <w:t>Aligning disbursement to strategic objectives</w:t>
      </w:r>
    </w:p>
    <w:p w:rsidR="003602D2" w:rsidRDefault="003602D2" w:rsidP="003602D2">
      <w:pPr>
        <w:pStyle w:val="ListParagraph"/>
        <w:numPr>
          <w:ilvl w:val="1"/>
          <w:numId w:val="1"/>
        </w:numPr>
      </w:pPr>
      <w:r>
        <w:t>The planning process of fund development (strategic plan, financial plan, fund mobilization plan, business plan, operational manuals, programming, others such as MRV, safeguards and project registries)</w:t>
      </w:r>
    </w:p>
    <w:p w:rsidR="0025729C" w:rsidRDefault="0025729C" w:rsidP="003602D2">
      <w:pPr>
        <w:pStyle w:val="ListParagraph"/>
        <w:numPr>
          <w:ilvl w:val="1"/>
          <w:numId w:val="1"/>
        </w:numPr>
      </w:pPr>
      <w:r>
        <w:t>Project cycles</w:t>
      </w:r>
    </w:p>
    <w:p w:rsidR="0025729C" w:rsidRDefault="0025729C" w:rsidP="003602D2">
      <w:pPr>
        <w:pStyle w:val="ListParagraph"/>
        <w:numPr>
          <w:ilvl w:val="1"/>
          <w:numId w:val="1"/>
        </w:numPr>
      </w:pPr>
      <w:r>
        <w:t>Monitoring and evaluation of fund performance</w:t>
      </w:r>
    </w:p>
    <w:p w:rsidR="0025729C" w:rsidRDefault="006B318A" w:rsidP="003602D2">
      <w:pPr>
        <w:pStyle w:val="ListParagraph"/>
        <w:numPr>
          <w:ilvl w:val="1"/>
          <w:numId w:val="1"/>
        </w:numPr>
      </w:pPr>
      <w:r>
        <w:t>Results-</w:t>
      </w:r>
      <w:r w:rsidR="0025729C">
        <w:t xml:space="preserve">based payments vs. </w:t>
      </w:r>
      <w:r>
        <w:t>traditional ODA</w:t>
      </w:r>
    </w:p>
    <w:p w:rsidR="0025729C" w:rsidRDefault="0025729C" w:rsidP="003602D2">
      <w:pPr>
        <w:pStyle w:val="ListParagraph"/>
        <w:numPr>
          <w:ilvl w:val="1"/>
          <w:numId w:val="1"/>
        </w:numPr>
      </w:pPr>
      <w:r>
        <w:t>Risk management (programmatic risks)</w:t>
      </w:r>
    </w:p>
    <w:p w:rsidR="0025729C" w:rsidRDefault="00FC1C88" w:rsidP="00A055C8">
      <w:r>
        <w:t>TOPIC 6</w:t>
      </w:r>
      <w:r w:rsidR="00A055C8">
        <w:t xml:space="preserve">: </w:t>
      </w:r>
      <w:r w:rsidR="002D318C">
        <w:t>Safeguards</w:t>
      </w:r>
    </w:p>
    <w:p w:rsidR="00671BA8" w:rsidRPr="002F62E8" w:rsidRDefault="00671BA8" w:rsidP="000A6036">
      <w:pPr>
        <w:rPr>
          <w:b/>
          <w:sz w:val="28"/>
          <w:u w:val="single"/>
        </w:rPr>
      </w:pPr>
      <w:r w:rsidRPr="002F62E8">
        <w:rPr>
          <w:b/>
          <w:sz w:val="28"/>
          <w:u w:val="single"/>
        </w:rPr>
        <w:t>Proposed venues and tentative dates</w:t>
      </w:r>
    </w:p>
    <w:p w:rsidR="0025729C" w:rsidRPr="0025729C" w:rsidRDefault="00135A00" w:rsidP="00790EB9">
      <w:pPr>
        <w:pStyle w:val="ListParagraph"/>
        <w:numPr>
          <w:ilvl w:val="0"/>
          <w:numId w:val="4"/>
        </w:numPr>
      </w:pPr>
      <w:r>
        <w:t xml:space="preserve">June </w:t>
      </w:r>
      <w:r w:rsidR="0025729C" w:rsidRPr="0025729C">
        <w:t xml:space="preserve">– </w:t>
      </w:r>
      <w:r w:rsidR="0025729C">
        <w:t>Planning meeting (</w:t>
      </w:r>
      <w:r w:rsidR="002108C1">
        <w:t>during SBSTA meeting in Bonn 3-14 June 2013</w:t>
      </w:r>
      <w:r w:rsidR="0025729C" w:rsidRPr="0025729C">
        <w:t>)</w:t>
      </w:r>
    </w:p>
    <w:p w:rsidR="00790EB9" w:rsidRDefault="00790EB9" w:rsidP="00790EB9">
      <w:r>
        <w:t>Technical meetings</w:t>
      </w:r>
      <w:r w:rsidR="00A055C8">
        <w:t xml:space="preserve"> (</w:t>
      </w:r>
      <w:r w:rsidR="002108C1">
        <w:t>4</w:t>
      </w:r>
      <w:r w:rsidR="00A055C8">
        <w:t xml:space="preserve"> or </w:t>
      </w:r>
      <w:r w:rsidR="002108C1">
        <w:t>5</w:t>
      </w:r>
      <w:r w:rsidR="00A055C8">
        <w:t>)</w:t>
      </w:r>
      <w:r>
        <w:t xml:space="preserve">: </w:t>
      </w:r>
    </w:p>
    <w:p w:rsidR="002108C1" w:rsidRDefault="002108C1" w:rsidP="00135A00">
      <w:pPr>
        <w:pStyle w:val="ListParagraph"/>
        <w:numPr>
          <w:ilvl w:val="0"/>
          <w:numId w:val="4"/>
        </w:numPr>
      </w:pPr>
      <w:r>
        <w:t>September – first technical workshop (back-to-back with performance based payments workshop organized by Meridian Institute – date and venue to be confirmed)</w:t>
      </w:r>
    </w:p>
    <w:p w:rsidR="00135A00" w:rsidRDefault="00135A00" w:rsidP="00135A00">
      <w:pPr>
        <w:pStyle w:val="ListParagraph"/>
        <w:numPr>
          <w:ilvl w:val="0"/>
          <w:numId w:val="4"/>
        </w:numPr>
      </w:pPr>
      <w:r w:rsidRPr="0025729C">
        <w:t>October – Oslo REDD+ Exchange (a session on Funds, or a parallel event)</w:t>
      </w:r>
      <w:r>
        <w:t xml:space="preserve">. </w:t>
      </w:r>
      <w:r w:rsidR="002108C1">
        <w:t xml:space="preserve">Second </w:t>
      </w:r>
      <w:r>
        <w:t xml:space="preserve">technical workshop </w:t>
      </w:r>
      <w:r>
        <w:t xml:space="preserve">on a </w:t>
      </w:r>
      <w:r>
        <w:t xml:space="preserve">selected </w:t>
      </w:r>
      <w:r>
        <w:t xml:space="preserve">topic </w:t>
      </w:r>
    </w:p>
    <w:p w:rsidR="00CB56A6" w:rsidRDefault="00731029" w:rsidP="00790EB9">
      <w:pPr>
        <w:pStyle w:val="ListParagraph"/>
        <w:numPr>
          <w:ilvl w:val="0"/>
          <w:numId w:val="4"/>
        </w:numPr>
      </w:pPr>
      <w:r>
        <w:t xml:space="preserve">December - </w:t>
      </w:r>
      <w:r w:rsidR="002108C1">
        <w:t>Third</w:t>
      </w:r>
      <w:r>
        <w:t xml:space="preserve"> workshop</w:t>
      </w:r>
    </w:p>
    <w:p w:rsidR="00731029" w:rsidRDefault="00731029" w:rsidP="00790EB9">
      <w:pPr>
        <w:pStyle w:val="ListParagraph"/>
        <w:numPr>
          <w:ilvl w:val="0"/>
          <w:numId w:val="4"/>
        </w:numPr>
      </w:pPr>
      <w:r>
        <w:t>March 2014 – Fourth workshop</w:t>
      </w:r>
    </w:p>
    <w:p w:rsidR="00731029" w:rsidRPr="0025729C" w:rsidRDefault="00731029" w:rsidP="00790EB9">
      <w:pPr>
        <w:pStyle w:val="ListParagraph"/>
        <w:numPr>
          <w:ilvl w:val="0"/>
          <w:numId w:val="4"/>
        </w:numPr>
      </w:pPr>
      <w:r>
        <w:t>June 2014 – Fifth workshop</w:t>
      </w:r>
    </w:p>
    <w:p w:rsidR="000E6EED" w:rsidRPr="002F62E8" w:rsidRDefault="000E6EED" w:rsidP="000A6036">
      <w:pPr>
        <w:rPr>
          <w:b/>
          <w:sz w:val="28"/>
          <w:u w:val="single"/>
        </w:rPr>
      </w:pPr>
      <w:r w:rsidRPr="002F62E8">
        <w:rPr>
          <w:b/>
          <w:sz w:val="28"/>
          <w:u w:val="single"/>
        </w:rPr>
        <w:t>Participants</w:t>
      </w:r>
    </w:p>
    <w:p w:rsidR="000E6EED" w:rsidRDefault="003E6193" w:rsidP="000A6036">
      <w:r>
        <w:t>Targeted countries</w:t>
      </w:r>
      <w:r w:rsidR="000E6EED">
        <w:t>:</w:t>
      </w:r>
    </w:p>
    <w:p w:rsidR="000E6EED" w:rsidRDefault="000E6EED" w:rsidP="00790EB9">
      <w:pPr>
        <w:pStyle w:val="ListParagraph"/>
        <w:numPr>
          <w:ilvl w:val="0"/>
          <w:numId w:val="4"/>
        </w:numPr>
      </w:pPr>
      <w:r>
        <w:t>DRC</w:t>
      </w:r>
    </w:p>
    <w:p w:rsidR="000E6EED" w:rsidRDefault="000E6EED" w:rsidP="00790EB9">
      <w:pPr>
        <w:pStyle w:val="ListParagraph"/>
        <w:numPr>
          <w:ilvl w:val="0"/>
          <w:numId w:val="4"/>
        </w:numPr>
      </w:pPr>
      <w:r>
        <w:t>Ethiopia</w:t>
      </w:r>
    </w:p>
    <w:p w:rsidR="00790EB9" w:rsidRDefault="00790EB9" w:rsidP="00790EB9">
      <w:pPr>
        <w:pStyle w:val="ListParagraph"/>
        <w:numPr>
          <w:ilvl w:val="0"/>
          <w:numId w:val="4"/>
        </w:numPr>
      </w:pPr>
      <w:r>
        <w:t>Vietnam</w:t>
      </w:r>
    </w:p>
    <w:p w:rsidR="002108C1" w:rsidRDefault="002108C1" w:rsidP="00790EB9">
      <w:pPr>
        <w:pStyle w:val="ListParagraph"/>
        <w:numPr>
          <w:ilvl w:val="0"/>
          <w:numId w:val="4"/>
        </w:numPr>
      </w:pPr>
      <w:r>
        <w:lastRenderedPageBreak/>
        <w:t>Colombia</w:t>
      </w:r>
    </w:p>
    <w:p w:rsidR="000E6EED" w:rsidRDefault="000E6EED" w:rsidP="00790EB9">
      <w:pPr>
        <w:pStyle w:val="ListParagraph"/>
        <w:numPr>
          <w:ilvl w:val="0"/>
          <w:numId w:val="4"/>
        </w:numPr>
      </w:pPr>
      <w:r>
        <w:t>Indonesia</w:t>
      </w:r>
    </w:p>
    <w:p w:rsidR="000E6EED" w:rsidRDefault="000E6EED" w:rsidP="000E6EED">
      <w:r>
        <w:t>Others based on interest or experience relevant to the topics identified:</w:t>
      </w:r>
    </w:p>
    <w:p w:rsidR="000E6EED" w:rsidRPr="002108C1" w:rsidRDefault="000E6EED" w:rsidP="00EC36FC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2108C1">
        <w:rPr>
          <w:lang w:val="es-ES"/>
        </w:rPr>
        <w:t>Brazil</w:t>
      </w:r>
      <w:proofErr w:type="spellEnd"/>
      <w:r w:rsidR="003E6193" w:rsidRPr="002108C1">
        <w:rPr>
          <w:lang w:val="es-ES"/>
        </w:rPr>
        <w:t xml:space="preserve"> (FUNBIO, Amazon </w:t>
      </w:r>
      <w:proofErr w:type="spellStart"/>
      <w:r w:rsidR="003E6193" w:rsidRPr="002108C1">
        <w:rPr>
          <w:lang w:val="es-ES"/>
        </w:rPr>
        <w:t>Fund</w:t>
      </w:r>
      <w:proofErr w:type="spellEnd"/>
      <w:r w:rsidR="008122BA" w:rsidRPr="002108C1">
        <w:rPr>
          <w:lang w:val="es-ES"/>
        </w:rPr>
        <w:t xml:space="preserve">, </w:t>
      </w:r>
      <w:proofErr w:type="spellStart"/>
      <w:r w:rsidR="008122BA" w:rsidRPr="002108C1">
        <w:rPr>
          <w:lang w:val="es-ES"/>
        </w:rPr>
        <w:t>Fundação</w:t>
      </w:r>
      <w:proofErr w:type="spellEnd"/>
      <w:r w:rsidR="008122BA" w:rsidRPr="002108C1">
        <w:rPr>
          <w:lang w:val="es-ES"/>
        </w:rPr>
        <w:t xml:space="preserve"> Amazonas </w:t>
      </w:r>
      <w:proofErr w:type="spellStart"/>
      <w:r w:rsidR="008122BA" w:rsidRPr="002108C1">
        <w:rPr>
          <w:lang w:val="es-ES"/>
        </w:rPr>
        <w:t>Sustentável</w:t>
      </w:r>
      <w:proofErr w:type="spellEnd"/>
      <w:r w:rsidR="003E6193" w:rsidRPr="002108C1">
        <w:rPr>
          <w:lang w:val="es-ES"/>
        </w:rPr>
        <w:t>)</w:t>
      </w:r>
    </w:p>
    <w:p w:rsidR="000E6EED" w:rsidRDefault="000E6EED" w:rsidP="00EC36FC">
      <w:pPr>
        <w:pStyle w:val="ListParagraph"/>
        <w:numPr>
          <w:ilvl w:val="0"/>
          <w:numId w:val="4"/>
        </w:numPr>
      </w:pPr>
      <w:r>
        <w:t>Costa Rica</w:t>
      </w:r>
      <w:r w:rsidR="003E6193">
        <w:t xml:space="preserve"> (FONAFIFO)</w:t>
      </w:r>
    </w:p>
    <w:p w:rsidR="002D318C" w:rsidRDefault="002D318C" w:rsidP="00EC36FC">
      <w:pPr>
        <w:pStyle w:val="ListParagraph"/>
        <w:numPr>
          <w:ilvl w:val="0"/>
          <w:numId w:val="4"/>
        </w:numPr>
      </w:pPr>
      <w:r>
        <w:t>Mexico</w:t>
      </w:r>
      <w:r w:rsidR="003E6193">
        <w:t xml:space="preserve"> (National Forest Fund / CONAFOR)</w:t>
      </w:r>
    </w:p>
    <w:p w:rsidR="000E6EED" w:rsidRDefault="000E6EED" w:rsidP="00EC36FC">
      <w:pPr>
        <w:pStyle w:val="ListParagraph"/>
        <w:numPr>
          <w:ilvl w:val="0"/>
          <w:numId w:val="4"/>
        </w:numPr>
      </w:pPr>
      <w:r>
        <w:t xml:space="preserve">Donor community (Norway, </w:t>
      </w:r>
      <w:proofErr w:type="spellStart"/>
      <w:r>
        <w:t>KfW</w:t>
      </w:r>
      <w:proofErr w:type="spellEnd"/>
      <w:r>
        <w:t>, DFID…)</w:t>
      </w:r>
    </w:p>
    <w:p w:rsidR="000B73A7" w:rsidRPr="000E6EED" w:rsidRDefault="000B73A7" w:rsidP="00EC36FC">
      <w:pPr>
        <w:pStyle w:val="ListParagraph"/>
        <w:numPr>
          <w:ilvl w:val="0"/>
          <w:numId w:val="4"/>
        </w:numPr>
      </w:pPr>
      <w:r>
        <w:t xml:space="preserve">Consultants </w:t>
      </w:r>
    </w:p>
    <w:p w:rsidR="00671BA8" w:rsidRPr="002F62E8" w:rsidRDefault="00671BA8" w:rsidP="000A6036">
      <w:pPr>
        <w:rPr>
          <w:b/>
          <w:sz w:val="28"/>
          <w:u w:val="single"/>
        </w:rPr>
      </w:pPr>
      <w:r w:rsidRPr="002F62E8">
        <w:rPr>
          <w:b/>
          <w:sz w:val="28"/>
          <w:u w:val="single"/>
        </w:rPr>
        <w:t>Outcomes</w:t>
      </w:r>
    </w:p>
    <w:p w:rsidR="00C250BE" w:rsidRDefault="00C250BE" w:rsidP="000A6036">
      <w:r>
        <w:t>Fund development process in DRC</w:t>
      </w:r>
      <w:r w:rsidR="002D318C">
        <w:t xml:space="preserve">, </w:t>
      </w:r>
      <w:r>
        <w:t>Ethiopia</w:t>
      </w:r>
      <w:r w:rsidR="00EC36FC">
        <w:t>, Vietnam</w:t>
      </w:r>
      <w:r w:rsidR="002108C1">
        <w:t>, Colombia</w:t>
      </w:r>
      <w:r>
        <w:t xml:space="preserve"> </w:t>
      </w:r>
      <w:r w:rsidR="002D318C">
        <w:t xml:space="preserve">and Indonesia </w:t>
      </w:r>
      <w:r>
        <w:t>is informed and enriched by discussions a</w:t>
      </w:r>
      <w:bookmarkStart w:id="0" w:name="_GoBack"/>
      <w:bookmarkEnd w:id="0"/>
      <w:r>
        <w:t xml:space="preserve">nd expertise of participants. </w:t>
      </w:r>
    </w:p>
    <w:p w:rsidR="002108C1" w:rsidRPr="002108C1" w:rsidRDefault="002108C1" w:rsidP="000A6036">
      <w:pPr>
        <w:rPr>
          <w:b/>
          <w:sz w:val="28"/>
          <w:u w:val="single"/>
        </w:rPr>
      </w:pPr>
      <w:r w:rsidRPr="002108C1">
        <w:rPr>
          <w:b/>
          <w:sz w:val="28"/>
          <w:u w:val="single"/>
        </w:rPr>
        <w:t>Budget</w:t>
      </w:r>
    </w:p>
    <w:p w:rsidR="002108C1" w:rsidRPr="00C250BE" w:rsidRDefault="00CD3C6D" w:rsidP="000A6036">
      <w:r>
        <w:t>See attached excel sheet</w:t>
      </w:r>
    </w:p>
    <w:sectPr w:rsidR="002108C1" w:rsidRPr="00C250BE" w:rsidSect="0000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3"/>
    <w:multiLevelType w:val="hybridMultilevel"/>
    <w:tmpl w:val="8DCE988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0BE"/>
    <w:multiLevelType w:val="hybridMultilevel"/>
    <w:tmpl w:val="4FF009C8"/>
    <w:lvl w:ilvl="0" w:tplc="D982DE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980"/>
    <w:multiLevelType w:val="hybridMultilevel"/>
    <w:tmpl w:val="01FC7E48"/>
    <w:lvl w:ilvl="0" w:tplc="2C366D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5333"/>
    <w:multiLevelType w:val="hybridMultilevel"/>
    <w:tmpl w:val="BC0A8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6036"/>
    <w:rsid w:val="0000224C"/>
    <w:rsid w:val="000A6036"/>
    <w:rsid w:val="000B73A7"/>
    <w:rsid w:val="000E6EED"/>
    <w:rsid w:val="00105756"/>
    <w:rsid w:val="00135A00"/>
    <w:rsid w:val="001D0CBA"/>
    <w:rsid w:val="002108C1"/>
    <w:rsid w:val="00255B52"/>
    <w:rsid w:val="0025729C"/>
    <w:rsid w:val="002D318C"/>
    <w:rsid w:val="002F116B"/>
    <w:rsid w:val="002F62E8"/>
    <w:rsid w:val="003602D2"/>
    <w:rsid w:val="003C401F"/>
    <w:rsid w:val="003E6193"/>
    <w:rsid w:val="004B33DA"/>
    <w:rsid w:val="004C642C"/>
    <w:rsid w:val="00505EBF"/>
    <w:rsid w:val="00643694"/>
    <w:rsid w:val="00671BA8"/>
    <w:rsid w:val="006B318A"/>
    <w:rsid w:val="00731029"/>
    <w:rsid w:val="00790EB9"/>
    <w:rsid w:val="008122BA"/>
    <w:rsid w:val="00A055C8"/>
    <w:rsid w:val="00A8538C"/>
    <w:rsid w:val="00B115D3"/>
    <w:rsid w:val="00C250BE"/>
    <w:rsid w:val="00C73186"/>
    <w:rsid w:val="00CB56A6"/>
    <w:rsid w:val="00CD3C6D"/>
    <w:rsid w:val="00D85E42"/>
    <w:rsid w:val="00DD6351"/>
    <w:rsid w:val="00EC36FC"/>
    <w:rsid w:val="00FC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1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B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1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B36B09-DB2F-4D64-971C-C18D63AA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</dc:creator>
  <cp:lastModifiedBy>Pesti</cp:lastModifiedBy>
  <cp:revision>3</cp:revision>
  <dcterms:created xsi:type="dcterms:W3CDTF">2013-04-09T13:08:00Z</dcterms:created>
  <dcterms:modified xsi:type="dcterms:W3CDTF">2013-04-10T13:54:00Z</dcterms:modified>
</cp:coreProperties>
</file>