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85" w:rsidRDefault="00FC1ED4" w:rsidP="00AA205C">
      <w:pPr>
        <w:pStyle w:val="Heading1"/>
        <w:numPr>
          <w:ilvl w:val="0"/>
          <w:numId w:val="0"/>
        </w:numPr>
      </w:pPr>
      <w:bookmarkStart w:id="0" w:name="_Toc201643067"/>
      <w:bookmarkStart w:id="1" w:name="_Toc329700875"/>
      <w:r>
        <w:t xml:space="preserve">UN-REDD </w:t>
      </w:r>
      <w:r w:rsidR="00BC47E5">
        <w:t>framework</w:t>
      </w:r>
      <w:r>
        <w:t xml:space="preserve"> </w:t>
      </w:r>
      <w:r w:rsidR="007A1AEC">
        <w:t>for</w:t>
      </w:r>
      <w:r>
        <w:t xml:space="preserve"> supporting </w:t>
      </w:r>
      <w:r w:rsidR="00A94698">
        <w:t xml:space="preserve">the development of </w:t>
      </w:r>
      <w:r w:rsidR="007A1AEC">
        <w:t>country</w:t>
      </w:r>
      <w:r w:rsidR="00BC47E5">
        <w:t xml:space="preserve"> approaches to safeguards</w:t>
      </w:r>
    </w:p>
    <w:p w:rsidR="0034020B" w:rsidRDefault="0034020B">
      <w:pPr>
        <w:rPr>
          <w:i/>
        </w:rPr>
      </w:pPr>
    </w:p>
    <w:p w:rsidR="00A4372F" w:rsidRDefault="003B1D1C" w:rsidP="00A41EB6">
      <w:pPr>
        <w:rPr>
          <w:b/>
          <w:sz w:val="28"/>
          <w:szCs w:val="28"/>
        </w:rPr>
      </w:pPr>
      <w:r w:rsidRPr="003B1D1C">
        <w:rPr>
          <w:b/>
          <w:i/>
        </w:rPr>
        <w:t>Conceptual framework developed by the Interagency Safeguards Group</w:t>
      </w:r>
    </w:p>
    <w:p w:rsidR="00FC1ED4" w:rsidRDefault="00F30A21" w:rsidP="00FC1ED4">
      <w:pPr>
        <w:pStyle w:val="Heading1"/>
      </w:pPr>
      <w:r>
        <w:t>Objective</w:t>
      </w:r>
    </w:p>
    <w:p w:rsidR="0034020B" w:rsidRDefault="0034020B"/>
    <w:p w:rsidR="0034020B" w:rsidRDefault="00A4372F">
      <w:r>
        <w:t xml:space="preserve">This document provides </w:t>
      </w:r>
      <w:r w:rsidR="008B28E0">
        <w:t xml:space="preserve">a description of </w:t>
      </w:r>
      <w:r>
        <w:t xml:space="preserve">UN-REDD’s </w:t>
      </w:r>
      <w:r w:rsidR="00AA205C">
        <w:t xml:space="preserve">conceptual </w:t>
      </w:r>
      <w:r w:rsidR="00BC47E5">
        <w:t xml:space="preserve">framework </w:t>
      </w:r>
      <w:r w:rsidR="007A1AEC">
        <w:t>for</w:t>
      </w:r>
      <w:r>
        <w:t xml:space="preserve"> supporting countries on building </w:t>
      </w:r>
      <w:r w:rsidR="007A1AEC">
        <w:t>country</w:t>
      </w:r>
      <w:r>
        <w:t xml:space="preserve"> approaches to safeguards.</w:t>
      </w:r>
      <w:r w:rsidR="008B28E0">
        <w:t xml:space="preserve">  It is</w:t>
      </w:r>
      <w:r w:rsidR="00FC1ED4">
        <w:t xml:space="preserve"> </w:t>
      </w:r>
      <w:r w:rsidR="008B28E0">
        <w:t xml:space="preserve">intended as a framework upon which </w:t>
      </w:r>
      <w:r w:rsidR="00FC1ED4">
        <w:t>to</w:t>
      </w:r>
      <w:r w:rsidR="00706BD1">
        <w:t>:</w:t>
      </w:r>
      <w:r w:rsidR="00FC1ED4">
        <w:t xml:space="preserve"> </w:t>
      </w:r>
    </w:p>
    <w:p w:rsidR="0034020B" w:rsidRDefault="0034020B"/>
    <w:p w:rsidR="0034020B" w:rsidRDefault="00340A82">
      <w:pPr>
        <w:pStyle w:val="ListParagraph"/>
        <w:numPr>
          <w:ilvl w:val="0"/>
          <w:numId w:val="26"/>
        </w:numPr>
      </w:pPr>
      <w:r>
        <w:t>Improve the quality</w:t>
      </w:r>
      <w:r w:rsidR="007A1AEC">
        <w:t xml:space="preserve"> </w:t>
      </w:r>
      <w:r w:rsidR="00FC1ED4">
        <w:t xml:space="preserve"> of </w:t>
      </w:r>
      <w:r w:rsidR="00843DD7">
        <w:t xml:space="preserve">UN-REDD </w:t>
      </w:r>
      <w:r w:rsidR="00FC1ED4">
        <w:t xml:space="preserve">support </w:t>
      </w:r>
      <w:r w:rsidRPr="00D256D5">
        <w:t>for</w:t>
      </w:r>
      <w:r w:rsidR="00D256D5">
        <w:t xml:space="preserve"> </w:t>
      </w:r>
      <w:r>
        <w:t xml:space="preserve">REDD+ implementation in </w:t>
      </w:r>
      <w:r w:rsidR="00FC1ED4">
        <w:t>countries</w:t>
      </w:r>
      <w:r w:rsidR="00706BD1">
        <w:t xml:space="preserve"> (e.g. in National </w:t>
      </w:r>
      <w:proofErr w:type="spellStart"/>
      <w:r w:rsidR="00706BD1">
        <w:t>Programmes</w:t>
      </w:r>
      <w:proofErr w:type="spellEnd"/>
      <w:r w:rsidR="00706BD1">
        <w:t xml:space="preserve"> or Targeted Support)</w:t>
      </w:r>
    </w:p>
    <w:p w:rsidR="0034020B" w:rsidRDefault="00AA205C">
      <w:pPr>
        <w:pStyle w:val="ListParagraph"/>
        <w:numPr>
          <w:ilvl w:val="0"/>
          <w:numId w:val="26"/>
        </w:numPr>
      </w:pPr>
      <w:r>
        <w:t>G</w:t>
      </w:r>
      <w:r w:rsidR="00706BD1">
        <w:t>uide the development of UN-REDD</w:t>
      </w:r>
      <w:r w:rsidR="00FC1ED4">
        <w:t xml:space="preserve"> </w:t>
      </w:r>
      <w:r w:rsidR="008B28E0">
        <w:t>Programme knowledge products</w:t>
      </w:r>
      <w:r>
        <w:t xml:space="preserve"> related to safeguards</w:t>
      </w:r>
      <w:r w:rsidR="00AC26E3">
        <w:t xml:space="preserve"> to ensure these are consistent </w:t>
      </w:r>
    </w:p>
    <w:p w:rsidR="0034020B" w:rsidRDefault="00AA205C">
      <w:pPr>
        <w:pStyle w:val="ListParagraph"/>
        <w:numPr>
          <w:ilvl w:val="0"/>
          <w:numId w:val="26"/>
        </w:numPr>
      </w:pPr>
      <w:r>
        <w:t>E</w:t>
      </w:r>
      <w:r w:rsidR="00FC1ED4">
        <w:t>nhance interagency coordination</w:t>
      </w:r>
    </w:p>
    <w:p w:rsidR="00F87D85" w:rsidRDefault="008A22B9" w:rsidP="00E26EDB">
      <w:pPr>
        <w:pStyle w:val="Heading1"/>
      </w:pPr>
      <w:r w:rsidRPr="00954E52">
        <w:t xml:space="preserve">Conceptual Framework </w:t>
      </w:r>
      <w:r w:rsidR="00954E52">
        <w:t xml:space="preserve">for </w:t>
      </w:r>
      <w:r w:rsidR="00706BD1">
        <w:t>s</w:t>
      </w:r>
      <w:r w:rsidR="00954E52">
        <w:t xml:space="preserve">upport to countries on </w:t>
      </w:r>
      <w:r w:rsidR="004966F0">
        <w:t>country</w:t>
      </w:r>
      <w:r w:rsidR="00954E52">
        <w:t xml:space="preserve"> approaches to safeguards</w:t>
      </w:r>
    </w:p>
    <w:p w:rsidR="00F87D85" w:rsidRDefault="00F87D85"/>
    <w:p w:rsidR="00F87D85" w:rsidRDefault="00A4372F">
      <w:r>
        <w:t xml:space="preserve">The framework proposed by UN-REDD </w:t>
      </w:r>
      <w:r w:rsidR="00843DD7">
        <w:t>builds</w:t>
      </w:r>
      <w:r>
        <w:t xml:space="preserve"> on what is in the UNFCCC Agreements </w:t>
      </w:r>
      <w:r w:rsidR="00C929E3">
        <w:t xml:space="preserve">and </w:t>
      </w:r>
      <w:r w:rsidR="006D1B06">
        <w:t xml:space="preserve">is intended </w:t>
      </w:r>
      <w:r>
        <w:t xml:space="preserve">to </w:t>
      </w:r>
      <w:r w:rsidR="006D1B06">
        <w:t xml:space="preserve">provide </w:t>
      </w:r>
      <w:r>
        <w:t xml:space="preserve">help </w:t>
      </w:r>
      <w:r w:rsidR="006D1B06">
        <w:t xml:space="preserve">to </w:t>
      </w:r>
      <w:r>
        <w:t xml:space="preserve">countries </w:t>
      </w:r>
      <w:r w:rsidR="006D1B06">
        <w:t>in determining how</w:t>
      </w:r>
      <w:r>
        <w:t xml:space="preserve"> to respond to </w:t>
      </w:r>
      <w:r w:rsidR="006D1B06">
        <w:t>these agreements</w:t>
      </w:r>
      <w:r>
        <w:t xml:space="preserve">. The framework first helps to define what a </w:t>
      </w:r>
      <w:r w:rsidR="004966F0">
        <w:t>country</w:t>
      </w:r>
      <w:r>
        <w:t xml:space="preserve"> approach to REDD+ safeguards might look like (i.e. the main components) which </w:t>
      </w:r>
      <w:r w:rsidR="00DE68DF">
        <w:t xml:space="preserve">we think can </w:t>
      </w:r>
      <w:r>
        <w:t>help countries to</w:t>
      </w:r>
      <w:r w:rsidR="00DE68DF">
        <w:t xml:space="preserve"> better understand the outcomes they might be aiming for</w:t>
      </w:r>
      <w:r>
        <w:t xml:space="preserve">. The second part of the framework helps to define the main considerations and steps in developing a </w:t>
      </w:r>
      <w:r w:rsidR="004966F0">
        <w:t>country</w:t>
      </w:r>
      <w:r>
        <w:t xml:space="preserve"> approach to safeguards.</w:t>
      </w:r>
      <w:r w:rsidR="00A03EBC">
        <w:t xml:space="preserve"> At the end, </w:t>
      </w:r>
      <w:r w:rsidR="008B28E0">
        <w:t xml:space="preserve">we </w:t>
      </w:r>
      <w:r w:rsidR="00C92B74">
        <w:t>also indicate the components and steps where particular</w:t>
      </w:r>
      <w:r w:rsidR="008B28E0">
        <w:t xml:space="preserve"> UN-REDD tools </w:t>
      </w:r>
      <w:r w:rsidR="00A03EBC">
        <w:t>may be considered</w:t>
      </w:r>
      <w:r w:rsidR="00C92B74">
        <w:t xml:space="preserve"> most relevant</w:t>
      </w:r>
      <w:r w:rsidR="00127443">
        <w:t xml:space="preserve"> and map to the framework.</w:t>
      </w:r>
      <w:r w:rsidR="00C92B74">
        <w:t xml:space="preserve"> </w:t>
      </w:r>
    </w:p>
    <w:p w:rsidR="00F87D85" w:rsidRDefault="00A41EB6">
      <w:pPr>
        <w:pStyle w:val="Heading2"/>
      </w:pPr>
      <w:r w:rsidRPr="00804C3C">
        <w:t xml:space="preserve">Components of a </w:t>
      </w:r>
      <w:bookmarkEnd w:id="0"/>
      <w:r w:rsidR="004966F0">
        <w:t>country</w:t>
      </w:r>
      <w:r>
        <w:t xml:space="preserve"> approach to safeguards</w:t>
      </w:r>
      <w:bookmarkEnd w:id="1"/>
    </w:p>
    <w:p w:rsidR="00C2657E" w:rsidRPr="00C2657E" w:rsidRDefault="00C2657E" w:rsidP="00C2657E"/>
    <w:p w:rsidR="00CF00D5" w:rsidRPr="00CF00D5" w:rsidRDefault="00CF00D5" w:rsidP="00CF00D5">
      <w:pPr>
        <w:rPr>
          <w:lang w:val="en-GB"/>
        </w:rPr>
      </w:pPr>
      <w:r>
        <w:t>This section describe</w:t>
      </w:r>
      <w:r w:rsidR="008B28E0">
        <w:t>s</w:t>
      </w:r>
      <w:r>
        <w:t xml:space="preserve"> the main component</w:t>
      </w:r>
      <w:r w:rsidR="008B28E0">
        <w:t>s</w:t>
      </w:r>
      <w:r>
        <w:t xml:space="preserve"> of a </w:t>
      </w:r>
      <w:r w:rsidR="004966F0">
        <w:t>country</w:t>
      </w:r>
      <w:r>
        <w:t xml:space="preserve"> approach to safeguards. </w:t>
      </w:r>
      <w:r w:rsidRPr="00CF00D5">
        <w:rPr>
          <w:lang w:val="en-GB"/>
        </w:rPr>
        <w:t xml:space="preserve">This is primarily based on the UNFCCC requirements for the ‘functions’ </w:t>
      </w:r>
      <w:r w:rsidR="00DE68DF">
        <w:rPr>
          <w:lang w:val="en-GB"/>
        </w:rPr>
        <w:t xml:space="preserve">that </w:t>
      </w:r>
      <w:r w:rsidRPr="00CF00D5">
        <w:rPr>
          <w:lang w:val="en-GB"/>
        </w:rPr>
        <w:t xml:space="preserve">a country’s approach needs to fulfil.  Though listed as discrete </w:t>
      </w:r>
      <w:r w:rsidR="00DE68DF">
        <w:rPr>
          <w:lang w:val="en-GB"/>
        </w:rPr>
        <w:t>components</w:t>
      </w:r>
      <w:r w:rsidRPr="00CF00D5">
        <w:rPr>
          <w:lang w:val="en-GB"/>
        </w:rPr>
        <w:t>, we see these as closely inter-linked.</w:t>
      </w:r>
    </w:p>
    <w:p w:rsidR="00CF00D5" w:rsidRDefault="00CF00D5" w:rsidP="00C2657E"/>
    <w:p w:rsidR="003C7D5C" w:rsidRDefault="00A41EB6" w:rsidP="00CF00D5">
      <w:r w:rsidRPr="00C2657E">
        <w:t xml:space="preserve">A </w:t>
      </w:r>
      <w:r w:rsidR="00C2657E" w:rsidRPr="00C2657E">
        <w:t>country</w:t>
      </w:r>
      <w:r w:rsidRPr="00C2657E">
        <w:t xml:space="preserve"> approach to safeguards can be thought of as having two core components that ensure social and environmental risks from REDD+ are reduced and </w:t>
      </w:r>
      <w:r w:rsidR="00DE68DF">
        <w:t xml:space="preserve">that </w:t>
      </w:r>
      <w:r w:rsidRPr="00C2657E">
        <w:t>benefits are enhanced</w:t>
      </w:r>
      <w:r w:rsidR="003C7D5C">
        <w:t>:</w:t>
      </w:r>
    </w:p>
    <w:p w:rsidR="00C2657E" w:rsidRDefault="00C2657E" w:rsidP="00CF00D5"/>
    <w:p w:rsidR="00F87D85" w:rsidRPr="00FD38DD" w:rsidRDefault="00C929E3">
      <w:pPr>
        <w:pStyle w:val="ListParagraph"/>
        <w:numPr>
          <w:ilvl w:val="0"/>
          <w:numId w:val="14"/>
        </w:numPr>
        <w:rPr>
          <w:lang w:val="en-GB"/>
        </w:rPr>
      </w:pPr>
      <w:r>
        <w:rPr>
          <w:lang w:val="en-GB"/>
        </w:rPr>
        <w:t>Addressing and respecting safeguards through</w:t>
      </w:r>
      <w:r w:rsidR="006D1B06">
        <w:rPr>
          <w:lang w:val="en-GB"/>
        </w:rPr>
        <w:t xml:space="preserve"> the implementation of relevant p</w:t>
      </w:r>
      <w:r w:rsidR="00C2657E" w:rsidRPr="00CF00D5">
        <w:rPr>
          <w:lang w:val="en-GB"/>
        </w:rPr>
        <w:t>olicies, laws and regulations</w:t>
      </w:r>
      <w:r w:rsidR="004E13B9" w:rsidRPr="00CF00D5">
        <w:rPr>
          <w:lang w:val="en-GB"/>
        </w:rPr>
        <w:t xml:space="preserve"> (PLRs)</w:t>
      </w:r>
      <w:r w:rsidR="003C7D5C">
        <w:rPr>
          <w:lang w:val="en-GB"/>
        </w:rPr>
        <w:t xml:space="preserve">: </w:t>
      </w:r>
      <w:r w:rsidR="00CE7403">
        <w:t>These</w:t>
      </w:r>
      <w:r w:rsidR="004E13B9">
        <w:t xml:space="preserve"> PLRs establish the ‘content’ of the safeguards – in other words, what needs to be adhered to in the implementation of REDD+ activities.</w:t>
      </w:r>
    </w:p>
    <w:p w:rsidR="00FD38DD" w:rsidRDefault="00FD38DD" w:rsidP="00FD38DD">
      <w:pPr>
        <w:pStyle w:val="ListParagraph"/>
        <w:rPr>
          <w:lang w:val="en-GB"/>
        </w:rPr>
      </w:pPr>
    </w:p>
    <w:p w:rsidR="00F87D85" w:rsidRPr="00557AFE" w:rsidRDefault="00C2657E">
      <w:pPr>
        <w:pStyle w:val="ListParagraph"/>
        <w:numPr>
          <w:ilvl w:val="0"/>
          <w:numId w:val="14"/>
        </w:numPr>
        <w:rPr>
          <w:lang w:val="en-GB"/>
        </w:rPr>
      </w:pPr>
      <w:r w:rsidRPr="00C2657E">
        <w:rPr>
          <w:lang w:val="en-GB"/>
        </w:rPr>
        <w:lastRenderedPageBreak/>
        <w:t>Safeguard Information System (SIS)</w:t>
      </w:r>
      <w:r w:rsidR="003C7D5C">
        <w:rPr>
          <w:lang w:val="en-GB"/>
        </w:rPr>
        <w:t xml:space="preserve">: </w:t>
      </w:r>
      <w:r w:rsidR="004E13B9" w:rsidRPr="003C7D5C">
        <w:t>A safeguard information system (SIS) is defined here as the</w:t>
      </w:r>
      <w:r w:rsidR="009B0AF2" w:rsidRPr="009B0AF2">
        <w:rPr>
          <w:b/>
        </w:rPr>
        <w:t xml:space="preserve"> </w:t>
      </w:r>
      <w:r w:rsidR="004E13B9" w:rsidRPr="000E30BF">
        <w:t xml:space="preserve">collection and </w:t>
      </w:r>
      <w:r w:rsidR="00C929E3">
        <w:t>provision</w:t>
      </w:r>
      <w:r w:rsidR="00C929E3" w:rsidRPr="000E30BF">
        <w:t xml:space="preserve"> </w:t>
      </w:r>
      <w:r w:rsidR="004E13B9" w:rsidRPr="000E30BF">
        <w:t>of information on how REDD+ safeguards are being addressed and respected throughout implementation</w:t>
      </w:r>
      <w:r w:rsidR="00CE7403">
        <w:t xml:space="preserve"> of REDD+ activities</w:t>
      </w:r>
      <w:r w:rsidR="00DE68DF">
        <w:t>.</w:t>
      </w:r>
    </w:p>
    <w:p w:rsidR="0034020B" w:rsidRDefault="0034020B">
      <w:pPr>
        <w:ind w:left="720"/>
        <w:rPr>
          <w:lang w:val="en-GB"/>
        </w:rPr>
      </w:pPr>
    </w:p>
    <w:p w:rsidR="003C7D5C" w:rsidRDefault="005F3230" w:rsidP="00C2657E">
      <w:r>
        <w:t>Along with these two core components and supporting them are the v</w:t>
      </w:r>
      <w:r w:rsidR="00557AFE">
        <w:t xml:space="preserve">arious formal and informal institutions and </w:t>
      </w:r>
      <w:r w:rsidR="007A1AEC">
        <w:t xml:space="preserve">processes and </w:t>
      </w:r>
      <w:r w:rsidR="00557AFE">
        <w:t xml:space="preserve">procedures </w:t>
      </w:r>
      <w:proofErr w:type="spellStart"/>
      <w:r w:rsidR="007A1AEC">
        <w:t>needed</w:t>
      </w:r>
      <w:r w:rsidR="00557AFE">
        <w:t>in</w:t>
      </w:r>
      <w:proofErr w:type="spellEnd"/>
      <w:r w:rsidR="00557AFE">
        <w:t xml:space="preserve"> order to design and implement </w:t>
      </w:r>
      <w:proofErr w:type="spellStart"/>
      <w:r>
        <w:t>effective</w:t>
      </w:r>
      <w:r w:rsidR="00DE68DF">
        <w:t>approach</w:t>
      </w:r>
      <w:r>
        <w:t>es</w:t>
      </w:r>
      <w:proofErr w:type="spellEnd"/>
      <w:r w:rsidR="00DE68DF">
        <w:t xml:space="preserve"> to safeguards</w:t>
      </w:r>
      <w:r w:rsidR="00557AFE">
        <w:t xml:space="preserve">. Institutions, for example, will play a role in ensuring the fair and effective design of the REDD+ safeguards </w:t>
      </w:r>
      <w:r w:rsidR="007A1AEC">
        <w:t>approach</w:t>
      </w:r>
      <w:r w:rsidR="00557AFE">
        <w:t>, the implementation of PLRs, and the operation of the SIS. Processes and procedures include aspects that may not be captured in formal PLRs, such as consultation processes, strategic assessments and information dissemination and communication.</w:t>
      </w:r>
      <w:r>
        <w:t xml:space="preserve">  This also will include, for example, data collection and analysis that may be needed to address and respect the safeguards (e.g., defining and mapping the natural forests).</w:t>
      </w:r>
      <w:r w:rsidR="00557AFE">
        <w:t xml:space="preserve">  A</w:t>
      </w:r>
      <w:r w:rsidR="000D08B3">
        <w:t>nother example of a</w:t>
      </w:r>
      <w:r w:rsidR="00557AFE">
        <w:t xml:space="preserve"> process that may be </w:t>
      </w:r>
      <w:r w:rsidR="00557AFE" w:rsidRPr="000510D6">
        <w:rPr>
          <w:rFonts w:cstheme="minorHAnsi"/>
          <w:lang w:val="en-GB"/>
        </w:rPr>
        <w:t>a potentially integral component of national approaches to safeguards</w:t>
      </w:r>
      <w:r w:rsidR="00557AFE">
        <w:rPr>
          <w:rFonts w:cstheme="minorHAnsi"/>
          <w:lang w:val="en-GB"/>
        </w:rPr>
        <w:t xml:space="preserve"> is a national-level grievance mechanism.</w:t>
      </w:r>
    </w:p>
    <w:p w:rsidR="00A26A4F" w:rsidRDefault="00A26A4F" w:rsidP="00C2657E"/>
    <w:p w:rsidR="00A26A4F" w:rsidRDefault="00C321DF" w:rsidP="00C2657E">
      <w:r w:rsidRPr="00C321DF">
        <w:rPr>
          <w:noProof/>
          <w:lang w:val="fr-CH" w:eastAsia="fr-CH"/>
        </w:rPr>
        <w:pict>
          <v:shapetype id="_x0000_t202" coordsize="21600,21600" o:spt="202" path="m,l,21600r21600,l21600,xe">
            <v:stroke joinstyle="miter"/>
            <v:path gradientshapeok="t" o:connecttype="rect"/>
          </v:shapetype>
          <v:shape id="_x0000_s1026" type="#_x0000_t202" style="position:absolute;margin-left:24.6pt;margin-top:33.35pt;width:158.15pt;height:106.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" fillcolor="#c6d9f1 [671]">
            <v:path arrowok="t"/>
            <v:textbox>
              <w:txbxContent>
                <w:p w:rsidR="00DE68DF" w:rsidRPr="00441A81" w:rsidRDefault="00DE68DF" w:rsidP="00A26A4F">
                  <w:pPr>
                    <w:contextualSpacing/>
                    <w:rPr>
                      <w:rFonts w:cstheme="minorHAnsi"/>
                    </w:rPr>
                  </w:pPr>
                  <w:r w:rsidRPr="00441A81">
                    <w:rPr>
                      <w:rFonts w:cstheme="minorHAnsi"/>
                      <w:bCs/>
                    </w:rPr>
                    <w:t>1. Identification/development of relevant safeguards</w:t>
                  </w:r>
                  <w:r>
                    <w:rPr>
                      <w:rFonts w:cstheme="minorHAnsi"/>
                      <w:bCs/>
                    </w:rPr>
                    <w:t xml:space="preserve"> to be addressed and respected:</w:t>
                  </w:r>
                  <w:r w:rsidRPr="00441A81">
                    <w:rPr>
                      <w:rFonts w:cstheme="minorHAnsi"/>
                      <w:bCs/>
                    </w:rPr>
                    <w:t xml:space="preserve"> </w:t>
                  </w:r>
                  <w:r>
                    <w:rPr>
                      <w:rFonts w:cstheme="minorHAnsi"/>
                      <w:bCs/>
                    </w:rPr>
                    <w:t xml:space="preserve">Policies, laws and regulations, either existing or those created for REDD+ </w:t>
                  </w:r>
                </w:p>
                <w:p w:rsidR="00DE68DF" w:rsidRPr="00441A81" w:rsidRDefault="00DE68DF" w:rsidP="00A26A4F"/>
              </w:txbxContent>
            </v:textbox>
          </v:shape>
        </w:pict>
      </w:r>
      <w:r w:rsidRPr="00C321DF">
        <w:rPr>
          <w:noProof/>
          <w:lang w:val="fr-CH" w:eastAsia="fr-CH"/>
        </w:rPr>
        <w:pict>
          <v:shape id="Text Box 6" o:spid="_x0000_s1027" type="#_x0000_t202" style="position:absolute;margin-left:266.35pt;margin-top:33.35pt;width:158.35pt;height:106.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" fillcolor="#c6d9f1" strokecolor="black [3213]">
            <v:path arrowok="t"/>
            <v:textbox>
              <w:txbxContent>
                <w:p w:rsidR="00DE68DF" w:rsidRDefault="00DE68DF" w:rsidP="00A26A4F">
                  <w:r>
                    <w:rPr>
                      <w:rFonts w:cstheme="minorHAnsi"/>
                      <w:bCs/>
                    </w:rPr>
                    <w:t xml:space="preserve">2. </w:t>
                  </w:r>
                  <w:r w:rsidRPr="00F86717">
                    <w:rPr>
                      <w:rFonts w:cstheme="minorHAnsi"/>
                      <w:bCs/>
                    </w:rPr>
                    <w:t>Safeguard Information System (SIS)</w:t>
                  </w:r>
                  <w:r>
                    <w:rPr>
                      <w:rFonts w:cstheme="minorHAnsi"/>
                      <w:bCs/>
                    </w:rPr>
                    <w:t>: Existing or new indicators</w:t>
                  </w:r>
                  <w:r w:rsidR="00542D82">
                    <w:rPr>
                      <w:rFonts w:cstheme="minorHAnsi"/>
                      <w:bCs/>
                    </w:rPr>
                    <w:t xml:space="preserve"> and</w:t>
                  </w:r>
                  <w:r w:rsidR="00A94698">
                    <w:rPr>
                      <w:rFonts w:cstheme="minorHAnsi"/>
                      <w:bCs/>
                    </w:rPr>
                    <w:t xml:space="preserve"> </w:t>
                  </w:r>
                  <w:r>
                    <w:rPr>
                      <w:rFonts w:cstheme="minorHAnsi"/>
                      <w:bCs/>
                    </w:rPr>
                    <w:t>methodologies for collecting information, and framework for provision of information</w:t>
                  </w:r>
                </w:p>
              </w:txbxContent>
            </v:textbox>
          </v:shape>
        </w:pict>
      </w:r>
      <w:r w:rsidRPr="00C321DF">
        <w:rPr>
          <w:noProof/>
          <w:lang w:val="fr-CH" w:eastAsia="fr-CH"/>
        </w:rPr>
        <w:pict>
          <v:shape id="Text Box 13" o:spid="_x0000_s1028" type="#_x0000_t202" style="position:absolute;margin-left:161pt;margin-top:2in;width:150.2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FxhgIAABc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" stroked="f">
            <v:textbox>
              <w:txbxContent>
                <w:p w:rsidR="00DE68DF" w:rsidRDefault="00DE68DF">
                  <w:r>
                    <w:t xml:space="preserve">Processes and Procedures </w:t>
                  </w:r>
                </w:p>
              </w:txbxContent>
            </v:textbox>
          </v:shape>
        </w:pict>
      </w:r>
      <w:r w:rsidRPr="00C321DF">
        <w:rPr>
          <w:rFonts w:cstheme="minorHAnsi"/>
          <w:noProof/>
          <w:lang w:val="fr-CH" w:eastAsia="fr-CH"/>
        </w:rPr>
      </w:r>
      <w:r w:rsidRPr="00C321DF">
        <w:rPr>
          <w:rFonts w:cstheme="minorHAnsi"/>
          <w:noProof/>
          <w:lang w:val="fr-CH" w:eastAsia="fr-CH"/>
        </w:rPr>
        <w:pict>
          <v:shape id="Text Box 4" o:spid="_x0000_s1029" type="#_x0000_t202" style="width:464.1pt;height:169.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" filled="f" strokecolor="black [3213]">
            <v:path arrowok="t"/>
            <v:textbox>
              <w:txbxContent>
                <w:p w:rsidR="00DE68DF" w:rsidRDefault="00DE68DF" w:rsidP="00A26A4F">
                  <w:pPr>
                    <w:ind w:left="3600"/>
                  </w:pPr>
                  <w:r>
                    <w:t xml:space="preserve">     Institutions</w:t>
                  </w:r>
                </w:p>
              </w:txbxContent>
            </v:textbox>
            <w10:wrap type="none"/>
            <w10:anchorlock/>
          </v:shape>
        </w:pict>
      </w:r>
    </w:p>
    <w:p w:rsidR="0034020B" w:rsidRDefault="0034020B">
      <w:pPr>
        <w:rPr>
          <w:lang w:val="en-GB"/>
        </w:rPr>
      </w:pPr>
    </w:p>
    <w:p w:rsidR="00A41EB6" w:rsidRPr="00804C3C" w:rsidRDefault="00CF00D5" w:rsidP="00CF00D5">
      <w:pPr>
        <w:pStyle w:val="Heading2"/>
      </w:pPr>
      <w:bookmarkStart w:id="2" w:name="_Toc201643068"/>
      <w:bookmarkStart w:id="3" w:name="_Toc329700876"/>
      <w:r>
        <w:t>Developing</w:t>
      </w:r>
      <w:r w:rsidR="00A41EB6" w:rsidRPr="00804C3C">
        <w:t xml:space="preserve"> </w:t>
      </w:r>
      <w:bookmarkEnd w:id="2"/>
      <w:r w:rsidR="004966F0">
        <w:t>country</w:t>
      </w:r>
      <w:r w:rsidR="00A41EB6">
        <w:t xml:space="preserve"> approach</w:t>
      </w:r>
      <w:r>
        <w:t>es</w:t>
      </w:r>
      <w:r w:rsidR="00A41EB6">
        <w:t xml:space="preserve"> to safeguards</w:t>
      </w:r>
      <w:bookmarkEnd w:id="3"/>
    </w:p>
    <w:p w:rsidR="004E13B9" w:rsidRDefault="004E13B9" w:rsidP="004E13B9">
      <w:pPr>
        <w:rPr>
          <w:rFonts w:asciiTheme="majorHAnsi" w:hAnsiTheme="majorHAnsi" w:cstheme="majorHAnsi"/>
          <w:sz w:val="22"/>
          <w:szCs w:val="22"/>
        </w:rPr>
      </w:pPr>
    </w:p>
    <w:p w:rsidR="00F87D85" w:rsidRDefault="00C96893">
      <w:r w:rsidRPr="00C96893">
        <w:t xml:space="preserve">There are generic steps that can be undertaken in order to develop country approaches to safeguards, focusing on the two key components described above. </w:t>
      </w:r>
      <w:r w:rsidR="00957549">
        <w:t>T</w:t>
      </w:r>
      <w:r w:rsidR="004E13B9" w:rsidRPr="002B20DD">
        <w:t xml:space="preserve">here is no fixed, linear approach to developing a safeguards approach, which will depend significantly on what is already in place in the country, as well as what governments define as the overall </w:t>
      </w:r>
      <w:r w:rsidR="00AD339A">
        <w:t>goals</w:t>
      </w:r>
      <w:r w:rsidR="00AD339A" w:rsidRPr="002B20DD">
        <w:t xml:space="preserve"> </w:t>
      </w:r>
      <w:r w:rsidR="004E13B9" w:rsidRPr="002B20DD">
        <w:t xml:space="preserve">of the system. However, </w:t>
      </w:r>
      <w:r w:rsidR="00957549">
        <w:t xml:space="preserve">drawing </w:t>
      </w:r>
      <w:r w:rsidR="004E13B9" w:rsidRPr="002B20DD">
        <w:t>on insights from countries and the steps defined in existing safeguards schemes, some generic steps can be identified which may be useful for countries planning such an</w:t>
      </w:r>
      <w:r w:rsidR="008A22B9" w:rsidRPr="002B20DD">
        <w:t xml:space="preserve"> </w:t>
      </w:r>
      <w:r w:rsidR="004E13B9" w:rsidRPr="002B20DD">
        <w:t>approach.</w:t>
      </w:r>
    </w:p>
    <w:p w:rsidR="00AD339A" w:rsidRDefault="00AD339A"/>
    <w:p w:rsidR="00AD339A" w:rsidRPr="00AD339A" w:rsidRDefault="00AD339A">
      <w:r>
        <w:t xml:space="preserve">A </w:t>
      </w:r>
      <w:r w:rsidRPr="004D541D">
        <w:t xml:space="preserve">participatory process will be essential in developing </w:t>
      </w:r>
      <w:r>
        <w:t xml:space="preserve">accountable, </w:t>
      </w:r>
      <w:r w:rsidRPr="004D541D">
        <w:t xml:space="preserve">transparent and effective safeguards </w:t>
      </w:r>
      <w:r>
        <w:t>approaches</w:t>
      </w:r>
      <w:r w:rsidRPr="004D541D">
        <w:t>. The UN-REDD/</w:t>
      </w:r>
      <w:r>
        <w:t>FCPF</w:t>
      </w:r>
      <w:r w:rsidRPr="004D541D">
        <w:t xml:space="preserve"> Stakeholder Engagement Guidelines are a useful guide </w:t>
      </w:r>
      <w:r w:rsidR="00FD38DD">
        <w:t xml:space="preserve">for </w:t>
      </w:r>
      <w:r w:rsidRPr="004D541D">
        <w:t xml:space="preserve">how to ensure participation. </w:t>
      </w:r>
    </w:p>
    <w:p w:rsidR="00F87D85" w:rsidRDefault="00CF00D5" w:rsidP="00AD339A">
      <w:pPr>
        <w:pStyle w:val="Heading3"/>
      </w:pPr>
      <w:r>
        <w:t>Defining the goals of the safeguards approach</w:t>
      </w:r>
    </w:p>
    <w:p w:rsidR="00F87D85" w:rsidRDefault="002B20DD" w:rsidP="00957549">
      <w:bookmarkStart w:id="4" w:name="_Toc329700877"/>
      <w:r>
        <w:t xml:space="preserve">A first and crucial step in developing a REDD+ safeguards approach is to clearly define what </w:t>
      </w:r>
      <w:r w:rsidR="00BB572F">
        <w:t xml:space="preserve">is the approach is </w:t>
      </w:r>
      <w:r>
        <w:t xml:space="preserve"> supposed to do</w:t>
      </w:r>
      <w:r w:rsidR="00957549">
        <w:t xml:space="preserve">, </w:t>
      </w:r>
      <w:r>
        <w:t xml:space="preserve">i.e. ‘why’ is </w:t>
      </w:r>
      <w:r w:rsidR="00BB572F">
        <w:t xml:space="preserve">it </w:t>
      </w:r>
      <w:r>
        <w:t>being established</w:t>
      </w:r>
      <w:r w:rsidR="00957549">
        <w:t>?</w:t>
      </w:r>
      <w:r>
        <w:t xml:space="preserve"> This will require:</w:t>
      </w:r>
    </w:p>
    <w:p w:rsidR="00706BD1" w:rsidRDefault="00706BD1" w:rsidP="00957549"/>
    <w:p w:rsidR="00F87D85" w:rsidRDefault="00706BD1" w:rsidP="00957549">
      <w:pPr>
        <w:pStyle w:val="ListParagraph"/>
        <w:numPr>
          <w:ilvl w:val="0"/>
          <w:numId w:val="6"/>
        </w:numPr>
      </w:pPr>
      <w:r>
        <w:t>I</w:t>
      </w:r>
      <w:r w:rsidR="002B20DD">
        <w:t>nterpreting what is contained in the UNFCCC decisions from the country perspective</w:t>
      </w:r>
    </w:p>
    <w:p w:rsidR="00F87D85" w:rsidRDefault="00706BD1" w:rsidP="00957549">
      <w:pPr>
        <w:pStyle w:val="ListParagraph"/>
        <w:numPr>
          <w:ilvl w:val="0"/>
          <w:numId w:val="6"/>
        </w:numPr>
      </w:pPr>
      <w:r>
        <w:t>C</w:t>
      </w:r>
      <w:r w:rsidR="002B20DD">
        <w:t xml:space="preserve">onsideration of the specific social and environmental risks </w:t>
      </w:r>
      <w:r w:rsidR="00957549">
        <w:t xml:space="preserve">as well as benefits </w:t>
      </w:r>
      <w:r w:rsidR="002B20DD">
        <w:t xml:space="preserve">that </w:t>
      </w:r>
      <w:r w:rsidR="00957549">
        <w:t xml:space="preserve">might be associated with </w:t>
      </w:r>
      <w:r w:rsidR="002B20DD">
        <w:t>REDD+ in the country.</w:t>
      </w:r>
    </w:p>
    <w:p w:rsidR="00D356A2" w:rsidRDefault="00D356A2" w:rsidP="00957549"/>
    <w:p w:rsidR="00843DD7" w:rsidRDefault="002B20DD" w:rsidP="00957549">
      <w:r>
        <w:t>All countries are likely to be interested in developing a system that enables them, in priority, to respond to the UNFCCC decisions</w:t>
      </w:r>
      <w:r w:rsidR="00957549">
        <w:t>.  However, it will be important for countries to carefully consider whether in addition to ensuring that the approach responds to the Cancun safeguards, it needs to be designed to respond to other objectives</w:t>
      </w:r>
      <w:r w:rsidR="00957549" w:rsidRPr="00A7654A">
        <w:t xml:space="preserve">. </w:t>
      </w:r>
      <w:r w:rsidR="00BB572F" w:rsidRPr="00A7654A">
        <w:t>For example</w:t>
      </w:r>
      <w:r w:rsidR="00957549" w:rsidRPr="00A7654A">
        <w:t>, the types of social and environmental information collected will likely be useful to the country for its own domestic policy-making processes.</w:t>
      </w:r>
      <w:r w:rsidR="00BB572F" w:rsidRPr="00A7654A">
        <w:t xml:space="preserve">  In addition, donor or investor policies may contain additional requirements.</w:t>
      </w:r>
      <w:r w:rsidR="00BB572F">
        <w:t xml:space="preserve">   </w:t>
      </w:r>
    </w:p>
    <w:p w:rsidR="00843DD7" w:rsidRDefault="00843DD7" w:rsidP="00957549"/>
    <w:p w:rsidR="0034020B" w:rsidRDefault="00843DD7">
      <w:r>
        <w:t>The UN-REDD Social and Environmental Principles and Criteria (SEPC) can help to add detail to the broad principles set out in the Cancun Agreements, so they could be used by countries as a guide during discussions about the goals of national approaches to safeguards.</w:t>
      </w:r>
    </w:p>
    <w:p w:rsidR="00F87D85" w:rsidRDefault="00A41EB6" w:rsidP="00E26EDB">
      <w:pPr>
        <w:pStyle w:val="Heading3"/>
      </w:pPr>
      <w:r w:rsidRPr="008A22B9">
        <w:t>Developing Policies, Laws and Regulations</w:t>
      </w:r>
      <w:bookmarkEnd w:id="4"/>
      <w:r w:rsidR="00D356A2">
        <w:t xml:space="preserve"> </w:t>
      </w:r>
      <w:r w:rsidR="00CA2B76">
        <w:t>R</w:t>
      </w:r>
      <w:r w:rsidR="00D356A2">
        <w:t>elevant to REDD+ Safeguards</w:t>
      </w:r>
    </w:p>
    <w:p w:rsidR="0034020B" w:rsidRDefault="003B1D1C">
      <w:pPr>
        <w:rPr>
          <w:rFonts w:cstheme="majorHAnsi"/>
          <w:i/>
        </w:rPr>
      </w:pPr>
      <w:bookmarkStart w:id="5" w:name="_Ref329593218"/>
      <w:bookmarkStart w:id="6" w:name="_Ref329593444"/>
      <w:bookmarkStart w:id="7" w:name="_Ref329593447"/>
      <w:bookmarkStart w:id="8" w:name="_Ref329622435"/>
      <w:bookmarkStart w:id="9" w:name="_Toc329700879"/>
      <w:r w:rsidRPr="003B1D1C">
        <w:rPr>
          <w:b/>
          <w:i/>
        </w:rPr>
        <w:t>Gap analysis of existing country policies, laws and regulations</w:t>
      </w:r>
      <w:bookmarkEnd w:id="5"/>
      <w:bookmarkEnd w:id="6"/>
      <w:bookmarkEnd w:id="7"/>
      <w:bookmarkEnd w:id="8"/>
      <w:bookmarkEnd w:id="9"/>
    </w:p>
    <w:p w:rsidR="00A9722F" w:rsidRDefault="00A9722F" w:rsidP="00A41EB6"/>
    <w:p w:rsidR="00E26EDB" w:rsidRPr="00A9722F" w:rsidRDefault="00A41EB6" w:rsidP="00E26EDB">
      <w:r w:rsidRPr="00A9722F">
        <w:t xml:space="preserve">Having identified what the nationally relevant REDD+ </w:t>
      </w:r>
      <w:r w:rsidR="00E26EDB">
        <w:t>goals</w:t>
      </w:r>
      <w:r w:rsidR="00687939">
        <w:t xml:space="preserve"> </w:t>
      </w:r>
      <w:r w:rsidRPr="00A9722F">
        <w:t>are, countries can then review existing environmental and social polic</w:t>
      </w:r>
      <w:r w:rsidR="00DE68DF">
        <w:t>ies</w:t>
      </w:r>
      <w:r w:rsidRPr="00A9722F">
        <w:t xml:space="preserve">, </w:t>
      </w:r>
      <w:r w:rsidR="00DE68DF" w:rsidRPr="00A9722F">
        <w:t>l</w:t>
      </w:r>
      <w:r w:rsidR="00DE68DF">
        <w:t>aws</w:t>
      </w:r>
      <w:r w:rsidR="00DE68DF" w:rsidRPr="00A9722F">
        <w:t xml:space="preserve"> </w:t>
      </w:r>
      <w:r w:rsidRPr="00A9722F">
        <w:t>and regulation</w:t>
      </w:r>
      <w:r w:rsidR="00DE68DF">
        <w:t>s</w:t>
      </w:r>
      <w:r w:rsidRPr="00A9722F">
        <w:t xml:space="preserve"> (PLR), and identify those that address risks and enhance benefits from REDD+. For example, some countries may already have laws which protect land tenure of vulnerable peoples, or natural forest from conversion to plantations.</w:t>
      </w:r>
      <w:r w:rsidR="00F27ABF">
        <w:t xml:space="preserve">  In such cases, countries may opt to build upon existing PLRs, as is the case with Vietnam.  Even if there are existing PLRs, t</w:t>
      </w:r>
      <w:r w:rsidRPr="00A9722F">
        <w:t xml:space="preserve">here may be gaps which need to be </w:t>
      </w:r>
      <w:r w:rsidR="00357872">
        <w:t xml:space="preserve">identified, </w:t>
      </w:r>
      <w:r w:rsidRPr="00A9722F">
        <w:t>addressed and filled</w:t>
      </w:r>
      <w:r w:rsidR="00A9722F">
        <w:t>.</w:t>
      </w:r>
      <w:r w:rsidR="00F27ABF">
        <w:t xml:space="preserve">  For example, existing forest codes, in most cases, will not have provisions for carbon rights.</w:t>
      </w:r>
      <w:r w:rsidR="00F27ABF" w:rsidRPr="00F27ABF">
        <w:t xml:space="preserve"> </w:t>
      </w:r>
      <w:r w:rsidR="00F27ABF">
        <w:t xml:space="preserve"> </w:t>
      </w:r>
    </w:p>
    <w:p w:rsidR="0034020B" w:rsidRDefault="0034020B">
      <w:bookmarkStart w:id="10" w:name="_Ref329593456"/>
      <w:bookmarkStart w:id="11" w:name="_Ref329593459"/>
      <w:bookmarkStart w:id="12" w:name="_Toc329700880"/>
    </w:p>
    <w:p w:rsidR="0034020B" w:rsidRDefault="00843DD7">
      <w:r w:rsidRPr="00843DD7">
        <w:t>Existing tools can be useful in assessing gaps. The UN-REDD Benefits and Risks Tool (</w:t>
      </w:r>
      <w:proofErr w:type="spellStart"/>
      <w:r w:rsidRPr="00843DD7">
        <w:t>BeRT</w:t>
      </w:r>
      <w:proofErr w:type="spellEnd"/>
      <w:r w:rsidRPr="00843DD7">
        <w:t xml:space="preserve">) sets out key questions for assessing gaps across a broad range of areas; other UN-REDD tools provide more detailed assessment frameworks on specific issues, such as the PGAs on governance issues and the </w:t>
      </w:r>
      <w:r>
        <w:t>draft “</w:t>
      </w:r>
      <w:r w:rsidR="003B1D1C" w:rsidRPr="003B1D1C">
        <w:t>Guidance on Conducting REDD+ Corruption Risk Assessment</w:t>
      </w:r>
      <w:r>
        <w:t>”</w:t>
      </w:r>
      <w:r w:rsidRPr="00843DD7">
        <w:t xml:space="preserve">.  </w:t>
      </w:r>
      <w:bookmarkEnd w:id="10"/>
      <w:bookmarkEnd w:id="11"/>
      <w:bookmarkEnd w:id="12"/>
    </w:p>
    <w:p w:rsidR="00BB572F" w:rsidRDefault="00BB572F">
      <w:pPr>
        <w:rPr>
          <w:i/>
        </w:rPr>
      </w:pPr>
    </w:p>
    <w:p w:rsidR="0034020B" w:rsidRDefault="003B1D1C">
      <w:pPr>
        <w:rPr>
          <w:i/>
        </w:rPr>
      </w:pPr>
      <w:r w:rsidRPr="003B1D1C">
        <w:rPr>
          <w:b/>
          <w:i/>
        </w:rPr>
        <w:t>Creation of new PLRs and procedures</w:t>
      </w:r>
    </w:p>
    <w:p w:rsidR="0034020B" w:rsidRDefault="0034020B"/>
    <w:p w:rsidR="001A2344" w:rsidRDefault="00E26EDB" w:rsidP="00F27ABF">
      <w:pPr>
        <w:rPr>
          <w:rFonts w:asciiTheme="majorHAnsi" w:hAnsiTheme="majorHAnsi" w:cstheme="majorHAnsi"/>
        </w:rPr>
      </w:pPr>
      <w:r>
        <w:t>The</w:t>
      </w:r>
      <w:r w:rsidR="00F27ABF" w:rsidRPr="00F30A21">
        <w:t xml:space="preserve"> gap analysis</w:t>
      </w:r>
      <w:r>
        <w:t xml:space="preserve"> may indicate that existing PLRs do not cover all of the safeguards that have been established as goals for the country. </w:t>
      </w:r>
      <w:r w:rsidR="00F27ABF" w:rsidRPr="00F30A21">
        <w:t>Therefore new PLR</w:t>
      </w:r>
      <w:r>
        <w:t>s</w:t>
      </w:r>
      <w:r w:rsidR="00F27ABF" w:rsidRPr="00F30A21">
        <w:t xml:space="preserve"> </w:t>
      </w:r>
      <w:r>
        <w:t xml:space="preserve">may need to </w:t>
      </w:r>
      <w:r w:rsidR="00F27ABF" w:rsidRPr="00F30A21">
        <w:t xml:space="preserve">be created in order to ensure </w:t>
      </w:r>
      <w:r>
        <w:t xml:space="preserve">that </w:t>
      </w:r>
      <w:r w:rsidR="00F27ABF" w:rsidRPr="00F30A21">
        <w:t xml:space="preserve">the </w:t>
      </w:r>
      <w:r>
        <w:t>goals are met</w:t>
      </w:r>
      <w:r w:rsidR="00F27ABF">
        <w:rPr>
          <w:rFonts w:asciiTheme="majorHAnsi" w:hAnsiTheme="majorHAnsi" w:cstheme="majorHAnsi"/>
        </w:rPr>
        <w:t xml:space="preserve">. </w:t>
      </w:r>
      <w:r w:rsidR="001A2344">
        <w:t xml:space="preserve">It may be the case that a legal framework is not necessary and some or all of the safeguards may be addressed through other means, such as national-level guidelines, but this will be dependent on the particular national context.  </w:t>
      </w:r>
      <w:r w:rsidR="00F27ABF">
        <w:rPr>
          <w:rFonts w:asciiTheme="majorHAnsi" w:hAnsiTheme="majorHAnsi" w:cstheme="majorHAnsi"/>
        </w:rPr>
        <w:t xml:space="preserve"> </w:t>
      </w:r>
    </w:p>
    <w:p w:rsidR="0034020B" w:rsidRDefault="0034020B">
      <w:pPr>
        <w:rPr>
          <w:i/>
        </w:rPr>
      </w:pPr>
    </w:p>
    <w:p w:rsidR="0034020B" w:rsidRDefault="003B1D1C">
      <w:pPr>
        <w:rPr>
          <w:i/>
        </w:rPr>
      </w:pPr>
      <w:r w:rsidRPr="003B1D1C">
        <w:rPr>
          <w:b/>
          <w:i/>
        </w:rPr>
        <w:t xml:space="preserve">Defining REDD+ safeguard policies </w:t>
      </w:r>
    </w:p>
    <w:p w:rsidR="0034020B" w:rsidRDefault="00CA2B76">
      <w:pPr>
        <w:tabs>
          <w:tab w:val="left" w:pos="399"/>
          <w:tab w:val="left" w:pos="3114"/>
        </w:tabs>
      </w:pPr>
      <w:r>
        <w:tab/>
      </w:r>
      <w:r w:rsidR="00BD0A5B">
        <w:tab/>
      </w:r>
    </w:p>
    <w:p w:rsidR="00F27ABF" w:rsidRDefault="00F27ABF" w:rsidP="00F27ABF">
      <w:r w:rsidRPr="00A7654A">
        <w:lastRenderedPageBreak/>
        <w:t>The outcome of th</w:t>
      </w:r>
      <w:r w:rsidR="001A2344" w:rsidRPr="00A7654A">
        <w:t>is</w:t>
      </w:r>
      <w:r w:rsidRPr="00A7654A">
        <w:t xml:space="preserve"> process could be captured in a safeguard policy framework, which outlines the set of country REDD+ safeguards </w:t>
      </w:r>
      <w:r w:rsidR="00BB572F" w:rsidRPr="00A7654A">
        <w:t xml:space="preserve">PLRs </w:t>
      </w:r>
      <w:r w:rsidR="004931FD" w:rsidRPr="00A7654A">
        <w:t>that has</w:t>
      </w:r>
      <w:r w:rsidRPr="00A7654A">
        <w:t xml:space="preserve"> been developed </w:t>
      </w:r>
      <w:r w:rsidR="00BB572F" w:rsidRPr="00A7654A">
        <w:t>or defined</w:t>
      </w:r>
      <w:r w:rsidR="004931FD" w:rsidRPr="00A7654A">
        <w:t xml:space="preserve"> and how these provide the foundation for how </w:t>
      </w:r>
      <w:r w:rsidRPr="00A7654A">
        <w:t>the country re</w:t>
      </w:r>
      <w:r w:rsidR="004931FD" w:rsidRPr="00A7654A">
        <w:t>sponds to UNFCCC and potentially additional objectives</w:t>
      </w:r>
      <w:r w:rsidRPr="00A7654A">
        <w:t>. Such a framework is not a requirement, but it could provide clarity for those involved in REDD+ activities, and particularly those providing funding.</w:t>
      </w:r>
      <w:r>
        <w:t xml:space="preserve"> </w:t>
      </w:r>
    </w:p>
    <w:p w:rsidR="00F87D85" w:rsidRDefault="004931FD">
      <w:pPr>
        <w:pStyle w:val="Heading3"/>
      </w:pPr>
      <w:r>
        <w:tab/>
      </w:r>
      <w:bookmarkStart w:id="13" w:name="_Toc329700882"/>
      <w:r w:rsidR="00A41EB6" w:rsidRPr="008A22B9">
        <w:t>Developing a</w:t>
      </w:r>
      <w:r w:rsidR="002B20DD">
        <w:t xml:space="preserve"> safeguard</w:t>
      </w:r>
      <w:r w:rsidR="00A41EB6" w:rsidRPr="008A22B9">
        <w:t xml:space="preserve"> information system</w:t>
      </w:r>
      <w:bookmarkEnd w:id="13"/>
      <w:r w:rsidR="002B20DD">
        <w:t xml:space="preserve"> (SIS)</w:t>
      </w:r>
    </w:p>
    <w:p w:rsidR="00791F7E" w:rsidRDefault="00DB6C2D" w:rsidP="00791F7E">
      <w:r>
        <w:t>D</w:t>
      </w:r>
      <w:r w:rsidR="00A9722F" w:rsidRPr="009A75C3">
        <w:t>ecision</w:t>
      </w:r>
      <w:r w:rsidR="00A9722F" w:rsidRPr="00EE6EF9">
        <w:t xml:space="preserve"> 12/CP.17</w:t>
      </w:r>
      <w:r w:rsidR="00A9722F">
        <w:t xml:space="preserve"> of the UNFCCC Durban Outcome states</w:t>
      </w:r>
      <w:r w:rsidR="00A9722F" w:rsidRPr="00EE6EF9">
        <w:t xml:space="preserve"> that a</w:t>
      </w:r>
      <w:r w:rsidR="00CA2B76">
        <w:t xml:space="preserve"> </w:t>
      </w:r>
      <w:r w:rsidR="00A9722F" w:rsidRPr="00EE6EF9">
        <w:t xml:space="preserve">SIS should provide information on how all Cancun safeguards are addressed and respected.  </w:t>
      </w:r>
      <w:r w:rsidR="00A9722F">
        <w:t xml:space="preserve">SIS </w:t>
      </w:r>
      <w:r w:rsidR="00A9722F" w:rsidRPr="00EE6EF9">
        <w:t>should be country-driven, implemented at a national level, and built on existing systems</w:t>
      </w:r>
      <w:r w:rsidR="00A9722F">
        <w:t>, as appropriate</w:t>
      </w:r>
      <w:r w:rsidR="00A9722F" w:rsidRPr="00EE6EF9">
        <w:t>.</w:t>
      </w:r>
      <w:r w:rsidR="00A9722F">
        <w:t xml:space="preserve"> </w:t>
      </w:r>
      <w:r w:rsidR="00A9722F" w:rsidRPr="00EE6EF9">
        <w:t xml:space="preserve">It was also agreed that </w:t>
      </w:r>
      <w:r w:rsidR="00764641">
        <w:t>the provision</w:t>
      </w:r>
      <w:r w:rsidR="00764641" w:rsidRPr="00EE6EF9">
        <w:t xml:space="preserve"> </w:t>
      </w:r>
      <w:r w:rsidR="00A9722F" w:rsidRPr="00EE6EF9">
        <w:t>of summary information on how safeguards are being addressed and respected would take place periodically in National Communications</w:t>
      </w:r>
      <w:r w:rsidR="00A9722F">
        <w:t xml:space="preserve"> to the UNFCCC.</w:t>
      </w:r>
    </w:p>
    <w:p w:rsidR="0034020B" w:rsidRDefault="0034020B">
      <w:pPr>
        <w:rPr>
          <w:i/>
        </w:rPr>
      </w:pPr>
    </w:p>
    <w:p w:rsidR="0034020B" w:rsidRDefault="003B1D1C">
      <w:pPr>
        <w:rPr>
          <w:i/>
        </w:rPr>
      </w:pPr>
      <w:r w:rsidRPr="003B1D1C">
        <w:rPr>
          <w:b/>
          <w:i/>
        </w:rPr>
        <w:t>Gap analysis of existing country SIS</w:t>
      </w:r>
    </w:p>
    <w:p w:rsidR="0034020B" w:rsidRDefault="0034020B"/>
    <w:p w:rsidR="0034020B" w:rsidRDefault="00D000C2">
      <w:pPr>
        <w:rPr>
          <w:rFonts w:cstheme="minorHAnsi"/>
        </w:rPr>
      </w:pPr>
      <w:r>
        <w:t>A</w:t>
      </w:r>
      <w:r w:rsidR="005448F4" w:rsidRPr="00DB6C2D">
        <w:rPr>
          <w:rFonts w:cstheme="minorHAnsi"/>
          <w:bCs/>
        </w:rPr>
        <w:t xml:space="preserve"> crucial first step for </w:t>
      </w:r>
      <w:r>
        <w:rPr>
          <w:rFonts w:cstheme="minorHAnsi"/>
          <w:bCs/>
        </w:rPr>
        <w:t xml:space="preserve">developing </w:t>
      </w:r>
      <w:r w:rsidR="005448F4" w:rsidRPr="00DB6C2D">
        <w:rPr>
          <w:rFonts w:cstheme="minorHAnsi"/>
          <w:bCs/>
        </w:rPr>
        <w:t xml:space="preserve">the SIS will likely involve conducting </w:t>
      </w:r>
      <w:r w:rsidR="005448F4" w:rsidRPr="003C7D5C">
        <w:rPr>
          <w:rFonts w:cstheme="minorHAnsi"/>
        </w:rPr>
        <w:t xml:space="preserve">a national assessment of existing information sources and systems that are relevant to the safeguards. </w:t>
      </w:r>
      <w:r w:rsidR="007A5D0B">
        <w:rPr>
          <w:rFonts w:cstheme="minorHAnsi"/>
        </w:rPr>
        <w:t>Key things to look at might include</w:t>
      </w:r>
      <w:r w:rsidR="006124D4">
        <w:rPr>
          <w:rFonts w:cstheme="minorHAnsi"/>
        </w:rPr>
        <w:t xml:space="preserve"> existing</w:t>
      </w:r>
      <w:r w:rsidR="007A5D0B">
        <w:rPr>
          <w:rFonts w:cstheme="minorHAnsi"/>
        </w:rPr>
        <w:t>:</w:t>
      </w:r>
    </w:p>
    <w:p w:rsidR="0034020B" w:rsidRDefault="007A5D0B">
      <w:pPr>
        <w:rPr>
          <w:rFonts w:cstheme="minorHAnsi"/>
        </w:rPr>
      </w:pPr>
      <w:r>
        <w:rPr>
          <w:rFonts w:cstheme="minorHAnsi"/>
        </w:rPr>
        <w:t xml:space="preserve"> </w:t>
      </w:r>
    </w:p>
    <w:p w:rsidR="0034020B" w:rsidRDefault="007A5D0B">
      <w:pPr>
        <w:pStyle w:val="ListParagraph"/>
        <w:numPr>
          <w:ilvl w:val="0"/>
          <w:numId w:val="23"/>
        </w:numPr>
        <w:rPr>
          <w:rFonts w:cstheme="minorHAnsi"/>
        </w:rPr>
      </w:pPr>
      <w:r>
        <w:rPr>
          <w:rFonts w:cstheme="minorHAnsi"/>
        </w:rPr>
        <w:t xml:space="preserve">Information sources and systems related to each </w:t>
      </w:r>
      <w:r w:rsidR="000E7BC7">
        <w:rPr>
          <w:rFonts w:cstheme="minorHAnsi"/>
        </w:rPr>
        <w:t xml:space="preserve">of </w:t>
      </w:r>
      <w:r>
        <w:rPr>
          <w:rFonts w:cstheme="minorHAnsi"/>
        </w:rPr>
        <w:t>the social and environmental safeguards)</w:t>
      </w:r>
    </w:p>
    <w:p w:rsidR="0034020B" w:rsidRDefault="007A5D0B">
      <w:pPr>
        <w:pStyle w:val="ListParagraph"/>
        <w:numPr>
          <w:ilvl w:val="0"/>
          <w:numId w:val="23"/>
        </w:numPr>
        <w:rPr>
          <w:rFonts w:cstheme="minorHAnsi"/>
        </w:rPr>
      </w:pPr>
      <w:r>
        <w:rPr>
          <w:rFonts w:cstheme="minorHAnsi"/>
        </w:rPr>
        <w:t>Social and environmental indicators, and data sources</w:t>
      </w:r>
    </w:p>
    <w:p w:rsidR="0034020B" w:rsidRDefault="007A5D0B">
      <w:pPr>
        <w:pStyle w:val="ListParagraph"/>
        <w:numPr>
          <w:ilvl w:val="0"/>
          <w:numId w:val="23"/>
        </w:numPr>
        <w:rPr>
          <w:rFonts w:cstheme="minorHAnsi"/>
        </w:rPr>
      </w:pPr>
      <w:r>
        <w:rPr>
          <w:rFonts w:cstheme="minorHAnsi"/>
        </w:rPr>
        <w:t>Data collection and measurement approaches</w:t>
      </w:r>
    </w:p>
    <w:p w:rsidR="0034020B" w:rsidRDefault="000E7BC7">
      <w:pPr>
        <w:pStyle w:val="ListParagraph"/>
        <w:numPr>
          <w:ilvl w:val="0"/>
          <w:numId w:val="23"/>
        </w:numPr>
        <w:rPr>
          <w:rFonts w:cstheme="minorHAnsi"/>
        </w:rPr>
      </w:pPr>
      <w:r>
        <w:rPr>
          <w:rFonts w:cstheme="minorHAnsi"/>
        </w:rPr>
        <w:t xml:space="preserve">Other </w:t>
      </w:r>
      <w:r w:rsidR="007A5D0B">
        <w:rPr>
          <w:rFonts w:cstheme="minorHAnsi"/>
        </w:rPr>
        <w:t xml:space="preserve"> systems</w:t>
      </w:r>
      <w:r>
        <w:rPr>
          <w:rFonts w:cstheme="minorHAnsi"/>
        </w:rPr>
        <w:t xml:space="preserve"> for providing information</w:t>
      </w:r>
      <w:r w:rsidR="006124D4">
        <w:rPr>
          <w:rFonts w:cstheme="minorHAnsi"/>
        </w:rPr>
        <w:t>, for example those used under other international conventions</w:t>
      </w:r>
    </w:p>
    <w:p w:rsidR="0034020B" w:rsidRDefault="0034020B">
      <w:pPr>
        <w:rPr>
          <w:rFonts w:cstheme="minorHAnsi"/>
        </w:rPr>
      </w:pPr>
    </w:p>
    <w:p w:rsidR="0034020B" w:rsidRDefault="007A5D0B">
      <w:pPr>
        <w:rPr>
          <w:rFonts w:cstheme="minorHAnsi"/>
        </w:rPr>
      </w:pPr>
      <w:r>
        <w:rPr>
          <w:rFonts w:cstheme="minorHAnsi"/>
        </w:rPr>
        <w:t>The analysis</w:t>
      </w:r>
      <w:r w:rsidR="00D000C2">
        <w:rPr>
          <w:rFonts w:cstheme="minorHAnsi"/>
        </w:rPr>
        <w:t xml:space="preserve"> will also need to look at the quality of these sources and systems. The objective of the gap analysis is to try to determine whether existing systems are able to adequately provide information in order to achieve the </w:t>
      </w:r>
      <w:r>
        <w:rPr>
          <w:rFonts w:cstheme="minorHAnsi"/>
        </w:rPr>
        <w:t xml:space="preserve">safeguard </w:t>
      </w:r>
      <w:r w:rsidR="00D000C2">
        <w:rPr>
          <w:rFonts w:cstheme="minorHAnsi"/>
        </w:rPr>
        <w:t xml:space="preserve">goals </w:t>
      </w:r>
      <w:r>
        <w:rPr>
          <w:rFonts w:cstheme="minorHAnsi"/>
        </w:rPr>
        <w:t xml:space="preserve">that have been </w:t>
      </w:r>
      <w:r w:rsidR="00D000C2">
        <w:rPr>
          <w:rFonts w:cstheme="minorHAnsi"/>
        </w:rPr>
        <w:t xml:space="preserve">established. </w:t>
      </w:r>
      <w:r w:rsidR="005448F4" w:rsidRPr="003C7D5C">
        <w:rPr>
          <w:rFonts w:cstheme="minorHAnsi"/>
        </w:rPr>
        <w:t xml:space="preserve">Based on this, an assessment can be made regarding what types of new </w:t>
      </w:r>
      <w:r w:rsidR="00D000C2">
        <w:rPr>
          <w:rFonts w:cstheme="minorHAnsi"/>
        </w:rPr>
        <w:t>information sources and systems need to be developed</w:t>
      </w:r>
      <w:r w:rsidR="000A0107">
        <w:rPr>
          <w:rFonts w:cstheme="minorHAnsi"/>
        </w:rPr>
        <w:t>.</w:t>
      </w:r>
    </w:p>
    <w:p w:rsidR="0034020B" w:rsidRDefault="0034020B">
      <w:pPr>
        <w:rPr>
          <w:b/>
          <w:i/>
        </w:rPr>
      </w:pPr>
    </w:p>
    <w:p w:rsidR="0034020B" w:rsidRDefault="003B1D1C">
      <w:pPr>
        <w:rPr>
          <w:b/>
          <w:i/>
        </w:rPr>
      </w:pPr>
      <w:r w:rsidRPr="003B1D1C">
        <w:rPr>
          <w:b/>
          <w:i/>
        </w:rPr>
        <w:t>Development of indicators</w:t>
      </w:r>
    </w:p>
    <w:p w:rsidR="0034020B" w:rsidRDefault="0034020B"/>
    <w:p w:rsidR="0034020B" w:rsidRDefault="007A5D0B">
      <w:r w:rsidRPr="00BD0A5B">
        <w:t>Some</w:t>
      </w:r>
      <w:r w:rsidR="00DB6C2D" w:rsidRPr="00BD0A5B">
        <w:t xml:space="preserve"> form of indicators</w:t>
      </w:r>
      <w:r w:rsidR="00466426" w:rsidRPr="00BD0A5B">
        <w:t xml:space="preserve"> </w:t>
      </w:r>
      <w:r w:rsidRPr="00BD0A5B">
        <w:t xml:space="preserve">will need to be developed </w:t>
      </w:r>
      <w:r w:rsidR="00466426" w:rsidRPr="00BD0A5B">
        <w:t>to d</w:t>
      </w:r>
      <w:r w:rsidR="005561B1">
        <w:t xml:space="preserve">emonstrate </w:t>
      </w:r>
      <w:r w:rsidR="00466426" w:rsidRPr="00BD0A5B">
        <w:t>the implementation of national safeguards-relevant PLRs</w:t>
      </w:r>
      <w:r w:rsidRPr="00BD0A5B">
        <w:t>. If relevant indicators already exist, it may just be a case of defining these within the REDD+ strategy. Otherwise, new</w:t>
      </w:r>
      <w:r w:rsidR="00DE68DF">
        <w:t xml:space="preserve"> </w:t>
      </w:r>
      <w:r w:rsidRPr="00BD0A5B">
        <w:t>indicators will need to be developed</w:t>
      </w:r>
      <w:r w:rsidR="005561B1">
        <w:t xml:space="preserve"> and should</w:t>
      </w:r>
      <w:r w:rsidRPr="00BD0A5B">
        <w:t xml:space="preserve"> </w:t>
      </w:r>
      <w:r w:rsidR="005561B1">
        <w:t xml:space="preserve">be developed through a participatory approach. </w:t>
      </w:r>
    </w:p>
    <w:p w:rsidR="0034020B" w:rsidRDefault="0034020B">
      <w:pPr>
        <w:rPr>
          <w:rFonts w:cstheme="minorHAnsi"/>
        </w:rPr>
      </w:pPr>
    </w:p>
    <w:p w:rsidR="0034020B" w:rsidRDefault="00843DD7">
      <w:pPr>
        <w:rPr>
          <w:rFonts w:cstheme="minorHAnsi"/>
        </w:rPr>
      </w:pPr>
      <w:r>
        <w:t>The UN-REDD PGAs provide a</w:t>
      </w:r>
      <w:r w:rsidR="00DE68DF">
        <w:t>n example of a</w:t>
      </w:r>
      <w:r>
        <w:t xml:space="preserve"> robust approach that can help countries to develop governance indicators relevant for REDD+ activities.</w:t>
      </w:r>
    </w:p>
    <w:p w:rsidR="0034020B" w:rsidRDefault="0034020B">
      <w:pPr>
        <w:rPr>
          <w:b/>
          <w:i/>
        </w:rPr>
      </w:pPr>
    </w:p>
    <w:p w:rsidR="0034020B" w:rsidRDefault="003B1D1C">
      <w:pPr>
        <w:rPr>
          <w:b/>
          <w:i/>
        </w:rPr>
      </w:pPr>
      <w:r w:rsidRPr="003B1D1C">
        <w:rPr>
          <w:b/>
          <w:i/>
        </w:rPr>
        <w:t>Development of d</w:t>
      </w:r>
      <w:r w:rsidRPr="003B1D1C">
        <w:rPr>
          <w:b/>
          <w:bCs/>
          <w:i/>
        </w:rPr>
        <w:t>ata collectio</w:t>
      </w:r>
      <w:r w:rsidR="00051CDF">
        <w:rPr>
          <w:b/>
          <w:i/>
        </w:rPr>
        <w:t>n</w:t>
      </w:r>
      <w:r w:rsidR="00DE68DF">
        <w:rPr>
          <w:b/>
          <w:i/>
        </w:rPr>
        <w:t xml:space="preserve"> </w:t>
      </w:r>
      <w:r w:rsidRPr="003B1D1C">
        <w:rPr>
          <w:b/>
          <w:i/>
        </w:rPr>
        <w:t>methodologies</w:t>
      </w:r>
    </w:p>
    <w:p w:rsidR="0034020B" w:rsidRDefault="0034020B">
      <w:pPr>
        <w:rPr>
          <w:rFonts w:cstheme="minorHAnsi"/>
        </w:rPr>
      </w:pPr>
    </w:p>
    <w:p w:rsidR="0034020B" w:rsidRDefault="00DB6C2D">
      <w:pPr>
        <w:rPr>
          <w:rFonts w:cstheme="minorHAnsi"/>
        </w:rPr>
      </w:pPr>
      <w:r w:rsidRPr="00D000C2">
        <w:rPr>
          <w:rFonts w:cstheme="minorHAnsi"/>
        </w:rPr>
        <w:t>Information/data collection methodologies</w:t>
      </w:r>
      <w:r w:rsidR="00527312" w:rsidRPr="00D000C2">
        <w:rPr>
          <w:rFonts w:cstheme="minorHAnsi"/>
        </w:rPr>
        <w:t xml:space="preserve"> and approaches should define</w:t>
      </w:r>
      <w:r w:rsidR="00D000C2">
        <w:rPr>
          <w:rFonts w:cstheme="minorHAnsi"/>
        </w:rPr>
        <w:t>:</w:t>
      </w:r>
    </w:p>
    <w:p w:rsidR="0034020B" w:rsidRDefault="0034020B">
      <w:pPr>
        <w:rPr>
          <w:rFonts w:cstheme="minorHAnsi"/>
        </w:rPr>
      </w:pPr>
    </w:p>
    <w:p w:rsidR="0034020B" w:rsidRDefault="00DB6C2D">
      <w:pPr>
        <w:pStyle w:val="ListParagraph"/>
        <w:numPr>
          <w:ilvl w:val="0"/>
          <w:numId w:val="15"/>
        </w:numPr>
        <w:spacing w:after="200"/>
        <w:rPr>
          <w:rFonts w:eastAsia="Times New Roman"/>
          <w:color w:val="000000"/>
        </w:rPr>
      </w:pPr>
      <w:r w:rsidRPr="00954E52">
        <w:rPr>
          <w:rFonts w:eastAsia="Times New Roman"/>
          <w:color w:val="000000"/>
        </w:rPr>
        <w:t>What data is to be collected (e.g. income data)</w:t>
      </w:r>
    </w:p>
    <w:p w:rsidR="0034020B" w:rsidRDefault="00DB6C2D">
      <w:pPr>
        <w:pStyle w:val="ListParagraph"/>
        <w:numPr>
          <w:ilvl w:val="0"/>
          <w:numId w:val="15"/>
        </w:numPr>
        <w:spacing w:after="200"/>
        <w:rPr>
          <w:rFonts w:eastAsia="Times New Roman"/>
          <w:color w:val="000000"/>
        </w:rPr>
      </w:pPr>
      <w:r w:rsidRPr="00954E52">
        <w:rPr>
          <w:rFonts w:eastAsia="Times New Roman"/>
          <w:color w:val="000000"/>
        </w:rPr>
        <w:t>Methodologies to be used (e.g. household surveys; participatory approaches, such as participatory biodiversity monitoring)</w:t>
      </w:r>
    </w:p>
    <w:p w:rsidR="0034020B" w:rsidRDefault="00DB6C2D">
      <w:pPr>
        <w:pStyle w:val="ListParagraph"/>
        <w:numPr>
          <w:ilvl w:val="0"/>
          <w:numId w:val="15"/>
        </w:numPr>
        <w:spacing w:after="200"/>
      </w:pPr>
      <w:r w:rsidRPr="00954E52">
        <w:rPr>
          <w:rFonts w:eastAsia="Times New Roman"/>
          <w:color w:val="000000"/>
        </w:rPr>
        <w:t>Who collects the data</w:t>
      </w:r>
    </w:p>
    <w:p w:rsidR="0034020B" w:rsidRDefault="00DB6C2D">
      <w:pPr>
        <w:pStyle w:val="ListParagraph"/>
        <w:numPr>
          <w:ilvl w:val="0"/>
          <w:numId w:val="15"/>
        </w:numPr>
        <w:spacing w:after="200"/>
        <w:rPr>
          <w:rFonts w:eastAsia="Times New Roman"/>
          <w:color w:val="000000"/>
        </w:rPr>
      </w:pPr>
      <w:r w:rsidRPr="00954E52">
        <w:rPr>
          <w:rFonts w:eastAsia="Times New Roman"/>
          <w:color w:val="000000"/>
        </w:rPr>
        <w:t>Frequency of data collection</w:t>
      </w:r>
    </w:p>
    <w:p w:rsidR="0034020B" w:rsidRDefault="00DB6C2D">
      <w:pPr>
        <w:pStyle w:val="ListParagraph"/>
        <w:numPr>
          <w:ilvl w:val="0"/>
          <w:numId w:val="15"/>
        </w:numPr>
        <w:spacing w:after="200"/>
        <w:rPr>
          <w:rFonts w:eastAsia="Times New Roman"/>
          <w:color w:val="000000"/>
        </w:rPr>
      </w:pPr>
      <w:r w:rsidRPr="00954E52">
        <w:rPr>
          <w:rFonts w:eastAsia="Times New Roman"/>
          <w:color w:val="000000"/>
        </w:rPr>
        <w:t>The scale at which data is collected (e.g. at the country, local or project level)</w:t>
      </w:r>
    </w:p>
    <w:p w:rsidR="0034020B" w:rsidRDefault="00527312">
      <w:pPr>
        <w:spacing w:after="200"/>
        <w:rPr>
          <w:rFonts w:eastAsia="Times New Roman"/>
          <w:color w:val="000000"/>
        </w:rPr>
      </w:pPr>
      <w:r>
        <w:rPr>
          <w:rFonts w:eastAsia="Times New Roman"/>
          <w:color w:val="000000"/>
        </w:rPr>
        <w:t>The approaches and methodologies applied for collection of information should aim to ensure completeness and consistency of the information over time and space.</w:t>
      </w:r>
    </w:p>
    <w:p w:rsidR="0034020B" w:rsidRDefault="00843DD7">
      <w:pPr>
        <w:spacing w:after="200"/>
        <w:rPr>
          <w:rFonts w:eastAsia="Times New Roman"/>
          <w:color w:val="000000"/>
        </w:rPr>
      </w:pPr>
      <w:r>
        <w:t xml:space="preserve">UN-REDD </w:t>
      </w:r>
      <w:proofErr w:type="gramStart"/>
      <w:r>
        <w:t>has</w:t>
      </w:r>
      <w:proofErr w:type="gramEnd"/>
      <w:r>
        <w:t xml:space="preserve"> a number of tools that can support the development of data collection and measurement for REDD+ safeguards. For example, it has developed both draft g</w:t>
      </w:r>
      <w:r w:rsidRPr="00287084">
        <w:t>uidelines</w:t>
      </w:r>
      <w:r>
        <w:t xml:space="preserve">, and a draft </w:t>
      </w:r>
      <w:r w:rsidRPr="00287084">
        <w:t xml:space="preserve">annotated guide to </w:t>
      </w:r>
      <w:r w:rsidR="00DE68DF">
        <w:t>“</w:t>
      </w:r>
      <w:r w:rsidRPr="00287084">
        <w:t>useful resources for monitoring the impacts of REDD+ on biod</w:t>
      </w:r>
      <w:r>
        <w:t>iversity and ecosystem services</w:t>
      </w:r>
      <w:r w:rsidR="00DE68DF">
        <w:t>”</w:t>
      </w:r>
      <w:r>
        <w:t>.</w:t>
      </w:r>
    </w:p>
    <w:p w:rsidR="0034020B" w:rsidRDefault="003B1D1C">
      <w:pPr>
        <w:rPr>
          <w:i/>
        </w:rPr>
      </w:pPr>
      <w:r w:rsidRPr="003B1D1C">
        <w:rPr>
          <w:b/>
          <w:i/>
        </w:rPr>
        <w:t>Development of approaches for providing information</w:t>
      </w:r>
    </w:p>
    <w:p w:rsidR="0034020B" w:rsidRDefault="0034020B"/>
    <w:p w:rsidR="00A2436E" w:rsidRPr="00A7654A" w:rsidRDefault="00F27ABF">
      <w:pPr>
        <w:spacing w:after="200"/>
        <w:rPr>
          <w:szCs w:val="22"/>
        </w:rPr>
      </w:pPr>
      <w:r w:rsidRPr="00DE68DF">
        <w:rPr>
          <w:rFonts w:cstheme="minorHAnsi"/>
        </w:rPr>
        <w:t>A</w:t>
      </w:r>
      <w:r w:rsidR="00DB6C2D" w:rsidRPr="00DE68DF">
        <w:rPr>
          <w:rFonts w:cstheme="minorHAnsi"/>
        </w:rPr>
        <w:t xml:space="preserve">pproaches </w:t>
      </w:r>
      <w:r w:rsidR="00527312" w:rsidRPr="00DE68DF">
        <w:rPr>
          <w:rFonts w:cstheme="minorHAnsi"/>
        </w:rPr>
        <w:t xml:space="preserve">for provision of information should </w:t>
      </w:r>
      <w:r w:rsidR="00527312">
        <w:t xml:space="preserve">define </w:t>
      </w:r>
      <w:r w:rsidR="00DB6C2D" w:rsidRPr="00954E52">
        <w:t>the form</w:t>
      </w:r>
      <w:r w:rsidR="00527312">
        <w:t>s</w:t>
      </w:r>
      <w:r w:rsidR="00DB6C2D" w:rsidRPr="00954E52">
        <w:t xml:space="preserve"> of the information and the channels through which it should be </w:t>
      </w:r>
      <w:r w:rsidR="00764641">
        <w:t>shared</w:t>
      </w:r>
      <w:r w:rsidR="00764641" w:rsidRPr="00954E52">
        <w:t xml:space="preserve"> </w:t>
      </w:r>
      <w:r w:rsidR="00DB6C2D" w:rsidRPr="00954E52">
        <w:t>both internationally and at the national level.</w:t>
      </w:r>
      <w:r w:rsidR="00051CDF">
        <w:t xml:space="preserve">  </w:t>
      </w:r>
      <w:r w:rsidR="00051CDF" w:rsidRPr="00A7654A">
        <w:rPr>
          <w:szCs w:val="22"/>
        </w:rPr>
        <w:t>Summary information will need to be provided to the UNFCCC, but is also likely to be used at the country level and disseminated among key stakeholders. Domestic level dissemination of information may need to be in alternative formats (e.g., posters in local languages instead of web-based information), depending on national circumstances.</w:t>
      </w:r>
      <w:r w:rsidR="00DE68DF" w:rsidRPr="00A7654A">
        <w:rPr>
          <w:szCs w:val="22"/>
        </w:rPr>
        <w:t xml:space="preserve"> Again, approaches for providing information through different channels and for different purposes, may already exist. These will need to be evaluated in relation to whether they adequately meet the country-defined goals of the safeguards approach. If they are not adequate, then new approaches may need to be developed.</w:t>
      </w:r>
    </w:p>
    <w:p w:rsidR="0034020B" w:rsidRDefault="0035770A">
      <w:pPr>
        <w:pStyle w:val="Heading1"/>
      </w:pPr>
      <w:r>
        <w:t xml:space="preserve">How </w:t>
      </w:r>
      <w:r w:rsidR="00BA0311">
        <w:t>UN-REDD tools</w:t>
      </w:r>
      <w:r>
        <w:t xml:space="preserve"> support the development of national safeguards approaches</w:t>
      </w:r>
    </w:p>
    <w:p w:rsidR="0034020B" w:rsidRDefault="0034020B">
      <w:pPr>
        <w:rPr>
          <w:rFonts w:cstheme="minorHAnsi"/>
        </w:rPr>
      </w:pPr>
    </w:p>
    <w:p w:rsidR="0034020B" w:rsidRDefault="00843DD7">
      <w:pPr>
        <w:rPr>
          <w:rFonts w:cstheme="minorHAnsi"/>
        </w:rPr>
      </w:pPr>
      <w:r>
        <w:rPr>
          <w:rFonts w:cstheme="minorHAnsi"/>
        </w:rPr>
        <w:t>As indicated by the examples in section 2, a</w:t>
      </w:r>
      <w:r w:rsidR="00A03EBC">
        <w:rPr>
          <w:rFonts w:cstheme="minorHAnsi"/>
        </w:rPr>
        <w:t xml:space="preserve"> number of </w:t>
      </w:r>
      <w:r w:rsidR="0035770A">
        <w:rPr>
          <w:rFonts w:cstheme="minorHAnsi"/>
        </w:rPr>
        <w:t xml:space="preserve">existing </w:t>
      </w:r>
      <w:r w:rsidR="00A03EBC">
        <w:rPr>
          <w:rFonts w:cstheme="minorHAnsi"/>
        </w:rPr>
        <w:t>UN-REDD tools</w:t>
      </w:r>
      <w:r w:rsidR="0035770A">
        <w:rPr>
          <w:rFonts w:cstheme="minorHAnsi"/>
        </w:rPr>
        <w:t xml:space="preserve"> </w:t>
      </w:r>
      <w:r w:rsidR="00AF2C63">
        <w:rPr>
          <w:rFonts w:cstheme="minorHAnsi"/>
        </w:rPr>
        <w:t>help</w:t>
      </w:r>
      <w:r w:rsidR="00A03EBC">
        <w:rPr>
          <w:rFonts w:cstheme="minorHAnsi"/>
        </w:rPr>
        <w:t xml:space="preserve"> </w:t>
      </w:r>
      <w:r w:rsidR="0035770A">
        <w:rPr>
          <w:rFonts w:cstheme="minorHAnsi"/>
        </w:rPr>
        <w:t xml:space="preserve">to </w:t>
      </w:r>
      <w:r w:rsidR="00A03EBC">
        <w:rPr>
          <w:rFonts w:cstheme="minorHAnsi"/>
        </w:rPr>
        <w:t xml:space="preserve">support countries </w:t>
      </w:r>
      <w:r w:rsidR="0035770A">
        <w:rPr>
          <w:rFonts w:cstheme="minorHAnsi"/>
        </w:rPr>
        <w:t>in</w:t>
      </w:r>
      <w:r w:rsidR="00A03EBC">
        <w:rPr>
          <w:rFonts w:cstheme="minorHAnsi"/>
        </w:rPr>
        <w:t xml:space="preserve"> develop</w:t>
      </w:r>
      <w:r w:rsidR="0035770A">
        <w:rPr>
          <w:rFonts w:cstheme="minorHAnsi"/>
        </w:rPr>
        <w:t>ing</w:t>
      </w:r>
      <w:r w:rsidR="00A03EBC">
        <w:rPr>
          <w:rFonts w:cstheme="minorHAnsi"/>
        </w:rPr>
        <w:t xml:space="preserve"> approaches to safeguards.  </w:t>
      </w:r>
      <w:r w:rsidR="00164952">
        <w:rPr>
          <w:rFonts w:cstheme="minorHAnsi"/>
        </w:rPr>
        <w:t xml:space="preserve">Each of these contributes to different aspects of national approaches to safeguards. </w:t>
      </w:r>
      <w:r w:rsidR="00A03EBC">
        <w:rPr>
          <w:rFonts w:cstheme="minorHAnsi"/>
        </w:rPr>
        <w:t>The table below “maps” the</w:t>
      </w:r>
      <w:r w:rsidR="00164952">
        <w:rPr>
          <w:rFonts w:cstheme="minorHAnsi"/>
        </w:rPr>
        <w:t xml:space="preserve"> main</w:t>
      </w:r>
      <w:r w:rsidR="00A03EBC">
        <w:rPr>
          <w:rFonts w:cstheme="minorHAnsi"/>
        </w:rPr>
        <w:t xml:space="preserve"> tools to the steps described above</w:t>
      </w:r>
      <w:r w:rsidR="00583144">
        <w:rPr>
          <w:rFonts w:cstheme="minorHAnsi"/>
        </w:rPr>
        <w:t xml:space="preserve">.  </w:t>
      </w:r>
    </w:p>
    <w:p w:rsidR="0034020B" w:rsidRDefault="0034020B">
      <w:pPr>
        <w:rPr>
          <w:rFonts w:cstheme="minorHAnsi"/>
        </w:rPr>
      </w:pPr>
    </w:p>
    <w:p w:rsidR="0034020B" w:rsidRDefault="00903E03">
      <w:pPr>
        <w:rPr>
          <w:rFonts w:cstheme="minorHAnsi"/>
        </w:rPr>
      </w:pPr>
      <w:r>
        <w:rPr>
          <w:rFonts w:cstheme="minorHAnsi"/>
        </w:rPr>
        <w:t>Alt</w:t>
      </w:r>
      <w:r w:rsidR="00583144">
        <w:rPr>
          <w:rFonts w:cstheme="minorHAnsi"/>
        </w:rPr>
        <w:t xml:space="preserve">hough </w:t>
      </w:r>
      <w:r>
        <w:rPr>
          <w:rFonts w:cstheme="minorHAnsi"/>
        </w:rPr>
        <w:t xml:space="preserve">these </w:t>
      </w:r>
      <w:r w:rsidR="00583144">
        <w:rPr>
          <w:rFonts w:cstheme="minorHAnsi"/>
        </w:rPr>
        <w:t>tools do not comprehensively cover every step and all safeguards at any given step, the suite of tools can help countries as they operationalize their approaches.</w:t>
      </w:r>
      <w:r w:rsidR="00843DD7">
        <w:rPr>
          <w:rFonts w:cstheme="minorHAnsi"/>
        </w:rPr>
        <w:t xml:space="preserve"> Some new tools are also in development, which </w:t>
      </w:r>
      <w:r w:rsidR="00E97759">
        <w:rPr>
          <w:rFonts w:cstheme="minorHAnsi"/>
        </w:rPr>
        <w:t>will help to fill some of the gaps.</w:t>
      </w:r>
      <w:r w:rsidR="00843DD7">
        <w:rPr>
          <w:rFonts w:cstheme="minorHAnsi"/>
        </w:rPr>
        <w:t xml:space="preserve"> </w:t>
      </w:r>
    </w:p>
    <w:p w:rsidR="0034020B" w:rsidRDefault="0034020B">
      <w:pPr>
        <w:ind w:left="720"/>
        <w:rPr>
          <w:rFonts w:cstheme="minorHAnsi"/>
        </w:rPr>
      </w:pPr>
    </w:p>
    <w:tbl>
      <w:tblPr>
        <w:tblStyle w:val="TableGrid"/>
        <w:tblW w:w="0" w:type="auto"/>
        <w:tblLook w:val="04A0"/>
      </w:tblPr>
      <w:tblGrid>
        <w:gridCol w:w="1417"/>
        <w:gridCol w:w="1745"/>
        <w:gridCol w:w="2806"/>
        <w:gridCol w:w="3788"/>
      </w:tblGrid>
      <w:tr w:rsidR="00527312" w:rsidRPr="00FC38EF" w:rsidTr="00261D91">
        <w:tc>
          <w:tcPr>
            <w:tcW w:w="1450" w:type="dxa"/>
          </w:tcPr>
          <w:p w:rsidR="00527312" w:rsidRPr="00FC38EF" w:rsidRDefault="00527312" w:rsidP="00706BD1">
            <w:pPr>
              <w:rPr>
                <w:b/>
                <w:sz w:val="20"/>
                <w:szCs w:val="20"/>
              </w:rPr>
            </w:pPr>
            <w:r>
              <w:rPr>
                <w:b/>
                <w:sz w:val="20"/>
                <w:szCs w:val="20"/>
              </w:rPr>
              <w:t>Step</w:t>
            </w:r>
          </w:p>
        </w:tc>
        <w:tc>
          <w:tcPr>
            <w:tcW w:w="1790" w:type="dxa"/>
          </w:tcPr>
          <w:p w:rsidR="00527312" w:rsidRPr="00262D7B" w:rsidRDefault="00527312" w:rsidP="00706BD1">
            <w:pPr>
              <w:spacing w:after="200" w:line="276" w:lineRule="auto"/>
              <w:rPr>
                <w:b/>
                <w:sz w:val="20"/>
                <w:szCs w:val="20"/>
              </w:rPr>
            </w:pPr>
            <w:r w:rsidRPr="00B565DF">
              <w:rPr>
                <w:b/>
                <w:sz w:val="20"/>
                <w:szCs w:val="20"/>
              </w:rPr>
              <w:t>Detailed activities</w:t>
            </w:r>
          </w:p>
        </w:tc>
        <w:tc>
          <w:tcPr>
            <w:tcW w:w="2407" w:type="dxa"/>
          </w:tcPr>
          <w:p w:rsidR="00527312" w:rsidRPr="00FC38EF" w:rsidRDefault="00527312" w:rsidP="00706BD1">
            <w:pPr>
              <w:rPr>
                <w:b/>
                <w:sz w:val="20"/>
                <w:szCs w:val="20"/>
              </w:rPr>
            </w:pPr>
            <w:r w:rsidRPr="00FC38EF">
              <w:rPr>
                <w:b/>
                <w:sz w:val="20"/>
                <w:szCs w:val="20"/>
              </w:rPr>
              <w:t>UN-REDD tools</w:t>
            </w:r>
            <w:r w:rsidR="000D08B3">
              <w:rPr>
                <w:b/>
                <w:sz w:val="20"/>
                <w:szCs w:val="20"/>
              </w:rPr>
              <w:t>/guidelines/methodologies</w:t>
            </w:r>
          </w:p>
        </w:tc>
        <w:tc>
          <w:tcPr>
            <w:tcW w:w="4109" w:type="dxa"/>
          </w:tcPr>
          <w:p w:rsidR="00527312" w:rsidRPr="00FC38EF" w:rsidRDefault="00527312" w:rsidP="00706BD1">
            <w:pPr>
              <w:rPr>
                <w:b/>
                <w:sz w:val="20"/>
                <w:szCs w:val="20"/>
              </w:rPr>
            </w:pPr>
            <w:r w:rsidRPr="00FC38EF">
              <w:rPr>
                <w:b/>
                <w:sz w:val="20"/>
                <w:szCs w:val="20"/>
              </w:rPr>
              <w:t>Explanation</w:t>
            </w:r>
            <w:r>
              <w:rPr>
                <w:b/>
                <w:sz w:val="20"/>
                <w:szCs w:val="20"/>
              </w:rPr>
              <w:t xml:space="preserve"> of how the tools </w:t>
            </w:r>
            <w:r w:rsidR="00175CB1">
              <w:rPr>
                <w:b/>
                <w:sz w:val="20"/>
                <w:szCs w:val="20"/>
              </w:rPr>
              <w:t xml:space="preserve">can </w:t>
            </w:r>
            <w:r>
              <w:rPr>
                <w:b/>
                <w:sz w:val="20"/>
                <w:szCs w:val="20"/>
              </w:rPr>
              <w:t>contribute to the activity</w:t>
            </w:r>
          </w:p>
        </w:tc>
      </w:tr>
      <w:tr w:rsidR="00175CB1" w:rsidRPr="00FC38EF" w:rsidTr="00261D91">
        <w:trPr>
          <w:trHeight w:val="335"/>
        </w:trPr>
        <w:tc>
          <w:tcPr>
            <w:tcW w:w="1450" w:type="dxa"/>
            <w:vMerge w:val="restart"/>
          </w:tcPr>
          <w:p w:rsidR="00175CB1" w:rsidRPr="00FC38EF" w:rsidRDefault="00175CB1" w:rsidP="00D057E6">
            <w:pPr>
              <w:rPr>
                <w:b/>
                <w:sz w:val="20"/>
                <w:szCs w:val="20"/>
              </w:rPr>
            </w:pPr>
            <w:r w:rsidRPr="00FC38EF">
              <w:rPr>
                <w:b/>
                <w:sz w:val="20"/>
                <w:szCs w:val="20"/>
              </w:rPr>
              <w:t xml:space="preserve">1. </w:t>
            </w:r>
            <w:r>
              <w:rPr>
                <w:b/>
                <w:sz w:val="20"/>
                <w:szCs w:val="20"/>
              </w:rPr>
              <w:t>Defining goals</w:t>
            </w:r>
          </w:p>
        </w:tc>
        <w:tc>
          <w:tcPr>
            <w:tcW w:w="1790" w:type="dxa"/>
            <w:vMerge w:val="restart"/>
          </w:tcPr>
          <w:p w:rsidR="00175CB1" w:rsidRPr="00FC38EF" w:rsidRDefault="00175CB1" w:rsidP="00706BD1">
            <w:pPr>
              <w:rPr>
                <w:sz w:val="20"/>
                <w:szCs w:val="20"/>
              </w:rPr>
            </w:pPr>
            <w:r w:rsidRPr="00FC38EF">
              <w:rPr>
                <w:sz w:val="20"/>
                <w:szCs w:val="20"/>
              </w:rPr>
              <w:t>Defining goals of the country safeguards approach</w:t>
            </w:r>
          </w:p>
        </w:tc>
        <w:tc>
          <w:tcPr>
            <w:tcW w:w="2407" w:type="dxa"/>
          </w:tcPr>
          <w:p w:rsidR="00175CB1" w:rsidRPr="00FC38EF" w:rsidRDefault="00175CB1" w:rsidP="00527312">
            <w:pPr>
              <w:pStyle w:val="ListParagraph"/>
              <w:numPr>
                <w:ilvl w:val="0"/>
                <w:numId w:val="17"/>
              </w:numPr>
              <w:rPr>
                <w:sz w:val="20"/>
                <w:szCs w:val="20"/>
              </w:rPr>
            </w:pPr>
            <w:r w:rsidRPr="00FC38EF">
              <w:rPr>
                <w:sz w:val="20"/>
                <w:szCs w:val="20"/>
              </w:rPr>
              <w:t>SEPC</w:t>
            </w:r>
          </w:p>
        </w:tc>
        <w:tc>
          <w:tcPr>
            <w:tcW w:w="4109" w:type="dxa"/>
          </w:tcPr>
          <w:p w:rsidR="00175CB1" w:rsidRPr="00FC38EF" w:rsidRDefault="00175CB1" w:rsidP="00706BD1">
            <w:pPr>
              <w:rPr>
                <w:sz w:val="20"/>
                <w:szCs w:val="20"/>
              </w:rPr>
            </w:pPr>
            <w:r w:rsidRPr="00FC38EF">
              <w:rPr>
                <w:sz w:val="20"/>
                <w:szCs w:val="20"/>
              </w:rPr>
              <w:t xml:space="preserve">Provides more detailed criteria that can be used to </w:t>
            </w:r>
            <w:r>
              <w:rPr>
                <w:sz w:val="20"/>
                <w:szCs w:val="20"/>
              </w:rPr>
              <w:t>‘</w:t>
            </w:r>
            <w:r w:rsidRPr="00FC38EF">
              <w:rPr>
                <w:sz w:val="20"/>
                <w:szCs w:val="20"/>
              </w:rPr>
              <w:t>unpack</w:t>
            </w:r>
            <w:r>
              <w:rPr>
                <w:sz w:val="20"/>
                <w:szCs w:val="20"/>
              </w:rPr>
              <w:t>’</w:t>
            </w:r>
            <w:r w:rsidRPr="00FC38EF">
              <w:rPr>
                <w:sz w:val="20"/>
                <w:szCs w:val="20"/>
              </w:rPr>
              <w:t xml:space="preserve"> the Cancun safeguards</w:t>
            </w:r>
          </w:p>
        </w:tc>
      </w:tr>
      <w:tr w:rsidR="00175CB1" w:rsidRPr="00FC38EF" w:rsidTr="00175CB1">
        <w:trPr>
          <w:trHeight w:val="234"/>
        </w:trPr>
        <w:tc>
          <w:tcPr>
            <w:tcW w:w="1450" w:type="dxa"/>
            <w:vMerge/>
          </w:tcPr>
          <w:p w:rsidR="00175CB1" w:rsidRPr="00FC38EF" w:rsidRDefault="00175CB1" w:rsidP="00706BD1">
            <w:pPr>
              <w:rPr>
                <w:b/>
                <w:sz w:val="20"/>
                <w:szCs w:val="20"/>
              </w:rPr>
            </w:pPr>
          </w:p>
        </w:tc>
        <w:tc>
          <w:tcPr>
            <w:tcW w:w="1790" w:type="dxa"/>
            <w:vMerge/>
          </w:tcPr>
          <w:p w:rsidR="00175CB1" w:rsidRPr="00FC38EF" w:rsidRDefault="00175CB1" w:rsidP="00706BD1">
            <w:pPr>
              <w:rPr>
                <w:sz w:val="20"/>
                <w:szCs w:val="20"/>
              </w:rPr>
            </w:pPr>
          </w:p>
        </w:tc>
        <w:tc>
          <w:tcPr>
            <w:tcW w:w="2407" w:type="dxa"/>
          </w:tcPr>
          <w:p w:rsidR="00175CB1" w:rsidRPr="00FC38EF" w:rsidRDefault="00175CB1" w:rsidP="00175CB1">
            <w:pPr>
              <w:pStyle w:val="ListParagraph"/>
              <w:numPr>
                <w:ilvl w:val="0"/>
                <w:numId w:val="17"/>
              </w:numPr>
              <w:rPr>
                <w:sz w:val="20"/>
                <w:szCs w:val="20"/>
              </w:rPr>
            </w:pPr>
            <w:r w:rsidRPr="00FC38EF">
              <w:rPr>
                <w:sz w:val="20"/>
                <w:szCs w:val="20"/>
              </w:rPr>
              <w:t xml:space="preserve">UN-REDD/FCPF Stakeholder Engagement </w:t>
            </w:r>
            <w:r w:rsidRPr="00FC38EF">
              <w:rPr>
                <w:sz w:val="20"/>
                <w:szCs w:val="20"/>
              </w:rPr>
              <w:lastRenderedPageBreak/>
              <w:t>Guidelines</w:t>
            </w:r>
            <w:r>
              <w:rPr>
                <w:rStyle w:val="FootnoteReference"/>
                <w:sz w:val="20"/>
                <w:szCs w:val="20"/>
              </w:rPr>
              <w:footnoteReference w:id="1"/>
            </w:r>
          </w:p>
        </w:tc>
        <w:tc>
          <w:tcPr>
            <w:tcW w:w="4109" w:type="dxa"/>
          </w:tcPr>
          <w:p w:rsidR="00175CB1" w:rsidRPr="00FC38EF" w:rsidRDefault="00175CB1" w:rsidP="00175CB1">
            <w:pPr>
              <w:rPr>
                <w:sz w:val="20"/>
                <w:szCs w:val="20"/>
              </w:rPr>
            </w:pPr>
            <w:r>
              <w:rPr>
                <w:sz w:val="20"/>
                <w:szCs w:val="20"/>
              </w:rPr>
              <w:lastRenderedPageBreak/>
              <w:t xml:space="preserve">Provides guidance on </w:t>
            </w:r>
            <w:r w:rsidRPr="00FC38EF">
              <w:rPr>
                <w:sz w:val="20"/>
                <w:szCs w:val="20"/>
              </w:rPr>
              <w:t xml:space="preserve">how participation of </w:t>
            </w:r>
            <w:r>
              <w:rPr>
                <w:sz w:val="20"/>
                <w:szCs w:val="20"/>
              </w:rPr>
              <w:t xml:space="preserve">stakeholders </w:t>
            </w:r>
            <w:r w:rsidRPr="00FC38EF">
              <w:rPr>
                <w:sz w:val="20"/>
                <w:szCs w:val="20"/>
              </w:rPr>
              <w:t xml:space="preserve">can be ensured in </w:t>
            </w:r>
            <w:r>
              <w:rPr>
                <w:sz w:val="20"/>
                <w:szCs w:val="20"/>
              </w:rPr>
              <w:t xml:space="preserve">UN-REDD activities; </w:t>
            </w:r>
            <w:r w:rsidRPr="00175CB1">
              <w:rPr>
                <w:sz w:val="20"/>
                <w:szCs w:val="20"/>
              </w:rPr>
              <w:t xml:space="preserve">could be </w:t>
            </w:r>
            <w:r>
              <w:rPr>
                <w:sz w:val="20"/>
                <w:szCs w:val="20"/>
              </w:rPr>
              <w:t xml:space="preserve">used by countries in the </w:t>
            </w:r>
            <w:r>
              <w:rPr>
                <w:sz w:val="20"/>
                <w:szCs w:val="20"/>
              </w:rPr>
              <w:lastRenderedPageBreak/>
              <w:t xml:space="preserve">development of </w:t>
            </w:r>
            <w:r w:rsidRPr="00175CB1">
              <w:rPr>
                <w:sz w:val="20"/>
                <w:szCs w:val="20"/>
              </w:rPr>
              <w:t>REDD+ PLRs and adapted to national context</w:t>
            </w:r>
            <w:r>
              <w:rPr>
                <w:sz w:val="20"/>
                <w:szCs w:val="20"/>
              </w:rPr>
              <w:t xml:space="preserve"> if necessary</w:t>
            </w:r>
          </w:p>
        </w:tc>
      </w:tr>
      <w:tr w:rsidR="00175CB1" w:rsidRPr="00FC38EF" w:rsidTr="00261D91">
        <w:trPr>
          <w:trHeight w:val="2048"/>
        </w:trPr>
        <w:tc>
          <w:tcPr>
            <w:tcW w:w="1450" w:type="dxa"/>
            <w:vMerge/>
          </w:tcPr>
          <w:p w:rsidR="00175CB1" w:rsidRPr="00FC38EF" w:rsidRDefault="00175CB1" w:rsidP="00706BD1">
            <w:pPr>
              <w:rPr>
                <w:b/>
                <w:sz w:val="20"/>
                <w:szCs w:val="20"/>
              </w:rPr>
            </w:pPr>
          </w:p>
        </w:tc>
        <w:tc>
          <w:tcPr>
            <w:tcW w:w="1790" w:type="dxa"/>
            <w:vMerge/>
          </w:tcPr>
          <w:p w:rsidR="00175CB1" w:rsidRPr="00FC38EF" w:rsidRDefault="00175CB1" w:rsidP="00706BD1">
            <w:pPr>
              <w:rPr>
                <w:sz w:val="20"/>
                <w:szCs w:val="20"/>
              </w:rPr>
            </w:pPr>
          </w:p>
        </w:tc>
        <w:tc>
          <w:tcPr>
            <w:tcW w:w="2407" w:type="dxa"/>
          </w:tcPr>
          <w:p w:rsidR="00175CB1" w:rsidRPr="00FC38EF" w:rsidRDefault="00175CB1" w:rsidP="00527312">
            <w:pPr>
              <w:pStyle w:val="ListParagraph"/>
              <w:numPr>
                <w:ilvl w:val="0"/>
                <w:numId w:val="17"/>
              </w:numPr>
              <w:rPr>
                <w:sz w:val="20"/>
                <w:szCs w:val="20"/>
              </w:rPr>
            </w:pPr>
            <w:r>
              <w:rPr>
                <w:sz w:val="20"/>
                <w:szCs w:val="20"/>
              </w:rPr>
              <w:t xml:space="preserve">UN-REDD </w:t>
            </w:r>
            <w:r w:rsidRPr="00FC38EF">
              <w:rPr>
                <w:sz w:val="20"/>
                <w:szCs w:val="20"/>
              </w:rPr>
              <w:t>FPIC Guidelines</w:t>
            </w:r>
            <w:r>
              <w:rPr>
                <w:rStyle w:val="FootnoteReference"/>
                <w:sz w:val="20"/>
                <w:szCs w:val="20"/>
              </w:rPr>
              <w:footnoteReference w:id="2"/>
            </w:r>
          </w:p>
        </w:tc>
        <w:tc>
          <w:tcPr>
            <w:tcW w:w="4109" w:type="dxa"/>
          </w:tcPr>
          <w:p w:rsidR="00175CB1" w:rsidRDefault="00175CB1" w:rsidP="00706BD1">
            <w:pPr>
              <w:rPr>
                <w:sz w:val="20"/>
                <w:szCs w:val="20"/>
              </w:rPr>
            </w:pPr>
            <w:r>
              <w:rPr>
                <w:sz w:val="20"/>
                <w:szCs w:val="20"/>
              </w:rPr>
              <w:t>Provides a framework for applying the principle of FPIC at community and national levels; primarily designed for UN-REDD activities but could be adopted in REDD+ PLRs and adapted to national context</w:t>
            </w:r>
          </w:p>
        </w:tc>
      </w:tr>
      <w:tr w:rsidR="0034020B" w:rsidRPr="00FC38EF" w:rsidTr="00261D91">
        <w:trPr>
          <w:trHeight w:val="267"/>
        </w:trPr>
        <w:tc>
          <w:tcPr>
            <w:tcW w:w="1450" w:type="dxa"/>
            <w:vMerge w:val="restart"/>
          </w:tcPr>
          <w:p w:rsidR="0034020B" w:rsidRPr="00FC38EF" w:rsidRDefault="0034020B" w:rsidP="00706BD1">
            <w:pPr>
              <w:rPr>
                <w:b/>
                <w:sz w:val="20"/>
                <w:szCs w:val="20"/>
              </w:rPr>
            </w:pPr>
            <w:r w:rsidRPr="00FC38EF">
              <w:rPr>
                <w:b/>
                <w:sz w:val="20"/>
                <w:szCs w:val="20"/>
              </w:rPr>
              <w:t>2. Defining or developing safeguard policies, laws and regulations</w:t>
            </w:r>
          </w:p>
        </w:tc>
        <w:tc>
          <w:tcPr>
            <w:tcW w:w="1790" w:type="dxa"/>
            <w:vMerge w:val="restart"/>
          </w:tcPr>
          <w:p w:rsidR="0034020B" w:rsidRPr="00FC38EF" w:rsidRDefault="0034020B" w:rsidP="00706BD1">
            <w:pPr>
              <w:rPr>
                <w:sz w:val="20"/>
                <w:szCs w:val="20"/>
              </w:rPr>
            </w:pPr>
            <w:r w:rsidRPr="00FC38EF">
              <w:rPr>
                <w:sz w:val="20"/>
                <w:szCs w:val="20"/>
              </w:rPr>
              <w:t>Gap analysis of existing PLRs</w:t>
            </w:r>
          </w:p>
        </w:tc>
        <w:tc>
          <w:tcPr>
            <w:tcW w:w="2407" w:type="dxa"/>
          </w:tcPr>
          <w:p w:rsidR="0034020B" w:rsidRPr="008F44FE" w:rsidRDefault="000F65C5" w:rsidP="00527312">
            <w:pPr>
              <w:pStyle w:val="ListParagraph"/>
              <w:numPr>
                <w:ilvl w:val="0"/>
                <w:numId w:val="17"/>
              </w:numPr>
              <w:rPr>
                <w:sz w:val="20"/>
                <w:szCs w:val="20"/>
              </w:rPr>
            </w:pPr>
            <w:proofErr w:type="spellStart"/>
            <w:r w:rsidRPr="008F44FE">
              <w:rPr>
                <w:sz w:val="20"/>
                <w:szCs w:val="20"/>
              </w:rPr>
              <w:t>BeRT</w:t>
            </w:r>
            <w:proofErr w:type="spellEnd"/>
          </w:p>
        </w:tc>
        <w:tc>
          <w:tcPr>
            <w:tcW w:w="4109" w:type="dxa"/>
          </w:tcPr>
          <w:p w:rsidR="0034020B" w:rsidRPr="00162CA4" w:rsidRDefault="000F65C5" w:rsidP="00706BD1">
            <w:pPr>
              <w:rPr>
                <w:sz w:val="20"/>
                <w:szCs w:val="20"/>
                <w:highlight w:val="yellow"/>
              </w:rPr>
            </w:pPr>
            <w:r w:rsidRPr="008F44FE">
              <w:rPr>
                <w:sz w:val="20"/>
                <w:szCs w:val="20"/>
              </w:rPr>
              <w:t>Provides a list of questions across a broad range of issues in order to assess existing PLRs</w:t>
            </w:r>
          </w:p>
        </w:tc>
      </w:tr>
      <w:tr w:rsidR="0034020B" w:rsidRPr="00FC38EF" w:rsidTr="00261D91">
        <w:trPr>
          <w:trHeight w:val="235"/>
        </w:trPr>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Pr="00FC38EF" w:rsidRDefault="0034020B" w:rsidP="00527312">
            <w:pPr>
              <w:pStyle w:val="ListParagraph"/>
              <w:numPr>
                <w:ilvl w:val="0"/>
                <w:numId w:val="17"/>
              </w:numPr>
              <w:rPr>
                <w:sz w:val="20"/>
                <w:szCs w:val="20"/>
              </w:rPr>
            </w:pPr>
            <w:r w:rsidRPr="00FC38EF">
              <w:rPr>
                <w:sz w:val="20"/>
                <w:szCs w:val="20"/>
              </w:rPr>
              <w:t>PGA</w:t>
            </w:r>
          </w:p>
        </w:tc>
        <w:tc>
          <w:tcPr>
            <w:tcW w:w="4109" w:type="dxa"/>
          </w:tcPr>
          <w:p w:rsidR="0034020B" w:rsidRPr="000C241F" w:rsidRDefault="0034020B" w:rsidP="00706BD1">
            <w:pPr>
              <w:rPr>
                <w:sz w:val="20"/>
                <w:szCs w:val="20"/>
              </w:rPr>
            </w:pPr>
            <w:r>
              <w:rPr>
                <w:sz w:val="20"/>
                <w:szCs w:val="20"/>
              </w:rPr>
              <w:t>Provides a process for participatory evaluation of governance systems relevant to REDD+</w:t>
            </w:r>
          </w:p>
        </w:tc>
      </w:tr>
      <w:tr w:rsidR="0034020B" w:rsidRPr="008F44FE" w:rsidTr="00261D91">
        <w:trPr>
          <w:trHeight w:val="1021"/>
        </w:trPr>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Pr="008F44FE" w:rsidRDefault="000F65C5" w:rsidP="00261D91">
            <w:pPr>
              <w:pStyle w:val="ListParagraph"/>
              <w:numPr>
                <w:ilvl w:val="0"/>
                <w:numId w:val="17"/>
              </w:numPr>
              <w:rPr>
                <w:rFonts w:eastAsiaTheme="minorHAnsi"/>
                <w:sz w:val="20"/>
                <w:szCs w:val="20"/>
              </w:rPr>
            </w:pPr>
            <w:r w:rsidRPr="008F44FE">
              <w:rPr>
                <w:sz w:val="20"/>
                <w:szCs w:val="20"/>
              </w:rPr>
              <w:t>Draft Guidance on Conducting REDD+ Corruption Risk Assessment</w:t>
            </w:r>
            <w:r w:rsidRPr="008F44FE">
              <w:rPr>
                <w:color w:val="1F497D"/>
                <w:sz w:val="20"/>
                <w:szCs w:val="20"/>
              </w:rPr>
              <w:t xml:space="preserve"> </w:t>
            </w:r>
          </w:p>
        </w:tc>
        <w:tc>
          <w:tcPr>
            <w:tcW w:w="4109" w:type="dxa"/>
          </w:tcPr>
          <w:p w:rsidR="0034020B" w:rsidRPr="008F44FE" w:rsidRDefault="000F65C5" w:rsidP="00706BD1">
            <w:pPr>
              <w:rPr>
                <w:rFonts w:eastAsiaTheme="minorHAnsi"/>
                <w:sz w:val="20"/>
                <w:szCs w:val="20"/>
              </w:rPr>
            </w:pPr>
            <w:r w:rsidRPr="008F44FE">
              <w:rPr>
                <w:sz w:val="20"/>
                <w:szCs w:val="20"/>
              </w:rPr>
              <w:t xml:space="preserve">Provides a more detailed framework (compared to </w:t>
            </w:r>
            <w:proofErr w:type="spellStart"/>
            <w:r w:rsidRPr="008F44FE">
              <w:rPr>
                <w:sz w:val="20"/>
                <w:szCs w:val="20"/>
              </w:rPr>
              <w:t>BeRT</w:t>
            </w:r>
            <w:proofErr w:type="spellEnd"/>
            <w:r w:rsidRPr="008F44FE">
              <w:rPr>
                <w:sz w:val="20"/>
                <w:szCs w:val="20"/>
              </w:rPr>
              <w:t>) for assessing corruption risks in REDD+</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val="restart"/>
          </w:tcPr>
          <w:p w:rsidR="0034020B" w:rsidRPr="008F44FE" w:rsidRDefault="0034020B" w:rsidP="00706BD1">
            <w:pPr>
              <w:rPr>
                <w:sz w:val="20"/>
                <w:szCs w:val="20"/>
              </w:rPr>
            </w:pPr>
            <w:r w:rsidRPr="008F44FE">
              <w:rPr>
                <w:sz w:val="20"/>
                <w:szCs w:val="20"/>
              </w:rPr>
              <w:t>Development of new PLRs (if necessary)</w:t>
            </w:r>
          </w:p>
        </w:tc>
        <w:tc>
          <w:tcPr>
            <w:tcW w:w="2407" w:type="dxa"/>
          </w:tcPr>
          <w:p w:rsidR="0034020B" w:rsidRPr="008F44FE" w:rsidRDefault="008F44FE" w:rsidP="00527312">
            <w:pPr>
              <w:pStyle w:val="ListParagraph"/>
              <w:numPr>
                <w:ilvl w:val="0"/>
                <w:numId w:val="16"/>
              </w:numPr>
              <w:rPr>
                <w:sz w:val="20"/>
                <w:szCs w:val="20"/>
              </w:rPr>
            </w:pPr>
            <w:r w:rsidRPr="008F44FE">
              <w:rPr>
                <w:sz w:val="20"/>
                <w:szCs w:val="20"/>
              </w:rPr>
              <w:t xml:space="preserve">UN-REDD </w:t>
            </w:r>
            <w:r w:rsidR="000F65C5" w:rsidRPr="008F44FE">
              <w:rPr>
                <w:sz w:val="20"/>
                <w:szCs w:val="20"/>
              </w:rPr>
              <w:t>FPIC Guidelines</w:t>
            </w:r>
          </w:p>
          <w:p w:rsidR="0034020B" w:rsidRPr="008F44FE" w:rsidRDefault="0034020B" w:rsidP="00706BD1">
            <w:pPr>
              <w:pStyle w:val="ListParagraph"/>
              <w:ind w:left="360"/>
              <w:rPr>
                <w:sz w:val="20"/>
                <w:szCs w:val="20"/>
              </w:rPr>
            </w:pPr>
          </w:p>
        </w:tc>
        <w:tc>
          <w:tcPr>
            <w:tcW w:w="4109" w:type="dxa"/>
          </w:tcPr>
          <w:p w:rsidR="0034020B" w:rsidRPr="00162CA4" w:rsidRDefault="000F65C5" w:rsidP="00706BD1">
            <w:pPr>
              <w:rPr>
                <w:sz w:val="20"/>
                <w:szCs w:val="20"/>
                <w:highlight w:val="yellow"/>
              </w:rPr>
            </w:pPr>
            <w:r w:rsidRPr="008F44FE">
              <w:rPr>
                <w:sz w:val="20"/>
                <w:szCs w:val="20"/>
              </w:rPr>
              <w:t>Provides a framework for applying the principle of FPIC at community and national levels; primarily designed for UN-REDD activities but could be adopted in REDD+ PLRs and adapted to national context</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Pr="008F44FE" w:rsidRDefault="000F65C5" w:rsidP="00527312">
            <w:pPr>
              <w:pStyle w:val="ListParagraph"/>
              <w:numPr>
                <w:ilvl w:val="0"/>
                <w:numId w:val="16"/>
              </w:numPr>
              <w:rPr>
                <w:sz w:val="20"/>
                <w:szCs w:val="20"/>
              </w:rPr>
            </w:pPr>
            <w:r w:rsidRPr="008F44FE">
              <w:rPr>
                <w:sz w:val="20"/>
                <w:szCs w:val="20"/>
              </w:rPr>
              <w:t>Guidelines on Strengthening/Establishing National-Level Grievance Mechanisms</w:t>
            </w:r>
          </w:p>
        </w:tc>
        <w:tc>
          <w:tcPr>
            <w:tcW w:w="4109" w:type="dxa"/>
          </w:tcPr>
          <w:p w:rsidR="0034020B" w:rsidRPr="008F44FE" w:rsidRDefault="006A766B" w:rsidP="00706BD1">
            <w:pPr>
              <w:rPr>
                <w:sz w:val="20"/>
                <w:szCs w:val="20"/>
              </w:rPr>
            </w:pPr>
            <w:r>
              <w:rPr>
                <w:sz w:val="20"/>
                <w:szCs w:val="20"/>
              </w:rPr>
              <w:t xml:space="preserve">Provides guidance on how to assess and strengthen existing PLRs and institutional capacity to address REDD+ related grievances </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Pr="008F44FE" w:rsidRDefault="000F65C5" w:rsidP="00527312">
            <w:pPr>
              <w:pStyle w:val="ListParagraph"/>
              <w:numPr>
                <w:ilvl w:val="0"/>
                <w:numId w:val="16"/>
              </w:numPr>
              <w:rPr>
                <w:rFonts w:eastAsiaTheme="minorHAnsi"/>
                <w:sz w:val="20"/>
                <w:szCs w:val="20"/>
              </w:rPr>
            </w:pPr>
            <w:r w:rsidRPr="008F44FE">
              <w:rPr>
                <w:sz w:val="20"/>
                <w:szCs w:val="20"/>
              </w:rPr>
              <w:t>LEG-REDD+</w:t>
            </w:r>
          </w:p>
        </w:tc>
        <w:tc>
          <w:tcPr>
            <w:tcW w:w="4109" w:type="dxa"/>
          </w:tcPr>
          <w:p w:rsidR="00340A82" w:rsidRDefault="00340A82" w:rsidP="00340A82">
            <w:pPr>
              <w:rPr>
                <w:sz w:val="20"/>
                <w:szCs w:val="20"/>
              </w:rPr>
            </w:pPr>
            <w:r>
              <w:rPr>
                <w:sz w:val="20"/>
                <w:szCs w:val="20"/>
              </w:rPr>
              <w:t>Provides a participatory law development methodology for formulating legal and policy reforms and drafting new PLRs in response to REDD+</w:t>
            </w:r>
          </w:p>
          <w:p w:rsidR="0034020B" w:rsidRPr="008F44FE" w:rsidRDefault="0034020B" w:rsidP="00706BD1">
            <w:pPr>
              <w:rPr>
                <w:rFonts w:eastAsiaTheme="minorHAnsi"/>
                <w:sz w:val="20"/>
                <w:szCs w:val="20"/>
              </w:rPr>
            </w:pPr>
          </w:p>
        </w:tc>
      </w:tr>
      <w:tr w:rsidR="0034020B" w:rsidRPr="00FC38EF" w:rsidTr="00261D91">
        <w:tc>
          <w:tcPr>
            <w:tcW w:w="1450" w:type="dxa"/>
            <w:vMerge w:val="restart"/>
          </w:tcPr>
          <w:p w:rsidR="0034020B" w:rsidRPr="00FC38EF" w:rsidRDefault="0034020B" w:rsidP="00706BD1">
            <w:pPr>
              <w:rPr>
                <w:b/>
                <w:sz w:val="20"/>
                <w:szCs w:val="20"/>
              </w:rPr>
            </w:pPr>
            <w:r w:rsidRPr="00FC38EF">
              <w:rPr>
                <w:b/>
                <w:sz w:val="20"/>
                <w:szCs w:val="20"/>
              </w:rPr>
              <w:t>3. SIS</w:t>
            </w:r>
          </w:p>
        </w:tc>
        <w:tc>
          <w:tcPr>
            <w:tcW w:w="1790" w:type="dxa"/>
          </w:tcPr>
          <w:p w:rsidR="0034020B" w:rsidRPr="00FC38EF" w:rsidRDefault="0034020B" w:rsidP="00706BD1">
            <w:pPr>
              <w:rPr>
                <w:sz w:val="20"/>
                <w:szCs w:val="20"/>
              </w:rPr>
            </w:pPr>
            <w:r>
              <w:rPr>
                <w:sz w:val="20"/>
                <w:szCs w:val="20"/>
              </w:rPr>
              <w:t>Gap analysis of existing information systems</w:t>
            </w:r>
          </w:p>
        </w:tc>
        <w:tc>
          <w:tcPr>
            <w:tcW w:w="2407" w:type="dxa"/>
          </w:tcPr>
          <w:p w:rsidR="0034020B" w:rsidRPr="00FC38EF" w:rsidRDefault="0034020B" w:rsidP="00527312">
            <w:pPr>
              <w:pStyle w:val="ListParagraph"/>
              <w:numPr>
                <w:ilvl w:val="0"/>
                <w:numId w:val="16"/>
              </w:numPr>
              <w:rPr>
                <w:sz w:val="20"/>
                <w:szCs w:val="20"/>
              </w:rPr>
            </w:pPr>
            <w:r w:rsidRPr="00FC38EF">
              <w:rPr>
                <w:sz w:val="20"/>
                <w:szCs w:val="20"/>
              </w:rPr>
              <w:t>PGAs</w:t>
            </w:r>
          </w:p>
        </w:tc>
        <w:tc>
          <w:tcPr>
            <w:tcW w:w="4109" w:type="dxa"/>
          </w:tcPr>
          <w:p w:rsidR="0034020B" w:rsidRDefault="0034020B" w:rsidP="00B62362">
            <w:pPr>
              <w:rPr>
                <w:sz w:val="20"/>
                <w:szCs w:val="20"/>
              </w:rPr>
            </w:pPr>
            <w:r>
              <w:rPr>
                <w:sz w:val="20"/>
                <w:szCs w:val="20"/>
              </w:rPr>
              <w:t>Provides a process through which existing governance and social information systems can be evaluated using a participatory approach (although it is not specifically designed to do this)</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val="restart"/>
          </w:tcPr>
          <w:p w:rsidR="0034020B" w:rsidRPr="00FC38EF" w:rsidRDefault="0034020B" w:rsidP="00706BD1">
            <w:pPr>
              <w:rPr>
                <w:sz w:val="20"/>
                <w:szCs w:val="20"/>
              </w:rPr>
            </w:pPr>
            <w:r w:rsidRPr="00FC38EF">
              <w:rPr>
                <w:sz w:val="20"/>
                <w:szCs w:val="20"/>
              </w:rPr>
              <w:t>Indicators</w:t>
            </w:r>
          </w:p>
        </w:tc>
        <w:tc>
          <w:tcPr>
            <w:tcW w:w="2407" w:type="dxa"/>
          </w:tcPr>
          <w:p w:rsidR="0034020B" w:rsidRPr="00FC38EF" w:rsidRDefault="0034020B" w:rsidP="00527312">
            <w:pPr>
              <w:pStyle w:val="ListParagraph"/>
              <w:numPr>
                <w:ilvl w:val="0"/>
                <w:numId w:val="16"/>
              </w:numPr>
              <w:rPr>
                <w:sz w:val="20"/>
                <w:szCs w:val="20"/>
              </w:rPr>
            </w:pPr>
            <w:r w:rsidRPr="00FC38EF">
              <w:rPr>
                <w:sz w:val="20"/>
                <w:szCs w:val="20"/>
              </w:rPr>
              <w:t>PGAs</w:t>
            </w:r>
          </w:p>
        </w:tc>
        <w:tc>
          <w:tcPr>
            <w:tcW w:w="4109" w:type="dxa"/>
          </w:tcPr>
          <w:p w:rsidR="0034020B" w:rsidRPr="000C241F" w:rsidRDefault="0034020B" w:rsidP="00706BD1">
            <w:pPr>
              <w:rPr>
                <w:sz w:val="20"/>
                <w:szCs w:val="20"/>
              </w:rPr>
            </w:pPr>
            <w:r>
              <w:rPr>
                <w:sz w:val="20"/>
                <w:szCs w:val="20"/>
              </w:rPr>
              <w:t>Provides a framework for developing governance indicators for REDD+ schemes through a participatory approach</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Pr="008F44FE" w:rsidRDefault="000F65C5" w:rsidP="00527312">
            <w:pPr>
              <w:pStyle w:val="ListParagraph"/>
              <w:numPr>
                <w:ilvl w:val="0"/>
                <w:numId w:val="16"/>
              </w:numPr>
              <w:rPr>
                <w:rFonts w:eastAsiaTheme="minorHAnsi"/>
                <w:sz w:val="20"/>
                <w:szCs w:val="20"/>
              </w:rPr>
            </w:pPr>
            <w:r w:rsidRPr="008F44FE">
              <w:rPr>
                <w:sz w:val="20"/>
                <w:szCs w:val="20"/>
              </w:rPr>
              <w:t>Framework for assessing and monitoring forest governance</w:t>
            </w:r>
          </w:p>
        </w:tc>
        <w:tc>
          <w:tcPr>
            <w:tcW w:w="4109" w:type="dxa"/>
          </w:tcPr>
          <w:p w:rsidR="0034020B" w:rsidRPr="008F44FE" w:rsidRDefault="000F65C5" w:rsidP="00706BD1">
            <w:pPr>
              <w:rPr>
                <w:rFonts w:eastAsiaTheme="minorHAnsi"/>
                <w:sz w:val="20"/>
                <w:szCs w:val="20"/>
              </w:rPr>
            </w:pPr>
            <w:r w:rsidRPr="008F44FE">
              <w:rPr>
                <w:sz w:val="20"/>
                <w:szCs w:val="20"/>
              </w:rPr>
              <w:t>Provides a tool for designing robust and comprehensive sets of governance indicators</w:t>
            </w:r>
          </w:p>
        </w:tc>
        <w:bookmarkStart w:id="14" w:name="_GoBack"/>
        <w:bookmarkEnd w:id="14"/>
      </w:tr>
      <w:tr w:rsidR="0034020B" w:rsidRPr="00FC38EF" w:rsidTr="00261D91">
        <w:tc>
          <w:tcPr>
            <w:tcW w:w="1450" w:type="dxa"/>
            <w:vMerge/>
          </w:tcPr>
          <w:p w:rsidR="0034020B" w:rsidRPr="00FC38EF" w:rsidRDefault="0034020B" w:rsidP="00706BD1">
            <w:pPr>
              <w:rPr>
                <w:b/>
                <w:sz w:val="20"/>
                <w:szCs w:val="20"/>
              </w:rPr>
            </w:pPr>
          </w:p>
        </w:tc>
        <w:tc>
          <w:tcPr>
            <w:tcW w:w="1790" w:type="dxa"/>
            <w:vMerge w:val="restart"/>
          </w:tcPr>
          <w:p w:rsidR="0034020B" w:rsidRPr="00FC38EF" w:rsidRDefault="0034020B" w:rsidP="00706BD1">
            <w:pPr>
              <w:rPr>
                <w:sz w:val="20"/>
                <w:szCs w:val="20"/>
              </w:rPr>
            </w:pPr>
            <w:r w:rsidRPr="00FC38EF">
              <w:rPr>
                <w:sz w:val="20"/>
                <w:szCs w:val="20"/>
              </w:rPr>
              <w:t>Methodologies for collection of information</w:t>
            </w:r>
          </w:p>
        </w:tc>
        <w:tc>
          <w:tcPr>
            <w:tcW w:w="2407" w:type="dxa"/>
          </w:tcPr>
          <w:p w:rsidR="0034020B" w:rsidRPr="000C241F" w:rsidRDefault="0034020B" w:rsidP="00527312">
            <w:pPr>
              <w:pStyle w:val="ListParagraph"/>
              <w:numPr>
                <w:ilvl w:val="0"/>
                <w:numId w:val="16"/>
              </w:numPr>
              <w:rPr>
                <w:sz w:val="20"/>
                <w:szCs w:val="20"/>
              </w:rPr>
            </w:pPr>
            <w:r>
              <w:rPr>
                <w:sz w:val="20"/>
                <w:szCs w:val="20"/>
              </w:rPr>
              <w:t xml:space="preserve">Draft Guidelines </w:t>
            </w:r>
            <w:r w:rsidRPr="00FC38EF">
              <w:rPr>
                <w:sz w:val="20"/>
                <w:szCs w:val="20"/>
              </w:rPr>
              <w:t xml:space="preserve">for monitoring the impacts of REDD+ on biodiversity </w:t>
            </w:r>
            <w:r w:rsidRPr="00FC38EF">
              <w:rPr>
                <w:sz w:val="20"/>
                <w:szCs w:val="20"/>
              </w:rPr>
              <w:lastRenderedPageBreak/>
              <w:t>and ecosystem services</w:t>
            </w:r>
          </w:p>
        </w:tc>
        <w:tc>
          <w:tcPr>
            <w:tcW w:w="4109" w:type="dxa"/>
          </w:tcPr>
          <w:p w:rsidR="0034020B" w:rsidRPr="000C241F" w:rsidRDefault="0034020B" w:rsidP="00706BD1">
            <w:pPr>
              <w:rPr>
                <w:sz w:val="20"/>
                <w:szCs w:val="20"/>
              </w:rPr>
            </w:pPr>
            <w:r>
              <w:rPr>
                <w:sz w:val="20"/>
                <w:szCs w:val="20"/>
              </w:rPr>
              <w:lastRenderedPageBreak/>
              <w:t>Provides draft guidelines that could be used by government in establishing aspects of the SIS that are relevant to biodiversity</w:t>
            </w:r>
          </w:p>
        </w:tc>
      </w:tr>
      <w:tr w:rsidR="0034020B" w:rsidRPr="00FC38EF" w:rsidTr="00261D91">
        <w:tc>
          <w:tcPr>
            <w:tcW w:w="1450" w:type="dxa"/>
            <w:vMerge/>
          </w:tcPr>
          <w:p w:rsidR="0034020B" w:rsidRPr="00FC38EF" w:rsidRDefault="0034020B" w:rsidP="00706BD1">
            <w:pPr>
              <w:rPr>
                <w:b/>
                <w:sz w:val="20"/>
                <w:szCs w:val="20"/>
              </w:rPr>
            </w:pPr>
          </w:p>
        </w:tc>
        <w:tc>
          <w:tcPr>
            <w:tcW w:w="1790" w:type="dxa"/>
            <w:vMerge/>
          </w:tcPr>
          <w:p w:rsidR="0034020B" w:rsidRPr="00FC38EF" w:rsidRDefault="0034020B" w:rsidP="00706BD1">
            <w:pPr>
              <w:rPr>
                <w:sz w:val="20"/>
                <w:szCs w:val="20"/>
              </w:rPr>
            </w:pPr>
          </w:p>
        </w:tc>
        <w:tc>
          <w:tcPr>
            <w:tcW w:w="2407" w:type="dxa"/>
          </w:tcPr>
          <w:p w:rsidR="0034020B" w:rsidRDefault="0034020B" w:rsidP="00527312">
            <w:pPr>
              <w:pStyle w:val="ListParagraph"/>
              <w:numPr>
                <w:ilvl w:val="0"/>
                <w:numId w:val="16"/>
              </w:numPr>
              <w:rPr>
                <w:sz w:val="20"/>
                <w:szCs w:val="20"/>
              </w:rPr>
            </w:pPr>
            <w:r>
              <w:rPr>
                <w:sz w:val="20"/>
                <w:szCs w:val="20"/>
              </w:rPr>
              <w:t>Draft manual on the collection of forest governance data</w:t>
            </w:r>
          </w:p>
        </w:tc>
        <w:tc>
          <w:tcPr>
            <w:tcW w:w="4109" w:type="dxa"/>
          </w:tcPr>
          <w:p w:rsidR="0034020B" w:rsidRDefault="0034020B" w:rsidP="00706BD1">
            <w:pPr>
              <w:rPr>
                <w:sz w:val="20"/>
                <w:szCs w:val="20"/>
              </w:rPr>
            </w:pPr>
            <w:r>
              <w:rPr>
                <w:sz w:val="20"/>
                <w:szCs w:val="20"/>
              </w:rPr>
              <w:t>Provides a range of practical considerations, methods and available resources for collecting governance data</w:t>
            </w:r>
          </w:p>
        </w:tc>
      </w:tr>
      <w:tr w:rsidR="0034020B" w:rsidRPr="00FC38EF" w:rsidTr="00261D91">
        <w:tc>
          <w:tcPr>
            <w:tcW w:w="1450" w:type="dxa"/>
            <w:vMerge/>
          </w:tcPr>
          <w:p w:rsidR="0034020B" w:rsidRPr="00FC38EF" w:rsidRDefault="0034020B" w:rsidP="00706BD1">
            <w:pPr>
              <w:rPr>
                <w:b/>
                <w:sz w:val="20"/>
                <w:szCs w:val="20"/>
              </w:rPr>
            </w:pPr>
          </w:p>
        </w:tc>
        <w:tc>
          <w:tcPr>
            <w:tcW w:w="1790" w:type="dxa"/>
          </w:tcPr>
          <w:p w:rsidR="0034020B" w:rsidRPr="00FC38EF" w:rsidRDefault="0034020B" w:rsidP="00706BD1">
            <w:pPr>
              <w:rPr>
                <w:sz w:val="20"/>
                <w:szCs w:val="20"/>
              </w:rPr>
            </w:pPr>
            <w:r w:rsidRPr="00FC38EF">
              <w:rPr>
                <w:sz w:val="20"/>
                <w:szCs w:val="20"/>
              </w:rPr>
              <w:t>Framework for provision of information</w:t>
            </w:r>
          </w:p>
        </w:tc>
        <w:tc>
          <w:tcPr>
            <w:tcW w:w="2407" w:type="dxa"/>
          </w:tcPr>
          <w:p w:rsidR="0034020B" w:rsidRDefault="0034020B" w:rsidP="00706BD1">
            <w:pPr>
              <w:pStyle w:val="ListParagraph"/>
              <w:ind w:left="360"/>
              <w:rPr>
                <w:sz w:val="20"/>
                <w:szCs w:val="20"/>
              </w:rPr>
            </w:pPr>
          </w:p>
        </w:tc>
        <w:tc>
          <w:tcPr>
            <w:tcW w:w="4109" w:type="dxa"/>
          </w:tcPr>
          <w:p w:rsidR="0034020B" w:rsidRPr="00FC38EF" w:rsidRDefault="0034020B" w:rsidP="00706BD1">
            <w:pPr>
              <w:rPr>
                <w:sz w:val="20"/>
                <w:szCs w:val="20"/>
              </w:rPr>
            </w:pPr>
          </w:p>
        </w:tc>
      </w:tr>
    </w:tbl>
    <w:p w:rsidR="0034020B" w:rsidRDefault="0034020B">
      <w:pPr>
        <w:rPr>
          <w:rFonts w:cstheme="minorHAnsi"/>
        </w:rPr>
      </w:pPr>
    </w:p>
    <w:p w:rsidR="005D61E4" w:rsidRDefault="005D61E4" w:rsidP="005D61E4">
      <w:pPr>
        <w:pStyle w:val="Heading2"/>
      </w:pPr>
      <w:r>
        <w:t>Planning tool for activities on safeguards</w:t>
      </w:r>
    </w:p>
    <w:p w:rsidR="005D61E4" w:rsidRDefault="005D61E4" w:rsidP="005D61E4">
      <w:pPr>
        <w:rPr>
          <w:rFonts w:cstheme="minorHAnsi"/>
        </w:rPr>
      </w:pPr>
    </w:p>
    <w:p w:rsidR="005D61E4" w:rsidRDefault="005D61E4" w:rsidP="005D61E4">
      <w:pPr>
        <w:rPr>
          <w:rFonts w:cstheme="minorHAnsi"/>
        </w:rPr>
      </w:pPr>
      <w:r>
        <w:rPr>
          <w:rFonts w:cstheme="minorHAnsi"/>
        </w:rPr>
        <w:t>Th</w:t>
      </w:r>
      <w:r w:rsidR="00261D91">
        <w:rPr>
          <w:rFonts w:cstheme="minorHAnsi"/>
        </w:rPr>
        <w:t>is</w:t>
      </w:r>
      <w:r>
        <w:rPr>
          <w:rFonts w:cstheme="minorHAnsi"/>
        </w:rPr>
        <w:t xml:space="preserve"> framework can also be used as a tool in itself,</w:t>
      </w:r>
      <w:r w:rsidR="00261D91">
        <w:rPr>
          <w:rFonts w:cstheme="minorHAnsi"/>
        </w:rPr>
        <w:t xml:space="preserve"> as it</w:t>
      </w:r>
      <w:r>
        <w:rPr>
          <w:rFonts w:cstheme="minorHAnsi"/>
        </w:rPr>
        <w:t xml:space="preserve"> can </w:t>
      </w:r>
      <w:r w:rsidR="00261D91">
        <w:rPr>
          <w:rFonts w:cstheme="minorHAnsi"/>
        </w:rPr>
        <w:t xml:space="preserve">inform the </w:t>
      </w:r>
      <w:r>
        <w:rPr>
          <w:rFonts w:cstheme="minorHAnsi"/>
        </w:rPr>
        <w:t>design a comprehensive package of activities on safeguards at the co</w:t>
      </w:r>
      <w:r w:rsidR="00E97759">
        <w:rPr>
          <w:rFonts w:cstheme="minorHAnsi"/>
        </w:rPr>
        <w:t>untry level. For example, it could</w:t>
      </w:r>
      <w:r>
        <w:rPr>
          <w:rFonts w:cstheme="minorHAnsi"/>
        </w:rPr>
        <w:t xml:space="preserve"> be used to develop work plans for the sequence of activities needed to implement the safeguards sections of National Programme Documents.</w:t>
      </w:r>
    </w:p>
    <w:p w:rsidR="005D61E4" w:rsidRDefault="005D61E4" w:rsidP="005D61E4">
      <w:pPr>
        <w:pStyle w:val="Heading2"/>
      </w:pPr>
      <w:r>
        <w:t>Guiding the development or</w:t>
      </w:r>
      <w:r w:rsidR="004931FD">
        <w:t xml:space="preserve"> improvemen</w:t>
      </w:r>
      <w:r w:rsidR="0034020B">
        <w:t xml:space="preserve">t </w:t>
      </w:r>
      <w:r w:rsidR="00261D91">
        <w:t>of</w:t>
      </w:r>
      <w:r>
        <w:t xml:space="preserve"> UN-REDD tools</w:t>
      </w:r>
    </w:p>
    <w:p w:rsidR="0034020B" w:rsidRDefault="0034020B"/>
    <w:p w:rsidR="0034020B" w:rsidRDefault="005D61E4">
      <w:r>
        <w:t xml:space="preserve">As outlined above, existing tools do not cover all </w:t>
      </w:r>
      <w:r w:rsidR="00DB6B14">
        <w:t xml:space="preserve">of </w:t>
      </w:r>
      <w:r>
        <w:t>the possible</w:t>
      </w:r>
      <w:r w:rsidR="00DB6B14">
        <w:t xml:space="preserve"> needs of countries in developing REDD+ safeguards. The framework can be used as a guide to:</w:t>
      </w:r>
    </w:p>
    <w:p w:rsidR="0034020B" w:rsidRDefault="0034020B"/>
    <w:p w:rsidR="0034020B" w:rsidRDefault="00985FEF" w:rsidP="004931FD">
      <w:pPr>
        <w:pStyle w:val="ListParagraph"/>
        <w:numPr>
          <w:ilvl w:val="0"/>
          <w:numId w:val="16"/>
        </w:numPr>
      </w:pPr>
      <w:r>
        <w:t xml:space="preserve">Reform existing </w:t>
      </w:r>
      <w:r w:rsidR="00DB6B14">
        <w:t>tools so they help to better fulfill the functions described in the framework</w:t>
      </w:r>
      <w:r w:rsidR="00E97759">
        <w:t xml:space="preserve"> (e.g. the SEPC</w:t>
      </w:r>
      <w:r w:rsidR="0034020B">
        <w:t>)</w:t>
      </w:r>
    </w:p>
    <w:p w:rsidR="008F44FE" w:rsidRDefault="008F44FE" w:rsidP="004931FD">
      <w:pPr>
        <w:pStyle w:val="ListParagraph"/>
        <w:numPr>
          <w:ilvl w:val="0"/>
          <w:numId w:val="16"/>
        </w:numPr>
      </w:pPr>
      <w:r>
        <w:t xml:space="preserve">Analyzing any duplication of tools and streamlining </w:t>
      </w:r>
    </w:p>
    <w:p w:rsidR="004931FD" w:rsidRDefault="00DB6B14" w:rsidP="004931FD">
      <w:pPr>
        <w:pStyle w:val="ListParagraph"/>
        <w:numPr>
          <w:ilvl w:val="0"/>
          <w:numId w:val="16"/>
        </w:numPr>
      </w:pPr>
      <w:r>
        <w:t>Develop new tools to fill gaps</w:t>
      </w:r>
      <w:r w:rsidR="00E97759">
        <w:t xml:space="preserve"> </w:t>
      </w:r>
    </w:p>
    <w:p w:rsidR="0034020B" w:rsidRDefault="005D61E4" w:rsidP="004931FD">
      <w:pPr>
        <w:pStyle w:val="ListParagraph"/>
        <w:numPr>
          <w:ilvl w:val="0"/>
          <w:numId w:val="16"/>
        </w:numPr>
      </w:pPr>
      <w:r>
        <w:t>Better understand how UN-REDD tools link to instruments used by countries or other agencies</w:t>
      </w:r>
      <w:r w:rsidR="00E97759">
        <w:t xml:space="preserve"> (e.g. World Bank and REDD+ SES)</w:t>
      </w:r>
      <w:r w:rsidR="00DB6B14">
        <w:t>, in order not to duplicate efforts during further development/re</w:t>
      </w:r>
      <w:r w:rsidR="008F44FE">
        <w:t>vision</w:t>
      </w:r>
      <w:r w:rsidR="00DB6B14">
        <w:t xml:space="preserve"> of tools</w:t>
      </w:r>
    </w:p>
    <w:p w:rsidR="0034020B" w:rsidRDefault="0034020B">
      <w:pPr>
        <w:pStyle w:val="Heading2"/>
        <w:numPr>
          <w:ilvl w:val="0"/>
          <w:numId w:val="0"/>
        </w:numPr>
        <w:ind w:left="576"/>
      </w:pPr>
    </w:p>
    <w:sectPr w:rsidR="0034020B" w:rsidSect="00C71A5D">
      <w:headerReference w:type="default" r:id="rId8"/>
      <w:footerReference w:type="default" r:id="rId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9F2" w:rsidRDefault="008949F2" w:rsidP="00983643">
      <w:r>
        <w:separator/>
      </w:r>
    </w:p>
  </w:endnote>
  <w:endnote w:type="continuationSeparator" w:id="0">
    <w:p w:rsidR="008949F2" w:rsidRDefault="008949F2" w:rsidP="0098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7187"/>
      <w:docPartObj>
        <w:docPartGallery w:val="Page Numbers (Bottom of Page)"/>
        <w:docPartUnique/>
      </w:docPartObj>
    </w:sdtPr>
    <w:sdtContent>
      <w:p w:rsidR="00DE68DF" w:rsidRDefault="00C321DF">
        <w:pPr>
          <w:pStyle w:val="Footer"/>
          <w:jc w:val="center"/>
        </w:pPr>
        <w:r>
          <w:fldChar w:fldCharType="begin"/>
        </w:r>
        <w:r w:rsidR="00DE68DF">
          <w:instrText xml:space="preserve"> PAGE   \* MERGEFORMAT </w:instrText>
        </w:r>
        <w:r>
          <w:fldChar w:fldCharType="separate"/>
        </w:r>
        <w:r w:rsidR="00F31364">
          <w:rPr>
            <w:noProof/>
          </w:rPr>
          <w:t>1</w:t>
        </w:r>
        <w:r>
          <w:rPr>
            <w:noProof/>
          </w:rPr>
          <w:fldChar w:fldCharType="end"/>
        </w:r>
      </w:p>
    </w:sdtContent>
  </w:sdt>
  <w:p w:rsidR="00DE68DF" w:rsidRDefault="00DE6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9F2" w:rsidRDefault="008949F2" w:rsidP="00983643">
      <w:r>
        <w:separator/>
      </w:r>
    </w:p>
  </w:footnote>
  <w:footnote w:type="continuationSeparator" w:id="0">
    <w:p w:rsidR="008949F2" w:rsidRDefault="008949F2" w:rsidP="00983643">
      <w:r>
        <w:continuationSeparator/>
      </w:r>
    </w:p>
  </w:footnote>
  <w:footnote w:id="1">
    <w:p w:rsidR="00175CB1" w:rsidRDefault="00175CB1">
      <w:pPr>
        <w:pStyle w:val="FootnoteText"/>
      </w:pPr>
      <w:r>
        <w:rPr>
          <w:rStyle w:val="FootnoteReference"/>
        </w:rPr>
        <w:footnoteRef/>
      </w:r>
      <w:r>
        <w:t xml:space="preserve"> These</w:t>
      </w:r>
      <w:r w:rsidRPr="00E51361">
        <w:t xml:space="preserve"> </w:t>
      </w:r>
      <w:r>
        <w:t>G</w:t>
      </w:r>
      <w:r w:rsidRPr="00E51361">
        <w:t xml:space="preserve">uidelines are </w:t>
      </w:r>
      <w:r>
        <w:t xml:space="preserve">most </w:t>
      </w:r>
      <w:r w:rsidRPr="00E51361">
        <w:t xml:space="preserve">useful </w:t>
      </w:r>
      <w:r>
        <w:t xml:space="preserve">when applied from the beginning and throughout </w:t>
      </w:r>
      <w:r w:rsidRPr="00E51361">
        <w:t>all stages in the development of co</w:t>
      </w:r>
      <w:r>
        <w:t>untry approaches to safeguards.</w:t>
      </w:r>
    </w:p>
  </w:footnote>
  <w:footnote w:id="2">
    <w:p w:rsidR="00175CB1" w:rsidRPr="00E51361" w:rsidRDefault="00175CB1" w:rsidP="00175CB1">
      <w:pPr>
        <w:pStyle w:val="FootnoteText"/>
      </w:pPr>
      <w:r w:rsidRPr="00E51361">
        <w:rPr>
          <w:rStyle w:val="FootnoteReference"/>
        </w:rPr>
        <w:footnoteRef/>
      </w:r>
      <w:r w:rsidRPr="00E51361">
        <w:t xml:space="preserve"> </w:t>
      </w:r>
      <w:r>
        <w:t>These</w:t>
      </w:r>
      <w:r w:rsidRPr="00E51361">
        <w:t xml:space="preserve"> </w:t>
      </w:r>
      <w:r>
        <w:t>G</w:t>
      </w:r>
      <w:r w:rsidRPr="00E51361">
        <w:t xml:space="preserve">uidelines are </w:t>
      </w:r>
      <w:r>
        <w:t xml:space="preserve">most </w:t>
      </w:r>
      <w:r w:rsidRPr="00E51361">
        <w:t xml:space="preserve">useful </w:t>
      </w:r>
      <w:r>
        <w:t xml:space="preserve">when applied from the beginning and throughout </w:t>
      </w:r>
      <w:r w:rsidRPr="00E51361">
        <w:t>all stages in the development of co</w:t>
      </w:r>
      <w:r>
        <w:t>untry approaches to safeguards.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DF" w:rsidRDefault="00F31364">
    <w:pPr>
      <w:pStyle w:val="Header"/>
    </w:pPr>
    <w:r>
      <w:t>17 December</w:t>
    </w:r>
    <w:r w:rsidR="00DE68DF">
      <w:t xml:space="preserve"> 2012</w:t>
    </w:r>
    <w:r w:rsidR="00DE68DF">
      <w:tab/>
    </w:r>
    <w:r w:rsidR="00DE68DF">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17160"/>
    <w:multiLevelType w:val="hybridMultilevel"/>
    <w:tmpl w:val="9FDA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2FD1"/>
    <w:multiLevelType w:val="hybridMultilevel"/>
    <w:tmpl w:val="5EA2F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E4A4C"/>
    <w:multiLevelType w:val="hybridMultilevel"/>
    <w:tmpl w:val="388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D6356"/>
    <w:multiLevelType w:val="hybridMultilevel"/>
    <w:tmpl w:val="90C8F0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40D59"/>
    <w:multiLevelType w:val="multilevel"/>
    <w:tmpl w:val="27265DFC"/>
    <w:lvl w:ilvl="0">
      <w:start w:val="1"/>
      <w:numFmt w:val="decimal"/>
      <w:pStyle w:val="Heading1"/>
      <w:lvlText w:val="%1"/>
      <w:lvlJc w:val="left"/>
      <w:pPr>
        <w:ind w:left="432" w:hanging="432"/>
      </w:pPr>
      <w:rPr>
        <w:rFonts w:asciiTheme="majorHAnsi" w:hAnsiTheme="majorHAnsi" w:hint="default"/>
        <w:b/>
        <w:b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7AD5B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D81888"/>
    <w:multiLevelType w:val="hybridMultilevel"/>
    <w:tmpl w:val="B77473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AA3F51"/>
    <w:multiLevelType w:val="hybridMultilevel"/>
    <w:tmpl w:val="477C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4369E"/>
    <w:multiLevelType w:val="hybridMultilevel"/>
    <w:tmpl w:val="BEC89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70454E"/>
    <w:multiLevelType w:val="hybridMultilevel"/>
    <w:tmpl w:val="F36E53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8A7C00"/>
    <w:multiLevelType w:val="multilevel"/>
    <w:tmpl w:val="62582698"/>
    <w:lvl w:ilvl="0">
      <w:start w:val="1"/>
      <w:numFmt w:val="decimal"/>
      <w:lvlText w:val="%1"/>
      <w:lvlJc w:val="left"/>
      <w:pPr>
        <w:ind w:left="432" w:hanging="432"/>
      </w:pPr>
      <w:rPr>
        <w:rFonts w:asciiTheme="minorHAnsi" w:hAnsiTheme="minorHAnsi" w:hint="default"/>
        <w:b w:val="0"/>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B0E1D38"/>
    <w:multiLevelType w:val="hybridMultilevel"/>
    <w:tmpl w:val="294A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7783E"/>
    <w:multiLevelType w:val="multilevel"/>
    <w:tmpl w:val="362829EE"/>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26110E0"/>
    <w:multiLevelType w:val="hybridMultilevel"/>
    <w:tmpl w:val="F280A6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6F69C8"/>
    <w:multiLevelType w:val="hybridMultilevel"/>
    <w:tmpl w:val="749885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0E6195"/>
    <w:multiLevelType w:val="hybridMultilevel"/>
    <w:tmpl w:val="BD9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257BE"/>
    <w:multiLevelType w:val="hybridMultilevel"/>
    <w:tmpl w:val="B69C1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111FA"/>
    <w:multiLevelType w:val="hybridMultilevel"/>
    <w:tmpl w:val="A87AF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CBC2C53"/>
    <w:multiLevelType w:val="hybridMultilevel"/>
    <w:tmpl w:val="A606A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EC45E8"/>
    <w:multiLevelType w:val="hybridMultilevel"/>
    <w:tmpl w:val="5ABA2D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B01D59"/>
    <w:multiLevelType w:val="hybridMultilevel"/>
    <w:tmpl w:val="38B27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5453AB"/>
    <w:multiLevelType w:val="hybridMultilevel"/>
    <w:tmpl w:val="358A5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9"/>
  </w:num>
  <w:num w:numId="5">
    <w:abstractNumId w:val="0"/>
  </w:num>
  <w:num w:numId="6">
    <w:abstractNumId w:val="3"/>
  </w:num>
  <w:num w:numId="7">
    <w:abstractNumId w:val="13"/>
  </w:num>
  <w:num w:numId="8">
    <w:abstractNumId w:val="14"/>
  </w:num>
  <w:num w:numId="9">
    <w:abstractNumId w:val="19"/>
  </w:num>
  <w:num w:numId="10">
    <w:abstractNumId w:val="7"/>
  </w:num>
  <w:num w:numId="11">
    <w:abstractNumId w:val="6"/>
  </w:num>
  <w:num w:numId="12">
    <w:abstractNumId w:val="18"/>
  </w:num>
  <w:num w:numId="13">
    <w:abstractNumId w:val="17"/>
  </w:num>
  <w:num w:numId="14">
    <w:abstractNumId w:val="21"/>
  </w:num>
  <w:num w:numId="15">
    <w:abstractNumId w:val="16"/>
  </w:num>
  <w:num w:numId="16">
    <w:abstractNumId w:val="20"/>
  </w:num>
  <w:num w:numId="17">
    <w:abstractNumId w:val="8"/>
  </w:num>
  <w:num w:numId="18">
    <w:abstractNumId w:val="4"/>
  </w:num>
  <w:num w:numId="19">
    <w:abstractNumId w:val="4"/>
  </w:num>
  <w:num w:numId="20">
    <w:abstractNumId w:val="4"/>
  </w:num>
  <w:num w:numId="21">
    <w:abstractNumId w:val="4"/>
  </w:num>
  <w:num w:numId="22">
    <w:abstractNumId w:val="4"/>
  </w:num>
  <w:num w:numId="23">
    <w:abstractNumId w:val="15"/>
  </w:num>
  <w:num w:numId="24">
    <w:abstractNumId w:val="12"/>
  </w:num>
  <w:num w:numId="25">
    <w:abstractNumId w:val="10"/>
  </w:num>
  <w:num w:numId="26">
    <w:abstractNumId w:val="2"/>
  </w:num>
  <w:num w:numId="27">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rsids>
    <w:rsidRoot w:val="005F4EA9"/>
    <w:rsid w:val="00001111"/>
    <w:rsid w:val="00017802"/>
    <w:rsid w:val="00037D01"/>
    <w:rsid w:val="00050B16"/>
    <w:rsid w:val="00051CDF"/>
    <w:rsid w:val="000611C0"/>
    <w:rsid w:val="00074A0E"/>
    <w:rsid w:val="00076CE7"/>
    <w:rsid w:val="000937ED"/>
    <w:rsid w:val="000A0107"/>
    <w:rsid w:val="000B0461"/>
    <w:rsid w:val="000C5312"/>
    <w:rsid w:val="000D08B3"/>
    <w:rsid w:val="000D73EE"/>
    <w:rsid w:val="000E1E68"/>
    <w:rsid w:val="000E3B97"/>
    <w:rsid w:val="000E7BC7"/>
    <w:rsid w:val="000F65C5"/>
    <w:rsid w:val="00100ECF"/>
    <w:rsid w:val="0010286A"/>
    <w:rsid w:val="00110F8D"/>
    <w:rsid w:val="00127443"/>
    <w:rsid w:val="00136B59"/>
    <w:rsid w:val="00137BD3"/>
    <w:rsid w:val="001438E0"/>
    <w:rsid w:val="0014411C"/>
    <w:rsid w:val="00145B6F"/>
    <w:rsid w:val="00162CA4"/>
    <w:rsid w:val="00164952"/>
    <w:rsid w:val="00171E04"/>
    <w:rsid w:val="001757F0"/>
    <w:rsid w:val="00175CB1"/>
    <w:rsid w:val="00181013"/>
    <w:rsid w:val="00183DF5"/>
    <w:rsid w:val="001928CB"/>
    <w:rsid w:val="001A2344"/>
    <w:rsid w:val="001A66AA"/>
    <w:rsid w:val="001A67A3"/>
    <w:rsid w:val="001A6A7E"/>
    <w:rsid w:val="001B4F95"/>
    <w:rsid w:val="001B5DC5"/>
    <w:rsid w:val="001D3A2D"/>
    <w:rsid w:val="001D68C0"/>
    <w:rsid w:val="001F0AE3"/>
    <w:rsid w:val="002055EC"/>
    <w:rsid w:val="00217E45"/>
    <w:rsid w:val="002250C4"/>
    <w:rsid w:val="002330F5"/>
    <w:rsid w:val="002349B8"/>
    <w:rsid w:val="00243CAC"/>
    <w:rsid w:val="002445AB"/>
    <w:rsid w:val="00261D91"/>
    <w:rsid w:val="002700B5"/>
    <w:rsid w:val="00272F44"/>
    <w:rsid w:val="00274C25"/>
    <w:rsid w:val="00277964"/>
    <w:rsid w:val="00285C67"/>
    <w:rsid w:val="0028795D"/>
    <w:rsid w:val="0029129F"/>
    <w:rsid w:val="00295388"/>
    <w:rsid w:val="002B20DD"/>
    <w:rsid w:val="002B495A"/>
    <w:rsid w:val="002B50FF"/>
    <w:rsid w:val="002C6F51"/>
    <w:rsid w:val="002D5771"/>
    <w:rsid w:val="002D72D9"/>
    <w:rsid w:val="002F16BF"/>
    <w:rsid w:val="002F5FE5"/>
    <w:rsid w:val="003016F9"/>
    <w:rsid w:val="00304F0B"/>
    <w:rsid w:val="00313628"/>
    <w:rsid w:val="003140E9"/>
    <w:rsid w:val="003279A6"/>
    <w:rsid w:val="0034020B"/>
    <w:rsid w:val="00340A82"/>
    <w:rsid w:val="003416A6"/>
    <w:rsid w:val="00342B1A"/>
    <w:rsid w:val="00346994"/>
    <w:rsid w:val="0035770A"/>
    <w:rsid w:val="00357872"/>
    <w:rsid w:val="00362D45"/>
    <w:rsid w:val="00372874"/>
    <w:rsid w:val="00391B8A"/>
    <w:rsid w:val="00395B43"/>
    <w:rsid w:val="003A2A9A"/>
    <w:rsid w:val="003B1D1C"/>
    <w:rsid w:val="003B34F8"/>
    <w:rsid w:val="003C6393"/>
    <w:rsid w:val="003C7D5C"/>
    <w:rsid w:val="003E1A8E"/>
    <w:rsid w:val="003F4C25"/>
    <w:rsid w:val="003F78A8"/>
    <w:rsid w:val="00400CB6"/>
    <w:rsid w:val="00404F1F"/>
    <w:rsid w:val="00405A7C"/>
    <w:rsid w:val="00413B5B"/>
    <w:rsid w:val="00416D85"/>
    <w:rsid w:val="00426A42"/>
    <w:rsid w:val="00443B53"/>
    <w:rsid w:val="00444468"/>
    <w:rsid w:val="00445A1D"/>
    <w:rsid w:val="00450223"/>
    <w:rsid w:val="00457046"/>
    <w:rsid w:val="00457D29"/>
    <w:rsid w:val="00466426"/>
    <w:rsid w:val="00466D1B"/>
    <w:rsid w:val="00470795"/>
    <w:rsid w:val="00484490"/>
    <w:rsid w:val="00484B68"/>
    <w:rsid w:val="00486D8C"/>
    <w:rsid w:val="004931FD"/>
    <w:rsid w:val="004933F1"/>
    <w:rsid w:val="004962C4"/>
    <w:rsid w:val="004966F0"/>
    <w:rsid w:val="004A3E46"/>
    <w:rsid w:val="004A6409"/>
    <w:rsid w:val="004E13B9"/>
    <w:rsid w:val="004E3FEA"/>
    <w:rsid w:val="004F24FC"/>
    <w:rsid w:val="0050046B"/>
    <w:rsid w:val="00501887"/>
    <w:rsid w:val="005037DA"/>
    <w:rsid w:val="00510E06"/>
    <w:rsid w:val="00512E5F"/>
    <w:rsid w:val="005205A3"/>
    <w:rsid w:val="00527312"/>
    <w:rsid w:val="00531654"/>
    <w:rsid w:val="00533683"/>
    <w:rsid w:val="00542D82"/>
    <w:rsid w:val="00544404"/>
    <w:rsid w:val="005448F4"/>
    <w:rsid w:val="00550E86"/>
    <w:rsid w:val="005540CB"/>
    <w:rsid w:val="005561B1"/>
    <w:rsid w:val="005569A9"/>
    <w:rsid w:val="00557AFE"/>
    <w:rsid w:val="00572DA1"/>
    <w:rsid w:val="00577AF7"/>
    <w:rsid w:val="00583144"/>
    <w:rsid w:val="005A0591"/>
    <w:rsid w:val="005A4ABB"/>
    <w:rsid w:val="005A52D2"/>
    <w:rsid w:val="005A62A1"/>
    <w:rsid w:val="005D0FD3"/>
    <w:rsid w:val="005D18A2"/>
    <w:rsid w:val="005D2E14"/>
    <w:rsid w:val="005D61E4"/>
    <w:rsid w:val="005E58EE"/>
    <w:rsid w:val="005F11BA"/>
    <w:rsid w:val="005F3230"/>
    <w:rsid w:val="005F3E50"/>
    <w:rsid w:val="005F4EA9"/>
    <w:rsid w:val="00601F09"/>
    <w:rsid w:val="0060468C"/>
    <w:rsid w:val="006063E7"/>
    <w:rsid w:val="006124D4"/>
    <w:rsid w:val="00621F2F"/>
    <w:rsid w:val="0062342A"/>
    <w:rsid w:val="00624CD0"/>
    <w:rsid w:val="00625149"/>
    <w:rsid w:val="00637A51"/>
    <w:rsid w:val="00656E00"/>
    <w:rsid w:val="0066279A"/>
    <w:rsid w:val="00663B53"/>
    <w:rsid w:val="006654E2"/>
    <w:rsid w:val="00665D93"/>
    <w:rsid w:val="00680372"/>
    <w:rsid w:val="00687939"/>
    <w:rsid w:val="00691AD2"/>
    <w:rsid w:val="00692EB2"/>
    <w:rsid w:val="0069691E"/>
    <w:rsid w:val="006A15F2"/>
    <w:rsid w:val="006A766B"/>
    <w:rsid w:val="006B45DA"/>
    <w:rsid w:val="006B4D79"/>
    <w:rsid w:val="006B5A58"/>
    <w:rsid w:val="006C66FD"/>
    <w:rsid w:val="006D1660"/>
    <w:rsid w:val="006D1B06"/>
    <w:rsid w:val="006E2BCC"/>
    <w:rsid w:val="006E3FAD"/>
    <w:rsid w:val="00700BD9"/>
    <w:rsid w:val="00706BD1"/>
    <w:rsid w:val="00723BFB"/>
    <w:rsid w:val="0073520A"/>
    <w:rsid w:val="00754CFD"/>
    <w:rsid w:val="00764641"/>
    <w:rsid w:val="00772719"/>
    <w:rsid w:val="00776D13"/>
    <w:rsid w:val="00791F7E"/>
    <w:rsid w:val="007943D2"/>
    <w:rsid w:val="007A1424"/>
    <w:rsid w:val="007A1AEC"/>
    <w:rsid w:val="007A5D0B"/>
    <w:rsid w:val="007A7BE8"/>
    <w:rsid w:val="007B5C0F"/>
    <w:rsid w:val="007C29E8"/>
    <w:rsid w:val="007D12C7"/>
    <w:rsid w:val="007E1115"/>
    <w:rsid w:val="007E1965"/>
    <w:rsid w:val="007E5EFA"/>
    <w:rsid w:val="008000FB"/>
    <w:rsid w:val="008037FF"/>
    <w:rsid w:val="0080685A"/>
    <w:rsid w:val="00815F0E"/>
    <w:rsid w:val="00831447"/>
    <w:rsid w:val="00832A4B"/>
    <w:rsid w:val="00843DD7"/>
    <w:rsid w:val="008638FA"/>
    <w:rsid w:val="00882FA3"/>
    <w:rsid w:val="0088607D"/>
    <w:rsid w:val="00887D9F"/>
    <w:rsid w:val="008949F2"/>
    <w:rsid w:val="008A0AC1"/>
    <w:rsid w:val="008A1D6F"/>
    <w:rsid w:val="008A22B9"/>
    <w:rsid w:val="008B054C"/>
    <w:rsid w:val="008B28E0"/>
    <w:rsid w:val="008C05B1"/>
    <w:rsid w:val="008C2349"/>
    <w:rsid w:val="008C34CA"/>
    <w:rsid w:val="008C3C09"/>
    <w:rsid w:val="008C508F"/>
    <w:rsid w:val="008C6D37"/>
    <w:rsid w:val="008D3C9C"/>
    <w:rsid w:val="008D64DD"/>
    <w:rsid w:val="008E13CF"/>
    <w:rsid w:val="008F44FE"/>
    <w:rsid w:val="0090339C"/>
    <w:rsid w:val="00903E03"/>
    <w:rsid w:val="0090636A"/>
    <w:rsid w:val="00906790"/>
    <w:rsid w:val="009161E3"/>
    <w:rsid w:val="009240AD"/>
    <w:rsid w:val="00930F93"/>
    <w:rsid w:val="00936C5F"/>
    <w:rsid w:val="00954E52"/>
    <w:rsid w:val="00957549"/>
    <w:rsid w:val="00965A4E"/>
    <w:rsid w:val="00976BFE"/>
    <w:rsid w:val="00980698"/>
    <w:rsid w:val="00983643"/>
    <w:rsid w:val="00985FEF"/>
    <w:rsid w:val="00996CCF"/>
    <w:rsid w:val="009975B2"/>
    <w:rsid w:val="009A2043"/>
    <w:rsid w:val="009A3E35"/>
    <w:rsid w:val="009B0AF2"/>
    <w:rsid w:val="009B0B49"/>
    <w:rsid w:val="009B383C"/>
    <w:rsid w:val="009C51CE"/>
    <w:rsid w:val="009D3CD1"/>
    <w:rsid w:val="009D3E56"/>
    <w:rsid w:val="00A03535"/>
    <w:rsid w:val="00A03D40"/>
    <w:rsid w:val="00A03EBC"/>
    <w:rsid w:val="00A1401E"/>
    <w:rsid w:val="00A15494"/>
    <w:rsid w:val="00A24138"/>
    <w:rsid w:val="00A2436E"/>
    <w:rsid w:val="00A24F7B"/>
    <w:rsid w:val="00A26A4F"/>
    <w:rsid w:val="00A31234"/>
    <w:rsid w:val="00A41EB6"/>
    <w:rsid w:val="00A4372F"/>
    <w:rsid w:val="00A5371F"/>
    <w:rsid w:val="00A551A9"/>
    <w:rsid w:val="00A553D5"/>
    <w:rsid w:val="00A56169"/>
    <w:rsid w:val="00A62AE5"/>
    <w:rsid w:val="00A7654A"/>
    <w:rsid w:val="00A84E3D"/>
    <w:rsid w:val="00A94698"/>
    <w:rsid w:val="00A9722F"/>
    <w:rsid w:val="00AA205C"/>
    <w:rsid w:val="00AB76B6"/>
    <w:rsid w:val="00AC26E3"/>
    <w:rsid w:val="00AC7963"/>
    <w:rsid w:val="00AD144E"/>
    <w:rsid w:val="00AD339A"/>
    <w:rsid w:val="00AD4195"/>
    <w:rsid w:val="00AE503C"/>
    <w:rsid w:val="00AF2C63"/>
    <w:rsid w:val="00B02B59"/>
    <w:rsid w:val="00B05A05"/>
    <w:rsid w:val="00B07CF0"/>
    <w:rsid w:val="00B16A0D"/>
    <w:rsid w:val="00B204D4"/>
    <w:rsid w:val="00B23829"/>
    <w:rsid w:val="00B27B61"/>
    <w:rsid w:val="00B4345B"/>
    <w:rsid w:val="00B44A23"/>
    <w:rsid w:val="00B45E9C"/>
    <w:rsid w:val="00B52EDC"/>
    <w:rsid w:val="00B57BC7"/>
    <w:rsid w:val="00B615C5"/>
    <w:rsid w:val="00B62362"/>
    <w:rsid w:val="00B71113"/>
    <w:rsid w:val="00B75E7F"/>
    <w:rsid w:val="00B77A1C"/>
    <w:rsid w:val="00B94AE3"/>
    <w:rsid w:val="00B95625"/>
    <w:rsid w:val="00BA0311"/>
    <w:rsid w:val="00BA5D52"/>
    <w:rsid w:val="00BA5E78"/>
    <w:rsid w:val="00BA75D3"/>
    <w:rsid w:val="00BB0630"/>
    <w:rsid w:val="00BB572F"/>
    <w:rsid w:val="00BC47E5"/>
    <w:rsid w:val="00BD0A5B"/>
    <w:rsid w:val="00BE1AF2"/>
    <w:rsid w:val="00BF5E15"/>
    <w:rsid w:val="00C03D8D"/>
    <w:rsid w:val="00C04D55"/>
    <w:rsid w:val="00C172E2"/>
    <w:rsid w:val="00C20F5A"/>
    <w:rsid w:val="00C2657E"/>
    <w:rsid w:val="00C313CF"/>
    <w:rsid w:val="00C321DF"/>
    <w:rsid w:val="00C33622"/>
    <w:rsid w:val="00C4653E"/>
    <w:rsid w:val="00C536C5"/>
    <w:rsid w:val="00C71A5D"/>
    <w:rsid w:val="00C750AE"/>
    <w:rsid w:val="00C929E3"/>
    <w:rsid w:val="00C92B74"/>
    <w:rsid w:val="00C96893"/>
    <w:rsid w:val="00C979A7"/>
    <w:rsid w:val="00CA2B76"/>
    <w:rsid w:val="00CC2974"/>
    <w:rsid w:val="00CC6833"/>
    <w:rsid w:val="00CD79E7"/>
    <w:rsid w:val="00CE7403"/>
    <w:rsid w:val="00CE745A"/>
    <w:rsid w:val="00CF00D5"/>
    <w:rsid w:val="00CF4F61"/>
    <w:rsid w:val="00D000C2"/>
    <w:rsid w:val="00D00A7C"/>
    <w:rsid w:val="00D0275F"/>
    <w:rsid w:val="00D057E6"/>
    <w:rsid w:val="00D256D5"/>
    <w:rsid w:val="00D33569"/>
    <w:rsid w:val="00D356A2"/>
    <w:rsid w:val="00D5346D"/>
    <w:rsid w:val="00D703A0"/>
    <w:rsid w:val="00D74380"/>
    <w:rsid w:val="00D83B64"/>
    <w:rsid w:val="00DA32A5"/>
    <w:rsid w:val="00DA5563"/>
    <w:rsid w:val="00DA79E8"/>
    <w:rsid w:val="00DB6B14"/>
    <w:rsid w:val="00DB6C2D"/>
    <w:rsid w:val="00DD04B7"/>
    <w:rsid w:val="00DE6020"/>
    <w:rsid w:val="00DE68DF"/>
    <w:rsid w:val="00DF5BB1"/>
    <w:rsid w:val="00E017E1"/>
    <w:rsid w:val="00E073BC"/>
    <w:rsid w:val="00E14BBB"/>
    <w:rsid w:val="00E15EBE"/>
    <w:rsid w:val="00E216E2"/>
    <w:rsid w:val="00E25338"/>
    <w:rsid w:val="00E26EDB"/>
    <w:rsid w:val="00E30F02"/>
    <w:rsid w:val="00E405CB"/>
    <w:rsid w:val="00E50157"/>
    <w:rsid w:val="00E551DE"/>
    <w:rsid w:val="00E65957"/>
    <w:rsid w:val="00E9250C"/>
    <w:rsid w:val="00E97759"/>
    <w:rsid w:val="00EA4943"/>
    <w:rsid w:val="00EB4D82"/>
    <w:rsid w:val="00EB5240"/>
    <w:rsid w:val="00EC2555"/>
    <w:rsid w:val="00EC5EA6"/>
    <w:rsid w:val="00EE0077"/>
    <w:rsid w:val="00EF3CBC"/>
    <w:rsid w:val="00F14141"/>
    <w:rsid w:val="00F17851"/>
    <w:rsid w:val="00F27ABF"/>
    <w:rsid w:val="00F30A21"/>
    <w:rsid w:val="00F31364"/>
    <w:rsid w:val="00F40424"/>
    <w:rsid w:val="00F477AF"/>
    <w:rsid w:val="00F52EDF"/>
    <w:rsid w:val="00F54C60"/>
    <w:rsid w:val="00F6453B"/>
    <w:rsid w:val="00F65816"/>
    <w:rsid w:val="00F87D85"/>
    <w:rsid w:val="00F91533"/>
    <w:rsid w:val="00FA078F"/>
    <w:rsid w:val="00FB6EE2"/>
    <w:rsid w:val="00FC1ED4"/>
    <w:rsid w:val="00FC30A5"/>
    <w:rsid w:val="00FD38DD"/>
    <w:rsid w:val="00FE5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A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D0A5B"/>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D0A5B"/>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D0A5B"/>
    <w:pPr>
      <w:numPr>
        <w:ilvl w:val="2"/>
        <w:numId w:val="1"/>
      </w:numPr>
      <w:spacing w:before="100" w:beforeAutospacing="1" w:after="100" w:afterAutospacing="1"/>
      <w:outlineLvl w:val="2"/>
    </w:pPr>
    <w:rPr>
      <w:rFonts w:eastAsia="Times New Roman"/>
      <w:b/>
      <w:bCs/>
      <w:color w:val="4F81BD" w:themeColor="accent1"/>
      <w:szCs w:val="27"/>
    </w:rPr>
  </w:style>
  <w:style w:type="paragraph" w:styleId="Heading4">
    <w:name w:val="heading 4"/>
    <w:basedOn w:val="Normal"/>
    <w:next w:val="Normal"/>
    <w:link w:val="Heading4Char"/>
    <w:uiPriority w:val="9"/>
    <w:semiHidden/>
    <w:unhideWhenUsed/>
    <w:qFormat/>
    <w:rsid w:val="00BD0A5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0A5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0A5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0A5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0A5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0A5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EA9"/>
    <w:pPr>
      <w:ind w:left="720"/>
      <w:contextualSpacing/>
    </w:pPr>
  </w:style>
  <w:style w:type="character" w:styleId="CommentReference">
    <w:name w:val="annotation reference"/>
    <w:basedOn w:val="DefaultParagraphFont"/>
    <w:uiPriority w:val="99"/>
    <w:semiHidden/>
    <w:unhideWhenUsed/>
    <w:rsid w:val="00445A1D"/>
    <w:rPr>
      <w:sz w:val="16"/>
      <w:szCs w:val="16"/>
    </w:rPr>
  </w:style>
  <w:style w:type="paragraph" w:styleId="CommentText">
    <w:name w:val="annotation text"/>
    <w:basedOn w:val="Normal"/>
    <w:link w:val="CommentTextChar"/>
    <w:uiPriority w:val="99"/>
    <w:unhideWhenUsed/>
    <w:rsid w:val="00445A1D"/>
    <w:rPr>
      <w:sz w:val="20"/>
      <w:szCs w:val="20"/>
    </w:rPr>
  </w:style>
  <w:style w:type="character" w:customStyle="1" w:styleId="CommentTextChar">
    <w:name w:val="Comment Text Char"/>
    <w:basedOn w:val="DefaultParagraphFont"/>
    <w:link w:val="CommentText"/>
    <w:uiPriority w:val="99"/>
    <w:rsid w:val="00445A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A1D"/>
    <w:rPr>
      <w:b/>
      <w:bCs/>
    </w:rPr>
  </w:style>
  <w:style w:type="character" w:customStyle="1" w:styleId="CommentSubjectChar">
    <w:name w:val="Comment Subject Char"/>
    <w:basedOn w:val="CommentTextChar"/>
    <w:link w:val="CommentSubject"/>
    <w:uiPriority w:val="99"/>
    <w:semiHidden/>
    <w:rsid w:val="00445A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45A1D"/>
    <w:rPr>
      <w:rFonts w:ascii="Tahoma" w:hAnsi="Tahoma" w:cs="Tahoma"/>
      <w:sz w:val="16"/>
      <w:szCs w:val="16"/>
    </w:rPr>
  </w:style>
  <w:style w:type="character" w:customStyle="1" w:styleId="BalloonTextChar">
    <w:name w:val="Balloon Text Char"/>
    <w:basedOn w:val="DefaultParagraphFont"/>
    <w:link w:val="BalloonText"/>
    <w:uiPriority w:val="99"/>
    <w:semiHidden/>
    <w:rsid w:val="00445A1D"/>
    <w:rPr>
      <w:rFonts w:ascii="Tahoma" w:hAnsi="Tahoma" w:cs="Tahoma"/>
      <w:sz w:val="16"/>
      <w:szCs w:val="16"/>
    </w:rPr>
  </w:style>
  <w:style w:type="character" w:customStyle="1" w:styleId="Heading3Char">
    <w:name w:val="Heading 3 Char"/>
    <w:basedOn w:val="DefaultParagraphFont"/>
    <w:link w:val="Heading3"/>
    <w:uiPriority w:val="9"/>
    <w:rsid w:val="00BD0A5B"/>
    <w:rPr>
      <w:rFonts w:ascii="Times New Roman" w:eastAsia="Times New Roman" w:hAnsi="Times New Roman" w:cs="Times New Roman"/>
      <w:b/>
      <w:bCs/>
      <w:color w:val="4F81BD" w:themeColor="accent1"/>
      <w:sz w:val="24"/>
      <w:szCs w:val="27"/>
    </w:rPr>
  </w:style>
  <w:style w:type="paragraph" w:styleId="NormalWeb">
    <w:name w:val="Normal (Web)"/>
    <w:basedOn w:val="Normal"/>
    <w:uiPriority w:val="99"/>
    <w:semiHidden/>
    <w:unhideWhenUsed/>
    <w:rsid w:val="007A1424"/>
    <w:pPr>
      <w:spacing w:before="100" w:beforeAutospacing="1" w:after="100" w:afterAutospacing="1"/>
    </w:pPr>
    <w:rPr>
      <w:rFonts w:eastAsia="Times New Roman"/>
    </w:rPr>
  </w:style>
  <w:style w:type="character" w:styleId="Hyperlink">
    <w:name w:val="Hyperlink"/>
    <w:basedOn w:val="DefaultParagraphFont"/>
    <w:uiPriority w:val="99"/>
    <w:unhideWhenUsed/>
    <w:rsid w:val="007A1424"/>
    <w:rPr>
      <w:color w:val="0000FF"/>
      <w:u w:val="single"/>
    </w:rPr>
  </w:style>
  <w:style w:type="character" w:styleId="Emphasis">
    <w:name w:val="Emphasis"/>
    <w:basedOn w:val="DefaultParagraphFont"/>
    <w:uiPriority w:val="20"/>
    <w:qFormat/>
    <w:rsid w:val="007A1424"/>
    <w:rPr>
      <w:i/>
      <w:iCs/>
    </w:rPr>
  </w:style>
  <w:style w:type="character" w:customStyle="1" w:styleId="Heading2Char">
    <w:name w:val="Heading 2 Char"/>
    <w:basedOn w:val="DefaultParagraphFont"/>
    <w:link w:val="Heading2"/>
    <w:uiPriority w:val="9"/>
    <w:rsid w:val="00BD0A5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83643"/>
    <w:pPr>
      <w:tabs>
        <w:tab w:val="center" w:pos="4680"/>
        <w:tab w:val="right" w:pos="9360"/>
      </w:tabs>
    </w:pPr>
  </w:style>
  <w:style w:type="character" w:customStyle="1" w:styleId="HeaderChar">
    <w:name w:val="Header Char"/>
    <w:basedOn w:val="DefaultParagraphFont"/>
    <w:link w:val="Header"/>
    <w:uiPriority w:val="99"/>
    <w:rsid w:val="00983643"/>
    <w:rPr>
      <w:rFonts w:ascii="Times New Roman" w:hAnsi="Times New Roman" w:cs="Times New Roman"/>
      <w:sz w:val="24"/>
      <w:szCs w:val="24"/>
    </w:rPr>
  </w:style>
  <w:style w:type="paragraph" w:styleId="Footer">
    <w:name w:val="footer"/>
    <w:basedOn w:val="Normal"/>
    <w:link w:val="FooterChar"/>
    <w:uiPriority w:val="99"/>
    <w:unhideWhenUsed/>
    <w:rsid w:val="00983643"/>
    <w:pPr>
      <w:tabs>
        <w:tab w:val="center" w:pos="4680"/>
        <w:tab w:val="right" w:pos="9360"/>
      </w:tabs>
    </w:pPr>
  </w:style>
  <w:style w:type="character" w:customStyle="1" w:styleId="FooterChar">
    <w:name w:val="Footer Char"/>
    <w:basedOn w:val="DefaultParagraphFont"/>
    <w:link w:val="Footer"/>
    <w:uiPriority w:val="99"/>
    <w:rsid w:val="00983643"/>
    <w:rPr>
      <w:rFonts w:ascii="Times New Roman" w:hAnsi="Times New Roman" w:cs="Times New Roman"/>
      <w:sz w:val="24"/>
      <w:szCs w:val="24"/>
    </w:rPr>
  </w:style>
  <w:style w:type="character" w:customStyle="1" w:styleId="Heading1Char">
    <w:name w:val="Heading 1 Char"/>
    <w:basedOn w:val="DefaultParagraphFont"/>
    <w:link w:val="Heading1"/>
    <w:uiPriority w:val="9"/>
    <w:rsid w:val="00BD0A5B"/>
    <w:rPr>
      <w:rFonts w:asciiTheme="majorHAnsi" w:eastAsiaTheme="majorEastAsia" w:hAnsiTheme="majorHAnsi" w:cstheme="majorBidi"/>
      <w:b/>
      <w:bCs/>
      <w:color w:val="345A8A" w:themeColor="accent1" w:themeShade="B5"/>
      <w:sz w:val="32"/>
      <w:szCs w:val="32"/>
    </w:rPr>
  </w:style>
  <w:style w:type="paragraph" w:styleId="Caption">
    <w:name w:val="caption"/>
    <w:basedOn w:val="Normal"/>
    <w:next w:val="Normal"/>
    <w:uiPriority w:val="35"/>
    <w:unhideWhenUsed/>
    <w:qFormat/>
    <w:rsid w:val="00B57BC7"/>
    <w:pPr>
      <w:spacing w:after="200"/>
    </w:pPr>
    <w:rPr>
      <w:b/>
      <w:bCs/>
      <w:color w:val="4F81BD" w:themeColor="accent1"/>
      <w:sz w:val="18"/>
      <w:szCs w:val="18"/>
    </w:rPr>
  </w:style>
  <w:style w:type="character" w:customStyle="1" w:styleId="Heading4Char">
    <w:name w:val="Heading 4 Char"/>
    <w:basedOn w:val="DefaultParagraphFont"/>
    <w:link w:val="Heading4"/>
    <w:uiPriority w:val="9"/>
    <w:semiHidden/>
    <w:rsid w:val="00BD0A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D0A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D0A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D0A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D0A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0A5B"/>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C71A5D"/>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C71A5D"/>
    <w:pPr>
      <w:spacing w:after="100"/>
    </w:pPr>
  </w:style>
  <w:style w:type="paragraph" w:styleId="TOC2">
    <w:name w:val="toc 2"/>
    <w:basedOn w:val="Normal"/>
    <w:next w:val="Normal"/>
    <w:autoRedefine/>
    <w:uiPriority w:val="39"/>
    <w:unhideWhenUsed/>
    <w:qFormat/>
    <w:rsid w:val="00C71A5D"/>
    <w:pPr>
      <w:spacing w:after="100"/>
      <w:ind w:left="240"/>
    </w:pPr>
  </w:style>
  <w:style w:type="paragraph" w:styleId="NoSpacing">
    <w:name w:val="No Spacing"/>
    <w:link w:val="NoSpacingChar"/>
    <w:uiPriority w:val="1"/>
    <w:qFormat/>
    <w:rsid w:val="00C71A5D"/>
    <w:pPr>
      <w:spacing w:after="0" w:line="240" w:lineRule="auto"/>
    </w:pPr>
    <w:rPr>
      <w:rFonts w:eastAsiaTheme="minorEastAsia"/>
    </w:rPr>
  </w:style>
  <w:style w:type="character" w:customStyle="1" w:styleId="NoSpacingChar">
    <w:name w:val="No Spacing Char"/>
    <w:basedOn w:val="DefaultParagraphFont"/>
    <w:link w:val="NoSpacing"/>
    <w:uiPriority w:val="1"/>
    <w:rsid w:val="00C71A5D"/>
    <w:rPr>
      <w:rFonts w:eastAsiaTheme="minorEastAsia"/>
    </w:rPr>
  </w:style>
  <w:style w:type="paragraph" w:styleId="TOC3">
    <w:name w:val="toc 3"/>
    <w:basedOn w:val="Normal"/>
    <w:next w:val="Normal"/>
    <w:autoRedefine/>
    <w:uiPriority w:val="39"/>
    <w:semiHidden/>
    <w:unhideWhenUsed/>
    <w:qFormat/>
    <w:rsid w:val="00C71A5D"/>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B615C5"/>
    <w:pPr>
      <w:spacing w:after="0" w:line="240" w:lineRule="auto"/>
    </w:pPr>
    <w:rPr>
      <w:rFonts w:ascii="Times New Roman" w:hAnsi="Times New Roman" w:cs="Times New Roman"/>
      <w:sz w:val="24"/>
      <w:szCs w:val="24"/>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uiPriority w:val="99"/>
    <w:unhideWhenUsed/>
    <w:rsid w:val="00E50157"/>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E50157"/>
    <w:rPr>
      <w:rFonts w:ascii="Times New Roman" w:hAnsi="Times New Roman" w:cs="Times New Roman"/>
      <w:sz w:val="20"/>
      <w:szCs w:val="20"/>
    </w:rPr>
  </w:style>
  <w:style w:type="character" w:styleId="FootnoteReference">
    <w:name w:val="footnote reference"/>
    <w:basedOn w:val="DefaultParagraphFont"/>
    <w:uiPriority w:val="99"/>
    <w:unhideWhenUsed/>
    <w:rsid w:val="00E50157"/>
    <w:rPr>
      <w:vertAlign w:val="superscript"/>
    </w:rPr>
  </w:style>
  <w:style w:type="table" w:styleId="TableGrid">
    <w:name w:val="Table Grid"/>
    <w:basedOn w:val="TableNormal"/>
    <w:uiPriority w:val="59"/>
    <w:rsid w:val="00A41EB6"/>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A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D0A5B"/>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D0A5B"/>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D0A5B"/>
    <w:pPr>
      <w:numPr>
        <w:ilvl w:val="2"/>
        <w:numId w:val="1"/>
      </w:numPr>
      <w:spacing w:before="100" w:beforeAutospacing="1" w:after="100" w:afterAutospacing="1"/>
      <w:outlineLvl w:val="2"/>
      <w:pPrChange w:id="1" w:author="Leo Peskett" w:date="2012-11-07T10:31:00Z">
        <w:pPr>
          <w:numPr>
            <w:ilvl w:val="2"/>
            <w:numId w:val="1"/>
          </w:numPr>
          <w:spacing w:before="100" w:beforeAutospacing="1" w:after="100" w:afterAutospacing="1"/>
          <w:ind w:left="720" w:hanging="720"/>
          <w:outlineLvl w:val="2"/>
        </w:pPr>
      </w:pPrChange>
    </w:pPr>
    <w:rPr>
      <w:rFonts w:eastAsia="Times New Roman"/>
      <w:b/>
      <w:bCs/>
      <w:color w:val="4F81BD" w:themeColor="accent1"/>
      <w:szCs w:val="27"/>
      <w:rPrChange w:id="1" w:author="Leo Peskett" w:date="2012-11-07T10:31:00Z">
        <w:rPr>
          <w:b/>
          <w:bCs/>
          <w:sz w:val="27"/>
          <w:szCs w:val="27"/>
          <w:lang w:val="en-US" w:eastAsia="en-US" w:bidi="ar-SA"/>
        </w:rPr>
      </w:rPrChange>
    </w:rPr>
  </w:style>
  <w:style w:type="paragraph" w:styleId="Heading4">
    <w:name w:val="heading 4"/>
    <w:basedOn w:val="Normal"/>
    <w:next w:val="Normal"/>
    <w:link w:val="Heading4Char"/>
    <w:uiPriority w:val="9"/>
    <w:semiHidden/>
    <w:unhideWhenUsed/>
    <w:qFormat/>
    <w:rsid w:val="00BD0A5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0A5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0A5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0A5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0A5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0A5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EA9"/>
    <w:pPr>
      <w:ind w:left="720"/>
      <w:contextualSpacing/>
    </w:pPr>
  </w:style>
  <w:style w:type="character" w:styleId="CommentReference">
    <w:name w:val="annotation reference"/>
    <w:basedOn w:val="DefaultParagraphFont"/>
    <w:uiPriority w:val="99"/>
    <w:semiHidden/>
    <w:unhideWhenUsed/>
    <w:rsid w:val="00445A1D"/>
    <w:rPr>
      <w:sz w:val="16"/>
      <w:szCs w:val="16"/>
    </w:rPr>
  </w:style>
  <w:style w:type="paragraph" w:styleId="CommentText">
    <w:name w:val="annotation text"/>
    <w:basedOn w:val="Normal"/>
    <w:link w:val="CommentTextChar"/>
    <w:uiPriority w:val="99"/>
    <w:unhideWhenUsed/>
    <w:rsid w:val="00445A1D"/>
    <w:rPr>
      <w:sz w:val="20"/>
      <w:szCs w:val="20"/>
    </w:rPr>
  </w:style>
  <w:style w:type="character" w:customStyle="1" w:styleId="CommentTextChar">
    <w:name w:val="Comment Text Char"/>
    <w:basedOn w:val="DefaultParagraphFont"/>
    <w:link w:val="CommentText"/>
    <w:uiPriority w:val="99"/>
    <w:rsid w:val="00445A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A1D"/>
    <w:rPr>
      <w:b/>
      <w:bCs/>
    </w:rPr>
  </w:style>
  <w:style w:type="character" w:customStyle="1" w:styleId="CommentSubjectChar">
    <w:name w:val="Comment Subject Char"/>
    <w:basedOn w:val="CommentTextChar"/>
    <w:link w:val="CommentSubject"/>
    <w:uiPriority w:val="99"/>
    <w:semiHidden/>
    <w:rsid w:val="00445A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45A1D"/>
    <w:rPr>
      <w:rFonts w:ascii="Tahoma" w:hAnsi="Tahoma" w:cs="Tahoma"/>
      <w:sz w:val="16"/>
      <w:szCs w:val="16"/>
    </w:rPr>
  </w:style>
  <w:style w:type="character" w:customStyle="1" w:styleId="BalloonTextChar">
    <w:name w:val="Balloon Text Char"/>
    <w:basedOn w:val="DefaultParagraphFont"/>
    <w:link w:val="BalloonText"/>
    <w:uiPriority w:val="99"/>
    <w:semiHidden/>
    <w:rsid w:val="00445A1D"/>
    <w:rPr>
      <w:rFonts w:ascii="Tahoma" w:hAnsi="Tahoma" w:cs="Tahoma"/>
      <w:sz w:val="16"/>
      <w:szCs w:val="16"/>
    </w:rPr>
  </w:style>
  <w:style w:type="character" w:customStyle="1" w:styleId="Heading3Char">
    <w:name w:val="Heading 3 Char"/>
    <w:basedOn w:val="DefaultParagraphFont"/>
    <w:link w:val="Heading3"/>
    <w:uiPriority w:val="9"/>
    <w:rsid w:val="00BD0A5B"/>
    <w:rPr>
      <w:rFonts w:ascii="Times New Roman" w:eastAsia="Times New Roman" w:hAnsi="Times New Roman" w:cs="Times New Roman"/>
      <w:b/>
      <w:bCs/>
      <w:color w:val="4F81BD" w:themeColor="accent1"/>
      <w:sz w:val="24"/>
      <w:szCs w:val="27"/>
    </w:rPr>
  </w:style>
  <w:style w:type="paragraph" w:styleId="NormalWeb">
    <w:name w:val="Normal (Web)"/>
    <w:basedOn w:val="Normal"/>
    <w:uiPriority w:val="99"/>
    <w:semiHidden/>
    <w:unhideWhenUsed/>
    <w:rsid w:val="007A1424"/>
    <w:pPr>
      <w:spacing w:before="100" w:beforeAutospacing="1" w:after="100" w:afterAutospacing="1"/>
    </w:pPr>
    <w:rPr>
      <w:rFonts w:eastAsia="Times New Roman"/>
    </w:rPr>
  </w:style>
  <w:style w:type="character" w:styleId="Hyperlink">
    <w:name w:val="Hyperlink"/>
    <w:basedOn w:val="DefaultParagraphFont"/>
    <w:uiPriority w:val="99"/>
    <w:unhideWhenUsed/>
    <w:rsid w:val="007A1424"/>
    <w:rPr>
      <w:color w:val="0000FF"/>
      <w:u w:val="single"/>
    </w:rPr>
  </w:style>
  <w:style w:type="character" w:styleId="Emphasis">
    <w:name w:val="Emphasis"/>
    <w:basedOn w:val="DefaultParagraphFont"/>
    <w:uiPriority w:val="20"/>
    <w:qFormat/>
    <w:rsid w:val="007A1424"/>
    <w:rPr>
      <w:i/>
      <w:iCs/>
    </w:rPr>
  </w:style>
  <w:style w:type="character" w:customStyle="1" w:styleId="Heading2Char">
    <w:name w:val="Heading 2 Char"/>
    <w:basedOn w:val="DefaultParagraphFont"/>
    <w:link w:val="Heading2"/>
    <w:uiPriority w:val="9"/>
    <w:rsid w:val="00BD0A5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83643"/>
    <w:pPr>
      <w:tabs>
        <w:tab w:val="center" w:pos="4680"/>
        <w:tab w:val="right" w:pos="9360"/>
      </w:tabs>
    </w:pPr>
  </w:style>
  <w:style w:type="character" w:customStyle="1" w:styleId="HeaderChar">
    <w:name w:val="Header Char"/>
    <w:basedOn w:val="DefaultParagraphFont"/>
    <w:link w:val="Header"/>
    <w:uiPriority w:val="99"/>
    <w:rsid w:val="00983643"/>
    <w:rPr>
      <w:rFonts w:ascii="Times New Roman" w:hAnsi="Times New Roman" w:cs="Times New Roman"/>
      <w:sz w:val="24"/>
      <w:szCs w:val="24"/>
    </w:rPr>
  </w:style>
  <w:style w:type="paragraph" w:styleId="Footer">
    <w:name w:val="footer"/>
    <w:basedOn w:val="Normal"/>
    <w:link w:val="FooterChar"/>
    <w:uiPriority w:val="99"/>
    <w:unhideWhenUsed/>
    <w:rsid w:val="00983643"/>
    <w:pPr>
      <w:tabs>
        <w:tab w:val="center" w:pos="4680"/>
        <w:tab w:val="right" w:pos="9360"/>
      </w:tabs>
    </w:pPr>
  </w:style>
  <w:style w:type="character" w:customStyle="1" w:styleId="FooterChar">
    <w:name w:val="Footer Char"/>
    <w:basedOn w:val="DefaultParagraphFont"/>
    <w:link w:val="Footer"/>
    <w:uiPriority w:val="99"/>
    <w:rsid w:val="00983643"/>
    <w:rPr>
      <w:rFonts w:ascii="Times New Roman" w:hAnsi="Times New Roman" w:cs="Times New Roman"/>
      <w:sz w:val="24"/>
      <w:szCs w:val="24"/>
    </w:rPr>
  </w:style>
  <w:style w:type="character" w:customStyle="1" w:styleId="Heading1Char">
    <w:name w:val="Heading 1 Char"/>
    <w:basedOn w:val="DefaultParagraphFont"/>
    <w:link w:val="Heading1"/>
    <w:uiPriority w:val="9"/>
    <w:rsid w:val="00BD0A5B"/>
    <w:rPr>
      <w:rFonts w:asciiTheme="majorHAnsi" w:eastAsiaTheme="majorEastAsia" w:hAnsiTheme="majorHAnsi" w:cstheme="majorBidi"/>
      <w:b/>
      <w:bCs/>
      <w:color w:val="345A8A" w:themeColor="accent1" w:themeShade="B5"/>
      <w:sz w:val="32"/>
      <w:szCs w:val="32"/>
    </w:rPr>
  </w:style>
  <w:style w:type="paragraph" w:styleId="Caption">
    <w:name w:val="caption"/>
    <w:basedOn w:val="Normal"/>
    <w:next w:val="Normal"/>
    <w:uiPriority w:val="35"/>
    <w:unhideWhenUsed/>
    <w:qFormat/>
    <w:rsid w:val="00B57BC7"/>
    <w:pPr>
      <w:spacing w:after="200"/>
    </w:pPr>
    <w:rPr>
      <w:b/>
      <w:bCs/>
      <w:color w:val="4F81BD" w:themeColor="accent1"/>
      <w:sz w:val="18"/>
      <w:szCs w:val="18"/>
    </w:rPr>
  </w:style>
  <w:style w:type="character" w:customStyle="1" w:styleId="Heading4Char">
    <w:name w:val="Heading 4 Char"/>
    <w:basedOn w:val="DefaultParagraphFont"/>
    <w:link w:val="Heading4"/>
    <w:uiPriority w:val="9"/>
    <w:semiHidden/>
    <w:rsid w:val="00BD0A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D0A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D0A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D0A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D0A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0A5B"/>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C71A5D"/>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C71A5D"/>
    <w:pPr>
      <w:spacing w:after="100"/>
    </w:pPr>
  </w:style>
  <w:style w:type="paragraph" w:styleId="TOC2">
    <w:name w:val="toc 2"/>
    <w:basedOn w:val="Normal"/>
    <w:next w:val="Normal"/>
    <w:autoRedefine/>
    <w:uiPriority w:val="39"/>
    <w:unhideWhenUsed/>
    <w:qFormat/>
    <w:rsid w:val="00C71A5D"/>
    <w:pPr>
      <w:spacing w:after="100"/>
      <w:ind w:left="240"/>
    </w:pPr>
  </w:style>
  <w:style w:type="paragraph" w:styleId="NoSpacing">
    <w:name w:val="No Spacing"/>
    <w:link w:val="NoSpacingChar"/>
    <w:uiPriority w:val="1"/>
    <w:qFormat/>
    <w:rsid w:val="00C71A5D"/>
    <w:pPr>
      <w:spacing w:after="0" w:line="240" w:lineRule="auto"/>
    </w:pPr>
    <w:rPr>
      <w:rFonts w:eastAsiaTheme="minorEastAsia"/>
    </w:rPr>
  </w:style>
  <w:style w:type="character" w:customStyle="1" w:styleId="NoSpacingChar">
    <w:name w:val="No Spacing Char"/>
    <w:basedOn w:val="DefaultParagraphFont"/>
    <w:link w:val="NoSpacing"/>
    <w:uiPriority w:val="1"/>
    <w:rsid w:val="00C71A5D"/>
    <w:rPr>
      <w:rFonts w:eastAsiaTheme="minorEastAsia"/>
    </w:rPr>
  </w:style>
  <w:style w:type="paragraph" w:styleId="TOC3">
    <w:name w:val="toc 3"/>
    <w:basedOn w:val="Normal"/>
    <w:next w:val="Normal"/>
    <w:autoRedefine/>
    <w:uiPriority w:val="39"/>
    <w:semiHidden/>
    <w:unhideWhenUsed/>
    <w:qFormat/>
    <w:rsid w:val="00C71A5D"/>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B615C5"/>
    <w:pPr>
      <w:spacing w:after="0" w:line="240" w:lineRule="auto"/>
    </w:pPr>
    <w:rPr>
      <w:rFonts w:ascii="Times New Roman" w:hAnsi="Times New Roman" w:cs="Times New Roman"/>
      <w:sz w:val="24"/>
      <w:szCs w:val="24"/>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uiPriority w:val="99"/>
    <w:unhideWhenUsed/>
    <w:rsid w:val="00E50157"/>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E50157"/>
    <w:rPr>
      <w:rFonts w:ascii="Times New Roman" w:hAnsi="Times New Roman" w:cs="Times New Roman"/>
      <w:sz w:val="20"/>
      <w:szCs w:val="20"/>
    </w:rPr>
  </w:style>
  <w:style w:type="character" w:styleId="FootnoteReference">
    <w:name w:val="footnote reference"/>
    <w:basedOn w:val="DefaultParagraphFont"/>
    <w:uiPriority w:val="99"/>
    <w:unhideWhenUsed/>
    <w:rsid w:val="00E50157"/>
    <w:rPr>
      <w:vertAlign w:val="superscript"/>
    </w:rPr>
  </w:style>
  <w:style w:type="table" w:styleId="TableGrid">
    <w:name w:val="Table Grid"/>
    <w:basedOn w:val="TableNormal"/>
    <w:uiPriority w:val="59"/>
    <w:rsid w:val="00A41EB6"/>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999451">
      <w:bodyDiv w:val="1"/>
      <w:marLeft w:val="0"/>
      <w:marRight w:val="0"/>
      <w:marTop w:val="0"/>
      <w:marBottom w:val="0"/>
      <w:divBdr>
        <w:top w:val="none" w:sz="0" w:space="0" w:color="auto"/>
        <w:left w:val="none" w:sz="0" w:space="0" w:color="auto"/>
        <w:bottom w:val="none" w:sz="0" w:space="0" w:color="auto"/>
        <w:right w:val="none" w:sz="0" w:space="0" w:color="auto"/>
      </w:divBdr>
    </w:div>
    <w:div w:id="336621876">
      <w:bodyDiv w:val="1"/>
      <w:marLeft w:val="0"/>
      <w:marRight w:val="0"/>
      <w:marTop w:val="0"/>
      <w:marBottom w:val="0"/>
      <w:divBdr>
        <w:top w:val="none" w:sz="0" w:space="0" w:color="auto"/>
        <w:left w:val="none" w:sz="0" w:space="0" w:color="auto"/>
        <w:bottom w:val="none" w:sz="0" w:space="0" w:color="auto"/>
        <w:right w:val="none" w:sz="0" w:space="0" w:color="auto"/>
      </w:divBdr>
    </w:div>
    <w:div w:id="394428094">
      <w:bodyDiv w:val="1"/>
      <w:marLeft w:val="0"/>
      <w:marRight w:val="0"/>
      <w:marTop w:val="0"/>
      <w:marBottom w:val="0"/>
      <w:divBdr>
        <w:top w:val="none" w:sz="0" w:space="0" w:color="auto"/>
        <w:left w:val="none" w:sz="0" w:space="0" w:color="auto"/>
        <w:bottom w:val="none" w:sz="0" w:space="0" w:color="auto"/>
        <w:right w:val="none" w:sz="0" w:space="0" w:color="auto"/>
      </w:divBdr>
      <w:divsChild>
        <w:div w:id="2134859817">
          <w:marLeft w:val="1166"/>
          <w:marRight w:val="0"/>
          <w:marTop w:val="0"/>
          <w:marBottom w:val="0"/>
          <w:divBdr>
            <w:top w:val="none" w:sz="0" w:space="0" w:color="auto"/>
            <w:left w:val="none" w:sz="0" w:space="0" w:color="auto"/>
            <w:bottom w:val="none" w:sz="0" w:space="0" w:color="auto"/>
            <w:right w:val="none" w:sz="0" w:space="0" w:color="auto"/>
          </w:divBdr>
        </w:div>
      </w:divsChild>
    </w:div>
    <w:div w:id="1046954462">
      <w:bodyDiv w:val="1"/>
      <w:marLeft w:val="0"/>
      <w:marRight w:val="0"/>
      <w:marTop w:val="0"/>
      <w:marBottom w:val="0"/>
      <w:divBdr>
        <w:top w:val="none" w:sz="0" w:space="0" w:color="auto"/>
        <w:left w:val="none" w:sz="0" w:space="0" w:color="auto"/>
        <w:bottom w:val="none" w:sz="0" w:space="0" w:color="auto"/>
        <w:right w:val="none" w:sz="0" w:space="0" w:color="auto"/>
      </w:divBdr>
    </w:div>
    <w:div w:id="1257786873">
      <w:bodyDiv w:val="1"/>
      <w:marLeft w:val="0"/>
      <w:marRight w:val="0"/>
      <w:marTop w:val="0"/>
      <w:marBottom w:val="0"/>
      <w:divBdr>
        <w:top w:val="none" w:sz="0" w:space="0" w:color="auto"/>
        <w:left w:val="none" w:sz="0" w:space="0" w:color="auto"/>
        <w:bottom w:val="none" w:sz="0" w:space="0" w:color="auto"/>
        <w:right w:val="none" w:sz="0" w:space="0" w:color="auto"/>
      </w:divBdr>
    </w:div>
    <w:div w:id="1485733882">
      <w:bodyDiv w:val="1"/>
      <w:marLeft w:val="0"/>
      <w:marRight w:val="0"/>
      <w:marTop w:val="0"/>
      <w:marBottom w:val="0"/>
      <w:divBdr>
        <w:top w:val="none" w:sz="0" w:space="0" w:color="auto"/>
        <w:left w:val="none" w:sz="0" w:space="0" w:color="auto"/>
        <w:bottom w:val="none" w:sz="0" w:space="0" w:color="auto"/>
        <w:right w:val="none" w:sz="0" w:space="0" w:color="auto"/>
      </w:divBdr>
      <w:divsChild>
        <w:div w:id="231357897">
          <w:marLeft w:val="0"/>
          <w:marRight w:val="0"/>
          <w:marTop w:val="0"/>
          <w:marBottom w:val="0"/>
          <w:divBdr>
            <w:top w:val="none" w:sz="0" w:space="0" w:color="auto"/>
            <w:left w:val="none" w:sz="0" w:space="0" w:color="auto"/>
            <w:bottom w:val="none" w:sz="0" w:space="0" w:color="auto"/>
            <w:right w:val="none" w:sz="0" w:space="0" w:color="auto"/>
          </w:divBdr>
          <w:divsChild>
            <w:div w:id="1014183773">
              <w:marLeft w:val="0"/>
              <w:marRight w:val="0"/>
              <w:marTop w:val="0"/>
              <w:marBottom w:val="0"/>
              <w:divBdr>
                <w:top w:val="none" w:sz="0" w:space="0" w:color="auto"/>
                <w:left w:val="none" w:sz="0" w:space="0" w:color="auto"/>
                <w:bottom w:val="none" w:sz="0" w:space="0" w:color="auto"/>
                <w:right w:val="none" w:sz="0" w:space="0" w:color="auto"/>
              </w:divBdr>
              <w:divsChild>
                <w:div w:id="1160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6723">
          <w:marLeft w:val="0"/>
          <w:marRight w:val="0"/>
          <w:marTop w:val="0"/>
          <w:marBottom w:val="0"/>
          <w:divBdr>
            <w:top w:val="none" w:sz="0" w:space="0" w:color="auto"/>
            <w:left w:val="none" w:sz="0" w:space="0" w:color="auto"/>
            <w:bottom w:val="none" w:sz="0" w:space="0" w:color="auto"/>
            <w:right w:val="none" w:sz="0" w:space="0" w:color="auto"/>
          </w:divBdr>
          <w:divsChild>
            <w:div w:id="6164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3642">
      <w:bodyDiv w:val="1"/>
      <w:marLeft w:val="0"/>
      <w:marRight w:val="0"/>
      <w:marTop w:val="0"/>
      <w:marBottom w:val="0"/>
      <w:divBdr>
        <w:top w:val="none" w:sz="0" w:space="0" w:color="auto"/>
        <w:left w:val="none" w:sz="0" w:space="0" w:color="auto"/>
        <w:bottom w:val="none" w:sz="0" w:space="0" w:color="auto"/>
        <w:right w:val="none" w:sz="0" w:space="0" w:color="auto"/>
      </w:divBdr>
    </w:div>
    <w:div w:id="21423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801F0-EC87-44C5-9705-E7102AE6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3</cp:revision>
  <cp:lastPrinted>2012-10-15T15:12:00Z</cp:lastPrinted>
  <dcterms:created xsi:type="dcterms:W3CDTF">2012-12-17T16:30:00Z</dcterms:created>
  <dcterms:modified xsi:type="dcterms:W3CDTF">2012-12-17T16:31:00Z</dcterms:modified>
</cp:coreProperties>
</file>