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E4" w:rsidRDefault="003C2FE4" w:rsidP="00E11A4B">
      <w:pPr>
        <w:pStyle w:val="Heading1"/>
        <w:numPr>
          <w:ilvl w:val="0"/>
          <w:numId w:val="0"/>
        </w:numPr>
        <w:spacing w:before="0" w:after="0"/>
      </w:pPr>
      <w:r>
        <w:t>UN-REDD Programme Policy Brief #03</w:t>
      </w:r>
    </w:p>
    <w:p w:rsidR="00EA6F72" w:rsidRDefault="00EA6F72" w:rsidP="00E11A4B">
      <w:pPr>
        <w:pStyle w:val="Heading1"/>
        <w:numPr>
          <w:ilvl w:val="0"/>
          <w:numId w:val="0"/>
        </w:numPr>
        <w:spacing w:before="0" w:after="0"/>
      </w:pPr>
      <w:r>
        <w:t xml:space="preserve">Putting REDD+ </w:t>
      </w:r>
      <w:r w:rsidR="003C2FE4">
        <w:t>S</w:t>
      </w:r>
      <w:r>
        <w:t xml:space="preserve">afeguards </w:t>
      </w:r>
      <w:r w:rsidR="00DD1EC5">
        <w:t xml:space="preserve">and Safeguard Information Systems </w:t>
      </w:r>
      <w:r w:rsidR="003C2FE4">
        <w:t>I</w:t>
      </w:r>
      <w:r>
        <w:t xml:space="preserve">nto </w:t>
      </w:r>
      <w:r w:rsidR="003C2FE4">
        <w:t>P</w:t>
      </w:r>
      <w:r>
        <w:t>ractice</w:t>
      </w:r>
    </w:p>
    <w:p w:rsidR="00EA6F72" w:rsidRPr="00AF3136" w:rsidRDefault="00EA6F72" w:rsidP="00E11A4B">
      <w:pPr>
        <w:spacing w:after="0"/>
        <w:rPr>
          <w:rFonts w:cs="Calibri"/>
          <w:b/>
        </w:rPr>
      </w:pPr>
    </w:p>
    <w:p w:rsidR="00053064" w:rsidRPr="00AF3136" w:rsidRDefault="00053064" w:rsidP="00E11A4B">
      <w:pPr>
        <w:spacing w:after="0"/>
        <w:rPr>
          <w:rFonts w:cs="Calibri"/>
          <w:b/>
          <w:vertAlign w:val="superscript"/>
        </w:rPr>
      </w:pPr>
      <w:r w:rsidRPr="00AF3136">
        <w:rPr>
          <w:rFonts w:cs="Calibri"/>
          <w:b/>
        </w:rPr>
        <w:t>Authors:</w:t>
      </w:r>
      <w:r w:rsidR="00C4403A" w:rsidRPr="00AF3136">
        <w:rPr>
          <w:rFonts w:cs="Calibri"/>
          <w:b/>
        </w:rPr>
        <w:t xml:space="preserve"> Leo Peskett, </w:t>
      </w:r>
      <w:r w:rsidR="001A6D9C" w:rsidRPr="00AF3136">
        <w:rPr>
          <w:rFonts w:cs="Calibri"/>
          <w:b/>
        </w:rPr>
        <w:t>Kimberly Todd</w:t>
      </w:r>
      <w:r w:rsidR="00F12912" w:rsidRPr="00AF3136">
        <w:rPr>
          <w:rStyle w:val="FootnoteReference"/>
          <w:rFonts w:cs="Calibri"/>
          <w:b/>
        </w:rPr>
        <w:footnoteReference w:id="1"/>
      </w:r>
    </w:p>
    <w:p w:rsidR="00053064" w:rsidRPr="00AF3136" w:rsidRDefault="00053064" w:rsidP="00E11A4B">
      <w:pPr>
        <w:spacing w:after="0"/>
        <w:rPr>
          <w:rFont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86794C" w:rsidRPr="00AF3136" w:rsidTr="00AF3136">
        <w:tc>
          <w:tcPr>
            <w:tcW w:w="9576" w:type="dxa"/>
            <w:shd w:val="clear" w:color="auto" w:fill="auto"/>
          </w:tcPr>
          <w:p w:rsidR="0086794C" w:rsidRPr="00AF3136" w:rsidRDefault="00731FE1" w:rsidP="00AF3136">
            <w:pPr>
              <w:spacing w:after="0" w:line="240" w:lineRule="auto"/>
              <w:rPr>
                <w:rFonts w:cs="Calibri"/>
                <w:b/>
              </w:rPr>
            </w:pPr>
            <w:r w:rsidRPr="00AF3136">
              <w:rPr>
                <w:rFonts w:cs="Calibri"/>
                <w:b/>
              </w:rPr>
              <w:t>Key messages</w:t>
            </w:r>
            <w:r w:rsidR="00143856" w:rsidRPr="00AF3136">
              <w:rPr>
                <w:rStyle w:val="FootnoteReference"/>
                <w:rFonts w:cs="Calibri"/>
                <w:b/>
              </w:rPr>
              <w:footnoteReference w:id="2"/>
            </w:r>
          </w:p>
          <w:p w:rsidR="008860BA" w:rsidRPr="00AF3136" w:rsidRDefault="008860BA" w:rsidP="00AF3136">
            <w:pPr>
              <w:spacing w:after="0" w:line="240" w:lineRule="auto"/>
              <w:rPr>
                <w:rFonts w:cs="Calibri"/>
                <w:b/>
              </w:rPr>
            </w:pPr>
          </w:p>
          <w:p w:rsidR="00731FE1" w:rsidRPr="00AF3136" w:rsidRDefault="00731FE1" w:rsidP="00AF3136">
            <w:pPr>
              <w:pStyle w:val="ColorfulList-Accent11"/>
              <w:numPr>
                <w:ilvl w:val="0"/>
                <w:numId w:val="42"/>
              </w:numPr>
              <w:spacing w:after="0"/>
              <w:rPr>
                <w:rFonts w:cs="Calibri"/>
              </w:rPr>
            </w:pPr>
            <w:r w:rsidRPr="00AF3136">
              <w:rPr>
                <w:rFonts w:cs="Calibri"/>
              </w:rPr>
              <w:t xml:space="preserve">Countries </w:t>
            </w:r>
            <w:r w:rsidR="008C5DC0" w:rsidRPr="00AF3136">
              <w:rPr>
                <w:rFonts w:cs="Calibri"/>
              </w:rPr>
              <w:t xml:space="preserve">undertaking REDD+ activities </w:t>
            </w:r>
            <w:r w:rsidRPr="00AF3136">
              <w:rPr>
                <w:rFonts w:cs="Calibri"/>
              </w:rPr>
              <w:t xml:space="preserve">need to develop </w:t>
            </w:r>
            <w:r w:rsidR="0070390C" w:rsidRPr="00AF3136">
              <w:rPr>
                <w:rFonts w:cs="Calibri"/>
              </w:rPr>
              <w:t>country-</w:t>
            </w:r>
            <w:r w:rsidR="008213CB" w:rsidRPr="00AF3136">
              <w:rPr>
                <w:rFonts w:cs="Calibri"/>
              </w:rPr>
              <w:t xml:space="preserve">level </w:t>
            </w:r>
            <w:r w:rsidR="001F70AD" w:rsidRPr="00AF3136">
              <w:rPr>
                <w:rFonts w:cs="Calibri"/>
              </w:rPr>
              <w:t xml:space="preserve">approaches </w:t>
            </w:r>
            <w:r w:rsidRPr="00AF3136">
              <w:rPr>
                <w:rFonts w:cs="Calibri"/>
              </w:rPr>
              <w:t>that enable them to respond</w:t>
            </w:r>
            <w:r w:rsidR="008213CB" w:rsidRPr="00AF3136">
              <w:rPr>
                <w:rFonts w:cs="Calibri"/>
              </w:rPr>
              <w:t xml:space="preserve"> </w:t>
            </w:r>
            <w:r w:rsidRPr="00AF3136">
              <w:rPr>
                <w:rFonts w:cs="Calibri"/>
              </w:rPr>
              <w:t>to requirements outlined in re</w:t>
            </w:r>
            <w:r w:rsidR="008C5DC0" w:rsidRPr="00AF3136">
              <w:rPr>
                <w:rFonts w:cs="Calibri"/>
              </w:rPr>
              <w:t xml:space="preserve">cent </w:t>
            </w:r>
            <w:r w:rsidR="00EA23A2" w:rsidRPr="00AF3136">
              <w:rPr>
                <w:rFonts w:cs="Calibri"/>
              </w:rPr>
              <w:t>United Nations Framework Convention on Climate Change (</w:t>
            </w:r>
            <w:r w:rsidR="008C5DC0" w:rsidRPr="00AF3136">
              <w:rPr>
                <w:rFonts w:cs="Calibri"/>
              </w:rPr>
              <w:t>UNFCCC</w:t>
            </w:r>
            <w:r w:rsidR="00EA23A2" w:rsidRPr="00AF3136">
              <w:rPr>
                <w:rFonts w:cs="Calibri"/>
              </w:rPr>
              <w:t>)</w:t>
            </w:r>
            <w:r w:rsidR="008C5DC0" w:rsidRPr="00AF3136">
              <w:rPr>
                <w:rFonts w:cs="Calibri"/>
              </w:rPr>
              <w:t xml:space="preserve"> agreements</w:t>
            </w:r>
            <w:r w:rsidR="009575B3" w:rsidRPr="00AF3136">
              <w:rPr>
                <w:rFonts w:cs="Calibri"/>
              </w:rPr>
              <w:t xml:space="preserve">, </w:t>
            </w:r>
            <w:r w:rsidR="00473072" w:rsidRPr="00AF3136">
              <w:rPr>
                <w:rFonts w:cs="Calibri"/>
              </w:rPr>
              <w:t xml:space="preserve">which aim to </w:t>
            </w:r>
            <w:r w:rsidR="009575B3" w:rsidRPr="00AF3136">
              <w:rPr>
                <w:rFonts w:cs="Calibri"/>
              </w:rPr>
              <w:t>ensur</w:t>
            </w:r>
            <w:r w:rsidR="00473072" w:rsidRPr="00AF3136">
              <w:rPr>
                <w:rFonts w:cs="Calibri"/>
              </w:rPr>
              <w:t>e</w:t>
            </w:r>
            <w:r w:rsidR="009575B3" w:rsidRPr="00AF3136">
              <w:rPr>
                <w:rFonts w:cs="Calibri"/>
              </w:rPr>
              <w:t xml:space="preserve"> </w:t>
            </w:r>
            <w:r w:rsidR="00473072" w:rsidRPr="00AF3136">
              <w:rPr>
                <w:rFonts w:cs="Calibri"/>
              </w:rPr>
              <w:t xml:space="preserve">social and environmental </w:t>
            </w:r>
            <w:r w:rsidR="00805816" w:rsidRPr="00AF3136">
              <w:rPr>
                <w:rFonts w:cs="Calibri"/>
              </w:rPr>
              <w:t xml:space="preserve">risks are minimized and </w:t>
            </w:r>
            <w:r w:rsidR="009575B3" w:rsidRPr="00AF3136">
              <w:rPr>
                <w:rFonts w:cs="Calibri"/>
              </w:rPr>
              <w:t>benefits enhanced</w:t>
            </w:r>
            <w:r w:rsidR="008C5DC0" w:rsidRPr="00AF3136">
              <w:rPr>
                <w:rFonts w:cs="Calibri"/>
              </w:rPr>
              <w:t>. REDD+ countries</w:t>
            </w:r>
            <w:r w:rsidRPr="00AF3136">
              <w:rPr>
                <w:rFonts w:cs="Calibri"/>
              </w:rPr>
              <w:t xml:space="preserve"> also need to carefully consider further objectives that the </w:t>
            </w:r>
            <w:r w:rsidR="001F70AD" w:rsidRPr="00AF3136">
              <w:rPr>
                <w:rFonts w:cs="Calibri"/>
              </w:rPr>
              <w:t xml:space="preserve">country approach </w:t>
            </w:r>
            <w:r w:rsidR="008C5DC0" w:rsidRPr="00AF3136">
              <w:rPr>
                <w:rFonts w:cs="Calibri"/>
              </w:rPr>
              <w:t>may</w:t>
            </w:r>
            <w:r w:rsidR="001F70AD" w:rsidRPr="00AF3136">
              <w:rPr>
                <w:rFonts w:cs="Calibri"/>
              </w:rPr>
              <w:t xml:space="preserve"> </w:t>
            </w:r>
            <w:r w:rsidRPr="00AF3136">
              <w:rPr>
                <w:rFonts w:cs="Calibri"/>
              </w:rPr>
              <w:t xml:space="preserve">need to </w:t>
            </w:r>
            <w:r w:rsidR="002208AE" w:rsidRPr="00AF3136">
              <w:rPr>
                <w:rFonts w:cs="Calibri"/>
              </w:rPr>
              <w:t>achieve</w:t>
            </w:r>
            <w:r w:rsidRPr="00AF3136">
              <w:rPr>
                <w:rFonts w:cs="Calibri"/>
              </w:rPr>
              <w:t>, such as responding to the requirements of organi</w:t>
            </w:r>
            <w:r w:rsidR="004F54EE" w:rsidRPr="00AF3136">
              <w:rPr>
                <w:rFonts w:cs="Calibri"/>
              </w:rPr>
              <w:t>z</w:t>
            </w:r>
            <w:r w:rsidRPr="00AF3136">
              <w:rPr>
                <w:rFonts w:cs="Calibri"/>
              </w:rPr>
              <w:t xml:space="preserve">ations </w:t>
            </w:r>
            <w:r w:rsidR="00A771F0" w:rsidRPr="00AF3136">
              <w:rPr>
                <w:rFonts w:cs="Calibri"/>
              </w:rPr>
              <w:t xml:space="preserve">providing support for </w:t>
            </w:r>
            <w:r w:rsidRPr="00AF3136">
              <w:rPr>
                <w:rFonts w:cs="Calibri"/>
              </w:rPr>
              <w:t>REDD+</w:t>
            </w:r>
            <w:r w:rsidR="007D5384" w:rsidRPr="00AF3136">
              <w:rPr>
                <w:rFonts w:cs="Calibri"/>
              </w:rPr>
              <w:t xml:space="preserve"> activities</w:t>
            </w:r>
            <w:r w:rsidR="008C5DC0" w:rsidRPr="00AF3136">
              <w:rPr>
                <w:rFonts w:cs="Calibri"/>
              </w:rPr>
              <w:t>.</w:t>
            </w:r>
          </w:p>
          <w:p w:rsidR="00B523CB" w:rsidRPr="00AF3136" w:rsidRDefault="00B523CB" w:rsidP="00AF3136">
            <w:pPr>
              <w:pStyle w:val="ColorfulList-Accent11"/>
              <w:spacing w:after="0"/>
              <w:rPr>
                <w:rFonts w:cs="Calibri"/>
              </w:rPr>
            </w:pPr>
          </w:p>
          <w:p w:rsidR="00731FE1" w:rsidRPr="00AF3136" w:rsidRDefault="000661B1" w:rsidP="00AF3136">
            <w:pPr>
              <w:pStyle w:val="ColorfulList-Accent11"/>
              <w:numPr>
                <w:ilvl w:val="0"/>
                <w:numId w:val="42"/>
              </w:numPr>
              <w:spacing w:after="0"/>
              <w:rPr>
                <w:rFonts w:cs="Calibri"/>
              </w:rPr>
            </w:pPr>
            <w:r w:rsidRPr="00AF3136">
              <w:rPr>
                <w:rFonts w:cs="Calibri"/>
              </w:rPr>
              <w:t xml:space="preserve">In order to </w:t>
            </w:r>
            <w:r w:rsidR="00473072" w:rsidRPr="00AF3136">
              <w:rPr>
                <w:rFonts w:cs="Calibri"/>
              </w:rPr>
              <w:t>develop a country</w:t>
            </w:r>
            <w:r w:rsidR="003C2FE4" w:rsidRPr="00AF3136">
              <w:rPr>
                <w:rFonts w:cs="Calibri"/>
              </w:rPr>
              <w:t>-</w:t>
            </w:r>
            <w:r w:rsidR="00473072" w:rsidRPr="00AF3136">
              <w:rPr>
                <w:rFonts w:cs="Calibri"/>
              </w:rPr>
              <w:t>level safeguard approach that is responsive to the Cancun Agreements</w:t>
            </w:r>
            <w:r w:rsidRPr="00AF3136">
              <w:rPr>
                <w:rFonts w:cs="Calibri"/>
              </w:rPr>
              <w:t>, it is useful to define the generic elements</w:t>
            </w:r>
            <w:r w:rsidR="00473072" w:rsidRPr="00AF3136">
              <w:rPr>
                <w:rFonts w:cs="Calibri"/>
              </w:rPr>
              <w:t xml:space="preserve"> of such an approach</w:t>
            </w:r>
            <w:r w:rsidR="002D6DE3" w:rsidRPr="00AF3136">
              <w:rPr>
                <w:rFonts w:cs="Calibri"/>
              </w:rPr>
              <w:t xml:space="preserve">. </w:t>
            </w:r>
            <w:r w:rsidR="00D14631" w:rsidRPr="00AF3136">
              <w:rPr>
                <w:rFonts w:cs="Calibri"/>
              </w:rPr>
              <w:t>This could help to coordinate and harmoni</w:t>
            </w:r>
            <w:r w:rsidR="00C53140" w:rsidRPr="00AF3136">
              <w:rPr>
                <w:rFonts w:cs="Calibri"/>
              </w:rPr>
              <w:t>z</w:t>
            </w:r>
            <w:r w:rsidR="00D14631" w:rsidRPr="00AF3136">
              <w:rPr>
                <w:rFonts w:cs="Calibri"/>
              </w:rPr>
              <w:t>e activities</w:t>
            </w:r>
            <w:r w:rsidR="002D6DE3" w:rsidRPr="00AF3136">
              <w:rPr>
                <w:rFonts w:cs="Calibri"/>
              </w:rPr>
              <w:t>.</w:t>
            </w:r>
            <w:r w:rsidRPr="00AF3136">
              <w:rPr>
                <w:rFonts w:cs="Calibri"/>
              </w:rPr>
              <w:t xml:space="preserve"> </w:t>
            </w:r>
          </w:p>
          <w:p w:rsidR="008860BA" w:rsidRPr="00AF3136" w:rsidRDefault="008860BA" w:rsidP="00AF3136">
            <w:pPr>
              <w:spacing w:after="0" w:line="240" w:lineRule="auto"/>
              <w:rPr>
                <w:rFonts w:cs="Calibri"/>
              </w:rPr>
            </w:pPr>
          </w:p>
          <w:p w:rsidR="00282630" w:rsidRPr="00AF3136" w:rsidRDefault="001F70AD" w:rsidP="00AF3136">
            <w:pPr>
              <w:pStyle w:val="ColorfulList-Accent11"/>
              <w:numPr>
                <w:ilvl w:val="0"/>
                <w:numId w:val="42"/>
              </w:numPr>
              <w:spacing w:after="0"/>
              <w:rPr>
                <w:rFonts w:cs="Calibri"/>
              </w:rPr>
            </w:pPr>
            <w:r w:rsidRPr="00AF3136">
              <w:rPr>
                <w:rFonts w:cs="Calibri"/>
              </w:rPr>
              <w:t>A c</w:t>
            </w:r>
            <w:r w:rsidR="00282630" w:rsidRPr="00AF3136">
              <w:rPr>
                <w:rFonts w:cs="Calibri"/>
              </w:rPr>
              <w:t>ountry</w:t>
            </w:r>
            <w:r w:rsidR="003C2FE4" w:rsidRPr="00AF3136">
              <w:rPr>
                <w:rFonts w:cs="Calibri"/>
              </w:rPr>
              <w:t>-</w:t>
            </w:r>
            <w:r w:rsidR="00282630" w:rsidRPr="00AF3136">
              <w:rPr>
                <w:rFonts w:cs="Calibri"/>
              </w:rPr>
              <w:t xml:space="preserve">level REDD+ safeguard </w:t>
            </w:r>
            <w:r w:rsidRPr="00AF3136">
              <w:rPr>
                <w:rFonts w:cs="Calibri"/>
              </w:rPr>
              <w:t xml:space="preserve">approach </w:t>
            </w:r>
            <w:r w:rsidR="00282630" w:rsidRPr="00AF3136">
              <w:rPr>
                <w:rFonts w:cs="Calibri"/>
              </w:rPr>
              <w:t>can be thought of as comprising two main elements: 1) policies, laws and regulations (PLRs) that</w:t>
            </w:r>
            <w:r w:rsidR="007D5384" w:rsidRPr="00AF3136">
              <w:t xml:space="preserve"> clarify the objectives and requirements to address the specific risks and benefits of REDD+ in the country</w:t>
            </w:r>
            <w:r w:rsidR="003C2FE4" w:rsidRPr="00AF3136">
              <w:t>;</w:t>
            </w:r>
            <w:r w:rsidR="00282630" w:rsidRPr="00AF3136">
              <w:rPr>
                <w:rFonts w:cs="Calibri"/>
              </w:rPr>
              <w:t xml:space="preserve"> and 2) a safeguard information system (SIS) that collects and </w:t>
            </w:r>
            <w:r w:rsidR="00697283" w:rsidRPr="00AF3136">
              <w:rPr>
                <w:rFonts w:cs="Calibri"/>
              </w:rPr>
              <w:t>provides</w:t>
            </w:r>
            <w:r w:rsidR="00282630" w:rsidRPr="00AF3136">
              <w:rPr>
                <w:rFonts w:cs="Calibri"/>
              </w:rPr>
              <w:t xml:space="preserve"> information on how safeguards are being addressed and respected. Cross-cutting institutions and processes are likely to be needed in the design and operation of these elements.</w:t>
            </w:r>
          </w:p>
          <w:p w:rsidR="000E05B5" w:rsidRPr="00AF3136" w:rsidRDefault="000E05B5" w:rsidP="00AF3136">
            <w:pPr>
              <w:spacing w:after="0" w:line="240" w:lineRule="auto"/>
              <w:rPr>
                <w:rFonts w:cs="Calibri"/>
              </w:rPr>
            </w:pPr>
          </w:p>
          <w:p w:rsidR="0086794C" w:rsidRPr="00AF3136" w:rsidRDefault="005B73D3" w:rsidP="00AF3136">
            <w:pPr>
              <w:pStyle w:val="ColorfulList-Accent11"/>
              <w:numPr>
                <w:ilvl w:val="0"/>
                <w:numId w:val="42"/>
              </w:numPr>
              <w:spacing w:after="0"/>
              <w:rPr>
                <w:rFonts w:cs="Calibri"/>
              </w:rPr>
            </w:pPr>
            <w:r w:rsidRPr="00AF3136">
              <w:rPr>
                <w:rFonts w:cs="Calibri"/>
              </w:rPr>
              <w:t xml:space="preserve">REDD+ safeguard </w:t>
            </w:r>
            <w:r w:rsidR="001F70AD" w:rsidRPr="00AF3136">
              <w:rPr>
                <w:rFonts w:cs="Calibri"/>
              </w:rPr>
              <w:t>approaches</w:t>
            </w:r>
            <w:r w:rsidRPr="00AF3136">
              <w:rPr>
                <w:rFonts w:cs="Calibri"/>
              </w:rPr>
              <w:t xml:space="preserve"> can build extensively on </w:t>
            </w:r>
            <w:r w:rsidR="000628CE">
              <w:rPr>
                <w:rFonts w:cs="Calibri"/>
              </w:rPr>
              <w:t xml:space="preserve">both </w:t>
            </w:r>
            <w:r w:rsidRPr="00AF3136">
              <w:rPr>
                <w:rFonts w:cs="Calibri"/>
              </w:rPr>
              <w:t xml:space="preserve">existing country </w:t>
            </w:r>
            <w:r w:rsidR="008C512D" w:rsidRPr="00AF3136">
              <w:rPr>
                <w:rFonts w:cs="Calibri"/>
              </w:rPr>
              <w:t>PLRs</w:t>
            </w:r>
            <w:r w:rsidRPr="00AF3136">
              <w:rPr>
                <w:rFonts w:cs="Calibri"/>
              </w:rPr>
              <w:t xml:space="preserve">, as well as systems for collecting and reporting information. However, existing systems </w:t>
            </w:r>
            <w:r w:rsidR="001F70AD" w:rsidRPr="00AF3136">
              <w:rPr>
                <w:rFonts w:cs="Calibri"/>
              </w:rPr>
              <w:t xml:space="preserve">and institutions </w:t>
            </w:r>
            <w:r w:rsidRPr="00AF3136">
              <w:rPr>
                <w:rFonts w:cs="Calibri"/>
              </w:rPr>
              <w:t xml:space="preserve">will need to be carefully assessed by countries </w:t>
            </w:r>
            <w:r w:rsidR="0070390C" w:rsidRPr="00AF3136">
              <w:rPr>
                <w:rFonts w:cs="Calibri"/>
              </w:rPr>
              <w:t xml:space="preserve">in order </w:t>
            </w:r>
            <w:r w:rsidRPr="00AF3136">
              <w:rPr>
                <w:rFonts w:cs="Calibri"/>
              </w:rPr>
              <w:t xml:space="preserve">to determine how well they meet the objectives </w:t>
            </w:r>
            <w:r w:rsidR="00E06FF5" w:rsidRPr="00AF3136">
              <w:rPr>
                <w:rFonts w:cs="Calibri"/>
              </w:rPr>
              <w:t xml:space="preserve">and </w:t>
            </w:r>
            <w:r w:rsidR="0070390C" w:rsidRPr="00AF3136">
              <w:rPr>
                <w:rFonts w:cs="Calibri"/>
              </w:rPr>
              <w:t xml:space="preserve">identify </w:t>
            </w:r>
            <w:r w:rsidR="00E06FF5" w:rsidRPr="00AF3136">
              <w:rPr>
                <w:rFonts w:cs="Calibri"/>
              </w:rPr>
              <w:t>gaps</w:t>
            </w:r>
            <w:r w:rsidR="0070390C" w:rsidRPr="00AF3136">
              <w:rPr>
                <w:rFonts w:cs="Calibri"/>
              </w:rPr>
              <w:t>.</w:t>
            </w:r>
          </w:p>
          <w:p w:rsidR="000E05B5" w:rsidRPr="00AF3136" w:rsidRDefault="000E05B5" w:rsidP="00AF3136">
            <w:pPr>
              <w:spacing w:after="0" w:line="240" w:lineRule="auto"/>
              <w:rPr>
                <w:rFonts w:cs="Calibri"/>
              </w:rPr>
            </w:pPr>
          </w:p>
          <w:p w:rsidR="00282630" w:rsidRPr="00AF3136" w:rsidRDefault="00282630" w:rsidP="00AF3136">
            <w:pPr>
              <w:pStyle w:val="ColorfulList-Accent11"/>
              <w:numPr>
                <w:ilvl w:val="0"/>
                <w:numId w:val="42"/>
              </w:numPr>
              <w:spacing w:after="0"/>
              <w:rPr>
                <w:rFonts w:cs="Calibri"/>
              </w:rPr>
            </w:pPr>
            <w:r w:rsidRPr="00AF3136">
              <w:rPr>
                <w:rFonts w:cs="Calibri"/>
              </w:rPr>
              <w:t>While the</w:t>
            </w:r>
            <w:r w:rsidR="00697283" w:rsidRPr="00AF3136">
              <w:rPr>
                <w:rFonts w:cs="Calibri"/>
              </w:rPr>
              <w:t xml:space="preserve"> means to address and respect </w:t>
            </w:r>
            <w:r w:rsidRPr="00AF3136">
              <w:rPr>
                <w:rFonts w:cs="Calibri"/>
              </w:rPr>
              <w:t>REDD+ safeguards will vary between countries</w:t>
            </w:r>
            <w:r w:rsidR="00536D0E" w:rsidRPr="00AF3136">
              <w:rPr>
                <w:rFonts w:cs="Calibri"/>
              </w:rPr>
              <w:t>,</w:t>
            </w:r>
            <w:r w:rsidRPr="00AF3136">
              <w:rPr>
                <w:rFonts w:cs="Calibri"/>
              </w:rPr>
              <w:t xml:space="preserve"> based on national circumstances, </w:t>
            </w:r>
            <w:r w:rsidR="002E66D9" w:rsidRPr="00AF3136">
              <w:rPr>
                <w:rFonts w:cs="Calibri"/>
              </w:rPr>
              <w:t>there are generic steps</w:t>
            </w:r>
            <w:r w:rsidR="00D76D55" w:rsidRPr="00AF3136">
              <w:rPr>
                <w:rFonts w:cs="Calibri"/>
              </w:rPr>
              <w:t xml:space="preserve"> that may be useful for countries to consider for the </w:t>
            </w:r>
            <w:r w:rsidR="00E022FB" w:rsidRPr="00AF3136">
              <w:rPr>
                <w:rFonts w:cs="Calibri"/>
              </w:rPr>
              <w:t xml:space="preserve">development </w:t>
            </w:r>
            <w:r w:rsidR="00D76D55" w:rsidRPr="00AF3136">
              <w:rPr>
                <w:rFonts w:cs="Calibri"/>
              </w:rPr>
              <w:t xml:space="preserve">of their safeguard </w:t>
            </w:r>
            <w:r w:rsidR="00E022FB" w:rsidRPr="00AF3136">
              <w:rPr>
                <w:rFonts w:cs="Calibri"/>
              </w:rPr>
              <w:t>approaches</w:t>
            </w:r>
            <w:r w:rsidR="00D76D55" w:rsidRPr="00AF3136">
              <w:rPr>
                <w:rFonts w:cs="Calibri"/>
              </w:rPr>
              <w:t>.</w:t>
            </w:r>
          </w:p>
          <w:p w:rsidR="000E05B5" w:rsidRPr="00AF3136" w:rsidRDefault="000E05B5" w:rsidP="00AF3136">
            <w:pPr>
              <w:spacing w:after="0" w:line="240" w:lineRule="auto"/>
              <w:rPr>
                <w:rFonts w:cs="Calibri"/>
              </w:rPr>
            </w:pPr>
          </w:p>
          <w:p w:rsidR="00282630" w:rsidRPr="00AF3136" w:rsidRDefault="00282630" w:rsidP="00AF3136">
            <w:pPr>
              <w:pStyle w:val="ColorfulList-Accent11"/>
              <w:numPr>
                <w:ilvl w:val="0"/>
                <w:numId w:val="42"/>
              </w:numPr>
              <w:spacing w:after="0"/>
              <w:rPr>
                <w:rFonts w:cs="Calibri"/>
              </w:rPr>
            </w:pPr>
            <w:r w:rsidRPr="00AF3136">
              <w:rPr>
                <w:rFonts w:cs="Calibri"/>
              </w:rPr>
              <w:t xml:space="preserve">New PLRs and </w:t>
            </w:r>
            <w:r w:rsidR="007D5384" w:rsidRPr="00AF3136">
              <w:rPr>
                <w:rFonts w:cs="Calibri"/>
              </w:rPr>
              <w:t>information systems</w:t>
            </w:r>
            <w:r w:rsidRPr="00AF3136">
              <w:rPr>
                <w:rFonts w:cs="Calibri"/>
              </w:rPr>
              <w:t xml:space="preserve"> may be required where countries do not have existing systems in place</w:t>
            </w:r>
            <w:r w:rsidR="00D76D55" w:rsidRPr="00AF3136">
              <w:rPr>
                <w:rFonts w:cs="Calibri"/>
              </w:rPr>
              <w:t xml:space="preserve"> or where the suite of PLRs in place need</w:t>
            </w:r>
            <w:r w:rsidR="00951696" w:rsidRPr="00AF3136">
              <w:rPr>
                <w:rFonts w:cs="Calibri"/>
              </w:rPr>
              <w:t>s</w:t>
            </w:r>
            <w:r w:rsidR="00D76D55" w:rsidRPr="00AF3136">
              <w:rPr>
                <w:rFonts w:cs="Calibri"/>
              </w:rPr>
              <w:t xml:space="preserve"> to be enhanced or supplemented </w:t>
            </w:r>
            <w:r w:rsidR="00D76D55" w:rsidRPr="00AF3136">
              <w:rPr>
                <w:rFonts w:cs="Calibri"/>
              </w:rPr>
              <w:lastRenderedPageBreak/>
              <w:t>with other measures</w:t>
            </w:r>
            <w:r w:rsidRPr="00AF3136">
              <w:rPr>
                <w:rFonts w:cs="Calibri"/>
              </w:rPr>
              <w:t>. These are most likely to be required for some of the more unique attributes of REDD+, such as carbon rights, which are often not defined in existing legislation.</w:t>
            </w:r>
          </w:p>
          <w:p w:rsidR="008E0380" w:rsidRPr="00AF3136" w:rsidRDefault="008E0380" w:rsidP="00AF3136">
            <w:pPr>
              <w:pStyle w:val="ColorfulList-Accent11"/>
              <w:spacing w:after="0"/>
              <w:rPr>
                <w:rFonts w:cs="Calibri"/>
              </w:rPr>
            </w:pPr>
          </w:p>
          <w:p w:rsidR="00E022FB" w:rsidRPr="00AF3136" w:rsidRDefault="00E022FB" w:rsidP="00AF3136">
            <w:pPr>
              <w:pStyle w:val="ColorfulList-Accent11"/>
              <w:numPr>
                <w:ilvl w:val="0"/>
                <w:numId w:val="42"/>
              </w:numPr>
              <w:spacing w:after="0"/>
              <w:rPr>
                <w:rFonts w:cs="Calibri"/>
              </w:rPr>
            </w:pPr>
            <w:r w:rsidRPr="00AF3136">
              <w:rPr>
                <w:rFonts w:cs="Calibri"/>
              </w:rPr>
              <w:t xml:space="preserve">A number of </w:t>
            </w:r>
            <w:r w:rsidR="00D14631" w:rsidRPr="00AF3136">
              <w:rPr>
                <w:rFonts w:cs="Calibri"/>
              </w:rPr>
              <w:t>internationally develope</w:t>
            </w:r>
            <w:r w:rsidR="007D5384" w:rsidRPr="00AF3136">
              <w:rPr>
                <w:rFonts w:cs="Calibri"/>
              </w:rPr>
              <w:t>d</w:t>
            </w:r>
            <w:r w:rsidR="00D14631" w:rsidRPr="00AF3136">
              <w:rPr>
                <w:rFonts w:cs="Calibri"/>
              </w:rPr>
              <w:t xml:space="preserve"> </w:t>
            </w:r>
            <w:r w:rsidR="00C343AC" w:rsidRPr="00AF3136">
              <w:rPr>
                <w:rFonts w:cs="Calibri"/>
              </w:rPr>
              <w:t>instruments</w:t>
            </w:r>
            <w:r w:rsidRPr="00AF3136">
              <w:rPr>
                <w:rFonts w:cs="Calibri"/>
              </w:rPr>
              <w:t xml:space="preserve"> already exist</w:t>
            </w:r>
            <w:r w:rsidR="00260779" w:rsidRPr="00AF3136">
              <w:rPr>
                <w:rFonts w:cs="Calibri"/>
              </w:rPr>
              <w:t xml:space="preserve"> that aim to support</w:t>
            </w:r>
            <w:r w:rsidR="00D14631" w:rsidRPr="00AF3136">
              <w:rPr>
                <w:rFonts w:cs="Calibri"/>
              </w:rPr>
              <w:t xml:space="preserve"> countries to develop REDD+ safeguards</w:t>
            </w:r>
            <w:r w:rsidRPr="00AF3136">
              <w:rPr>
                <w:rFonts w:cs="Calibri"/>
              </w:rPr>
              <w:t>. Th</w:t>
            </w:r>
            <w:r w:rsidR="00D14631" w:rsidRPr="00AF3136">
              <w:rPr>
                <w:rFonts w:cs="Calibri"/>
              </w:rPr>
              <w:t xml:space="preserve">e proliferation of different instruments has caused confusion in </w:t>
            </w:r>
            <w:r w:rsidRPr="00AF3136">
              <w:rPr>
                <w:rFonts w:cs="Calibri"/>
              </w:rPr>
              <w:t>some countries in regards to the</w:t>
            </w:r>
            <w:r w:rsidR="00D14631" w:rsidRPr="00AF3136">
              <w:rPr>
                <w:rFonts w:cs="Calibri"/>
              </w:rPr>
              <w:t>ir</w:t>
            </w:r>
            <w:r w:rsidRPr="00AF3136">
              <w:rPr>
                <w:rFonts w:cs="Calibri"/>
              </w:rPr>
              <w:t xml:space="preserve"> objectives, scope and structure. However, </w:t>
            </w:r>
            <w:r w:rsidRPr="00AF3136">
              <w:t xml:space="preserve">the different international safeguards instruments can help support countries on the development of different </w:t>
            </w:r>
            <w:r w:rsidR="007D5384" w:rsidRPr="00AF3136">
              <w:t xml:space="preserve">parts </w:t>
            </w:r>
            <w:r w:rsidRPr="00AF3136">
              <w:t xml:space="preserve">of their safeguard approaches, and therefore </w:t>
            </w:r>
            <w:r w:rsidR="00BB5C7E" w:rsidRPr="00AF3136">
              <w:t>should be seen as</w:t>
            </w:r>
            <w:r w:rsidRPr="00AF3136">
              <w:t xml:space="preserve"> complementary.</w:t>
            </w:r>
          </w:p>
          <w:p w:rsidR="008E0380" w:rsidRPr="00AF3136" w:rsidRDefault="008E0380" w:rsidP="00AF3136">
            <w:pPr>
              <w:pStyle w:val="ColorfulList-Accent11"/>
              <w:spacing w:after="0"/>
              <w:rPr>
                <w:rFonts w:cs="Calibri"/>
              </w:rPr>
            </w:pPr>
          </w:p>
          <w:p w:rsidR="005B73D3" w:rsidRPr="00AF3136" w:rsidRDefault="005B73D3" w:rsidP="00AF3136">
            <w:pPr>
              <w:spacing w:after="0" w:line="240" w:lineRule="auto"/>
              <w:rPr>
                <w:rFonts w:cs="Calibri"/>
                <w:b/>
              </w:rPr>
            </w:pPr>
          </w:p>
        </w:tc>
      </w:tr>
    </w:tbl>
    <w:p w:rsidR="0061392B" w:rsidRPr="00AF3136" w:rsidRDefault="00D14F24" w:rsidP="006269A5">
      <w:pPr>
        <w:pStyle w:val="Heading1"/>
        <w:numPr>
          <w:ilvl w:val="0"/>
          <w:numId w:val="0"/>
        </w:numPr>
        <w:ind w:left="431" w:hanging="431"/>
        <w:rPr>
          <w:rFonts w:cs="Calibri"/>
        </w:rPr>
      </w:pPr>
      <w:r w:rsidRPr="00AF3136">
        <w:rPr>
          <w:rFonts w:cs="Calibri"/>
        </w:rPr>
        <w:lastRenderedPageBreak/>
        <w:t>Introduction</w:t>
      </w:r>
    </w:p>
    <w:p w:rsidR="0094566E" w:rsidRPr="00AF3136" w:rsidRDefault="00D14F24" w:rsidP="00EA6F72">
      <w:pPr>
        <w:rPr>
          <w:rFonts w:cs="Calibri"/>
        </w:rPr>
      </w:pPr>
      <w:r w:rsidRPr="00AF3136">
        <w:rPr>
          <w:rFonts w:cs="Calibri"/>
        </w:rPr>
        <w:t xml:space="preserve">Policies to </w:t>
      </w:r>
      <w:r w:rsidR="00A7139B" w:rsidRPr="00AF3136">
        <w:rPr>
          <w:rFonts w:cs="Calibri"/>
        </w:rPr>
        <w:t>R</w:t>
      </w:r>
      <w:r w:rsidRPr="00AF3136">
        <w:rPr>
          <w:rFonts w:cs="Calibri"/>
        </w:rPr>
        <w:t xml:space="preserve">educe </w:t>
      </w:r>
      <w:r w:rsidR="00A7139B" w:rsidRPr="00AF3136">
        <w:rPr>
          <w:rFonts w:cs="Calibri"/>
        </w:rPr>
        <w:t>E</w:t>
      </w:r>
      <w:r w:rsidRPr="00AF3136">
        <w:rPr>
          <w:rFonts w:cs="Calibri"/>
        </w:rPr>
        <w:t xml:space="preserve">missions from </w:t>
      </w:r>
      <w:r w:rsidR="00A7139B" w:rsidRPr="00AF3136">
        <w:rPr>
          <w:rFonts w:cs="Calibri"/>
        </w:rPr>
        <w:t>D</w:t>
      </w:r>
      <w:r w:rsidRPr="00AF3136">
        <w:rPr>
          <w:rFonts w:cs="Calibri"/>
        </w:rPr>
        <w:t xml:space="preserve">eforestation and </w:t>
      </w:r>
      <w:r w:rsidR="00A7139B" w:rsidRPr="00AF3136">
        <w:rPr>
          <w:rFonts w:cs="Calibri"/>
        </w:rPr>
        <w:t>forest Degradation</w:t>
      </w:r>
      <w:r w:rsidRPr="00AF3136">
        <w:rPr>
          <w:rFonts w:cs="Calibri"/>
        </w:rPr>
        <w:t xml:space="preserve"> (REDD+) could bring significant benefits for people and the environment, through</w:t>
      </w:r>
      <w:r w:rsidR="00B523CB" w:rsidRPr="00AF3136">
        <w:rPr>
          <w:rFonts w:cs="Calibri"/>
        </w:rPr>
        <w:t>, for example,</w:t>
      </w:r>
      <w:r w:rsidRPr="00AF3136">
        <w:rPr>
          <w:rFonts w:cs="Calibri"/>
        </w:rPr>
        <w:t xml:space="preserve"> the creation of employment or the protection of local environmental services. </w:t>
      </w:r>
      <w:r w:rsidR="00A14A99" w:rsidRPr="00AF3136">
        <w:rPr>
          <w:rFonts w:cs="Calibri"/>
        </w:rPr>
        <w:t>C</w:t>
      </w:r>
      <w:r w:rsidR="004D1299" w:rsidRPr="00AF3136">
        <w:rPr>
          <w:rFonts w:cs="Calibri"/>
        </w:rPr>
        <w:t>oncerns have been raised</w:t>
      </w:r>
      <w:r w:rsidR="00A14A99" w:rsidRPr="00AF3136">
        <w:rPr>
          <w:rFonts w:cs="Calibri"/>
        </w:rPr>
        <w:t>, however,</w:t>
      </w:r>
      <w:r w:rsidR="00D66835" w:rsidRPr="00AF3136">
        <w:rPr>
          <w:rFonts w:cs="Calibri"/>
        </w:rPr>
        <w:t xml:space="preserve"> </w:t>
      </w:r>
      <w:r w:rsidRPr="00AF3136">
        <w:rPr>
          <w:rFonts w:cs="Calibri"/>
        </w:rPr>
        <w:t>that REDD+ could have negative impacts</w:t>
      </w:r>
      <w:r w:rsidR="00A33AC8" w:rsidRPr="00AF3136">
        <w:rPr>
          <w:rFonts w:cs="Calibri"/>
        </w:rPr>
        <w:t>,</w:t>
      </w:r>
      <w:r w:rsidR="0073138D" w:rsidRPr="00AF3136">
        <w:rPr>
          <w:rFonts w:cs="Calibri"/>
        </w:rPr>
        <w:t xml:space="preserve"> such as restricting</w:t>
      </w:r>
      <w:r w:rsidR="00A33AC8" w:rsidRPr="00AF3136">
        <w:rPr>
          <w:rFonts w:cs="Calibri"/>
        </w:rPr>
        <w:t xml:space="preserve"> access for local people to forest products or the financing of forest management strategies that harm biodiversity. </w:t>
      </w:r>
      <w:r w:rsidR="008D1256" w:rsidRPr="00AF3136">
        <w:rPr>
          <w:rFonts w:cs="Calibri"/>
        </w:rPr>
        <w:t>T</w:t>
      </w:r>
      <w:r w:rsidR="00A33AC8" w:rsidRPr="00AF3136">
        <w:rPr>
          <w:rFonts w:cs="Calibri"/>
        </w:rPr>
        <w:t>hese concerns about the impacts of REDD+</w:t>
      </w:r>
      <w:r w:rsidR="008D1256" w:rsidRPr="00AF3136">
        <w:rPr>
          <w:rFonts w:cs="Calibri"/>
        </w:rPr>
        <w:t xml:space="preserve"> led </w:t>
      </w:r>
      <w:r w:rsidR="00B523CB" w:rsidRPr="00AF3136">
        <w:rPr>
          <w:rFonts w:cs="Calibri"/>
        </w:rPr>
        <w:t xml:space="preserve">to </w:t>
      </w:r>
      <w:r w:rsidR="003A70A0" w:rsidRPr="00AF3136">
        <w:rPr>
          <w:rFonts w:cs="Calibri"/>
        </w:rPr>
        <w:t xml:space="preserve">the </w:t>
      </w:r>
      <w:r w:rsidR="004D1299" w:rsidRPr="00AF3136">
        <w:rPr>
          <w:rFonts w:cs="Calibri"/>
        </w:rPr>
        <w:t xml:space="preserve">establishment </w:t>
      </w:r>
      <w:r w:rsidR="00DA34FE" w:rsidRPr="00AF3136">
        <w:rPr>
          <w:rFonts w:cs="Calibri"/>
        </w:rPr>
        <w:t>of REDD+ "safeguards"</w:t>
      </w:r>
      <w:r w:rsidR="008D1256" w:rsidRPr="00AF3136">
        <w:rPr>
          <w:rFonts w:cs="Calibri"/>
        </w:rPr>
        <w:t xml:space="preserve"> within UNFCCC </w:t>
      </w:r>
      <w:r w:rsidR="00EA23A2" w:rsidRPr="00AF3136">
        <w:rPr>
          <w:rFonts w:cs="Calibri"/>
        </w:rPr>
        <w:t>decisions</w:t>
      </w:r>
      <w:r w:rsidR="00A33AC8" w:rsidRPr="00AF3136">
        <w:rPr>
          <w:rFonts w:cs="Calibri"/>
        </w:rPr>
        <w:t>. Safeguards are procedures and approaches that</w:t>
      </w:r>
      <w:r w:rsidR="0081084B" w:rsidRPr="00AF3136">
        <w:rPr>
          <w:rFonts w:cs="Calibri"/>
        </w:rPr>
        <w:t xml:space="preserve"> can help </w:t>
      </w:r>
      <w:r w:rsidR="00A33AC8" w:rsidRPr="00AF3136">
        <w:rPr>
          <w:rFonts w:cs="Calibri"/>
        </w:rPr>
        <w:t xml:space="preserve">to ensure that REDD+ </w:t>
      </w:r>
      <w:r w:rsidR="008D1256" w:rsidRPr="00AF3136">
        <w:rPr>
          <w:rFonts w:cs="Calibri"/>
        </w:rPr>
        <w:t>activities</w:t>
      </w:r>
      <w:r w:rsidR="00A33AC8" w:rsidRPr="00AF3136">
        <w:rPr>
          <w:rFonts w:cs="Calibri"/>
        </w:rPr>
        <w:t xml:space="preserve"> </w:t>
      </w:r>
      <w:r w:rsidR="00BB5C7E" w:rsidRPr="00AF3136">
        <w:rPr>
          <w:rFonts w:cs="Calibri"/>
        </w:rPr>
        <w:t>“</w:t>
      </w:r>
      <w:r w:rsidR="00A33AC8" w:rsidRPr="00AF3136">
        <w:rPr>
          <w:rFonts w:cs="Calibri"/>
        </w:rPr>
        <w:t>do no harm</w:t>
      </w:r>
      <w:r w:rsidR="00BB5C7E" w:rsidRPr="00AF3136">
        <w:rPr>
          <w:rFonts w:cs="Calibri"/>
        </w:rPr>
        <w:t>”</w:t>
      </w:r>
      <w:r w:rsidR="0081084B" w:rsidRPr="00AF3136">
        <w:rPr>
          <w:rFonts w:cs="Calibri"/>
        </w:rPr>
        <w:t xml:space="preserve"> to people or the environment. </w:t>
      </w:r>
      <w:r w:rsidR="006D28F1" w:rsidRPr="00AF3136">
        <w:rPr>
          <w:rFonts w:cs="Calibri"/>
        </w:rPr>
        <w:t>Though safeguards could</w:t>
      </w:r>
      <w:r w:rsidR="00D66835" w:rsidRPr="00AF3136">
        <w:rPr>
          <w:rFonts w:cs="Calibri"/>
        </w:rPr>
        <w:t xml:space="preserve"> </w:t>
      </w:r>
      <w:r w:rsidR="0081084B" w:rsidRPr="00AF3136">
        <w:rPr>
          <w:rFonts w:cs="Calibri"/>
        </w:rPr>
        <w:t xml:space="preserve">be put in place by </w:t>
      </w:r>
      <w:r w:rsidR="00A14A99" w:rsidRPr="00AF3136">
        <w:rPr>
          <w:rFonts w:cs="Calibri"/>
        </w:rPr>
        <w:t xml:space="preserve">various actors involved in </w:t>
      </w:r>
      <w:r w:rsidR="0081084B" w:rsidRPr="00AF3136">
        <w:rPr>
          <w:rFonts w:cs="Calibri"/>
        </w:rPr>
        <w:t xml:space="preserve">designing and implementing REDD+ </w:t>
      </w:r>
      <w:r w:rsidR="006D28F1" w:rsidRPr="00AF3136">
        <w:rPr>
          <w:rFonts w:cs="Calibri"/>
        </w:rPr>
        <w:t>activities</w:t>
      </w:r>
      <w:r w:rsidR="0081084B" w:rsidRPr="00AF3136">
        <w:rPr>
          <w:rFonts w:cs="Calibri"/>
        </w:rPr>
        <w:t xml:space="preserve">, the focus </w:t>
      </w:r>
      <w:r w:rsidR="008E1F49" w:rsidRPr="00AF3136">
        <w:rPr>
          <w:rFonts w:cs="Calibri"/>
        </w:rPr>
        <w:t>of</w:t>
      </w:r>
      <w:r w:rsidR="006D28F1" w:rsidRPr="00AF3136">
        <w:rPr>
          <w:rFonts w:cs="Calibri"/>
        </w:rPr>
        <w:t xml:space="preserve"> this brief </w:t>
      </w:r>
      <w:r w:rsidR="0081084B" w:rsidRPr="00AF3136">
        <w:rPr>
          <w:rFonts w:cs="Calibri"/>
        </w:rPr>
        <w:t xml:space="preserve">is on safeguards created </w:t>
      </w:r>
      <w:r w:rsidR="008D1256" w:rsidRPr="00AF3136">
        <w:rPr>
          <w:rFonts w:cs="Calibri"/>
        </w:rPr>
        <w:t xml:space="preserve">and implemented </w:t>
      </w:r>
      <w:r w:rsidR="0081084B" w:rsidRPr="00AF3136">
        <w:rPr>
          <w:rFonts w:cs="Calibri"/>
        </w:rPr>
        <w:t>by government</w:t>
      </w:r>
      <w:r w:rsidR="009C5BD7" w:rsidRPr="00AF3136">
        <w:rPr>
          <w:rFonts w:cs="Calibri"/>
        </w:rPr>
        <w:t xml:space="preserve"> bodies and associated institutions</w:t>
      </w:r>
      <w:r w:rsidR="0094566E" w:rsidRPr="00AF3136">
        <w:rPr>
          <w:rFonts w:cs="Calibri"/>
        </w:rPr>
        <w:t>.</w:t>
      </w:r>
    </w:p>
    <w:p w:rsidR="008D1256" w:rsidRPr="00AF3136" w:rsidRDefault="00A14A99" w:rsidP="002C0DFF">
      <w:pPr>
        <w:rPr>
          <w:rFonts w:cs="Calibri"/>
        </w:rPr>
      </w:pPr>
      <w:r w:rsidRPr="00AF3136">
        <w:rPr>
          <w:rFonts w:cs="Calibri"/>
        </w:rPr>
        <w:t xml:space="preserve">A key </w:t>
      </w:r>
      <w:r w:rsidR="0094566E" w:rsidRPr="00AF3136">
        <w:rPr>
          <w:rFonts w:cs="Calibri"/>
        </w:rPr>
        <w:t>driver of government</w:t>
      </w:r>
      <w:r w:rsidR="005F3A65" w:rsidRPr="00AF3136">
        <w:rPr>
          <w:rFonts w:cs="Calibri"/>
        </w:rPr>
        <w:t>s’</w:t>
      </w:r>
      <w:r w:rsidR="0094566E" w:rsidRPr="00AF3136">
        <w:rPr>
          <w:rFonts w:cs="Calibri"/>
        </w:rPr>
        <w:t xml:space="preserve"> interest</w:t>
      </w:r>
      <w:r w:rsidR="008D1256" w:rsidRPr="00AF3136">
        <w:rPr>
          <w:rFonts w:cs="Calibri"/>
        </w:rPr>
        <w:t xml:space="preserve"> in safeguards is the </w:t>
      </w:r>
      <w:r w:rsidR="009C5BD7" w:rsidRPr="00AF3136">
        <w:rPr>
          <w:rFonts w:cs="Calibri"/>
        </w:rPr>
        <w:t>UNFCCC</w:t>
      </w:r>
      <w:r w:rsidR="008D1256" w:rsidRPr="00AF3136">
        <w:rPr>
          <w:rFonts w:cs="Calibri"/>
        </w:rPr>
        <w:t xml:space="preserve"> agreement</w:t>
      </w:r>
      <w:r w:rsidR="002D60C3" w:rsidRPr="00AF3136">
        <w:rPr>
          <w:rFonts w:cs="Calibri"/>
        </w:rPr>
        <w:t>,</w:t>
      </w:r>
      <w:r w:rsidR="008D1256" w:rsidRPr="00AF3136">
        <w:rPr>
          <w:rFonts w:cs="Calibri"/>
        </w:rPr>
        <w:t xml:space="preserve"> </w:t>
      </w:r>
      <w:r w:rsidR="002D60C3" w:rsidRPr="00AF3136">
        <w:rPr>
          <w:rFonts w:cs="Calibri"/>
        </w:rPr>
        <w:t xml:space="preserve">which </w:t>
      </w:r>
      <w:r w:rsidR="00DE19BD" w:rsidRPr="00AF3136">
        <w:rPr>
          <w:rFonts w:cs="Calibri"/>
        </w:rPr>
        <w:t xml:space="preserve">states that </w:t>
      </w:r>
      <w:r w:rsidR="008D1256" w:rsidRPr="00AF3136">
        <w:rPr>
          <w:rFonts w:cs="Calibri"/>
        </w:rPr>
        <w:t>safeguards</w:t>
      </w:r>
      <w:r w:rsidR="00DE19BD" w:rsidRPr="00AF3136">
        <w:rPr>
          <w:rFonts w:cs="Calibri"/>
        </w:rPr>
        <w:t xml:space="preserve"> </w:t>
      </w:r>
      <w:r w:rsidR="00184B3A" w:rsidRPr="00AF3136">
        <w:rPr>
          <w:rFonts w:cs="Calibri"/>
        </w:rPr>
        <w:t xml:space="preserve">should be </w:t>
      </w:r>
      <w:r w:rsidR="00DA34FE" w:rsidRPr="00AF3136">
        <w:rPr>
          <w:rFonts w:cs="Calibri"/>
        </w:rPr>
        <w:t>"</w:t>
      </w:r>
      <w:r w:rsidR="00184B3A" w:rsidRPr="00AF3136">
        <w:rPr>
          <w:rFonts w:cs="Calibri"/>
        </w:rPr>
        <w:t>promoted and supported</w:t>
      </w:r>
      <w:r w:rsidR="00DA34FE" w:rsidRPr="00AF3136">
        <w:rPr>
          <w:rFonts w:cs="Calibri"/>
        </w:rPr>
        <w:t>"</w:t>
      </w:r>
      <w:r w:rsidR="0094566E" w:rsidRPr="00AF3136">
        <w:rPr>
          <w:rFonts w:cs="Calibri"/>
        </w:rPr>
        <w:t xml:space="preserve">. </w:t>
      </w:r>
      <w:r w:rsidR="00DD1EC5" w:rsidRPr="00AF3136">
        <w:rPr>
          <w:rFonts w:cs="Calibri"/>
        </w:rPr>
        <w:t xml:space="preserve">There are several other </w:t>
      </w:r>
      <w:r w:rsidR="008E1102" w:rsidRPr="00AF3136">
        <w:rPr>
          <w:rFonts w:cs="Calibri"/>
        </w:rPr>
        <w:t xml:space="preserve">reasons </w:t>
      </w:r>
      <w:r w:rsidR="002C0DFF" w:rsidRPr="00AF3136">
        <w:rPr>
          <w:rFonts w:cs="Calibri"/>
        </w:rPr>
        <w:t>for establishing strong REDD+ safeguards</w:t>
      </w:r>
      <w:r w:rsidR="00DD1EC5" w:rsidRPr="00AF3136">
        <w:rPr>
          <w:rFonts w:cs="Calibri"/>
        </w:rPr>
        <w:t>.  Such safeguards may help to</w:t>
      </w:r>
      <w:r w:rsidR="00D908CB" w:rsidRPr="00AF3136">
        <w:rPr>
          <w:rFonts w:cs="Calibri"/>
        </w:rPr>
        <w:t>:</w:t>
      </w:r>
    </w:p>
    <w:p w:rsidR="008D1256" w:rsidRPr="00AF3136" w:rsidRDefault="00DE19BD" w:rsidP="008D1256">
      <w:pPr>
        <w:pStyle w:val="ColorfulList-Accent11"/>
        <w:numPr>
          <w:ilvl w:val="0"/>
          <w:numId w:val="43"/>
        </w:numPr>
        <w:rPr>
          <w:rFonts w:cs="Calibri"/>
        </w:rPr>
      </w:pPr>
      <w:r w:rsidRPr="00AF3136">
        <w:rPr>
          <w:rFonts w:cs="Calibri"/>
        </w:rPr>
        <w:t>E</w:t>
      </w:r>
      <w:r w:rsidR="0094566E" w:rsidRPr="00AF3136">
        <w:rPr>
          <w:rFonts w:cs="Calibri"/>
        </w:rPr>
        <w:t>nsure that there is more equitable distribu</w:t>
      </w:r>
      <w:r w:rsidR="002C0DFF" w:rsidRPr="00AF3136">
        <w:rPr>
          <w:rFonts w:cs="Calibri"/>
        </w:rPr>
        <w:t xml:space="preserve">tion of </w:t>
      </w:r>
      <w:r w:rsidR="003A70A0" w:rsidRPr="00AF3136">
        <w:rPr>
          <w:rFonts w:cs="Calibri"/>
        </w:rPr>
        <w:t xml:space="preserve">the </w:t>
      </w:r>
      <w:r w:rsidR="002C0DFF" w:rsidRPr="00AF3136">
        <w:rPr>
          <w:rFonts w:cs="Calibri"/>
        </w:rPr>
        <w:t xml:space="preserve">benefits </w:t>
      </w:r>
      <w:r w:rsidR="003A70A0" w:rsidRPr="00AF3136">
        <w:rPr>
          <w:rFonts w:cs="Calibri"/>
        </w:rPr>
        <w:t xml:space="preserve">and costs of </w:t>
      </w:r>
      <w:r w:rsidR="00DA34FE" w:rsidRPr="00AF3136">
        <w:rPr>
          <w:rFonts w:cs="Calibri"/>
        </w:rPr>
        <w:t>REDD+;</w:t>
      </w:r>
      <w:r w:rsidR="002C0DFF" w:rsidRPr="00AF3136">
        <w:rPr>
          <w:rFonts w:cs="Calibri"/>
        </w:rPr>
        <w:t xml:space="preserve"> </w:t>
      </w:r>
    </w:p>
    <w:p w:rsidR="008D1256" w:rsidRPr="00AF3136" w:rsidRDefault="00DE19BD" w:rsidP="008D1256">
      <w:pPr>
        <w:pStyle w:val="ColorfulList-Accent11"/>
        <w:numPr>
          <w:ilvl w:val="0"/>
          <w:numId w:val="43"/>
        </w:numPr>
        <w:rPr>
          <w:rFonts w:cs="Calibri"/>
        </w:rPr>
      </w:pPr>
      <w:r w:rsidRPr="00AF3136">
        <w:rPr>
          <w:rFonts w:cs="Calibri"/>
        </w:rPr>
        <w:t>D</w:t>
      </w:r>
      <w:r w:rsidR="002C0DFF" w:rsidRPr="00AF3136">
        <w:rPr>
          <w:rFonts w:cs="Calibri"/>
        </w:rPr>
        <w:t xml:space="preserve">esign </w:t>
      </w:r>
      <w:r w:rsidRPr="00AF3136">
        <w:rPr>
          <w:rFonts w:cs="Calibri"/>
        </w:rPr>
        <w:t xml:space="preserve">REDD+ </w:t>
      </w:r>
      <w:r w:rsidR="002C0DFF" w:rsidRPr="00AF3136">
        <w:rPr>
          <w:rFonts w:cs="Calibri"/>
        </w:rPr>
        <w:t xml:space="preserve">schemes that </w:t>
      </w:r>
      <w:r w:rsidR="009C5BD7" w:rsidRPr="00AF3136">
        <w:rPr>
          <w:rFonts w:cs="Calibri"/>
        </w:rPr>
        <w:t xml:space="preserve">will be more sustainable </w:t>
      </w:r>
      <w:r w:rsidR="00A14A99" w:rsidRPr="00AF3136">
        <w:rPr>
          <w:rFonts w:cs="Calibri"/>
        </w:rPr>
        <w:t>by</w:t>
      </w:r>
      <w:r w:rsidR="003A70A0" w:rsidRPr="00AF3136">
        <w:rPr>
          <w:rFonts w:cs="Calibri"/>
        </w:rPr>
        <w:t xml:space="preserve"> </w:t>
      </w:r>
      <w:r w:rsidRPr="00AF3136">
        <w:rPr>
          <w:rFonts w:cs="Calibri"/>
        </w:rPr>
        <w:t>tak</w:t>
      </w:r>
      <w:r w:rsidR="00A14A99" w:rsidRPr="00AF3136">
        <w:rPr>
          <w:rFonts w:cs="Calibri"/>
        </w:rPr>
        <w:t>ing</w:t>
      </w:r>
      <w:r w:rsidRPr="00AF3136">
        <w:rPr>
          <w:rFonts w:cs="Calibri"/>
        </w:rPr>
        <w:t xml:space="preserve"> into account wider socio-economic issues and environmental concerns </w:t>
      </w:r>
      <w:r w:rsidR="00A14A99" w:rsidRPr="00AF3136">
        <w:rPr>
          <w:rFonts w:cs="Calibri"/>
        </w:rPr>
        <w:t xml:space="preserve">that are </w:t>
      </w:r>
      <w:r w:rsidRPr="00AF3136">
        <w:rPr>
          <w:rFonts w:cs="Calibri"/>
        </w:rPr>
        <w:t>likely to be important in addressing</w:t>
      </w:r>
      <w:r w:rsidR="002C0DFF" w:rsidRPr="00AF3136">
        <w:rPr>
          <w:rFonts w:cs="Calibri"/>
        </w:rPr>
        <w:t xml:space="preserve"> the underlying drivers of deforestation</w:t>
      </w:r>
      <w:r w:rsidR="00DA34FE" w:rsidRPr="00AF3136">
        <w:rPr>
          <w:rFonts w:cs="Calibri"/>
        </w:rPr>
        <w:t>;</w:t>
      </w:r>
      <w:r w:rsidR="002C0DFF" w:rsidRPr="00AF3136">
        <w:rPr>
          <w:rFonts w:cs="Calibri"/>
        </w:rPr>
        <w:t xml:space="preserve"> </w:t>
      </w:r>
    </w:p>
    <w:p w:rsidR="00184B3A" w:rsidRPr="00AF3136" w:rsidRDefault="00DE19BD" w:rsidP="008D1256">
      <w:pPr>
        <w:pStyle w:val="ColorfulList-Accent11"/>
        <w:numPr>
          <w:ilvl w:val="0"/>
          <w:numId w:val="43"/>
        </w:numPr>
        <w:rPr>
          <w:rFonts w:cs="Calibri"/>
        </w:rPr>
      </w:pPr>
      <w:r w:rsidRPr="00AF3136">
        <w:rPr>
          <w:rFonts w:cs="Calibri"/>
        </w:rPr>
        <w:t>I</w:t>
      </w:r>
      <w:r w:rsidR="0094566E" w:rsidRPr="00AF3136">
        <w:rPr>
          <w:rFonts w:cs="Calibri"/>
        </w:rPr>
        <w:t xml:space="preserve">ncrease investment in REDD+ because </w:t>
      </w:r>
      <w:r w:rsidR="003A70A0" w:rsidRPr="00AF3136">
        <w:rPr>
          <w:rFonts w:cs="Calibri"/>
        </w:rPr>
        <w:t xml:space="preserve">safeguards </w:t>
      </w:r>
      <w:r w:rsidR="0094566E" w:rsidRPr="00AF3136">
        <w:rPr>
          <w:rFonts w:cs="Calibri"/>
        </w:rPr>
        <w:t xml:space="preserve">can reduce risk, a key </w:t>
      </w:r>
      <w:r w:rsidR="00CB7444" w:rsidRPr="00AF3136">
        <w:rPr>
          <w:rFonts w:cs="Calibri"/>
        </w:rPr>
        <w:t xml:space="preserve">factor in </w:t>
      </w:r>
      <w:r w:rsidR="00991712" w:rsidRPr="00AF3136">
        <w:rPr>
          <w:rFonts w:cs="Calibri"/>
        </w:rPr>
        <w:t>investment decisions</w:t>
      </w:r>
      <w:r w:rsidR="00DA34FE" w:rsidRPr="00AF3136">
        <w:rPr>
          <w:rFonts w:cs="Calibri"/>
        </w:rPr>
        <w:t>;</w:t>
      </w:r>
      <w:r w:rsidR="0025782D" w:rsidRPr="00AF3136">
        <w:rPr>
          <w:rFonts w:cs="Calibri"/>
        </w:rPr>
        <w:t xml:space="preserve"> </w:t>
      </w:r>
    </w:p>
    <w:p w:rsidR="0094566E" w:rsidRPr="00AF3136" w:rsidRDefault="00203308" w:rsidP="008D1256">
      <w:pPr>
        <w:pStyle w:val="ColorfulList-Accent11"/>
        <w:numPr>
          <w:ilvl w:val="0"/>
          <w:numId w:val="43"/>
        </w:numPr>
        <w:rPr>
          <w:rFonts w:cs="Calibri"/>
        </w:rPr>
      </w:pPr>
      <w:r w:rsidRPr="00AF3136">
        <w:rPr>
          <w:rFonts w:cs="Calibri"/>
        </w:rPr>
        <w:t>Meet</w:t>
      </w:r>
      <w:r w:rsidR="002208AE" w:rsidRPr="00AF3136">
        <w:rPr>
          <w:rFonts w:cs="Calibri"/>
        </w:rPr>
        <w:t xml:space="preserve"> the</w:t>
      </w:r>
      <w:r w:rsidRPr="00AF3136">
        <w:rPr>
          <w:rFonts w:cs="Calibri"/>
        </w:rPr>
        <w:t xml:space="preserve"> safeguard requirements of </w:t>
      </w:r>
      <w:r w:rsidR="00991712" w:rsidRPr="00AF3136">
        <w:rPr>
          <w:rFonts w:cs="Calibri"/>
        </w:rPr>
        <w:t xml:space="preserve">many of the </w:t>
      </w:r>
      <w:r w:rsidR="00262D7B" w:rsidRPr="00AF3136">
        <w:rPr>
          <w:rFonts w:cs="Calibri"/>
        </w:rPr>
        <w:t xml:space="preserve">international </w:t>
      </w:r>
      <w:r w:rsidR="00991712" w:rsidRPr="00AF3136">
        <w:rPr>
          <w:rFonts w:cs="Calibri"/>
        </w:rPr>
        <w:t>organi</w:t>
      </w:r>
      <w:r w:rsidR="00EA23A2" w:rsidRPr="00AF3136">
        <w:rPr>
          <w:rFonts w:cs="Calibri"/>
        </w:rPr>
        <w:t>z</w:t>
      </w:r>
      <w:r w:rsidR="00991712" w:rsidRPr="00AF3136">
        <w:rPr>
          <w:rFonts w:cs="Calibri"/>
        </w:rPr>
        <w:t>ations funding (or likely to fund) REDD+</w:t>
      </w:r>
      <w:r w:rsidR="00DA34FE" w:rsidRPr="00AF3136">
        <w:rPr>
          <w:rFonts w:cs="Calibri"/>
        </w:rPr>
        <w:t>;</w:t>
      </w:r>
      <w:r w:rsidR="00991712" w:rsidRPr="00AF3136">
        <w:rPr>
          <w:rFonts w:cs="Calibri"/>
        </w:rPr>
        <w:t xml:space="preserve"> </w:t>
      </w:r>
    </w:p>
    <w:p w:rsidR="004E7E52" w:rsidRPr="00AF3136" w:rsidRDefault="003A70A0" w:rsidP="004E7E52">
      <w:pPr>
        <w:pStyle w:val="ColorfulList-Accent11"/>
        <w:numPr>
          <w:ilvl w:val="0"/>
          <w:numId w:val="43"/>
        </w:numPr>
        <w:rPr>
          <w:rFonts w:cs="Calibri"/>
        </w:rPr>
      </w:pPr>
      <w:r w:rsidRPr="00AF3136">
        <w:rPr>
          <w:rFonts w:cs="Calibri"/>
        </w:rPr>
        <w:t>In addition to reducing risks, help to d</w:t>
      </w:r>
      <w:r w:rsidR="004E7E52" w:rsidRPr="00AF3136">
        <w:rPr>
          <w:rFonts w:cs="Calibri"/>
        </w:rPr>
        <w:t xml:space="preserve">eliver social and </w:t>
      </w:r>
      <w:r w:rsidR="00624748" w:rsidRPr="00AF3136">
        <w:rPr>
          <w:rFonts w:cs="Calibri"/>
        </w:rPr>
        <w:t>environmental</w:t>
      </w:r>
      <w:r w:rsidR="004E7E52" w:rsidRPr="00AF3136">
        <w:rPr>
          <w:rFonts w:cs="Calibri"/>
        </w:rPr>
        <w:t xml:space="preserve"> benefits</w:t>
      </w:r>
      <w:r w:rsidRPr="00AF3136">
        <w:rPr>
          <w:rFonts w:cs="Calibri"/>
        </w:rPr>
        <w:t>.</w:t>
      </w:r>
    </w:p>
    <w:p w:rsidR="004E7E52" w:rsidRPr="00AF3136" w:rsidRDefault="004E7E52" w:rsidP="004E7E52">
      <w:pPr>
        <w:pStyle w:val="ColorfulList-Accent11"/>
        <w:rPr>
          <w:rFonts w:cs="Calibri"/>
        </w:rPr>
      </w:pPr>
    </w:p>
    <w:p w:rsidR="00CB7444" w:rsidRPr="00AF3136" w:rsidRDefault="00CB7444" w:rsidP="0018044E">
      <w:pPr>
        <w:rPr>
          <w:rFonts w:cs="Calibri"/>
        </w:rPr>
      </w:pPr>
      <w:r w:rsidRPr="00AF3136">
        <w:rPr>
          <w:rFonts w:cs="Calibri"/>
        </w:rPr>
        <w:t xml:space="preserve">This brief </w:t>
      </w:r>
      <w:r w:rsidR="0073138D" w:rsidRPr="00AF3136">
        <w:rPr>
          <w:rFonts w:cs="Calibri"/>
        </w:rPr>
        <w:t>examines</w:t>
      </w:r>
      <w:r w:rsidRPr="00AF3136">
        <w:rPr>
          <w:rFonts w:cs="Calibri"/>
        </w:rPr>
        <w:t xml:space="preserve"> the current </w:t>
      </w:r>
      <w:r w:rsidR="0025782D" w:rsidRPr="00AF3136">
        <w:rPr>
          <w:rFonts w:cs="Calibri"/>
        </w:rPr>
        <w:t>state</w:t>
      </w:r>
      <w:r w:rsidR="00D908CB" w:rsidRPr="00AF3136">
        <w:rPr>
          <w:rFonts w:cs="Calibri"/>
        </w:rPr>
        <w:t xml:space="preserve"> </w:t>
      </w:r>
      <w:r w:rsidR="0025782D" w:rsidRPr="00AF3136">
        <w:rPr>
          <w:rFonts w:cs="Calibri"/>
        </w:rPr>
        <w:t xml:space="preserve">of work on </w:t>
      </w:r>
      <w:r w:rsidRPr="00AF3136">
        <w:rPr>
          <w:rFonts w:cs="Calibri"/>
        </w:rPr>
        <w:t xml:space="preserve">REDD+ safeguards and outlines some of the key considerations for </w:t>
      </w:r>
      <w:r w:rsidR="00DE19BD">
        <w:t>countries</w:t>
      </w:r>
      <w:r w:rsidR="006E14B5">
        <w:t xml:space="preserve"> </w:t>
      </w:r>
      <w:r w:rsidR="009F582F">
        <w:t xml:space="preserve">as they develop </w:t>
      </w:r>
      <w:r w:rsidR="006E14B5">
        <w:t>approaches</w:t>
      </w:r>
      <w:r w:rsidR="00DE19BD">
        <w:t xml:space="preserve"> to</w:t>
      </w:r>
      <w:r w:rsidR="00203308">
        <w:t xml:space="preserve"> promote and support safeguards</w:t>
      </w:r>
      <w:r w:rsidR="009F582F">
        <w:t xml:space="preserve"> as well as</w:t>
      </w:r>
      <w:r w:rsidR="00243480">
        <w:t xml:space="preserve"> </w:t>
      </w:r>
      <w:r w:rsidR="00DE19BD">
        <w:t>provid</w:t>
      </w:r>
      <w:r w:rsidR="00A14A99">
        <w:t>e</w:t>
      </w:r>
      <w:r w:rsidR="00DE19BD">
        <w:t xml:space="preserve"> </w:t>
      </w:r>
      <w:r w:rsidR="00203308">
        <w:t xml:space="preserve">information </w:t>
      </w:r>
      <w:r w:rsidR="00DE19BD">
        <w:t xml:space="preserve">on </w:t>
      </w:r>
      <w:r w:rsidR="00A14A99">
        <w:t xml:space="preserve">how the </w:t>
      </w:r>
      <w:r w:rsidR="00DE19BD">
        <w:t>safeguards</w:t>
      </w:r>
      <w:r w:rsidR="00A14A99">
        <w:t xml:space="preserve"> are being addressed and respected</w:t>
      </w:r>
      <w:r w:rsidR="00203308">
        <w:t>.</w:t>
      </w:r>
    </w:p>
    <w:p w:rsidR="00F803C4" w:rsidRPr="00495FF4" w:rsidRDefault="00CB7444" w:rsidP="007D4840">
      <w:pPr>
        <w:pStyle w:val="Heading1"/>
      </w:pPr>
      <w:r>
        <w:lastRenderedPageBreak/>
        <w:t>S</w:t>
      </w:r>
      <w:r w:rsidR="00F803C4" w:rsidRPr="00495FF4">
        <w:t xml:space="preserve">afeguards </w:t>
      </w:r>
      <w:r w:rsidR="000865E3">
        <w:t>under UNFCCC agreements</w:t>
      </w:r>
    </w:p>
    <w:p w:rsidR="00093604" w:rsidRPr="00AF3136" w:rsidRDefault="00093604" w:rsidP="00093604">
      <w:pPr>
        <w:rPr>
          <w:rFonts w:cs="Calibri"/>
        </w:rPr>
      </w:pPr>
      <w:r w:rsidRPr="00AF3136">
        <w:rPr>
          <w:rFonts w:cs="Calibri"/>
        </w:rPr>
        <w:t xml:space="preserve">It was agreed at the UNFCCC </w:t>
      </w:r>
      <w:r w:rsidR="00E42442" w:rsidRPr="00AF3136">
        <w:rPr>
          <w:rFonts w:cs="Calibri"/>
        </w:rPr>
        <w:t xml:space="preserve">Conference </w:t>
      </w:r>
      <w:r w:rsidRPr="00AF3136">
        <w:rPr>
          <w:rFonts w:cs="Calibri"/>
        </w:rPr>
        <w:t>in Cancun</w:t>
      </w:r>
      <w:r w:rsidR="00E42442" w:rsidRPr="00AF3136">
        <w:rPr>
          <w:rFonts w:cs="Calibri"/>
        </w:rPr>
        <w:t xml:space="preserve"> in</w:t>
      </w:r>
      <w:r w:rsidR="00BB5C7E" w:rsidRPr="00AF3136">
        <w:rPr>
          <w:rFonts w:cs="Calibri"/>
        </w:rPr>
        <w:t xml:space="preserve"> </w:t>
      </w:r>
      <w:r w:rsidRPr="00AF3136">
        <w:rPr>
          <w:rFonts w:cs="Calibri"/>
        </w:rPr>
        <w:t>2010</w:t>
      </w:r>
      <w:r w:rsidR="00E42442" w:rsidRPr="00AF3136">
        <w:rPr>
          <w:rFonts w:cs="Calibri"/>
        </w:rPr>
        <w:t xml:space="preserve"> (COP16)</w:t>
      </w:r>
      <w:r w:rsidRPr="00AF3136">
        <w:rPr>
          <w:rFonts w:cs="Calibri"/>
        </w:rPr>
        <w:t xml:space="preserve"> that a set of </w:t>
      </w:r>
      <w:r w:rsidR="00056D94" w:rsidRPr="00AF3136">
        <w:rPr>
          <w:rFonts w:cs="Calibri"/>
        </w:rPr>
        <w:t xml:space="preserve">seven </w:t>
      </w:r>
      <w:r w:rsidRPr="00AF3136">
        <w:rPr>
          <w:rFonts w:cs="Calibri"/>
        </w:rPr>
        <w:t xml:space="preserve">safeguards should be promoted and supported when </w:t>
      </w:r>
      <w:proofErr w:type="gramStart"/>
      <w:r w:rsidRPr="00AF3136">
        <w:rPr>
          <w:rFonts w:cs="Calibri"/>
        </w:rPr>
        <w:t>undertaking</w:t>
      </w:r>
      <w:r w:rsidR="00243480" w:rsidRPr="00AF3136">
        <w:rPr>
          <w:rFonts w:cs="Calibri"/>
        </w:rPr>
        <w:t xml:space="preserve"> </w:t>
      </w:r>
      <w:r w:rsidRPr="00AF3136">
        <w:rPr>
          <w:rFonts w:cs="Calibri"/>
        </w:rPr>
        <w:t>REDD</w:t>
      </w:r>
      <w:proofErr w:type="gramEnd"/>
      <w:r w:rsidRPr="00AF3136">
        <w:rPr>
          <w:rFonts w:cs="Calibri"/>
        </w:rPr>
        <w:t xml:space="preserve">+ activities. </w:t>
      </w:r>
      <w:r w:rsidR="00056D94" w:rsidRPr="00AF3136">
        <w:rPr>
          <w:rFonts w:cs="Calibri"/>
        </w:rPr>
        <w:t xml:space="preserve">The Cancun </w:t>
      </w:r>
      <w:r w:rsidR="005C6EC7" w:rsidRPr="00AF3136">
        <w:rPr>
          <w:rFonts w:cs="Calibri"/>
        </w:rPr>
        <w:t>A</w:t>
      </w:r>
      <w:r w:rsidR="00056D94" w:rsidRPr="00AF3136">
        <w:rPr>
          <w:rFonts w:cs="Calibri"/>
        </w:rPr>
        <w:t>greements, and the s</w:t>
      </w:r>
      <w:r w:rsidR="00100B63" w:rsidRPr="00AF3136">
        <w:rPr>
          <w:rFonts w:cs="Calibri"/>
        </w:rPr>
        <w:t xml:space="preserve">ubsequent Durban </w:t>
      </w:r>
      <w:r w:rsidR="00262D7B" w:rsidRPr="00AF3136">
        <w:rPr>
          <w:rFonts w:cs="Calibri"/>
        </w:rPr>
        <w:t>A</w:t>
      </w:r>
      <w:r w:rsidR="00100B63" w:rsidRPr="00AF3136">
        <w:rPr>
          <w:rFonts w:cs="Calibri"/>
        </w:rPr>
        <w:t>greement,</w:t>
      </w:r>
      <w:r w:rsidR="00056D94" w:rsidRPr="00AF3136">
        <w:rPr>
          <w:rFonts w:cs="Calibri"/>
        </w:rPr>
        <w:t xml:space="preserve"> also requested parties implementing REDD+ to provide information on how safeguards are being addressed and respected throughout the implementation of the REDD+ activities</w:t>
      </w:r>
      <w:r w:rsidR="00D66835" w:rsidRPr="00AF3136">
        <w:rPr>
          <w:rFonts w:cs="Calibri"/>
        </w:rPr>
        <w:t xml:space="preserve"> (</w:t>
      </w:r>
      <w:r w:rsidR="00E42442" w:rsidRPr="00AF3136">
        <w:rPr>
          <w:rFonts w:cs="Calibri"/>
        </w:rPr>
        <w:t xml:space="preserve">see </w:t>
      </w:r>
      <w:r w:rsidR="00D66835" w:rsidRPr="00AF3136">
        <w:rPr>
          <w:rFonts w:cs="Calibri"/>
        </w:rPr>
        <w:t>Box 1</w:t>
      </w:r>
      <w:r w:rsidR="00100B63" w:rsidRPr="00AF3136">
        <w:rPr>
          <w:rFonts w:cs="Calibri"/>
        </w:rPr>
        <w:t>)</w:t>
      </w:r>
      <w:r w:rsidR="00056D94" w:rsidRPr="00AF3136">
        <w:rPr>
          <w:rFonts w:cs="Calibri"/>
        </w:rPr>
        <w:t>.</w:t>
      </w:r>
      <w:r w:rsidR="00FC2843" w:rsidRPr="00AF3136">
        <w:rPr>
          <w:rFonts w:cs="Calibri"/>
        </w:rPr>
        <w:t xml:space="preserve"> Both agreements are broad, and leave considerable flexibility for parties to interpret what they mean in practice</w:t>
      </w:r>
      <w:r w:rsidR="005B72ED" w:rsidRPr="00AF3136">
        <w:rPr>
          <w:rStyle w:val="FootnoteReference"/>
          <w:rFonts w:cs="Calibri"/>
        </w:rPr>
        <w:footnoteReference w:id="3"/>
      </w:r>
      <w:r w:rsidR="00FC2843" w:rsidRPr="00AF3136">
        <w:rPr>
          <w:rFonts w:cs="Calibri"/>
        </w:rPr>
        <w:t>. Th</w:t>
      </w:r>
      <w:r w:rsidR="00262D7B" w:rsidRPr="00AF3136">
        <w:rPr>
          <w:rFonts w:cs="Calibri"/>
        </w:rPr>
        <w:t>e</w:t>
      </w:r>
      <w:r w:rsidR="00D73A2D" w:rsidRPr="00AF3136">
        <w:rPr>
          <w:rFonts w:cs="Calibri"/>
        </w:rPr>
        <w:t xml:space="preserve"> broad</w:t>
      </w:r>
      <w:r w:rsidR="006641A2" w:rsidRPr="00AF3136">
        <w:rPr>
          <w:rFonts w:cs="Calibri"/>
        </w:rPr>
        <w:t xml:space="preserve"> nature </w:t>
      </w:r>
      <w:r w:rsidR="00D73A2D" w:rsidRPr="00AF3136">
        <w:rPr>
          <w:rFonts w:cs="Calibri"/>
        </w:rPr>
        <w:t xml:space="preserve">of the existing </w:t>
      </w:r>
      <w:r w:rsidR="00D4128C" w:rsidRPr="00AF3136">
        <w:rPr>
          <w:rFonts w:cs="Calibri"/>
        </w:rPr>
        <w:t>UNFCCC developments</w:t>
      </w:r>
      <w:r w:rsidR="00FC2843" w:rsidRPr="00AF3136">
        <w:rPr>
          <w:rFonts w:cs="Calibri"/>
        </w:rPr>
        <w:t xml:space="preserve"> may help to ensure country ownership</w:t>
      </w:r>
      <w:r w:rsidR="008D1256" w:rsidRPr="00AF3136">
        <w:rPr>
          <w:rFonts w:cs="Calibri"/>
        </w:rPr>
        <w:t>,</w:t>
      </w:r>
      <w:r w:rsidR="00FC2843" w:rsidRPr="00AF3136">
        <w:rPr>
          <w:rFonts w:cs="Calibri"/>
        </w:rPr>
        <w:t xml:space="preserve"> </w:t>
      </w:r>
      <w:r w:rsidR="00AF1133" w:rsidRPr="00AF3136">
        <w:rPr>
          <w:rFonts w:cs="Calibri"/>
        </w:rPr>
        <w:t xml:space="preserve">but the lack of </w:t>
      </w:r>
      <w:r w:rsidR="00D4128C" w:rsidRPr="00AF3136">
        <w:rPr>
          <w:rFonts w:cs="Calibri"/>
        </w:rPr>
        <w:t xml:space="preserve">more specific </w:t>
      </w:r>
      <w:r w:rsidR="00AF1133" w:rsidRPr="00AF3136">
        <w:rPr>
          <w:rFonts w:cs="Calibri"/>
        </w:rPr>
        <w:t xml:space="preserve">guidance has led to </w:t>
      </w:r>
      <w:r w:rsidR="00CA055F" w:rsidRPr="00AF3136">
        <w:rPr>
          <w:rFonts w:cs="Calibri"/>
        </w:rPr>
        <w:t>uncertainty</w:t>
      </w:r>
      <w:r w:rsidR="006E14B5" w:rsidRPr="00AF3136">
        <w:rPr>
          <w:rFonts w:cs="Calibri"/>
        </w:rPr>
        <w:t xml:space="preserve"> </w:t>
      </w:r>
      <w:r w:rsidR="00AF1133" w:rsidRPr="00AF3136">
        <w:rPr>
          <w:rFonts w:cs="Calibri"/>
        </w:rPr>
        <w:t xml:space="preserve">in some countries as to how to develop </w:t>
      </w:r>
      <w:r w:rsidR="006641A2" w:rsidRPr="00AF3136">
        <w:rPr>
          <w:rFonts w:cs="Calibri"/>
        </w:rPr>
        <w:t>country</w:t>
      </w:r>
      <w:r w:rsidR="00697283" w:rsidRPr="00AF3136">
        <w:rPr>
          <w:rFonts w:cs="Calibri"/>
        </w:rPr>
        <w:t>-</w:t>
      </w:r>
      <w:r w:rsidR="006641A2" w:rsidRPr="00AF3136">
        <w:rPr>
          <w:rFonts w:cs="Calibri"/>
        </w:rPr>
        <w:t xml:space="preserve">level </w:t>
      </w:r>
      <w:r w:rsidR="00AF1133" w:rsidRPr="00AF3136">
        <w:rPr>
          <w:rFonts w:cs="Calibri"/>
        </w:rPr>
        <w:t xml:space="preserve">safeguard </w:t>
      </w:r>
      <w:r w:rsidR="006641A2" w:rsidRPr="00AF3136">
        <w:rPr>
          <w:rFonts w:cs="Calibri"/>
        </w:rPr>
        <w:t>approaches</w:t>
      </w:r>
      <w:r w:rsidR="004E7E52" w:rsidRPr="00AF3136">
        <w:rPr>
          <w:rFonts w:cs="Calibri"/>
        </w:rPr>
        <w:t xml:space="preserve"> as well as concerns among civil society groups that safeguards will not be implemented comprehensively and </w:t>
      </w:r>
      <w:r w:rsidR="005617D2" w:rsidRPr="00AF3136">
        <w:rPr>
          <w:rFonts w:cs="Calibri"/>
        </w:rPr>
        <w:t>effectively</w:t>
      </w:r>
      <w:r w:rsidR="00AF1133" w:rsidRPr="00AF3136">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056D94" w:rsidRPr="00AF3136" w:rsidTr="00AF3136">
        <w:tc>
          <w:tcPr>
            <w:tcW w:w="9576" w:type="dxa"/>
            <w:shd w:val="clear" w:color="auto" w:fill="auto"/>
          </w:tcPr>
          <w:p w:rsidR="00056D94" w:rsidRPr="00AF3136" w:rsidRDefault="00D66835" w:rsidP="00AF3136">
            <w:pPr>
              <w:spacing w:after="0" w:line="240" w:lineRule="auto"/>
              <w:rPr>
                <w:rFonts w:cs="Calibri"/>
                <w:bCs/>
              </w:rPr>
            </w:pPr>
            <w:r w:rsidRPr="00AF3136">
              <w:rPr>
                <w:rFonts w:cs="Calibri"/>
                <w:b/>
                <w:bCs/>
              </w:rPr>
              <w:t>Box 1</w:t>
            </w:r>
            <w:r w:rsidR="00056D94" w:rsidRPr="00AF3136">
              <w:rPr>
                <w:rFonts w:cs="Calibri"/>
                <w:b/>
                <w:bCs/>
              </w:rPr>
              <w:t xml:space="preserve">: Safeguards </w:t>
            </w:r>
            <w:r w:rsidR="00EB59A9" w:rsidRPr="00AF3136">
              <w:rPr>
                <w:rFonts w:cs="Calibri"/>
                <w:b/>
                <w:bCs/>
              </w:rPr>
              <w:t xml:space="preserve">and SIS </w:t>
            </w:r>
            <w:r w:rsidR="00E56D11" w:rsidRPr="00AF3136">
              <w:rPr>
                <w:rFonts w:cs="Calibri"/>
                <w:b/>
                <w:bCs/>
              </w:rPr>
              <w:t>U</w:t>
            </w:r>
            <w:r w:rsidR="00056D94" w:rsidRPr="00AF3136">
              <w:rPr>
                <w:rFonts w:cs="Calibri"/>
                <w:b/>
                <w:bCs/>
              </w:rPr>
              <w:t xml:space="preserve">nder the UNFCCC Cancun </w:t>
            </w:r>
            <w:r w:rsidR="00940973" w:rsidRPr="00AF3136">
              <w:rPr>
                <w:rFonts w:cs="Calibri"/>
                <w:b/>
                <w:bCs/>
              </w:rPr>
              <w:t xml:space="preserve">Agreements </w:t>
            </w:r>
            <w:r w:rsidR="00056D94" w:rsidRPr="00AF3136">
              <w:rPr>
                <w:rFonts w:cs="Calibri"/>
                <w:b/>
                <w:bCs/>
              </w:rPr>
              <w:t>and Durban</w:t>
            </w:r>
            <w:r w:rsidR="00940973" w:rsidRPr="00AF3136">
              <w:rPr>
                <w:rFonts w:cs="Calibri"/>
                <w:b/>
                <w:bCs/>
              </w:rPr>
              <w:t xml:space="preserve"> Outcome</w:t>
            </w:r>
            <w:r w:rsidR="006E14B5" w:rsidRPr="00AF3136">
              <w:rPr>
                <w:rFonts w:cs="Calibri"/>
                <w:b/>
                <w:bCs/>
              </w:rPr>
              <w:t>s</w:t>
            </w:r>
          </w:p>
          <w:p w:rsidR="00E811F5" w:rsidRPr="00AF3136" w:rsidRDefault="00E811F5" w:rsidP="00AF3136">
            <w:pPr>
              <w:spacing w:after="0" w:line="240" w:lineRule="auto"/>
              <w:rPr>
                <w:rFonts w:cs="Calibri"/>
              </w:rPr>
            </w:pPr>
          </w:p>
          <w:p w:rsidR="00056D94" w:rsidRPr="00AF3136" w:rsidRDefault="00E42442" w:rsidP="00AF3136">
            <w:pPr>
              <w:spacing w:after="0" w:line="240" w:lineRule="auto"/>
              <w:rPr>
                <w:rFonts w:cs="Calibri"/>
              </w:rPr>
            </w:pPr>
            <w:r w:rsidRPr="00AF3136">
              <w:rPr>
                <w:rFonts w:cs="Calibri"/>
              </w:rPr>
              <w:t>S</w:t>
            </w:r>
            <w:r w:rsidR="00056D94" w:rsidRPr="00AF3136">
              <w:rPr>
                <w:rFonts w:cs="Calibri"/>
              </w:rPr>
              <w:t xml:space="preserve">afeguards </w:t>
            </w:r>
            <w:r w:rsidR="00EB59A9" w:rsidRPr="00AF3136">
              <w:rPr>
                <w:rFonts w:cs="Calibri"/>
              </w:rPr>
              <w:t>in the Cancun Agreements</w:t>
            </w:r>
            <w:r w:rsidR="00EB59A9" w:rsidRPr="00AF3136">
              <w:rPr>
                <w:rStyle w:val="FootnoteReference"/>
                <w:rFonts w:cs="Calibri"/>
              </w:rPr>
              <w:footnoteReference w:id="4"/>
            </w:r>
            <w:r w:rsidR="00EB59A9" w:rsidRPr="00AF3136">
              <w:rPr>
                <w:rFonts w:cs="Calibri"/>
              </w:rPr>
              <w:t xml:space="preserve"> </w:t>
            </w:r>
            <w:r w:rsidR="00056D94" w:rsidRPr="00AF3136">
              <w:rPr>
                <w:rFonts w:cs="Calibri"/>
              </w:rPr>
              <w:t xml:space="preserve">address the following </w:t>
            </w:r>
            <w:r w:rsidR="00D73A2D" w:rsidRPr="00AF3136">
              <w:rPr>
                <w:rFonts w:cs="Calibri"/>
              </w:rPr>
              <w:t>issues</w:t>
            </w:r>
            <w:r w:rsidR="00056D94" w:rsidRPr="00AF3136">
              <w:rPr>
                <w:rFonts w:cs="Calibri"/>
              </w:rPr>
              <w:t xml:space="preserve">: </w:t>
            </w:r>
          </w:p>
          <w:p w:rsidR="00611D41" w:rsidRPr="00AF3136" w:rsidRDefault="00E42442" w:rsidP="00AF3136">
            <w:pPr>
              <w:pStyle w:val="ColorfulList-Accent11"/>
              <w:numPr>
                <w:ilvl w:val="0"/>
                <w:numId w:val="49"/>
              </w:numPr>
              <w:spacing w:after="0"/>
            </w:pPr>
            <w:r w:rsidRPr="00AF3136">
              <w:t>C</w:t>
            </w:r>
            <w:r w:rsidR="00056D94" w:rsidRPr="00AF3136">
              <w:t xml:space="preserve">onsistency with objectives of national forest </w:t>
            </w:r>
            <w:proofErr w:type="spellStart"/>
            <w:r w:rsidR="00056D94" w:rsidRPr="00AF3136">
              <w:t>programmes</w:t>
            </w:r>
            <w:proofErr w:type="spellEnd"/>
            <w:r w:rsidR="00056D94" w:rsidRPr="00AF3136">
              <w:t xml:space="preserve"> and relevant internati</w:t>
            </w:r>
            <w:r w:rsidR="008C5DC0" w:rsidRPr="00AF3136">
              <w:t>onal conventions and agreements</w:t>
            </w:r>
            <w:r w:rsidRPr="00AF3136">
              <w:t>;</w:t>
            </w:r>
            <w:r w:rsidR="00056D94" w:rsidRPr="00AF3136">
              <w:t xml:space="preserve"> </w:t>
            </w:r>
          </w:p>
          <w:p w:rsidR="00611D41" w:rsidRPr="00AF3136" w:rsidRDefault="00E42442" w:rsidP="00AF3136">
            <w:pPr>
              <w:pStyle w:val="ColorfulList-Accent11"/>
              <w:numPr>
                <w:ilvl w:val="0"/>
                <w:numId w:val="49"/>
              </w:numPr>
              <w:spacing w:after="0"/>
            </w:pPr>
            <w:r w:rsidRPr="00AF3136">
              <w:t>T</w:t>
            </w:r>
            <w:r w:rsidR="00056D94" w:rsidRPr="00AF3136">
              <w:t>ransparent and effective nation</w:t>
            </w:r>
            <w:r w:rsidR="008C5DC0" w:rsidRPr="00AF3136">
              <w:t>al forest governance structures</w:t>
            </w:r>
            <w:r w:rsidRPr="00AF3136">
              <w:t>;</w:t>
            </w:r>
            <w:r w:rsidR="00056D94" w:rsidRPr="00AF3136">
              <w:t xml:space="preserve"> </w:t>
            </w:r>
          </w:p>
          <w:p w:rsidR="00611D41" w:rsidRPr="00AF3136" w:rsidRDefault="00E42442" w:rsidP="00AF3136">
            <w:pPr>
              <w:pStyle w:val="ColorfulList-Accent11"/>
              <w:numPr>
                <w:ilvl w:val="0"/>
                <w:numId w:val="49"/>
              </w:numPr>
              <w:spacing w:after="0"/>
            </w:pPr>
            <w:r w:rsidRPr="00AF3136">
              <w:t>R</w:t>
            </w:r>
            <w:r w:rsidR="00056D94" w:rsidRPr="00AF3136">
              <w:t>espect for the knowledge and rights of indigenous peoples a</w:t>
            </w:r>
            <w:r w:rsidR="008C5DC0" w:rsidRPr="00AF3136">
              <w:t>nd members of local communities</w:t>
            </w:r>
            <w:r w:rsidR="00056D94" w:rsidRPr="00AF3136">
              <w:t xml:space="preserve"> </w:t>
            </w:r>
          </w:p>
          <w:p w:rsidR="00611D41" w:rsidRPr="00AF3136" w:rsidRDefault="00E56D11" w:rsidP="00AF3136">
            <w:pPr>
              <w:pStyle w:val="ColorfulList-Accent11"/>
              <w:numPr>
                <w:ilvl w:val="0"/>
                <w:numId w:val="49"/>
              </w:numPr>
              <w:spacing w:after="0"/>
            </w:pPr>
            <w:r w:rsidRPr="00AF3136">
              <w:t>T</w:t>
            </w:r>
            <w:r w:rsidR="00056D94" w:rsidRPr="00AF3136">
              <w:t>he full and effective participation of relevant stakeholders, in particular indigenous peoples and loc</w:t>
            </w:r>
            <w:r w:rsidR="008C5DC0" w:rsidRPr="00AF3136">
              <w:t>al communities</w:t>
            </w:r>
            <w:r w:rsidR="00E42442" w:rsidRPr="00AF3136">
              <w:t>;</w:t>
            </w:r>
          </w:p>
          <w:p w:rsidR="00611D41" w:rsidRPr="00AF3136" w:rsidRDefault="00E42442" w:rsidP="00AF3136">
            <w:pPr>
              <w:pStyle w:val="ColorfulList-Accent11"/>
              <w:numPr>
                <w:ilvl w:val="0"/>
                <w:numId w:val="49"/>
              </w:numPr>
              <w:spacing w:after="0"/>
            </w:pPr>
            <w:r w:rsidRPr="00AF3136">
              <w:t>C</w:t>
            </w:r>
            <w:r w:rsidR="00056D94" w:rsidRPr="00AF3136">
              <w:t xml:space="preserve">onservation of natural forests and biological diversity </w:t>
            </w:r>
            <w:r w:rsidR="00246412" w:rsidRPr="00AF3136">
              <w:t xml:space="preserve">and </w:t>
            </w:r>
            <w:r w:rsidR="00056D94" w:rsidRPr="00AF3136">
              <w:t>enhance</w:t>
            </w:r>
            <w:r w:rsidR="00246412" w:rsidRPr="00AF3136">
              <w:t>ment of</w:t>
            </w:r>
            <w:r w:rsidR="00056D94" w:rsidRPr="00AF3136">
              <w:t xml:space="preserve"> other so</w:t>
            </w:r>
            <w:r w:rsidR="008C5DC0" w:rsidRPr="00AF3136">
              <w:t>cial and environmental benefits</w:t>
            </w:r>
            <w:r w:rsidRPr="00AF3136">
              <w:t>;</w:t>
            </w:r>
          </w:p>
          <w:p w:rsidR="00611D41" w:rsidRPr="00AF3136" w:rsidRDefault="00E42442" w:rsidP="00AF3136">
            <w:pPr>
              <w:pStyle w:val="ColorfulList-Accent11"/>
              <w:numPr>
                <w:ilvl w:val="0"/>
                <w:numId w:val="49"/>
              </w:numPr>
              <w:spacing w:after="0"/>
            </w:pPr>
            <w:r w:rsidRPr="00AF3136">
              <w:t>A</w:t>
            </w:r>
            <w:r w:rsidR="00056D94" w:rsidRPr="00AF3136">
              <w:t>ctions to address the risks of reversals</w:t>
            </w:r>
            <w:r w:rsidRPr="00AF3136">
              <w:t>;</w:t>
            </w:r>
          </w:p>
          <w:p w:rsidR="00611D41" w:rsidRPr="00AF3136" w:rsidRDefault="00E42442" w:rsidP="00AF3136">
            <w:pPr>
              <w:pStyle w:val="ColorfulList-Accent11"/>
              <w:numPr>
                <w:ilvl w:val="0"/>
                <w:numId w:val="49"/>
              </w:numPr>
              <w:spacing w:after="0"/>
            </w:pPr>
            <w:r w:rsidRPr="00AF3136">
              <w:t>A</w:t>
            </w:r>
            <w:r w:rsidR="00056D94" w:rsidRPr="00AF3136">
              <w:t>ctions to reduce the displacement of emissions</w:t>
            </w:r>
            <w:r w:rsidRPr="00AF3136">
              <w:t>.</w:t>
            </w:r>
          </w:p>
          <w:p w:rsidR="00D66835" w:rsidRPr="00AF3136" w:rsidRDefault="00D66835" w:rsidP="00AF3136">
            <w:pPr>
              <w:pStyle w:val="ColorfulList-Accent11"/>
              <w:spacing w:after="0"/>
              <w:ind w:left="360"/>
              <w:rPr>
                <w:szCs w:val="22"/>
              </w:rPr>
            </w:pPr>
          </w:p>
          <w:p w:rsidR="00056D94" w:rsidRPr="00AF3136" w:rsidRDefault="00056D94" w:rsidP="00D66835">
            <w:pPr>
              <w:rPr>
                <w:rFonts w:cs="Calibri"/>
                <w:b/>
                <w:bCs/>
              </w:rPr>
            </w:pPr>
            <w:r w:rsidRPr="00AF3136">
              <w:rPr>
                <w:rFonts w:cs="Calibri"/>
                <w:b/>
                <w:bCs/>
              </w:rPr>
              <w:t xml:space="preserve">Safeguard </w:t>
            </w:r>
            <w:r w:rsidR="00E56D11" w:rsidRPr="00AF3136">
              <w:rPr>
                <w:rFonts w:cs="Calibri"/>
                <w:b/>
                <w:bCs/>
              </w:rPr>
              <w:t>I</w:t>
            </w:r>
            <w:r w:rsidRPr="00AF3136">
              <w:rPr>
                <w:rFonts w:cs="Calibri"/>
                <w:b/>
                <w:bCs/>
              </w:rPr>
              <w:t xml:space="preserve">nformation </w:t>
            </w:r>
            <w:r w:rsidR="00E56D11" w:rsidRPr="00AF3136">
              <w:rPr>
                <w:rFonts w:cs="Calibri"/>
                <w:b/>
                <w:bCs/>
              </w:rPr>
              <w:t>S</w:t>
            </w:r>
            <w:r w:rsidRPr="00AF3136">
              <w:rPr>
                <w:rFonts w:cs="Calibri"/>
                <w:b/>
                <w:bCs/>
              </w:rPr>
              <w:t>ystems (SIS)</w:t>
            </w:r>
          </w:p>
          <w:p w:rsidR="00056D94" w:rsidRPr="00AF3136" w:rsidRDefault="00100B63" w:rsidP="00AF3136">
            <w:pPr>
              <w:spacing w:after="0" w:line="240" w:lineRule="auto"/>
            </w:pPr>
            <w:r w:rsidRPr="00AF3136">
              <w:t>D</w:t>
            </w:r>
            <w:r w:rsidR="00056D94" w:rsidRPr="00AF3136">
              <w:t xml:space="preserve">ecision </w:t>
            </w:r>
            <w:r w:rsidRPr="00AF3136">
              <w:t xml:space="preserve">12/CP.17 </w:t>
            </w:r>
            <w:r w:rsidR="009A75C3" w:rsidRPr="00AF3136">
              <w:t>of</w:t>
            </w:r>
            <w:r w:rsidRPr="00AF3136">
              <w:t xml:space="preserve"> the UNFCCC Durban </w:t>
            </w:r>
            <w:r w:rsidR="009A75C3" w:rsidRPr="00AF3136">
              <w:t>Outcome</w:t>
            </w:r>
            <w:r w:rsidR="00EB59A9" w:rsidRPr="00AF3136">
              <w:rPr>
                <w:rStyle w:val="FootnoteReference"/>
              </w:rPr>
              <w:footnoteReference w:id="5"/>
            </w:r>
            <w:r w:rsidR="009A75C3" w:rsidRPr="00AF3136">
              <w:t xml:space="preserve"> </w:t>
            </w:r>
            <w:r w:rsidR="00730467" w:rsidRPr="00AF3136">
              <w:t>states</w:t>
            </w:r>
            <w:r w:rsidR="00056D94" w:rsidRPr="00AF3136">
              <w:t xml:space="preserve"> that an SIS should provide information on how all Cancun safeguards are addressed and respected. SIS should be country-driven, implemented at a national level, and built on existing systems, as appropriate. It was also agreed that reporting of summary information on how safeguards are being addressed and respected would take place periodically in </w:t>
            </w:r>
            <w:r w:rsidR="00E56D11" w:rsidRPr="00AF3136">
              <w:t>n</w:t>
            </w:r>
            <w:r w:rsidR="00056D94" w:rsidRPr="00AF3136">
              <w:t xml:space="preserve">ational </w:t>
            </w:r>
            <w:r w:rsidR="00E56D11" w:rsidRPr="00AF3136">
              <w:t>c</w:t>
            </w:r>
            <w:r w:rsidR="00056D94" w:rsidRPr="00AF3136">
              <w:t>ommunications</w:t>
            </w:r>
            <w:r w:rsidR="00730467" w:rsidRPr="00AF3136">
              <w:t xml:space="preserve"> to the UNFCCC</w:t>
            </w:r>
            <w:r w:rsidR="00056D94" w:rsidRPr="00AF3136">
              <w:t>.</w:t>
            </w:r>
            <w:r w:rsidR="00D47702" w:rsidRPr="00AF3136">
              <w:rPr>
                <w:rFonts w:cs="Calibri"/>
              </w:rPr>
              <w:t xml:space="preserve"> </w:t>
            </w:r>
            <w:r w:rsidR="003B4DC9" w:rsidRPr="00AF3136">
              <w:rPr>
                <w:rFonts w:cs="Calibri"/>
              </w:rPr>
              <w:t>P</w:t>
            </w:r>
            <w:r w:rsidR="00D47702" w:rsidRPr="00AF3136">
              <w:rPr>
                <w:rFonts w:cs="Calibri"/>
              </w:rPr>
              <w:t>arties to the UNFCCC further</w:t>
            </w:r>
            <w:r w:rsidR="003B4DC9" w:rsidRPr="00AF3136">
              <w:rPr>
                <w:rFonts w:cs="Calibri"/>
              </w:rPr>
              <w:t xml:space="preserve"> agreed that </w:t>
            </w:r>
            <w:r w:rsidR="00CA055F" w:rsidRPr="00AF3136">
              <w:rPr>
                <w:rFonts w:cs="Calibri"/>
              </w:rPr>
              <w:t>as SIS are developed</w:t>
            </w:r>
            <w:r w:rsidR="00E56D11" w:rsidRPr="00AF3136">
              <w:rPr>
                <w:rFonts w:cs="Calibri"/>
              </w:rPr>
              <w:t>,</w:t>
            </w:r>
            <w:r w:rsidR="00CA055F" w:rsidRPr="00AF3136">
              <w:rPr>
                <w:rFonts w:cs="Calibri"/>
              </w:rPr>
              <w:t xml:space="preserve"> relevant international obligations and agreements should be recognized</w:t>
            </w:r>
            <w:r w:rsidR="003B4DC9" w:rsidRPr="00AF3136">
              <w:rPr>
                <w:rFonts w:cs="Calibri"/>
              </w:rPr>
              <w:t xml:space="preserve"> </w:t>
            </w:r>
            <w:r w:rsidR="00246412" w:rsidRPr="00AF3136">
              <w:rPr>
                <w:rFonts w:cs="Calibri"/>
              </w:rPr>
              <w:t xml:space="preserve">and </w:t>
            </w:r>
            <w:r w:rsidR="003B4DC9" w:rsidRPr="00AF3136">
              <w:rPr>
                <w:rFonts w:cs="Calibri"/>
              </w:rPr>
              <w:t>gender considerations</w:t>
            </w:r>
            <w:r w:rsidR="00CA055F" w:rsidRPr="00AF3136">
              <w:rPr>
                <w:rFonts w:cs="Calibri"/>
              </w:rPr>
              <w:t xml:space="preserve"> respected</w:t>
            </w:r>
            <w:r w:rsidR="00E811F5" w:rsidRPr="00AF3136">
              <w:rPr>
                <w:rFonts w:cs="Calibri"/>
              </w:rPr>
              <w:t>.</w:t>
            </w:r>
          </w:p>
          <w:p w:rsidR="00056D94" w:rsidRPr="00AF3136" w:rsidRDefault="00056D94" w:rsidP="00AF3136">
            <w:pPr>
              <w:spacing w:after="0" w:line="240" w:lineRule="auto"/>
              <w:rPr>
                <w:rFonts w:cs="Calibri"/>
                <w:bCs/>
              </w:rPr>
            </w:pPr>
          </w:p>
        </w:tc>
      </w:tr>
    </w:tbl>
    <w:p w:rsidR="00127F94" w:rsidRPr="00AF3136" w:rsidRDefault="00127F94" w:rsidP="007D4840">
      <w:pPr>
        <w:rPr>
          <w:rFonts w:cs="Calibri"/>
          <w:b/>
        </w:rPr>
      </w:pPr>
    </w:p>
    <w:p w:rsidR="00730467" w:rsidRPr="000865E3" w:rsidRDefault="00171622" w:rsidP="00536D0E">
      <w:pPr>
        <w:pStyle w:val="Heading1"/>
      </w:pPr>
      <w:r>
        <w:lastRenderedPageBreak/>
        <w:t>Experience with REDD+ s</w:t>
      </w:r>
      <w:r w:rsidR="00536D0E">
        <w:t>afeguards at the country level</w:t>
      </w:r>
    </w:p>
    <w:p w:rsidR="00730467" w:rsidRPr="00AF3136" w:rsidRDefault="00834399" w:rsidP="00834399">
      <w:pPr>
        <w:pStyle w:val="ColorfulList-Accent11"/>
        <w:ind w:left="0"/>
        <w:rPr>
          <w:rFonts w:cs="Calibri"/>
          <w:szCs w:val="22"/>
        </w:rPr>
      </w:pPr>
      <w:r w:rsidRPr="00AF3136">
        <w:rPr>
          <w:rFonts w:cs="Calibri"/>
          <w:szCs w:val="22"/>
        </w:rPr>
        <w:t xml:space="preserve">While the UNFCCC </w:t>
      </w:r>
      <w:r w:rsidR="009E6116" w:rsidRPr="00AF3136">
        <w:rPr>
          <w:rFonts w:cs="Calibri"/>
          <w:szCs w:val="22"/>
        </w:rPr>
        <w:t xml:space="preserve">decisions </w:t>
      </w:r>
      <w:r w:rsidR="00697283" w:rsidRPr="00AF3136">
        <w:rPr>
          <w:rFonts w:cs="Calibri"/>
          <w:szCs w:val="22"/>
        </w:rPr>
        <w:t xml:space="preserve">provide </w:t>
      </w:r>
      <w:r w:rsidRPr="00AF3136">
        <w:rPr>
          <w:rFonts w:cs="Calibri"/>
          <w:szCs w:val="22"/>
        </w:rPr>
        <w:t>broad guidance on country</w:t>
      </w:r>
      <w:r w:rsidR="009E6116" w:rsidRPr="00AF3136">
        <w:rPr>
          <w:rFonts w:cs="Calibri"/>
          <w:szCs w:val="22"/>
        </w:rPr>
        <w:t>-</w:t>
      </w:r>
      <w:r w:rsidRPr="00AF3136">
        <w:rPr>
          <w:rFonts w:cs="Calibri"/>
          <w:szCs w:val="22"/>
        </w:rPr>
        <w:t xml:space="preserve">level safeguards, considerable work is needed in order to translate this into </w:t>
      </w:r>
      <w:r w:rsidR="009A75C3" w:rsidRPr="00AF3136">
        <w:rPr>
          <w:rFonts w:cs="Calibri"/>
          <w:szCs w:val="22"/>
        </w:rPr>
        <w:t>safeguard approaches</w:t>
      </w:r>
      <w:r w:rsidR="00B42B32" w:rsidRPr="00AF3136">
        <w:rPr>
          <w:rFonts w:cs="Calibri"/>
          <w:szCs w:val="22"/>
        </w:rPr>
        <w:t xml:space="preserve"> within countries</w:t>
      </w:r>
      <w:r w:rsidRPr="00AF3136">
        <w:rPr>
          <w:rFonts w:cs="Calibri"/>
          <w:szCs w:val="22"/>
        </w:rPr>
        <w:t xml:space="preserve">. There is large variation </w:t>
      </w:r>
      <w:r w:rsidR="00B42B32" w:rsidRPr="00AF3136">
        <w:rPr>
          <w:rFonts w:cs="Calibri"/>
          <w:szCs w:val="22"/>
        </w:rPr>
        <w:t>among</w:t>
      </w:r>
      <w:r w:rsidRPr="00AF3136">
        <w:rPr>
          <w:rFonts w:cs="Calibri"/>
          <w:szCs w:val="22"/>
        </w:rPr>
        <w:t xml:space="preserve"> countries in terms of progress in this area. </w:t>
      </w:r>
      <w:r w:rsidR="009D0C8F" w:rsidRPr="00AF3136">
        <w:rPr>
          <w:rFonts w:cs="Calibri"/>
          <w:szCs w:val="22"/>
        </w:rPr>
        <w:t>Brazil, Ecuador</w:t>
      </w:r>
      <w:r w:rsidR="00A97E86" w:rsidRPr="00AF3136">
        <w:rPr>
          <w:rFonts w:cs="Calibri"/>
          <w:szCs w:val="22"/>
        </w:rPr>
        <w:t>,</w:t>
      </w:r>
      <w:r w:rsidR="009D0C8F" w:rsidRPr="00AF3136">
        <w:rPr>
          <w:rFonts w:cs="Calibri"/>
          <w:szCs w:val="22"/>
        </w:rPr>
        <w:t xml:space="preserve"> Indonesia </w:t>
      </w:r>
      <w:r w:rsidR="00A97E86" w:rsidRPr="00AF3136">
        <w:rPr>
          <w:rFonts w:cs="Calibri"/>
          <w:szCs w:val="22"/>
        </w:rPr>
        <w:t xml:space="preserve">and Mexico </w:t>
      </w:r>
      <w:r w:rsidR="00262D7B" w:rsidRPr="00AF3136">
        <w:rPr>
          <w:rFonts w:cs="Calibri"/>
          <w:szCs w:val="22"/>
        </w:rPr>
        <w:t>are example</w:t>
      </w:r>
      <w:r w:rsidR="00173D18" w:rsidRPr="00AF3136">
        <w:rPr>
          <w:rFonts w:cs="Calibri"/>
          <w:szCs w:val="22"/>
        </w:rPr>
        <w:t>s</w:t>
      </w:r>
      <w:r w:rsidR="00262D7B" w:rsidRPr="00AF3136">
        <w:rPr>
          <w:rFonts w:cs="Calibri"/>
          <w:szCs w:val="22"/>
        </w:rPr>
        <w:t xml:space="preserve"> of countries that </w:t>
      </w:r>
      <w:r w:rsidR="009D0C8F" w:rsidRPr="00AF3136">
        <w:rPr>
          <w:rFonts w:cs="Calibri"/>
          <w:szCs w:val="22"/>
        </w:rPr>
        <w:t xml:space="preserve">have made significant progress in developing safeguard policy frameworks.  </w:t>
      </w:r>
      <w:r w:rsidR="00262D7B" w:rsidRPr="00AF3136">
        <w:rPr>
          <w:rFonts w:cs="Calibri"/>
          <w:szCs w:val="22"/>
        </w:rPr>
        <w:t xml:space="preserve">The </w:t>
      </w:r>
      <w:r w:rsidR="00730467" w:rsidRPr="00AF3136">
        <w:rPr>
          <w:rFonts w:cs="Calibri"/>
          <w:szCs w:val="22"/>
        </w:rPr>
        <w:t>D</w:t>
      </w:r>
      <w:r w:rsidR="009E6116" w:rsidRPr="00AF3136">
        <w:rPr>
          <w:rFonts w:cs="Calibri"/>
          <w:szCs w:val="22"/>
        </w:rPr>
        <w:t xml:space="preserve">emocratic </w:t>
      </w:r>
      <w:r w:rsidR="00730467" w:rsidRPr="00AF3136">
        <w:rPr>
          <w:rFonts w:cs="Calibri"/>
          <w:szCs w:val="22"/>
        </w:rPr>
        <w:t>R</w:t>
      </w:r>
      <w:r w:rsidR="009E6116" w:rsidRPr="00AF3136">
        <w:rPr>
          <w:rFonts w:cs="Calibri"/>
          <w:szCs w:val="22"/>
        </w:rPr>
        <w:t xml:space="preserve">epublic of </w:t>
      </w:r>
      <w:r w:rsidR="00A97E86" w:rsidRPr="00AF3136">
        <w:rPr>
          <w:rFonts w:cs="Calibri"/>
          <w:szCs w:val="22"/>
        </w:rPr>
        <w:t xml:space="preserve">the </w:t>
      </w:r>
      <w:r w:rsidR="00730467" w:rsidRPr="00AF3136">
        <w:rPr>
          <w:rFonts w:cs="Calibri"/>
          <w:szCs w:val="22"/>
        </w:rPr>
        <w:t>C</w:t>
      </w:r>
      <w:r w:rsidR="009E6116" w:rsidRPr="00AF3136">
        <w:rPr>
          <w:rFonts w:cs="Calibri"/>
          <w:szCs w:val="22"/>
        </w:rPr>
        <w:t>ongo</w:t>
      </w:r>
      <w:r w:rsidR="00F72488" w:rsidRPr="00AF3136">
        <w:rPr>
          <w:rFonts w:cs="Calibri"/>
          <w:szCs w:val="22"/>
        </w:rPr>
        <w:t xml:space="preserve"> </w:t>
      </w:r>
      <w:r w:rsidR="00A97E86" w:rsidRPr="00AF3136">
        <w:rPr>
          <w:rFonts w:cs="Calibri"/>
          <w:szCs w:val="22"/>
        </w:rPr>
        <w:t xml:space="preserve">(DRC) </w:t>
      </w:r>
      <w:r w:rsidR="00F72488" w:rsidRPr="00AF3136">
        <w:rPr>
          <w:rFonts w:cs="Calibri"/>
          <w:szCs w:val="22"/>
        </w:rPr>
        <w:t>is</w:t>
      </w:r>
      <w:r w:rsidRPr="00AF3136">
        <w:rPr>
          <w:rFonts w:cs="Calibri"/>
          <w:szCs w:val="22"/>
        </w:rPr>
        <w:t xml:space="preserve"> </w:t>
      </w:r>
      <w:r w:rsidR="009D0C8F" w:rsidRPr="00AF3136">
        <w:rPr>
          <w:rFonts w:cs="Calibri"/>
          <w:szCs w:val="22"/>
        </w:rPr>
        <w:t xml:space="preserve">also </w:t>
      </w:r>
      <w:r w:rsidRPr="00AF3136">
        <w:rPr>
          <w:rFonts w:cs="Calibri"/>
          <w:szCs w:val="22"/>
        </w:rPr>
        <w:t xml:space="preserve">relatively </w:t>
      </w:r>
      <w:r w:rsidR="009D0C8F" w:rsidRPr="00AF3136">
        <w:rPr>
          <w:rFonts w:cs="Calibri"/>
          <w:szCs w:val="22"/>
        </w:rPr>
        <w:t>advanced</w:t>
      </w:r>
      <w:r w:rsidR="00D66835" w:rsidRPr="00AF3136">
        <w:rPr>
          <w:rFonts w:cs="Calibri"/>
          <w:szCs w:val="22"/>
        </w:rPr>
        <w:t xml:space="preserve"> </w:t>
      </w:r>
      <w:r w:rsidR="009E6116" w:rsidRPr="00AF3136">
        <w:rPr>
          <w:rFonts w:cs="Calibri"/>
          <w:szCs w:val="22"/>
        </w:rPr>
        <w:t xml:space="preserve">in this area </w:t>
      </w:r>
      <w:r w:rsidR="009A75C3" w:rsidRPr="00AF3136">
        <w:rPr>
          <w:rFonts w:cs="Calibri"/>
          <w:szCs w:val="22"/>
        </w:rPr>
        <w:t>(</w:t>
      </w:r>
      <w:r w:rsidR="00A97E86" w:rsidRPr="00AF3136">
        <w:rPr>
          <w:rFonts w:cs="Calibri"/>
          <w:szCs w:val="22"/>
        </w:rPr>
        <w:t xml:space="preserve">see </w:t>
      </w:r>
      <w:r w:rsidR="009E6116" w:rsidRPr="00AF3136">
        <w:rPr>
          <w:rFonts w:cs="Calibri"/>
          <w:szCs w:val="22"/>
        </w:rPr>
        <w:t>B</w:t>
      </w:r>
      <w:r w:rsidR="00D66835" w:rsidRPr="00AF3136">
        <w:rPr>
          <w:rFonts w:cs="Calibri"/>
          <w:szCs w:val="22"/>
        </w:rPr>
        <w:t>ox 2)</w:t>
      </w:r>
      <w:r w:rsidR="00F72488" w:rsidRPr="00AF3136">
        <w:rPr>
          <w:rFonts w:cs="Calibri"/>
          <w:szCs w:val="22"/>
        </w:rPr>
        <w:t xml:space="preserve">. </w:t>
      </w:r>
      <w:r w:rsidR="004E446C" w:rsidRPr="00AF3136">
        <w:rPr>
          <w:rFonts w:cs="Calibri"/>
          <w:szCs w:val="22"/>
        </w:rPr>
        <w:t xml:space="preserve">While there are considerable differences in the details of their </w:t>
      </w:r>
      <w:r w:rsidR="00262D7B" w:rsidRPr="00AF3136">
        <w:rPr>
          <w:rFonts w:cs="Calibri"/>
          <w:szCs w:val="22"/>
        </w:rPr>
        <w:t>approaches</w:t>
      </w:r>
      <w:r w:rsidR="004E446C" w:rsidRPr="00AF3136">
        <w:rPr>
          <w:rFonts w:cs="Calibri"/>
          <w:szCs w:val="22"/>
        </w:rPr>
        <w:t xml:space="preserve">, </w:t>
      </w:r>
      <w:r w:rsidR="00262D7B" w:rsidRPr="00AF3136">
        <w:rPr>
          <w:rFonts w:cs="Calibri"/>
          <w:szCs w:val="22"/>
        </w:rPr>
        <w:t>they</w:t>
      </w:r>
      <w:r w:rsidR="00C3537B" w:rsidRPr="00AF3136">
        <w:rPr>
          <w:rFonts w:cs="Calibri"/>
          <w:szCs w:val="22"/>
        </w:rPr>
        <w:t xml:space="preserve"> have</w:t>
      </w:r>
      <w:r w:rsidR="004E446C" w:rsidRPr="00AF3136">
        <w:rPr>
          <w:rFonts w:cs="Calibri"/>
          <w:szCs w:val="22"/>
        </w:rPr>
        <w:t xml:space="preserve"> some key features in common. These include:</w:t>
      </w:r>
    </w:p>
    <w:p w:rsidR="00834399" w:rsidRPr="00AF3136" w:rsidRDefault="004E446C" w:rsidP="003F5691">
      <w:pPr>
        <w:pStyle w:val="ColorfulList-Accent11"/>
        <w:numPr>
          <w:ilvl w:val="0"/>
          <w:numId w:val="44"/>
        </w:numPr>
        <w:rPr>
          <w:rFonts w:cs="Calibri"/>
          <w:szCs w:val="22"/>
        </w:rPr>
      </w:pPr>
      <w:r w:rsidRPr="00AF3136">
        <w:rPr>
          <w:rFonts w:cs="Calibri"/>
          <w:szCs w:val="22"/>
        </w:rPr>
        <w:t>Developing</w:t>
      </w:r>
      <w:r w:rsidR="00744E78" w:rsidRPr="00AF3136">
        <w:rPr>
          <w:rFonts w:cs="Calibri"/>
          <w:szCs w:val="22"/>
        </w:rPr>
        <w:t xml:space="preserve"> </w:t>
      </w:r>
      <w:r w:rsidR="004D0AA8" w:rsidRPr="00AF3136">
        <w:rPr>
          <w:rFonts w:cs="Calibri"/>
          <w:szCs w:val="22"/>
        </w:rPr>
        <w:t>standards,</w:t>
      </w:r>
      <w:r w:rsidR="00744E78" w:rsidRPr="00AF3136">
        <w:rPr>
          <w:rFonts w:cs="Calibri"/>
          <w:szCs w:val="22"/>
        </w:rPr>
        <w:t xml:space="preserve"> principles and criteria </w:t>
      </w:r>
      <w:r w:rsidRPr="00AF3136">
        <w:rPr>
          <w:rFonts w:cs="Calibri"/>
          <w:szCs w:val="22"/>
        </w:rPr>
        <w:t xml:space="preserve">and/or overarching policies </w:t>
      </w:r>
      <w:r w:rsidR="003A70A0" w:rsidRPr="00AF3136">
        <w:rPr>
          <w:rFonts w:cs="Calibri"/>
          <w:szCs w:val="22"/>
        </w:rPr>
        <w:t xml:space="preserve">which effectively </w:t>
      </w:r>
      <w:r w:rsidR="00744E78" w:rsidRPr="00AF3136">
        <w:rPr>
          <w:rFonts w:cs="Calibri"/>
          <w:szCs w:val="22"/>
        </w:rPr>
        <w:t>defin</w:t>
      </w:r>
      <w:r w:rsidR="003A70A0" w:rsidRPr="00AF3136">
        <w:rPr>
          <w:rFonts w:cs="Calibri"/>
          <w:szCs w:val="22"/>
        </w:rPr>
        <w:t xml:space="preserve">e what social and environmental </w:t>
      </w:r>
      <w:r w:rsidR="00A97E86" w:rsidRPr="00AF3136">
        <w:rPr>
          <w:rFonts w:cs="Calibri"/>
          <w:szCs w:val="22"/>
        </w:rPr>
        <w:t>objectives should be met;</w:t>
      </w:r>
    </w:p>
    <w:p w:rsidR="004E446C" w:rsidRPr="00AF3136" w:rsidRDefault="004E446C" w:rsidP="003F5691">
      <w:pPr>
        <w:pStyle w:val="ColorfulList-Accent11"/>
        <w:numPr>
          <w:ilvl w:val="0"/>
          <w:numId w:val="44"/>
        </w:numPr>
        <w:rPr>
          <w:rFonts w:cs="Calibri"/>
          <w:szCs w:val="22"/>
        </w:rPr>
      </w:pPr>
      <w:r w:rsidRPr="00AF3136">
        <w:rPr>
          <w:rFonts w:cs="Calibri"/>
          <w:szCs w:val="22"/>
        </w:rPr>
        <w:t xml:space="preserve">Conducting preliminary assessments of the potential social and environmental risks </w:t>
      </w:r>
      <w:r w:rsidR="005617D2" w:rsidRPr="00AF3136">
        <w:rPr>
          <w:rFonts w:cs="Calibri"/>
          <w:szCs w:val="22"/>
        </w:rPr>
        <w:t xml:space="preserve">and benefits of </w:t>
      </w:r>
      <w:r w:rsidRPr="00AF3136">
        <w:rPr>
          <w:rFonts w:cs="Calibri"/>
          <w:szCs w:val="22"/>
        </w:rPr>
        <w:t>REDD+</w:t>
      </w:r>
      <w:r w:rsidR="00A97E86" w:rsidRPr="00AF3136">
        <w:rPr>
          <w:rFonts w:cs="Calibri"/>
          <w:szCs w:val="22"/>
        </w:rPr>
        <w:t>;</w:t>
      </w:r>
    </w:p>
    <w:p w:rsidR="00744E78" w:rsidRPr="00AF3136" w:rsidRDefault="007308BA" w:rsidP="003F5691">
      <w:pPr>
        <w:pStyle w:val="ColorfulList-Accent11"/>
        <w:numPr>
          <w:ilvl w:val="0"/>
          <w:numId w:val="44"/>
        </w:numPr>
        <w:rPr>
          <w:rFonts w:cs="Calibri"/>
          <w:szCs w:val="22"/>
        </w:rPr>
      </w:pPr>
      <w:r w:rsidRPr="00AF3136">
        <w:rPr>
          <w:rFonts w:cs="Calibri"/>
          <w:szCs w:val="22"/>
        </w:rPr>
        <w:t>Conducting</w:t>
      </w:r>
      <w:r w:rsidR="003775F9" w:rsidRPr="00AF3136">
        <w:rPr>
          <w:rFonts w:cs="Calibri"/>
          <w:szCs w:val="22"/>
        </w:rPr>
        <w:t xml:space="preserve"> preliminary assessments of existing safeguards</w:t>
      </w:r>
      <w:r w:rsidRPr="00AF3136">
        <w:rPr>
          <w:rFonts w:cs="Calibri"/>
          <w:szCs w:val="22"/>
        </w:rPr>
        <w:t xml:space="preserve"> in order to understand what </w:t>
      </w:r>
      <w:r w:rsidR="0058072E" w:rsidRPr="00AF3136">
        <w:rPr>
          <w:rFonts w:cs="Calibri"/>
          <w:szCs w:val="22"/>
        </w:rPr>
        <w:t>additional safeguards</w:t>
      </w:r>
      <w:r w:rsidRPr="00AF3136">
        <w:rPr>
          <w:rFonts w:cs="Calibri"/>
          <w:szCs w:val="22"/>
        </w:rPr>
        <w:t xml:space="preserve"> </w:t>
      </w:r>
      <w:r w:rsidR="0058072E" w:rsidRPr="00AF3136">
        <w:rPr>
          <w:rFonts w:cs="Calibri"/>
          <w:szCs w:val="22"/>
        </w:rPr>
        <w:t>are</w:t>
      </w:r>
      <w:r w:rsidRPr="00AF3136">
        <w:rPr>
          <w:rFonts w:cs="Calibri"/>
          <w:szCs w:val="22"/>
        </w:rPr>
        <w:t xml:space="preserve"> needed in</w:t>
      </w:r>
      <w:r w:rsidR="005D735A" w:rsidRPr="00AF3136">
        <w:rPr>
          <w:rFonts w:cs="Calibri"/>
          <w:szCs w:val="22"/>
        </w:rPr>
        <w:t xml:space="preserve"> order to</w:t>
      </w:r>
      <w:r w:rsidRPr="00AF3136">
        <w:rPr>
          <w:rFonts w:cs="Calibri"/>
          <w:szCs w:val="22"/>
        </w:rPr>
        <w:t xml:space="preserve"> </w:t>
      </w:r>
      <w:r w:rsidR="0073138D" w:rsidRPr="00AF3136">
        <w:rPr>
          <w:rFonts w:cs="Calibri"/>
          <w:szCs w:val="22"/>
        </w:rPr>
        <w:t>respond</w:t>
      </w:r>
      <w:r w:rsidRPr="00AF3136">
        <w:rPr>
          <w:rFonts w:cs="Calibri"/>
          <w:szCs w:val="22"/>
        </w:rPr>
        <w:t xml:space="preserve"> to </w:t>
      </w:r>
      <w:r w:rsidR="00697283" w:rsidRPr="00AF3136">
        <w:rPr>
          <w:rFonts w:cs="Calibri"/>
          <w:szCs w:val="22"/>
        </w:rPr>
        <w:t>the UNFCCC requirements</w:t>
      </w:r>
      <w:r w:rsidR="00A97E86" w:rsidRPr="00AF3136">
        <w:rPr>
          <w:rFonts w:cs="Calibri"/>
          <w:szCs w:val="22"/>
        </w:rPr>
        <w:t>;</w:t>
      </w:r>
    </w:p>
    <w:p w:rsidR="004E446C" w:rsidRPr="00AF3136" w:rsidRDefault="007308BA" w:rsidP="003F5691">
      <w:pPr>
        <w:pStyle w:val="ColorfulList-Accent11"/>
        <w:numPr>
          <w:ilvl w:val="0"/>
          <w:numId w:val="44"/>
        </w:numPr>
        <w:rPr>
          <w:rFonts w:cs="Calibri"/>
          <w:szCs w:val="22"/>
        </w:rPr>
      </w:pPr>
      <w:r w:rsidRPr="00AF3136">
        <w:rPr>
          <w:rFonts w:cs="Calibri"/>
          <w:szCs w:val="22"/>
        </w:rPr>
        <w:t>Holding</w:t>
      </w:r>
      <w:r w:rsidR="004E446C" w:rsidRPr="00AF3136">
        <w:rPr>
          <w:rFonts w:cs="Calibri"/>
          <w:szCs w:val="22"/>
        </w:rPr>
        <w:t xml:space="preserve"> multi-stakeholder consultations to </w:t>
      </w:r>
      <w:r w:rsidRPr="00AF3136">
        <w:rPr>
          <w:rFonts w:cs="Calibri"/>
          <w:szCs w:val="22"/>
        </w:rPr>
        <w:t xml:space="preserve">assess the </w:t>
      </w:r>
      <w:r w:rsidR="005D735A" w:rsidRPr="00AF3136">
        <w:rPr>
          <w:rFonts w:cs="Calibri"/>
          <w:szCs w:val="22"/>
        </w:rPr>
        <w:t xml:space="preserve">potential </w:t>
      </w:r>
      <w:r w:rsidRPr="00AF3136">
        <w:rPr>
          <w:rFonts w:cs="Calibri"/>
          <w:szCs w:val="22"/>
        </w:rPr>
        <w:t xml:space="preserve">risks </w:t>
      </w:r>
      <w:r w:rsidR="005D735A" w:rsidRPr="00AF3136">
        <w:rPr>
          <w:rFonts w:cs="Calibri"/>
          <w:szCs w:val="22"/>
        </w:rPr>
        <w:t xml:space="preserve">and benefits </w:t>
      </w:r>
      <w:r w:rsidRPr="00AF3136">
        <w:rPr>
          <w:rFonts w:cs="Calibri"/>
          <w:szCs w:val="22"/>
        </w:rPr>
        <w:t xml:space="preserve">of REDD+ and to </w:t>
      </w:r>
      <w:r w:rsidR="004E446C" w:rsidRPr="00AF3136">
        <w:rPr>
          <w:rFonts w:cs="Calibri"/>
          <w:szCs w:val="22"/>
        </w:rPr>
        <w:t>develop safeguards</w:t>
      </w:r>
      <w:r w:rsidR="00A97E86" w:rsidRPr="00AF3136">
        <w:rPr>
          <w:rFonts w:cs="Calibri"/>
          <w:szCs w:val="22"/>
        </w:rPr>
        <w:t>;</w:t>
      </w:r>
    </w:p>
    <w:p w:rsidR="00730467" w:rsidRPr="00AF3136" w:rsidRDefault="007308BA" w:rsidP="003F5691">
      <w:pPr>
        <w:pStyle w:val="ColorfulList-Accent11"/>
        <w:numPr>
          <w:ilvl w:val="0"/>
          <w:numId w:val="44"/>
        </w:numPr>
        <w:rPr>
          <w:rFonts w:cs="Calibri"/>
          <w:szCs w:val="22"/>
        </w:rPr>
      </w:pPr>
      <w:r w:rsidRPr="00AF3136">
        <w:rPr>
          <w:rFonts w:cs="Calibri"/>
          <w:szCs w:val="22"/>
        </w:rPr>
        <w:t>Defining the overall approach to implementing safeguards in a strategic plan or draft policy</w:t>
      </w:r>
      <w:r w:rsidR="00A97E86" w:rsidRPr="00AF3136">
        <w:rPr>
          <w:rFonts w:cs="Calibri"/>
          <w:szCs w:val="22"/>
        </w:rPr>
        <w:t>;</w:t>
      </w:r>
    </w:p>
    <w:p w:rsidR="00262D7B" w:rsidRPr="00AF3136" w:rsidRDefault="00262D7B" w:rsidP="003F5691">
      <w:pPr>
        <w:pStyle w:val="ColorfulList-Accent11"/>
        <w:numPr>
          <w:ilvl w:val="0"/>
          <w:numId w:val="44"/>
        </w:numPr>
        <w:rPr>
          <w:rFonts w:cs="Calibri"/>
          <w:szCs w:val="22"/>
        </w:rPr>
      </w:pPr>
      <w:r w:rsidRPr="00AF3136">
        <w:rPr>
          <w:rFonts w:cs="Calibri"/>
          <w:szCs w:val="22"/>
        </w:rPr>
        <w:t>Establishing a governance system (e.g. a working group) to oversee work on safeguards.</w:t>
      </w:r>
    </w:p>
    <w:p w:rsidR="00A97E86" w:rsidRPr="00AF3136" w:rsidRDefault="00A97E86" w:rsidP="00A97E86">
      <w:pPr>
        <w:pStyle w:val="ColorfulList-Accent11"/>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D908CB" w:rsidRPr="00AF3136" w:rsidTr="00AF3136">
        <w:tc>
          <w:tcPr>
            <w:tcW w:w="9576" w:type="dxa"/>
            <w:shd w:val="clear" w:color="auto" w:fill="auto"/>
          </w:tcPr>
          <w:p w:rsidR="00D908CB" w:rsidRPr="00AF3136" w:rsidRDefault="00D66835" w:rsidP="00A97E86">
            <w:pPr>
              <w:pStyle w:val="yiv1012987596msonormal"/>
              <w:rPr>
                <w:rFonts w:ascii="Calibri" w:hAnsi="Calibri" w:cs="Calibri"/>
                <w:b/>
                <w:sz w:val="22"/>
                <w:szCs w:val="22"/>
              </w:rPr>
            </w:pPr>
            <w:r w:rsidRPr="00AF3136">
              <w:rPr>
                <w:rFonts w:ascii="Calibri" w:hAnsi="Calibri" w:cs="Calibri"/>
                <w:b/>
                <w:sz w:val="22"/>
                <w:szCs w:val="22"/>
              </w:rPr>
              <w:t xml:space="preserve">Box 2: </w:t>
            </w:r>
            <w:r w:rsidR="00D908CB" w:rsidRPr="00AF3136">
              <w:rPr>
                <w:rFonts w:ascii="Calibri" w:hAnsi="Calibri" w:cs="Calibri"/>
                <w:b/>
                <w:sz w:val="22"/>
                <w:szCs w:val="22"/>
              </w:rPr>
              <w:t xml:space="preserve">Democratic Republic of </w:t>
            </w:r>
            <w:r w:rsidR="00A97E86" w:rsidRPr="00AF3136">
              <w:rPr>
                <w:rFonts w:ascii="Calibri" w:hAnsi="Calibri" w:cs="Calibri"/>
                <w:b/>
                <w:sz w:val="22"/>
                <w:szCs w:val="22"/>
              </w:rPr>
              <w:t xml:space="preserve">the </w:t>
            </w:r>
            <w:r w:rsidR="00D908CB" w:rsidRPr="00AF3136">
              <w:rPr>
                <w:rFonts w:ascii="Calibri" w:hAnsi="Calibri" w:cs="Calibri"/>
                <w:b/>
                <w:sz w:val="22"/>
                <w:szCs w:val="22"/>
              </w:rPr>
              <w:t xml:space="preserve">Congo: Advancing its </w:t>
            </w:r>
            <w:r w:rsidR="00794744" w:rsidRPr="00AF3136">
              <w:rPr>
                <w:rFonts w:ascii="Calibri" w:hAnsi="Calibri" w:cs="Calibri"/>
                <w:b/>
                <w:sz w:val="22"/>
                <w:szCs w:val="22"/>
              </w:rPr>
              <w:t>Country</w:t>
            </w:r>
            <w:r w:rsidR="00D908CB" w:rsidRPr="00AF3136">
              <w:rPr>
                <w:rFonts w:ascii="Calibri" w:hAnsi="Calibri" w:cs="Calibri"/>
                <w:b/>
                <w:sz w:val="22"/>
                <w:szCs w:val="22"/>
              </w:rPr>
              <w:t xml:space="preserve"> Approach to Safeguards</w:t>
            </w:r>
          </w:p>
          <w:p w:rsidR="00D908CB" w:rsidRPr="00AF3136" w:rsidRDefault="00D908CB" w:rsidP="00AF3136">
            <w:pPr>
              <w:pStyle w:val="yiv1012987596msonormal"/>
              <w:keepNext/>
              <w:keepLines/>
              <w:outlineLvl w:val="1"/>
              <w:rPr>
                <w:rFonts w:ascii="Calibri" w:hAnsi="Calibri" w:cs="Calibri"/>
                <w:sz w:val="22"/>
                <w:szCs w:val="22"/>
              </w:rPr>
            </w:pPr>
            <w:r w:rsidRPr="00AF3136">
              <w:rPr>
                <w:rFonts w:ascii="Calibri" w:hAnsi="Calibri" w:cs="Calibri"/>
                <w:sz w:val="22"/>
                <w:szCs w:val="22"/>
              </w:rPr>
              <w:t>D</w:t>
            </w:r>
            <w:r w:rsidR="004A1DD8" w:rsidRPr="00AF3136">
              <w:rPr>
                <w:rFonts w:ascii="Calibri" w:hAnsi="Calibri" w:cs="Calibri"/>
                <w:sz w:val="22"/>
                <w:szCs w:val="22"/>
              </w:rPr>
              <w:t xml:space="preserve">emocratic Republic of </w:t>
            </w:r>
            <w:r w:rsidR="007B48E0">
              <w:rPr>
                <w:rFonts w:ascii="Calibri" w:hAnsi="Calibri" w:cs="Calibri"/>
                <w:sz w:val="22"/>
                <w:szCs w:val="22"/>
              </w:rPr>
              <w:t xml:space="preserve">the </w:t>
            </w:r>
            <w:r w:rsidR="004A1DD8" w:rsidRPr="00AF3136">
              <w:rPr>
                <w:rFonts w:ascii="Calibri" w:hAnsi="Calibri" w:cs="Calibri"/>
                <w:sz w:val="22"/>
                <w:szCs w:val="22"/>
              </w:rPr>
              <w:t>Congo (D</w:t>
            </w:r>
            <w:r w:rsidRPr="00AF3136">
              <w:rPr>
                <w:rFonts w:ascii="Calibri" w:hAnsi="Calibri" w:cs="Calibri"/>
                <w:sz w:val="22"/>
                <w:szCs w:val="22"/>
              </w:rPr>
              <w:t>RC</w:t>
            </w:r>
            <w:r w:rsidR="004A1DD8" w:rsidRPr="00AF3136">
              <w:rPr>
                <w:rFonts w:ascii="Calibri" w:hAnsi="Calibri" w:cs="Calibri"/>
                <w:sz w:val="22"/>
                <w:szCs w:val="22"/>
              </w:rPr>
              <w:t>)</w:t>
            </w:r>
            <w:r w:rsidRPr="00AF3136">
              <w:rPr>
                <w:rFonts w:ascii="Calibri" w:hAnsi="Calibri" w:cs="Calibri"/>
                <w:sz w:val="22"/>
                <w:szCs w:val="22"/>
              </w:rPr>
              <w:t xml:space="preserve"> </w:t>
            </w:r>
            <w:r w:rsidR="00107ACC" w:rsidRPr="00AF3136">
              <w:rPr>
                <w:rFonts w:ascii="Calibri" w:hAnsi="Calibri" w:cs="Calibri"/>
                <w:sz w:val="22"/>
                <w:szCs w:val="22"/>
              </w:rPr>
              <w:t>is in the process of developing</w:t>
            </w:r>
            <w:r w:rsidR="006E14B5" w:rsidRPr="00AF3136">
              <w:rPr>
                <w:rFonts w:ascii="Calibri" w:hAnsi="Calibri" w:cs="Calibri"/>
                <w:sz w:val="22"/>
                <w:szCs w:val="22"/>
              </w:rPr>
              <w:t xml:space="preserve"> </w:t>
            </w:r>
            <w:r w:rsidR="009E6116" w:rsidRPr="00AF3136">
              <w:rPr>
                <w:rFonts w:ascii="Calibri" w:hAnsi="Calibri" w:cs="Calibri"/>
                <w:sz w:val="22"/>
                <w:szCs w:val="22"/>
              </w:rPr>
              <w:t xml:space="preserve">its </w:t>
            </w:r>
            <w:r w:rsidR="00794744" w:rsidRPr="00AF3136">
              <w:rPr>
                <w:rFonts w:ascii="Calibri" w:hAnsi="Calibri" w:cs="Calibri"/>
                <w:sz w:val="22"/>
                <w:szCs w:val="22"/>
              </w:rPr>
              <w:t>country</w:t>
            </w:r>
            <w:r w:rsidR="009E6116" w:rsidRPr="00AF3136">
              <w:rPr>
                <w:rFonts w:ascii="Calibri" w:hAnsi="Calibri" w:cs="Calibri"/>
                <w:sz w:val="22"/>
                <w:szCs w:val="22"/>
              </w:rPr>
              <w:t xml:space="preserve"> approach to </w:t>
            </w:r>
            <w:r w:rsidR="006E14B5" w:rsidRPr="00AF3136">
              <w:rPr>
                <w:rFonts w:ascii="Calibri" w:hAnsi="Calibri" w:cs="Calibri"/>
                <w:sz w:val="22"/>
                <w:szCs w:val="22"/>
              </w:rPr>
              <w:t xml:space="preserve">safeguards, which is being carried out </w:t>
            </w:r>
            <w:r w:rsidRPr="00AF3136">
              <w:rPr>
                <w:rFonts w:ascii="Calibri" w:hAnsi="Calibri" w:cs="Calibri"/>
                <w:sz w:val="22"/>
                <w:szCs w:val="22"/>
              </w:rPr>
              <w:t xml:space="preserve">in three main phases. </w:t>
            </w:r>
            <w:r w:rsidR="006E14B5" w:rsidRPr="00AF3136">
              <w:rPr>
                <w:rFonts w:ascii="Calibri" w:hAnsi="Calibri" w:cs="Calibri"/>
                <w:sz w:val="22"/>
                <w:szCs w:val="22"/>
              </w:rPr>
              <w:t>The first</w:t>
            </w:r>
            <w:r w:rsidR="00F04A03" w:rsidRPr="00AF3136">
              <w:rPr>
                <w:rFonts w:ascii="Calibri" w:hAnsi="Calibri" w:cs="Calibri"/>
                <w:sz w:val="22"/>
                <w:szCs w:val="22"/>
              </w:rPr>
              <w:t xml:space="preserve"> </w:t>
            </w:r>
            <w:r w:rsidR="00624748" w:rsidRPr="00AF3136">
              <w:rPr>
                <w:rFonts w:ascii="Calibri" w:hAnsi="Calibri" w:cs="Calibri"/>
                <w:sz w:val="22"/>
                <w:szCs w:val="22"/>
              </w:rPr>
              <w:t xml:space="preserve">of these phases </w:t>
            </w:r>
            <w:r w:rsidRPr="00AF3136">
              <w:rPr>
                <w:rFonts w:ascii="Calibri" w:hAnsi="Calibri" w:cs="Calibri"/>
                <w:sz w:val="22"/>
                <w:szCs w:val="22"/>
              </w:rPr>
              <w:t xml:space="preserve">was concluded last year, </w:t>
            </w:r>
            <w:r w:rsidR="006E14B5" w:rsidRPr="00AF3136">
              <w:rPr>
                <w:rFonts w:ascii="Calibri" w:hAnsi="Calibri" w:cs="Calibri"/>
                <w:sz w:val="22"/>
                <w:szCs w:val="22"/>
              </w:rPr>
              <w:t xml:space="preserve">and </w:t>
            </w:r>
            <w:r w:rsidRPr="00AF3136">
              <w:rPr>
                <w:rFonts w:ascii="Calibri" w:hAnsi="Calibri" w:cs="Calibri"/>
                <w:sz w:val="22"/>
                <w:szCs w:val="22"/>
              </w:rPr>
              <w:t>consisted of developing draft national standards</w:t>
            </w:r>
            <w:r w:rsidR="006E14B5" w:rsidRPr="00AF3136">
              <w:rPr>
                <w:rFonts w:ascii="Calibri" w:hAnsi="Calibri" w:cs="Calibri"/>
                <w:sz w:val="22"/>
                <w:szCs w:val="22"/>
              </w:rPr>
              <w:t xml:space="preserve"> for REDD+</w:t>
            </w:r>
            <w:r w:rsidRPr="00AF3136">
              <w:rPr>
                <w:rFonts w:ascii="Calibri" w:hAnsi="Calibri" w:cs="Calibri"/>
                <w:sz w:val="22"/>
                <w:szCs w:val="22"/>
              </w:rPr>
              <w:t xml:space="preserve">. </w:t>
            </w:r>
            <w:r w:rsidR="006E14B5" w:rsidRPr="00AF3136">
              <w:rPr>
                <w:rFonts w:ascii="Calibri" w:hAnsi="Calibri" w:cs="Calibri"/>
                <w:sz w:val="22"/>
                <w:szCs w:val="22"/>
              </w:rPr>
              <w:t>To develop these standards, a</w:t>
            </w:r>
            <w:r w:rsidRPr="00AF3136">
              <w:rPr>
                <w:rFonts w:ascii="Calibri" w:hAnsi="Calibri" w:cs="Calibri"/>
                <w:sz w:val="22"/>
                <w:szCs w:val="22"/>
              </w:rPr>
              <w:t xml:space="preserve"> national committee responsible for monitoring the risks and social and environmental co-benefits of REDD+ activities was put in place. This</w:t>
            </w:r>
            <w:r w:rsidR="00355B87" w:rsidRPr="00AF3136">
              <w:rPr>
                <w:rFonts w:ascii="Calibri" w:hAnsi="Calibri" w:cs="Calibri"/>
                <w:sz w:val="22"/>
                <w:szCs w:val="22"/>
              </w:rPr>
              <w:t xml:space="preserve"> </w:t>
            </w:r>
            <w:r w:rsidR="00EB59A9" w:rsidRPr="00AF3136">
              <w:rPr>
                <w:rFonts w:ascii="Calibri" w:hAnsi="Calibri" w:cs="Calibri"/>
                <w:sz w:val="22"/>
                <w:szCs w:val="22"/>
              </w:rPr>
              <w:t xml:space="preserve">committee </w:t>
            </w:r>
            <w:r w:rsidRPr="00AF3136">
              <w:rPr>
                <w:rFonts w:ascii="Calibri" w:hAnsi="Calibri" w:cs="Calibri"/>
                <w:sz w:val="22"/>
                <w:szCs w:val="22"/>
              </w:rPr>
              <w:t>compris</w:t>
            </w:r>
            <w:r w:rsidR="006E14B5" w:rsidRPr="00AF3136">
              <w:rPr>
                <w:rFonts w:ascii="Calibri" w:hAnsi="Calibri" w:cs="Calibri"/>
                <w:sz w:val="22"/>
                <w:szCs w:val="22"/>
              </w:rPr>
              <w:t>e</w:t>
            </w:r>
            <w:r w:rsidR="00EB59A9" w:rsidRPr="00AF3136">
              <w:rPr>
                <w:rFonts w:ascii="Calibri" w:hAnsi="Calibri" w:cs="Calibri"/>
                <w:sz w:val="22"/>
                <w:szCs w:val="22"/>
              </w:rPr>
              <w:t>s</w:t>
            </w:r>
            <w:r w:rsidRPr="00AF3136">
              <w:rPr>
                <w:rFonts w:ascii="Calibri" w:hAnsi="Calibri" w:cs="Calibri"/>
                <w:sz w:val="22"/>
                <w:szCs w:val="22"/>
              </w:rPr>
              <w:t xml:space="preserve"> representatives from the government, civil society and the private sector as well as technical and financial partners. In developing the appropriate national social and environmental standards, various studies, public consultations and workshops, a</w:t>
            </w:r>
            <w:r w:rsidR="00624748" w:rsidRPr="00AF3136">
              <w:rPr>
                <w:rFonts w:ascii="Calibri" w:hAnsi="Calibri" w:cs="Calibri"/>
                <w:sz w:val="22"/>
                <w:szCs w:val="22"/>
              </w:rPr>
              <w:t>s well as</w:t>
            </w:r>
            <w:r w:rsidRPr="00AF3136">
              <w:rPr>
                <w:rFonts w:ascii="Calibri" w:hAnsi="Calibri" w:cs="Calibri"/>
                <w:sz w:val="22"/>
                <w:szCs w:val="22"/>
              </w:rPr>
              <w:t xml:space="preserve"> testing and validation of these standards on the ground</w:t>
            </w:r>
            <w:r w:rsidR="00624748" w:rsidRPr="00AF3136">
              <w:rPr>
                <w:rFonts w:ascii="Calibri" w:hAnsi="Calibri" w:cs="Calibri"/>
                <w:sz w:val="22"/>
                <w:szCs w:val="22"/>
              </w:rPr>
              <w:t>,</w:t>
            </w:r>
            <w:r w:rsidRPr="00AF3136">
              <w:rPr>
                <w:rFonts w:ascii="Calibri" w:hAnsi="Calibri" w:cs="Calibri"/>
                <w:sz w:val="22"/>
                <w:szCs w:val="22"/>
              </w:rPr>
              <w:t xml:space="preserve"> were conducted. A second phase, currently in progress, entails the conceptualization as well as preparations for the SIS system.</w:t>
            </w:r>
            <w:r w:rsidRPr="00AF3136">
              <w:rPr>
                <w:sz w:val="22"/>
                <w:szCs w:val="22"/>
              </w:rPr>
              <w:t> </w:t>
            </w:r>
            <w:r w:rsidRPr="00AF3136">
              <w:rPr>
                <w:rFonts w:ascii="Calibri" w:hAnsi="Calibri" w:cs="Calibri"/>
                <w:sz w:val="22"/>
                <w:szCs w:val="22"/>
              </w:rPr>
              <w:t xml:space="preserve">Moreover, DRC is currently undertaking a Strategic Environmental and Social Assessment (SESA), which will help to ensure that environmental and social management is taken into account in the implementation of REDD+ projects and activities. Following this, the country is planning </w:t>
            </w:r>
            <w:r w:rsidR="00107ACC" w:rsidRPr="00AF3136">
              <w:rPr>
                <w:rFonts w:ascii="Calibri" w:hAnsi="Calibri" w:cs="Calibri"/>
                <w:sz w:val="22"/>
                <w:szCs w:val="22"/>
              </w:rPr>
              <w:t xml:space="preserve">a </w:t>
            </w:r>
            <w:r w:rsidRPr="00AF3136">
              <w:rPr>
                <w:rFonts w:ascii="Calibri" w:hAnsi="Calibri" w:cs="Calibri"/>
                <w:sz w:val="22"/>
                <w:szCs w:val="22"/>
              </w:rPr>
              <w:t xml:space="preserve">third phase </w:t>
            </w:r>
            <w:r w:rsidR="003D3CB0" w:rsidRPr="00AF3136">
              <w:rPr>
                <w:rFonts w:ascii="Calibri" w:hAnsi="Calibri" w:cs="Calibri"/>
                <w:sz w:val="22"/>
                <w:szCs w:val="22"/>
              </w:rPr>
              <w:t xml:space="preserve">to pilot SIS at the national level in 2013-2015. </w:t>
            </w:r>
          </w:p>
        </w:tc>
      </w:tr>
    </w:tbl>
    <w:p w:rsidR="007D5384" w:rsidRPr="00AF3136" w:rsidRDefault="007D5384" w:rsidP="00834399">
      <w:pPr>
        <w:rPr>
          <w:rFonts w:cs="Calibri"/>
        </w:rPr>
      </w:pPr>
    </w:p>
    <w:p w:rsidR="00D91476" w:rsidRPr="00AF3136" w:rsidRDefault="00D91476" w:rsidP="00834399">
      <w:pPr>
        <w:rPr>
          <w:rFonts w:cs="Calibri"/>
        </w:rPr>
      </w:pPr>
      <w:r w:rsidRPr="00AF3136">
        <w:rPr>
          <w:rFonts w:cs="Calibri"/>
        </w:rPr>
        <w:t>A number of oth</w:t>
      </w:r>
      <w:r w:rsidR="00164E7E" w:rsidRPr="00AF3136">
        <w:rPr>
          <w:rFonts w:cs="Calibri"/>
        </w:rPr>
        <w:t xml:space="preserve">er safeguard </w:t>
      </w:r>
      <w:r w:rsidR="00C343AC" w:rsidRPr="00AF3136">
        <w:rPr>
          <w:rFonts w:cs="Calibri"/>
        </w:rPr>
        <w:t>instruments</w:t>
      </w:r>
      <w:r w:rsidR="00164E7E" w:rsidRPr="00AF3136">
        <w:rPr>
          <w:rFonts w:cs="Calibri"/>
        </w:rPr>
        <w:t xml:space="preserve"> exist</w:t>
      </w:r>
      <w:r w:rsidR="003D3CB0" w:rsidRPr="00AF3136">
        <w:rPr>
          <w:rFonts w:cs="Calibri"/>
        </w:rPr>
        <w:t>,</w:t>
      </w:r>
      <w:r w:rsidR="00164E7E" w:rsidRPr="00AF3136">
        <w:rPr>
          <w:rFonts w:cs="Calibri"/>
        </w:rPr>
        <w:t xml:space="preserve"> </w:t>
      </w:r>
      <w:r w:rsidR="00B30E8F" w:rsidRPr="00AF3136">
        <w:rPr>
          <w:rFonts w:cs="Calibri"/>
        </w:rPr>
        <w:t>eith</w:t>
      </w:r>
      <w:r w:rsidR="00E6429D" w:rsidRPr="00AF3136">
        <w:rPr>
          <w:rFonts w:cs="Calibri"/>
        </w:rPr>
        <w:t>er</w:t>
      </w:r>
      <w:r w:rsidR="00B30E8F" w:rsidRPr="00AF3136">
        <w:rPr>
          <w:rFonts w:cs="Calibri"/>
        </w:rPr>
        <w:t xml:space="preserve"> </w:t>
      </w:r>
      <w:r w:rsidR="00612839" w:rsidRPr="00AF3136">
        <w:rPr>
          <w:rFonts w:cs="Calibri"/>
        </w:rPr>
        <w:t>to elaborate and provide guidance on how to operationalize</w:t>
      </w:r>
      <w:r w:rsidR="00D908CB" w:rsidRPr="00AF3136">
        <w:rPr>
          <w:rFonts w:cs="Calibri"/>
        </w:rPr>
        <w:t xml:space="preserve"> </w:t>
      </w:r>
      <w:r w:rsidRPr="00AF3136">
        <w:rPr>
          <w:rFonts w:cs="Calibri"/>
        </w:rPr>
        <w:t>the safeguards</w:t>
      </w:r>
      <w:r w:rsidR="00C3537B" w:rsidRPr="00AF3136">
        <w:rPr>
          <w:rFonts w:cs="Calibri"/>
        </w:rPr>
        <w:t xml:space="preserve"> defined </w:t>
      </w:r>
      <w:r w:rsidR="005F725A" w:rsidRPr="00AF3136">
        <w:rPr>
          <w:rFonts w:cs="Calibri"/>
        </w:rPr>
        <w:t>by the UNFCCC</w:t>
      </w:r>
      <w:r w:rsidR="003D3CB0" w:rsidRPr="00AF3136">
        <w:rPr>
          <w:rFonts w:cs="Calibri"/>
        </w:rPr>
        <w:t>,</w:t>
      </w:r>
      <w:r w:rsidR="00B30E8F" w:rsidRPr="00AF3136">
        <w:rPr>
          <w:rFonts w:cs="Calibri"/>
        </w:rPr>
        <w:t xml:space="preserve"> or for </w:t>
      </w:r>
      <w:r w:rsidR="00E6429D" w:rsidRPr="00AF3136">
        <w:rPr>
          <w:rFonts w:cs="Calibri"/>
        </w:rPr>
        <w:t xml:space="preserve">broader </w:t>
      </w:r>
      <w:r w:rsidR="00B30E8F" w:rsidRPr="00AF3136">
        <w:rPr>
          <w:rFonts w:cs="Calibri"/>
        </w:rPr>
        <w:t>purposes</w:t>
      </w:r>
      <w:r w:rsidR="009E6116" w:rsidRPr="00AF3136">
        <w:rPr>
          <w:rFonts w:cs="Calibri"/>
        </w:rPr>
        <w:t>.</w:t>
      </w:r>
      <w:r w:rsidR="00442223" w:rsidRPr="00AF3136">
        <w:rPr>
          <w:rFonts w:cs="Calibri"/>
        </w:rPr>
        <w:t xml:space="preserve"> </w:t>
      </w:r>
      <w:r w:rsidR="009E6116" w:rsidRPr="00AF3136">
        <w:rPr>
          <w:rFonts w:cs="Calibri"/>
        </w:rPr>
        <w:t>T</w:t>
      </w:r>
      <w:r w:rsidRPr="00AF3136">
        <w:rPr>
          <w:rFonts w:cs="Calibri"/>
        </w:rPr>
        <w:t>hese are being implemented in many countries</w:t>
      </w:r>
      <w:r w:rsidR="00C3537B" w:rsidRPr="00AF3136">
        <w:rPr>
          <w:rFonts w:cs="Calibri"/>
        </w:rPr>
        <w:t xml:space="preserve">. </w:t>
      </w:r>
      <w:r w:rsidR="00CC72E6" w:rsidRPr="00AF3136">
        <w:rPr>
          <w:rFonts w:cs="Calibri"/>
        </w:rPr>
        <w:t>Some</w:t>
      </w:r>
      <w:r w:rsidR="005F725A" w:rsidRPr="00AF3136">
        <w:rPr>
          <w:rFonts w:cs="Calibri"/>
        </w:rPr>
        <w:t xml:space="preserve"> of these </w:t>
      </w:r>
      <w:r w:rsidR="00611D41" w:rsidRPr="00AF3136">
        <w:rPr>
          <w:rFonts w:cs="Calibri"/>
        </w:rPr>
        <w:t xml:space="preserve">have been developed </w:t>
      </w:r>
      <w:r w:rsidR="005F725A" w:rsidRPr="00AF3136">
        <w:rPr>
          <w:rFonts w:cs="Calibri"/>
        </w:rPr>
        <w:t>by</w:t>
      </w:r>
      <w:r w:rsidR="00243480" w:rsidRPr="00AF3136">
        <w:rPr>
          <w:rFonts w:cs="Calibri"/>
        </w:rPr>
        <w:t xml:space="preserve"> </w:t>
      </w:r>
      <w:r w:rsidR="00611D41" w:rsidRPr="00AF3136">
        <w:rPr>
          <w:rFonts w:cs="Calibri"/>
        </w:rPr>
        <w:t>organizations funding REDD+ strategy development</w:t>
      </w:r>
      <w:r w:rsidR="005F725A" w:rsidRPr="00AF3136">
        <w:rPr>
          <w:rFonts w:cs="Calibri"/>
        </w:rPr>
        <w:t xml:space="preserve">, such as the </w:t>
      </w:r>
      <w:r w:rsidR="0073138D" w:rsidRPr="00AF3136">
        <w:rPr>
          <w:rFonts w:cs="Calibri"/>
        </w:rPr>
        <w:t>World Bank</w:t>
      </w:r>
      <w:r w:rsidR="00A97E86" w:rsidRPr="00AF3136">
        <w:rPr>
          <w:rFonts w:cs="Calibri"/>
        </w:rPr>
        <w:t>'s</w:t>
      </w:r>
      <w:r w:rsidR="0073138D" w:rsidRPr="00AF3136">
        <w:rPr>
          <w:rFonts w:cs="Calibri"/>
        </w:rPr>
        <w:t xml:space="preserve"> Forest Carbon Partnership Facility (</w:t>
      </w:r>
      <w:r w:rsidR="005F725A" w:rsidRPr="00AF3136">
        <w:rPr>
          <w:rFonts w:cs="Calibri"/>
        </w:rPr>
        <w:t>FCPF</w:t>
      </w:r>
      <w:r w:rsidR="0073138D" w:rsidRPr="00AF3136">
        <w:rPr>
          <w:rFonts w:cs="Calibri"/>
        </w:rPr>
        <w:t>)</w:t>
      </w:r>
      <w:r w:rsidR="005F725A" w:rsidRPr="00AF3136">
        <w:rPr>
          <w:rFonts w:cs="Calibri"/>
        </w:rPr>
        <w:t xml:space="preserve"> and </w:t>
      </w:r>
      <w:r w:rsidR="00EA23A2" w:rsidRPr="00AF3136">
        <w:rPr>
          <w:rFonts w:cs="Calibri"/>
        </w:rPr>
        <w:t xml:space="preserve">the </w:t>
      </w:r>
      <w:r w:rsidR="005F725A" w:rsidRPr="00AF3136">
        <w:rPr>
          <w:rFonts w:cs="Calibri"/>
        </w:rPr>
        <w:t>UN-REDD</w:t>
      </w:r>
      <w:r w:rsidR="00EA23A2" w:rsidRPr="00AF3136">
        <w:rPr>
          <w:rFonts w:cs="Calibri"/>
        </w:rPr>
        <w:t xml:space="preserve"> Programme</w:t>
      </w:r>
      <w:r w:rsidR="005F725A" w:rsidRPr="00AF3136">
        <w:rPr>
          <w:rFonts w:cs="Calibri"/>
        </w:rPr>
        <w:t xml:space="preserve">, but there are also </w:t>
      </w:r>
      <w:r w:rsidR="00611D41" w:rsidRPr="00AF3136">
        <w:rPr>
          <w:rFonts w:cs="Calibri"/>
        </w:rPr>
        <w:t xml:space="preserve">independent </w:t>
      </w:r>
      <w:r w:rsidR="005F725A" w:rsidRPr="00AF3136">
        <w:rPr>
          <w:rFonts w:cs="Calibri"/>
        </w:rPr>
        <w:t>voluntary initiatives such as the REDD+ S</w:t>
      </w:r>
      <w:r w:rsidR="001E752D" w:rsidRPr="00AF3136">
        <w:rPr>
          <w:rFonts w:cs="Calibri"/>
        </w:rPr>
        <w:t xml:space="preserve">ocial and </w:t>
      </w:r>
      <w:r w:rsidR="005F725A" w:rsidRPr="00AF3136">
        <w:rPr>
          <w:rFonts w:cs="Calibri"/>
        </w:rPr>
        <w:t>E</w:t>
      </w:r>
      <w:r w:rsidR="001E752D" w:rsidRPr="00AF3136">
        <w:rPr>
          <w:rFonts w:cs="Calibri"/>
        </w:rPr>
        <w:t xml:space="preserve">nvironmental </w:t>
      </w:r>
      <w:r w:rsidR="005F725A" w:rsidRPr="00AF3136">
        <w:rPr>
          <w:rFonts w:cs="Calibri"/>
        </w:rPr>
        <w:t>S</w:t>
      </w:r>
      <w:r w:rsidR="001E752D" w:rsidRPr="00AF3136">
        <w:rPr>
          <w:rFonts w:cs="Calibri"/>
        </w:rPr>
        <w:t>tandards (REDD+ SES)</w:t>
      </w:r>
      <w:r w:rsidR="005F725A" w:rsidRPr="00AF3136">
        <w:rPr>
          <w:rFonts w:cs="Calibri"/>
        </w:rPr>
        <w:t xml:space="preserve">. </w:t>
      </w:r>
      <w:r w:rsidRPr="00AF3136">
        <w:rPr>
          <w:rFonts w:cs="Calibri"/>
        </w:rPr>
        <w:t>While these are all focused on identifying and managing the social and environmental risks</w:t>
      </w:r>
      <w:r w:rsidR="003D3CB0" w:rsidRPr="00AF3136">
        <w:rPr>
          <w:rFonts w:cs="Calibri"/>
        </w:rPr>
        <w:t xml:space="preserve"> and benefits</w:t>
      </w:r>
      <w:r w:rsidRPr="00AF3136">
        <w:rPr>
          <w:rFonts w:cs="Calibri"/>
        </w:rPr>
        <w:t xml:space="preserve"> that may arise </w:t>
      </w:r>
      <w:r w:rsidR="00CC72E6" w:rsidRPr="00AF3136">
        <w:rPr>
          <w:rFonts w:cs="Calibri"/>
        </w:rPr>
        <w:t xml:space="preserve">from the implementation of </w:t>
      </w:r>
      <w:r w:rsidRPr="00AF3136">
        <w:rPr>
          <w:rFonts w:cs="Calibri"/>
        </w:rPr>
        <w:t>REDD+</w:t>
      </w:r>
      <w:r w:rsidR="00CC72E6" w:rsidRPr="00AF3136">
        <w:rPr>
          <w:rFonts w:cs="Calibri"/>
        </w:rPr>
        <w:t xml:space="preserve"> activit</w:t>
      </w:r>
      <w:r w:rsidR="008E0380" w:rsidRPr="00AF3136">
        <w:rPr>
          <w:rFonts w:cs="Calibri"/>
        </w:rPr>
        <w:t>i</w:t>
      </w:r>
      <w:r w:rsidR="00CC72E6" w:rsidRPr="00AF3136">
        <w:rPr>
          <w:rFonts w:cs="Calibri"/>
        </w:rPr>
        <w:t>es</w:t>
      </w:r>
      <w:r w:rsidRPr="00AF3136">
        <w:rPr>
          <w:rFonts w:cs="Calibri"/>
        </w:rPr>
        <w:t xml:space="preserve">, there is considerable variation between them </w:t>
      </w:r>
      <w:r w:rsidR="006D31C5" w:rsidRPr="00AF3136">
        <w:rPr>
          <w:rFonts w:cs="Calibri"/>
        </w:rPr>
        <w:t xml:space="preserve">in </w:t>
      </w:r>
      <w:r w:rsidR="003D3CB0" w:rsidRPr="00AF3136">
        <w:rPr>
          <w:rFonts w:cs="Calibri"/>
        </w:rPr>
        <w:t xml:space="preserve">the following areas: </w:t>
      </w:r>
    </w:p>
    <w:p w:rsidR="00107ACC" w:rsidRPr="00AF3136" w:rsidRDefault="009D7E50" w:rsidP="00611D41">
      <w:pPr>
        <w:pStyle w:val="ColorfulList-Accent11"/>
        <w:numPr>
          <w:ilvl w:val="0"/>
          <w:numId w:val="36"/>
        </w:numPr>
        <w:spacing w:line="276" w:lineRule="auto"/>
        <w:ind w:left="714" w:hanging="357"/>
        <w:rPr>
          <w:rFonts w:cs="Calibri"/>
        </w:rPr>
      </w:pPr>
      <w:r w:rsidRPr="00AF3136">
        <w:rPr>
          <w:rFonts w:cs="Calibri"/>
          <w:i/>
          <w:szCs w:val="22"/>
        </w:rPr>
        <w:lastRenderedPageBreak/>
        <w:t>Objectives:</w:t>
      </w:r>
      <w:r w:rsidRPr="00AF3136">
        <w:rPr>
          <w:rFonts w:cs="Calibri"/>
          <w:szCs w:val="22"/>
        </w:rPr>
        <w:t xml:space="preserve"> </w:t>
      </w:r>
      <w:r w:rsidR="00C343AC" w:rsidRPr="00AF3136">
        <w:rPr>
          <w:rFonts w:cs="Calibri"/>
        </w:rPr>
        <w:t>Instruments</w:t>
      </w:r>
      <w:r w:rsidRPr="00AF3136">
        <w:rPr>
          <w:rFonts w:cs="Calibri"/>
          <w:szCs w:val="22"/>
        </w:rPr>
        <w:t xml:space="preserve"> differ in terms of whether they are aimed at helping countries to </w:t>
      </w:r>
      <w:r w:rsidR="00E6429D" w:rsidRPr="00AF3136">
        <w:rPr>
          <w:rFonts w:cs="Calibri"/>
          <w:szCs w:val="22"/>
        </w:rPr>
        <w:t>operationalize</w:t>
      </w:r>
      <w:r w:rsidR="003F3673" w:rsidRPr="00AF3136">
        <w:rPr>
          <w:rFonts w:cs="Calibri"/>
          <w:szCs w:val="22"/>
        </w:rPr>
        <w:t xml:space="preserve"> </w:t>
      </w:r>
      <w:r w:rsidR="003B7DE6" w:rsidRPr="00AF3136">
        <w:rPr>
          <w:rFonts w:cs="Calibri"/>
          <w:szCs w:val="22"/>
        </w:rPr>
        <w:t xml:space="preserve">the UNFCCC </w:t>
      </w:r>
      <w:r w:rsidR="00A06C3A" w:rsidRPr="00AF3136">
        <w:rPr>
          <w:rFonts w:cs="Calibri"/>
          <w:szCs w:val="22"/>
        </w:rPr>
        <w:t>safeguards</w:t>
      </w:r>
      <w:r w:rsidR="005B2E83" w:rsidRPr="00AF3136">
        <w:rPr>
          <w:rFonts w:cs="Calibri"/>
          <w:szCs w:val="22"/>
        </w:rPr>
        <w:t xml:space="preserve"> (e.g. one objective of the UN-REDD </w:t>
      </w:r>
      <w:proofErr w:type="spellStart"/>
      <w:r w:rsidR="00E11A4B" w:rsidRPr="00AF3136">
        <w:rPr>
          <w:rFonts w:cs="Calibri"/>
          <w:szCs w:val="22"/>
        </w:rPr>
        <w:t>Programme's</w:t>
      </w:r>
      <w:proofErr w:type="spellEnd"/>
      <w:r w:rsidR="00E11A4B" w:rsidRPr="00AF3136">
        <w:rPr>
          <w:rFonts w:cs="Calibri"/>
          <w:szCs w:val="22"/>
        </w:rPr>
        <w:t xml:space="preserve"> </w:t>
      </w:r>
      <w:r w:rsidR="005B2E83" w:rsidRPr="00AF3136">
        <w:rPr>
          <w:rFonts w:cs="Calibri"/>
          <w:szCs w:val="22"/>
        </w:rPr>
        <w:t>S</w:t>
      </w:r>
      <w:r w:rsidR="00BB297A" w:rsidRPr="00AF3136">
        <w:rPr>
          <w:rFonts w:cs="Calibri"/>
          <w:szCs w:val="22"/>
        </w:rPr>
        <w:t>ocial and Environmental Principles and Criteria</w:t>
      </w:r>
      <w:r w:rsidR="00E11A4B" w:rsidRPr="00AF3136">
        <w:rPr>
          <w:rFonts w:cs="Calibri"/>
          <w:szCs w:val="22"/>
        </w:rPr>
        <w:t xml:space="preserve"> (</w:t>
      </w:r>
      <w:r w:rsidR="00BB297A" w:rsidRPr="00AF3136">
        <w:rPr>
          <w:rFonts w:cs="Calibri"/>
          <w:szCs w:val="22"/>
        </w:rPr>
        <w:t>SEPC</w:t>
      </w:r>
      <w:r w:rsidR="005B2E83" w:rsidRPr="00AF3136">
        <w:rPr>
          <w:rFonts w:cs="Calibri"/>
          <w:szCs w:val="22"/>
        </w:rPr>
        <w:t>)</w:t>
      </w:r>
      <w:r w:rsidR="00E11A4B" w:rsidRPr="00AF3136">
        <w:rPr>
          <w:rFonts w:cs="Calibri"/>
          <w:szCs w:val="22"/>
        </w:rPr>
        <w:t>)</w:t>
      </w:r>
      <w:r w:rsidR="0030070A" w:rsidRPr="00AF3136">
        <w:rPr>
          <w:rFonts w:cs="Calibri"/>
          <w:szCs w:val="22"/>
        </w:rPr>
        <w:t xml:space="preserve"> </w:t>
      </w:r>
      <w:r w:rsidR="00611D41" w:rsidRPr="00AF3136">
        <w:rPr>
          <w:rFonts w:cs="Calibri"/>
          <w:szCs w:val="22"/>
        </w:rPr>
        <w:t>and/or demonstrating compliance with donor safeguards (e.g. World Bank safeguards apply to activities, projects and programs supported by the FCPF).</w:t>
      </w:r>
    </w:p>
    <w:p w:rsidR="000E05B5" w:rsidRPr="00AF3136" w:rsidRDefault="00F24E4F" w:rsidP="00611D41">
      <w:pPr>
        <w:pStyle w:val="ColorfulList-Accent11"/>
        <w:numPr>
          <w:ilvl w:val="0"/>
          <w:numId w:val="36"/>
        </w:numPr>
        <w:spacing w:line="276" w:lineRule="auto"/>
        <w:ind w:left="714" w:hanging="357"/>
        <w:rPr>
          <w:rFonts w:cs="Calibri"/>
          <w:szCs w:val="22"/>
        </w:rPr>
      </w:pPr>
      <w:r w:rsidRPr="00AF3136">
        <w:rPr>
          <w:rFonts w:cs="Calibri"/>
          <w:i/>
          <w:szCs w:val="22"/>
        </w:rPr>
        <w:t>Structure:</w:t>
      </w:r>
      <w:r w:rsidR="00CC72E6" w:rsidRPr="00AF3136">
        <w:rPr>
          <w:rFonts w:cs="Calibri"/>
          <w:i/>
          <w:szCs w:val="22"/>
        </w:rPr>
        <w:t xml:space="preserve"> </w:t>
      </w:r>
      <w:r w:rsidR="00296D67" w:rsidRPr="00AF3136">
        <w:rPr>
          <w:rFonts w:cs="Calibri"/>
          <w:szCs w:val="22"/>
        </w:rPr>
        <w:t xml:space="preserve">Safeguard </w:t>
      </w:r>
      <w:r w:rsidR="00C343AC" w:rsidRPr="00AF3136">
        <w:rPr>
          <w:rFonts w:cs="Calibri"/>
          <w:szCs w:val="22"/>
        </w:rPr>
        <w:t>instruments</w:t>
      </w:r>
      <w:r w:rsidR="00296D67" w:rsidRPr="00AF3136">
        <w:rPr>
          <w:rFonts w:cs="Calibri"/>
          <w:szCs w:val="22"/>
        </w:rPr>
        <w:t xml:space="preserve"> can include</w:t>
      </w:r>
      <w:r w:rsidRPr="00AF3136">
        <w:rPr>
          <w:rFonts w:cs="Calibri"/>
          <w:szCs w:val="22"/>
        </w:rPr>
        <w:t xml:space="preserve">: a set of principles and criteria, or policies that need to be adhered to; </w:t>
      </w:r>
      <w:r w:rsidR="00517CE4" w:rsidRPr="00AF3136">
        <w:rPr>
          <w:rFonts w:cs="Calibri"/>
          <w:szCs w:val="22"/>
        </w:rPr>
        <w:t xml:space="preserve">guidance on </w:t>
      </w:r>
      <w:r w:rsidR="00296D67" w:rsidRPr="00AF3136">
        <w:rPr>
          <w:rFonts w:cs="Calibri"/>
          <w:szCs w:val="22"/>
        </w:rPr>
        <w:t>process</w:t>
      </w:r>
      <w:r w:rsidR="00517CE4" w:rsidRPr="00AF3136">
        <w:rPr>
          <w:rFonts w:cs="Calibri"/>
          <w:szCs w:val="22"/>
        </w:rPr>
        <w:t>es</w:t>
      </w:r>
      <w:r w:rsidR="00296D67" w:rsidRPr="00AF3136">
        <w:rPr>
          <w:rFonts w:cs="Calibri"/>
          <w:szCs w:val="22"/>
        </w:rPr>
        <w:t xml:space="preserve"> countries </w:t>
      </w:r>
      <w:r w:rsidR="00517CE4" w:rsidRPr="00AF3136">
        <w:rPr>
          <w:rFonts w:cs="Calibri"/>
          <w:szCs w:val="22"/>
        </w:rPr>
        <w:t xml:space="preserve">can apply to </w:t>
      </w:r>
      <w:r w:rsidR="00296D67" w:rsidRPr="00AF3136">
        <w:rPr>
          <w:rFonts w:cs="Calibri"/>
          <w:szCs w:val="22"/>
        </w:rPr>
        <w:t>develop their approach to safeguards</w:t>
      </w:r>
      <w:r w:rsidR="00536FC8" w:rsidRPr="00AF3136">
        <w:rPr>
          <w:rFonts w:cs="Calibri"/>
          <w:szCs w:val="22"/>
        </w:rPr>
        <w:t xml:space="preserve">; </w:t>
      </w:r>
      <w:r w:rsidRPr="00AF3136">
        <w:rPr>
          <w:rFonts w:cs="Calibri"/>
          <w:szCs w:val="22"/>
        </w:rPr>
        <w:t>a management plan</w:t>
      </w:r>
      <w:r w:rsidR="00611D41" w:rsidRPr="00AF3136">
        <w:rPr>
          <w:rFonts w:cs="Calibri"/>
          <w:szCs w:val="22"/>
        </w:rPr>
        <w:t xml:space="preserve"> or framework</w:t>
      </w:r>
      <w:r w:rsidRPr="00AF3136">
        <w:rPr>
          <w:rFonts w:cs="Calibri"/>
          <w:szCs w:val="22"/>
        </w:rPr>
        <w:t>; indicator</w:t>
      </w:r>
      <w:r w:rsidR="00C343AC" w:rsidRPr="00AF3136">
        <w:rPr>
          <w:rFonts w:cs="Calibri"/>
          <w:szCs w:val="22"/>
        </w:rPr>
        <w:t>s that show</w:t>
      </w:r>
      <w:r w:rsidRPr="00AF3136">
        <w:rPr>
          <w:rFonts w:cs="Calibri"/>
          <w:szCs w:val="22"/>
        </w:rPr>
        <w:t xml:space="preserve"> whether the principles, criteria or policies are being met; a</w:t>
      </w:r>
      <w:r w:rsidR="00442223" w:rsidRPr="00AF3136">
        <w:rPr>
          <w:rFonts w:cs="Calibri"/>
          <w:szCs w:val="22"/>
        </w:rPr>
        <w:t xml:space="preserve"> </w:t>
      </w:r>
      <w:r w:rsidR="00CC72E6" w:rsidRPr="00AF3136">
        <w:rPr>
          <w:rFonts w:cs="Calibri"/>
          <w:szCs w:val="22"/>
        </w:rPr>
        <w:t>data collection system</w:t>
      </w:r>
      <w:r w:rsidR="007D5384" w:rsidRPr="00AF3136">
        <w:rPr>
          <w:rFonts w:cs="Calibri"/>
          <w:szCs w:val="22"/>
        </w:rPr>
        <w:t xml:space="preserve">; and </w:t>
      </w:r>
      <w:r w:rsidR="00CC72E6" w:rsidRPr="00AF3136">
        <w:rPr>
          <w:rFonts w:cs="Calibri"/>
          <w:szCs w:val="22"/>
        </w:rPr>
        <w:t xml:space="preserve">a </w:t>
      </w:r>
      <w:r w:rsidRPr="00AF3136">
        <w:rPr>
          <w:rFonts w:cs="Calibri"/>
          <w:szCs w:val="22"/>
        </w:rPr>
        <w:t>system</w:t>
      </w:r>
      <w:r w:rsidR="00CC72E6" w:rsidRPr="00AF3136">
        <w:rPr>
          <w:rFonts w:cs="Calibri"/>
          <w:szCs w:val="22"/>
        </w:rPr>
        <w:t xml:space="preserve"> for provision of information</w:t>
      </w:r>
      <w:r w:rsidRPr="00AF3136">
        <w:rPr>
          <w:rFonts w:cs="Calibri"/>
          <w:szCs w:val="22"/>
        </w:rPr>
        <w:t>.</w:t>
      </w:r>
      <w:r w:rsidR="00C562AE" w:rsidRPr="00AF3136">
        <w:rPr>
          <w:rFonts w:cs="Calibri"/>
          <w:szCs w:val="22"/>
        </w:rPr>
        <w:t xml:space="preserve"> </w:t>
      </w:r>
      <w:r w:rsidR="005B2E83" w:rsidRPr="00AF3136">
        <w:rPr>
          <w:rFonts w:cs="Calibri"/>
          <w:szCs w:val="22"/>
        </w:rPr>
        <w:t>I</w:t>
      </w:r>
      <w:r w:rsidR="00C562AE" w:rsidRPr="00AF3136">
        <w:rPr>
          <w:rFonts w:cs="Calibri"/>
          <w:szCs w:val="22"/>
        </w:rPr>
        <w:t>nstruments differ in terms of whether they include all of these components or focus on a subset of them.</w:t>
      </w:r>
    </w:p>
    <w:p w:rsidR="000E05B5" w:rsidRPr="00AF3136" w:rsidRDefault="009D7E50">
      <w:pPr>
        <w:pStyle w:val="ColorfulList-Accent11"/>
        <w:numPr>
          <w:ilvl w:val="0"/>
          <w:numId w:val="36"/>
        </w:numPr>
        <w:spacing w:line="276" w:lineRule="auto"/>
        <w:ind w:left="714" w:hanging="357"/>
        <w:rPr>
          <w:rFonts w:cs="Calibri"/>
          <w:szCs w:val="22"/>
        </w:rPr>
      </w:pPr>
      <w:r w:rsidRPr="00AF3136">
        <w:rPr>
          <w:rFonts w:cs="Calibri"/>
          <w:i/>
          <w:szCs w:val="22"/>
        </w:rPr>
        <w:t>Content:</w:t>
      </w:r>
      <w:r w:rsidRPr="00AF3136">
        <w:rPr>
          <w:rFonts w:cs="Calibri"/>
          <w:szCs w:val="22"/>
        </w:rPr>
        <w:t xml:space="preserve"> </w:t>
      </w:r>
      <w:r w:rsidR="00C562AE" w:rsidRPr="00AF3136">
        <w:rPr>
          <w:rFonts w:cs="Calibri"/>
          <w:szCs w:val="22"/>
        </w:rPr>
        <w:t xml:space="preserve">There are differences in terms of the </w:t>
      </w:r>
      <w:r w:rsidRPr="00AF3136">
        <w:rPr>
          <w:rFonts w:cs="Calibri"/>
          <w:szCs w:val="22"/>
        </w:rPr>
        <w:t>content</w:t>
      </w:r>
      <w:r w:rsidR="00C562AE" w:rsidRPr="00AF3136">
        <w:rPr>
          <w:rFonts w:cs="Calibri"/>
          <w:szCs w:val="22"/>
        </w:rPr>
        <w:t xml:space="preserve"> of principles and criteria, or policies</w:t>
      </w:r>
      <w:r w:rsidRPr="00AF3136">
        <w:rPr>
          <w:rFonts w:cs="Calibri"/>
          <w:szCs w:val="22"/>
        </w:rPr>
        <w:t>. For</w:t>
      </w:r>
      <w:r w:rsidR="00C562AE" w:rsidRPr="00AF3136">
        <w:rPr>
          <w:rFonts w:cs="Calibri"/>
          <w:szCs w:val="22"/>
        </w:rPr>
        <w:t xml:space="preserve"> example, there is variation in </w:t>
      </w:r>
      <w:r w:rsidRPr="00AF3136">
        <w:rPr>
          <w:rFonts w:cs="Calibri"/>
          <w:szCs w:val="22"/>
        </w:rPr>
        <w:t xml:space="preserve">whether </w:t>
      </w:r>
      <w:r w:rsidR="00E11A4B" w:rsidRPr="00AF3136">
        <w:rPr>
          <w:rFonts w:cs="Calibri"/>
          <w:szCs w:val="22"/>
        </w:rPr>
        <w:t>F</w:t>
      </w:r>
      <w:r w:rsidRPr="00AF3136">
        <w:rPr>
          <w:rFonts w:cs="Calibri"/>
          <w:szCs w:val="22"/>
        </w:rPr>
        <w:t xml:space="preserve">ree, </w:t>
      </w:r>
      <w:r w:rsidR="00E11A4B" w:rsidRPr="00AF3136">
        <w:rPr>
          <w:rFonts w:cs="Calibri"/>
          <w:szCs w:val="22"/>
        </w:rPr>
        <w:t>P</w:t>
      </w:r>
      <w:r w:rsidRPr="00AF3136">
        <w:rPr>
          <w:rFonts w:cs="Calibri"/>
          <w:szCs w:val="22"/>
        </w:rPr>
        <w:t xml:space="preserve">rior and </w:t>
      </w:r>
      <w:r w:rsidR="00E11A4B" w:rsidRPr="00AF3136">
        <w:rPr>
          <w:rFonts w:cs="Calibri"/>
          <w:szCs w:val="22"/>
        </w:rPr>
        <w:t>I</w:t>
      </w:r>
      <w:r w:rsidRPr="00AF3136">
        <w:rPr>
          <w:rFonts w:cs="Calibri"/>
          <w:szCs w:val="22"/>
        </w:rPr>
        <w:t xml:space="preserve">nformed </w:t>
      </w:r>
      <w:r w:rsidR="00E11A4B" w:rsidRPr="00AF3136">
        <w:rPr>
          <w:rFonts w:cs="Calibri"/>
          <w:szCs w:val="22"/>
        </w:rPr>
        <w:t>C</w:t>
      </w:r>
      <w:r w:rsidRPr="00AF3136">
        <w:rPr>
          <w:rFonts w:cs="Calibri"/>
          <w:szCs w:val="22"/>
        </w:rPr>
        <w:t xml:space="preserve">onsent (FPIC) </w:t>
      </w:r>
      <w:r w:rsidR="005C6EC7" w:rsidRPr="00AF3136">
        <w:rPr>
          <w:rFonts w:cs="Calibri"/>
          <w:szCs w:val="22"/>
        </w:rPr>
        <w:t>is required for certain REDD+ activities</w:t>
      </w:r>
      <w:r w:rsidRPr="00AF3136">
        <w:rPr>
          <w:rFonts w:cs="Calibri"/>
          <w:szCs w:val="22"/>
        </w:rPr>
        <w:t>.</w:t>
      </w:r>
      <w:r w:rsidR="003F43C8" w:rsidRPr="00AF3136">
        <w:rPr>
          <w:rFonts w:cs="Calibri"/>
          <w:szCs w:val="22"/>
        </w:rPr>
        <w:t xml:space="preserve"> Some safeguard</w:t>
      </w:r>
      <w:r w:rsidR="00A25912" w:rsidRPr="00AF3136">
        <w:rPr>
          <w:rFonts w:cs="Calibri"/>
          <w:szCs w:val="22"/>
        </w:rPr>
        <w:t xml:space="preserve"> instruments </w:t>
      </w:r>
      <w:r w:rsidR="003F43C8" w:rsidRPr="00AF3136">
        <w:rPr>
          <w:rFonts w:cs="Calibri"/>
          <w:szCs w:val="22"/>
        </w:rPr>
        <w:t xml:space="preserve">are more focused on </w:t>
      </w:r>
      <w:r w:rsidR="00536FC8" w:rsidRPr="00AF3136">
        <w:rPr>
          <w:rFonts w:cs="Calibri"/>
          <w:szCs w:val="22"/>
        </w:rPr>
        <w:t xml:space="preserve">supporting countries to develop approaches to </w:t>
      </w:r>
      <w:r w:rsidR="003F43C8" w:rsidRPr="00AF3136">
        <w:rPr>
          <w:rFonts w:cs="Calibri"/>
          <w:szCs w:val="22"/>
        </w:rPr>
        <w:t>mitigat</w:t>
      </w:r>
      <w:r w:rsidR="00536FC8" w:rsidRPr="00AF3136">
        <w:rPr>
          <w:rFonts w:cs="Calibri"/>
          <w:szCs w:val="22"/>
        </w:rPr>
        <w:t>e</w:t>
      </w:r>
      <w:r w:rsidR="003F43C8" w:rsidRPr="00AF3136">
        <w:rPr>
          <w:rFonts w:cs="Calibri"/>
          <w:szCs w:val="22"/>
        </w:rPr>
        <w:t xml:space="preserve"> risks from REDD+ whil</w:t>
      </w:r>
      <w:r w:rsidR="007D5384" w:rsidRPr="00AF3136">
        <w:rPr>
          <w:rFonts w:cs="Calibri"/>
          <w:szCs w:val="22"/>
        </w:rPr>
        <w:t>e</w:t>
      </w:r>
      <w:r w:rsidR="003F43C8" w:rsidRPr="00AF3136">
        <w:rPr>
          <w:rFonts w:cs="Calibri"/>
          <w:szCs w:val="22"/>
        </w:rPr>
        <w:t xml:space="preserve"> other</w:t>
      </w:r>
      <w:r w:rsidR="007D5384" w:rsidRPr="00AF3136">
        <w:rPr>
          <w:rFonts w:cs="Calibri"/>
          <w:szCs w:val="22"/>
        </w:rPr>
        <w:t>s</w:t>
      </w:r>
      <w:r w:rsidR="003F43C8" w:rsidRPr="00AF3136">
        <w:rPr>
          <w:rFonts w:cs="Calibri"/>
          <w:szCs w:val="22"/>
        </w:rPr>
        <w:t xml:space="preserve"> also focus on enhancing benefits</w:t>
      </w:r>
      <w:r w:rsidR="007D5384" w:rsidRPr="00AF3136">
        <w:rPr>
          <w:rFonts w:cs="Calibri"/>
          <w:szCs w:val="22"/>
        </w:rPr>
        <w:t>.</w:t>
      </w:r>
    </w:p>
    <w:p w:rsidR="000E05B5" w:rsidRPr="00AF3136" w:rsidRDefault="009D7E50" w:rsidP="00536FC8">
      <w:pPr>
        <w:pStyle w:val="ColorfulList-Accent11"/>
        <w:numPr>
          <w:ilvl w:val="0"/>
          <w:numId w:val="36"/>
        </w:numPr>
        <w:spacing w:line="276" w:lineRule="auto"/>
        <w:ind w:left="714" w:hanging="357"/>
        <w:rPr>
          <w:rFonts w:cs="Calibri"/>
          <w:szCs w:val="22"/>
        </w:rPr>
      </w:pPr>
      <w:r w:rsidRPr="00AF3136">
        <w:rPr>
          <w:rFonts w:cs="Calibri"/>
          <w:i/>
          <w:szCs w:val="22"/>
        </w:rPr>
        <w:t>Strength:</w:t>
      </w:r>
      <w:r w:rsidRPr="00AF3136">
        <w:rPr>
          <w:rFonts w:cs="Calibri"/>
          <w:szCs w:val="22"/>
        </w:rPr>
        <w:t xml:space="preserve"> </w:t>
      </w:r>
      <w:r w:rsidR="00536FC8" w:rsidRPr="00AF3136">
        <w:rPr>
          <w:rFonts w:cs="Calibri"/>
          <w:szCs w:val="22"/>
        </w:rPr>
        <w:t xml:space="preserve">Some safeguard instruments can be voluntarily adopted by countries (e.g. REDD+ SES), while others are </w:t>
      </w:r>
      <w:r w:rsidR="00CB144F" w:rsidRPr="00AF3136">
        <w:rPr>
          <w:rFonts w:cs="Calibri"/>
          <w:szCs w:val="22"/>
        </w:rPr>
        <w:t xml:space="preserve">required by institutions funding REDD+ activities </w:t>
      </w:r>
      <w:r w:rsidR="00536FC8" w:rsidRPr="00AF3136">
        <w:rPr>
          <w:rFonts w:cs="Calibri"/>
          <w:szCs w:val="22"/>
        </w:rPr>
        <w:t>(e.g. World Bank safeguards). Mandatory safeguards instruments may include some form of mechanism to ensure they are being implemented and</w:t>
      </w:r>
      <w:r w:rsidR="000F0D84" w:rsidRPr="00AF3136">
        <w:rPr>
          <w:rFonts w:cs="Calibri"/>
          <w:szCs w:val="22"/>
        </w:rPr>
        <w:t>/or</w:t>
      </w:r>
      <w:r w:rsidR="00536FC8" w:rsidRPr="00AF3136">
        <w:rPr>
          <w:rFonts w:cs="Calibri"/>
          <w:szCs w:val="22"/>
        </w:rPr>
        <w:t xml:space="preserve"> to correct problems if they emerge</w:t>
      </w:r>
      <w:r w:rsidR="000F0D84" w:rsidRPr="00AF3136">
        <w:rPr>
          <w:rFonts w:cs="Calibri"/>
          <w:szCs w:val="22"/>
        </w:rPr>
        <w:t xml:space="preserve">. The World Bank Inspection Panel, for example, </w:t>
      </w:r>
      <w:r w:rsidR="00FD13C1">
        <w:rPr>
          <w:rFonts w:cs="Calibri"/>
          <w:szCs w:val="22"/>
          <w:lang w:val="en-GB"/>
        </w:rPr>
        <w:t xml:space="preserve">offers </w:t>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FD13C1">
        <w:rPr>
          <w:rFonts w:cs="Calibri"/>
          <w:vanish/>
          <w:szCs w:val="22"/>
          <w:lang w:val="en-GB"/>
        </w:rPr>
        <w:pgNum/>
      </w:r>
      <w:r w:rsidR="000F0D84" w:rsidRPr="00AF3136">
        <w:rPr>
          <w:rFonts w:cs="Calibri"/>
          <w:szCs w:val="22"/>
          <w:lang w:val="en-GB"/>
        </w:rPr>
        <w:t xml:space="preserve"> a</w:t>
      </w:r>
      <w:r w:rsidR="00CB144F" w:rsidRPr="00AF3136">
        <w:rPr>
          <w:rFonts w:cs="Calibri"/>
          <w:szCs w:val="22"/>
          <w:lang w:val="en-GB"/>
        </w:rPr>
        <w:t xml:space="preserve"> process that is designed to provide redress to affected people, and actions that address issues of policy non-compliance and harm.</w:t>
      </w:r>
      <w:r w:rsidR="000F0D84" w:rsidRPr="00AF3136">
        <w:rPr>
          <w:rFonts w:cs="Calibri"/>
          <w:szCs w:val="22"/>
          <w:lang w:val="en-GB"/>
        </w:rPr>
        <w:t xml:space="preserve"> </w:t>
      </w:r>
    </w:p>
    <w:p w:rsidR="00C343AC" w:rsidRPr="00AF3136" w:rsidRDefault="009D7E50" w:rsidP="00C343AC">
      <w:pPr>
        <w:pStyle w:val="ColorfulList-Accent11"/>
        <w:spacing w:line="276" w:lineRule="auto"/>
        <w:ind w:left="714"/>
        <w:rPr>
          <w:rFonts w:cs="Calibri"/>
        </w:rPr>
      </w:pPr>
      <w:r w:rsidRPr="00AF3136">
        <w:rPr>
          <w:rFonts w:cs="Calibri"/>
          <w:i/>
          <w:szCs w:val="22"/>
        </w:rPr>
        <w:t>Scope:</w:t>
      </w:r>
      <w:r w:rsidRPr="00AF3136">
        <w:rPr>
          <w:rFonts w:cs="Calibri"/>
          <w:szCs w:val="22"/>
        </w:rPr>
        <w:t xml:space="preserve"> </w:t>
      </w:r>
      <w:r w:rsidR="008705EE" w:rsidRPr="00AF3136">
        <w:rPr>
          <w:rFonts w:cs="Calibri"/>
          <w:szCs w:val="22"/>
        </w:rPr>
        <w:t xml:space="preserve">There is variation in </w:t>
      </w:r>
      <w:r w:rsidR="00E11A4B" w:rsidRPr="00AF3136">
        <w:rPr>
          <w:rFonts w:cs="Calibri"/>
          <w:szCs w:val="22"/>
        </w:rPr>
        <w:t xml:space="preserve">the </w:t>
      </w:r>
      <w:r w:rsidR="005B2E83" w:rsidRPr="00AF3136">
        <w:rPr>
          <w:rFonts w:cs="Calibri"/>
          <w:szCs w:val="22"/>
        </w:rPr>
        <w:t xml:space="preserve">activities </w:t>
      </w:r>
      <w:r w:rsidR="00E11A4B" w:rsidRPr="00AF3136">
        <w:rPr>
          <w:rFonts w:cs="Calibri"/>
          <w:szCs w:val="22"/>
        </w:rPr>
        <w:t xml:space="preserve">to which </w:t>
      </w:r>
      <w:r w:rsidR="008705EE" w:rsidRPr="00AF3136">
        <w:rPr>
          <w:rFonts w:cs="Calibri"/>
          <w:szCs w:val="22"/>
        </w:rPr>
        <w:t>safeguards app</w:t>
      </w:r>
      <w:r w:rsidR="005B2E83" w:rsidRPr="00AF3136">
        <w:rPr>
          <w:rFonts w:cs="Calibri"/>
          <w:szCs w:val="22"/>
        </w:rPr>
        <w:t>ly</w:t>
      </w:r>
      <w:r w:rsidR="008705EE" w:rsidRPr="00AF3136">
        <w:rPr>
          <w:rFonts w:cs="Calibri"/>
          <w:szCs w:val="22"/>
        </w:rPr>
        <w:t xml:space="preserve">. For example, </w:t>
      </w:r>
      <w:r w:rsidR="00611D41">
        <w:t>they may apply only to activities funded by donors (the World Bank safeguards were designed predominantly for this purpose</w:t>
      </w:r>
      <w:r w:rsidR="00107ACC">
        <w:t xml:space="preserve"> but could come to apply to activities funded by other donors</w:t>
      </w:r>
      <w:r w:rsidR="00611D41">
        <w:t>), or to all REDD+ activities in a country, as in the case of REDD+ SES.</w:t>
      </w:r>
    </w:p>
    <w:p w:rsidR="00C343AC" w:rsidRPr="00AF3136" w:rsidRDefault="00C343AC" w:rsidP="00C343AC">
      <w:pPr>
        <w:pStyle w:val="ColorfulList-Accent11"/>
        <w:spacing w:line="276" w:lineRule="auto"/>
        <w:ind w:left="431"/>
        <w:rPr>
          <w:rFonts w:cs="Calibri"/>
        </w:rPr>
      </w:pPr>
    </w:p>
    <w:p w:rsidR="00C343AC" w:rsidRPr="00AF3136" w:rsidRDefault="00D91476" w:rsidP="00C343AC">
      <w:pPr>
        <w:pStyle w:val="ColorfulList-Accent11"/>
        <w:spacing w:line="276" w:lineRule="auto"/>
        <w:ind w:left="431"/>
        <w:rPr>
          <w:rFonts w:cs="Calibri"/>
        </w:rPr>
      </w:pPr>
      <w:r w:rsidRPr="00AF3136">
        <w:rPr>
          <w:rFonts w:cs="Calibri"/>
        </w:rPr>
        <w:t>Th</w:t>
      </w:r>
      <w:r w:rsidR="005C6EC7" w:rsidRPr="00AF3136">
        <w:rPr>
          <w:rFonts w:cs="Calibri"/>
        </w:rPr>
        <w:t>e</w:t>
      </w:r>
      <w:r w:rsidRPr="00AF3136">
        <w:rPr>
          <w:rFonts w:cs="Calibri"/>
        </w:rPr>
        <w:t xml:space="preserve"> proliferation of safeguard </w:t>
      </w:r>
      <w:r w:rsidR="00C343AC" w:rsidRPr="00AF3136">
        <w:rPr>
          <w:rFonts w:cs="Calibri"/>
        </w:rPr>
        <w:t>instruments</w:t>
      </w:r>
      <w:r w:rsidR="005C6EC7" w:rsidRPr="00AF3136">
        <w:rPr>
          <w:rFonts w:cs="Calibri"/>
        </w:rPr>
        <w:t xml:space="preserve"> for REDD+</w:t>
      </w:r>
      <w:r w:rsidRPr="00AF3136">
        <w:rPr>
          <w:rFonts w:cs="Calibri"/>
        </w:rPr>
        <w:t xml:space="preserve"> </w:t>
      </w:r>
      <w:r w:rsidR="0073138D" w:rsidRPr="00AF3136">
        <w:rPr>
          <w:rFonts w:cs="Calibri"/>
        </w:rPr>
        <w:t xml:space="preserve">could </w:t>
      </w:r>
      <w:r w:rsidR="00CC72E6" w:rsidRPr="00AF3136">
        <w:rPr>
          <w:rFonts w:cs="Calibri"/>
        </w:rPr>
        <w:t>become a challenge</w:t>
      </w:r>
      <w:r w:rsidR="00A2324D" w:rsidRPr="00AF3136">
        <w:rPr>
          <w:rFonts w:cs="Calibri"/>
        </w:rPr>
        <w:t xml:space="preserve"> for countr</w:t>
      </w:r>
      <w:r w:rsidR="00A25912" w:rsidRPr="00AF3136">
        <w:rPr>
          <w:rFonts w:cs="Calibri"/>
        </w:rPr>
        <w:t>ies</w:t>
      </w:r>
      <w:r w:rsidRPr="00AF3136">
        <w:rPr>
          <w:rFonts w:cs="Calibri"/>
        </w:rPr>
        <w:t xml:space="preserve">, which </w:t>
      </w:r>
      <w:r w:rsidR="0073138D" w:rsidRPr="00AF3136">
        <w:rPr>
          <w:rFonts w:cs="Calibri"/>
        </w:rPr>
        <w:t>could</w:t>
      </w:r>
      <w:r w:rsidR="00A2324D" w:rsidRPr="00AF3136">
        <w:rPr>
          <w:rFonts w:cs="Calibri"/>
        </w:rPr>
        <w:t xml:space="preserve"> increase </w:t>
      </w:r>
      <w:r w:rsidR="007D5384" w:rsidRPr="00AF3136">
        <w:rPr>
          <w:rFonts w:cs="Calibri"/>
        </w:rPr>
        <w:t xml:space="preserve">costs and </w:t>
      </w:r>
      <w:r w:rsidRPr="00AF3136">
        <w:rPr>
          <w:rFonts w:cs="Calibri"/>
        </w:rPr>
        <w:t xml:space="preserve">human resource </w:t>
      </w:r>
      <w:r w:rsidR="007D5384" w:rsidRPr="00AF3136">
        <w:rPr>
          <w:rFonts w:cs="Calibri"/>
        </w:rPr>
        <w:t>requirements</w:t>
      </w:r>
      <w:r w:rsidRPr="00AF3136">
        <w:rPr>
          <w:rFonts w:cs="Calibri"/>
        </w:rPr>
        <w:t xml:space="preserve">. </w:t>
      </w:r>
      <w:r w:rsidR="0073138D" w:rsidRPr="00AF3136">
        <w:rPr>
          <w:rFonts w:cs="Calibri"/>
        </w:rPr>
        <w:t>Some countries are also struggling with the question of whether</w:t>
      </w:r>
      <w:r w:rsidRPr="00AF3136">
        <w:rPr>
          <w:rFonts w:cs="Calibri"/>
        </w:rPr>
        <w:t xml:space="preserve">, in addition to </w:t>
      </w:r>
      <w:r w:rsidR="006420C7" w:rsidRPr="00AF3136">
        <w:rPr>
          <w:rFonts w:cs="Calibri"/>
        </w:rPr>
        <w:t>designing safeguard approaches</w:t>
      </w:r>
      <w:r w:rsidR="00D66835" w:rsidRPr="00AF3136">
        <w:rPr>
          <w:rFonts w:cs="Calibri"/>
        </w:rPr>
        <w:t xml:space="preserve"> </w:t>
      </w:r>
      <w:r w:rsidRPr="00AF3136">
        <w:rPr>
          <w:rFonts w:cs="Calibri"/>
        </w:rPr>
        <w:t xml:space="preserve">that respond to UNFCCC Agreements, </w:t>
      </w:r>
      <w:r w:rsidR="00DB3CF0" w:rsidRPr="00AF3136">
        <w:rPr>
          <w:rFonts w:cs="Calibri"/>
        </w:rPr>
        <w:t>they</w:t>
      </w:r>
      <w:r w:rsidRPr="00AF3136">
        <w:rPr>
          <w:rFonts w:cs="Calibri"/>
        </w:rPr>
        <w:t xml:space="preserve"> need to develop separate </w:t>
      </w:r>
      <w:r w:rsidR="00EE38F2" w:rsidRPr="00AF3136">
        <w:rPr>
          <w:rFonts w:cs="Calibri"/>
        </w:rPr>
        <w:t xml:space="preserve">safeguard </w:t>
      </w:r>
      <w:r w:rsidRPr="00AF3136">
        <w:rPr>
          <w:rFonts w:cs="Calibri"/>
        </w:rPr>
        <w:t>approaches in order to respond to different requirements</w:t>
      </w:r>
      <w:r w:rsidR="00536FC8" w:rsidRPr="00AF3136">
        <w:rPr>
          <w:rFonts w:cs="Calibri"/>
        </w:rPr>
        <w:t xml:space="preserve"> of funders</w:t>
      </w:r>
      <w:r w:rsidRPr="00AF3136">
        <w:rPr>
          <w:rFonts w:cs="Calibri"/>
        </w:rPr>
        <w:t>.</w:t>
      </w:r>
      <w:r w:rsidR="00DB3CF0" w:rsidRPr="00AF3136">
        <w:rPr>
          <w:rFonts w:cs="Calibri"/>
        </w:rPr>
        <w:t xml:space="preserve"> </w:t>
      </w:r>
      <w:r w:rsidR="00164E7E" w:rsidRPr="00AF3136">
        <w:rPr>
          <w:rFonts w:cs="Calibri"/>
        </w:rPr>
        <w:t>The following sections suggest a</w:t>
      </w:r>
      <w:r w:rsidR="00D66835" w:rsidRPr="00AF3136">
        <w:rPr>
          <w:rFonts w:cs="Calibri"/>
        </w:rPr>
        <w:t xml:space="preserve"> framework</w:t>
      </w:r>
      <w:r w:rsidR="00164E7E" w:rsidRPr="00AF3136">
        <w:rPr>
          <w:rFonts w:cs="Calibri"/>
        </w:rPr>
        <w:t xml:space="preserve"> </w:t>
      </w:r>
      <w:r w:rsidR="006420C7" w:rsidRPr="00AF3136">
        <w:rPr>
          <w:rFonts w:cs="Calibri"/>
        </w:rPr>
        <w:t>for</w:t>
      </w:r>
      <w:r w:rsidR="00164E7E" w:rsidRPr="00AF3136">
        <w:rPr>
          <w:rFonts w:cs="Calibri"/>
        </w:rPr>
        <w:t xml:space="preserve"> </w:t>
      </w:r>
      <w:r w:rsidR="006420C7" w:rsidRPr="00AF3136">
        <w:rPr>
          <w:rFonts w:cs="Calibri"/>
        </w:rPr>
        <w:t xml:space="preserve">considering country </w:t>
      </w:r>
      <w:r w:rsidR="00164E7E" w:rsidRPr="00AF3136">
        <w:rPr>
          <w:rFonts w:cs="Calibri"/>
        </w:rPr>
        <w:t xml:space="preserve">safeguard </w:t>
      </w:r>
      <w:r w:rsidR="006420C7" w:rsidRPr="00AF3136">
        <w:rPr>
          <w:rFonts w:cs="Calibri"/>
        </w:rPr>
        <w:t>approaches</w:t>
      </w:r>
      <w:r w:rsidR="00D66835" w:rsidRPr="00AF3136">
        <w:rPr>
          <w:rFonts w:cs="Calibri"/>
        </w:rPr>
        <w:t xml:space="preserve"> </w:t>
      </w:r>
      <w:r w:rsidR="00164E7E" w:rsidRPr="00AF3136">
        <w:rPr>
          <w:rFonts w:cs="Calibri"/>
        </w:rPr>
        <w:t xml:space="preserve">that may be useful </w:t>
      </w:r>
      <w:r w:rsidR="00624748" w:rsidRPr="00AF3136">
        <w:rPr>
          <w:rFonts w:cs="Calibri"/>
        </w:rPr>
        <w:t>to help</w:t>
      </w:r>
      <w:r w:rsidR="00164E7E" w:rsidRPr="00AF3136">
        <w:rPr>
          <w:rFonts w:cs="Calibri"/>
        </w:rPr>
        <w:t xml:space="preserve"> </w:t>
      </w:r>
      <w:r w:rsidR="00905F81" w:rsidRPr="00AF3136">
        <w:rPr>
          <w:rFonts w:cs="Calibri"/>
        </w:rPr>
        <w:t>bring clarity on this issue.</w:t>
      </w:r>
    </w:p>
    <w:p w:rsidR="007D4840" w:rsidRPr="00AF3136" w:rsidRDefault="00211347" w:rsidP="003F43C8">
      <w:pPr>
        <w:pStyle w:val="Heading1"/>
        <w:rPr>
          <w:rFonts w:cs="Calibri"/>
        </w:rPr>
      </w:pPr>
      <w:r w:rsidRPr="00AF3136">
        <w:rPr>
          <w:rFonts w:cs="Calibri"/>
        </w:rPr>
        <w:t>Elements of a country</w:t>
      </w:r>
      <w:r w:rsidR="000F0030" w:rsidRPr="00AF3136">
        <w:rPr>
          <w:rFonts w:cs="Calibri"/>
        </w:rPr>
        <w:t>-</w:t>
      </w:r>
      <w:r w:rsidRPr="00AF3136">
        <w:rPr>
          <w:rFonts w:cs="Calibri"/>
        </w:rPr>
        <w:t xml:space="preserve">level safeguard </w:t>
      </w:r>
      <w:r w:rsidR="001E6068" w:rsidRPr="00AF3136">
        <w:rPr>
          <w:rFonts w:cs="Calibri"/>
        </w:rPr>
        <w:t>approach</w:t>
      </w:r>
    </w:p>
    <w:p w:rsidR="00211347" w:rsidRDefault="00211347" w:rsidP="00211347">
      <w:r w:rsidRPr="00AF3136">
        <w:rPr>
          <w:rFonts w:cs="Calibri"/>
        </w:rPr>
        <w:t>In order to understand how a country</w:t>
      </w:r>
      <w:r w:rsidR="007B7C59">
        <w:t>-</w:t>
      </w:r>
      <w:r>
        <w:t xml:space="preserve">level </w:t>
      </w:r>
      <w:r w:rsidR="00905F81">
        <w:t>safeguard approach</w:t>
      </w:r>
      <w:r>
        <w:t xml:space="preserve"> might be developed</w:t>
      </w:r>
      <w:r w:rsidR="000E30BF">
        <w:t>,</w:t>
      </w:r>
      <w:r>
        <w:t xml:space="preserve"> it is </w:t>
      </w:r>
      <w:r w:rsidR="0073138D">
        <w:t>useful</w:t>
      </w:r>
      <w:r>
        <w:t xml:space="preserve"> to identify </w:t>
      </w:r>
      <w:r w:rsidR="0073138D">
        <w:t>some</w:t>
      </w:r>
      <w:r>
        <w:t xml:space="preserve"> generic elements.  </w:t>
      </w:r>
      <w:r w:rsidR="007B7C59">
        <w:t>T</w:t>
      </w:r>
      <w:r>
        <w:t xml:space="preserve">wo main elements </w:t>
      </w:r>
      <w:r w:rsidR="007B7C59">
        <w:t xml:space="preserve">are defined below, </w:t>
      </w:r>
      <w:r>
        <w:t>based on the functions that need to be fulfilled:</w:t>
      </w:r>
    </w:p>
    <w:p w:rsidR="00211347" w:rsidRPr="00FB27E8" w:rsidRDefault="00387F4A" w:rsidP="00387F4A">
      <w:pPr>
        <w:pStyle w:val="ColorfulList-Accent11"/>
        <w:numPr>
          <w:ilvl w:val="0"/>
          <w:numId w:val="37"/>
        </w:numPr>
        <w:rPr>
          <w:bCs/>
          <w:szCs w:val="22"/>
        </w:rPr>
      </w:pPr>
      <w:r w:rsidRPr="00FB27E8">
        <w:rPr>
          <w:bCs/>
          <w:szCs w:val="22"/>
        </w:rPr>
        <w:t>Safeguard p</w:t>
      </w:r>
      <w:r w:rsidR="00211347" w:rsidRPr="00FB27E8">
        <w:rPr>
          <w:bCs/>
          <w:szCs w:val="22"/>
        </w:rPr>
        <w:t>olicies, laws and regulations</w:t>
      </w:r>
      <w:r w:rsidR="0086794C" w:rsidRPr="00FB27E8">
        <w:rPr>
          <w:bCs/>
          <w:szCs w:val="22"/>
        </w:rPr>
        <w:t xml:space="preserve"> (PLRs)</w:t>
      </w:r>
      <w:r w:rsidR="007B7C59">
        <w:rPr>
          <w:bCs/>
          <w:szCs w:val="22"/>
        </w:rPr>
        <w:t>;</w:t>
      </w:r>
    </w:p>
    <w:p w:rsidR="00FB27E8" w:rsidRPr="00FB27E8" w:rsidRDefault="00387F4A" w:rsidP="00FB27E8">
      <w:pPr>
        <w:pStyle w:val="ColorfulList-Accent11"/>
        <w:numPr>
          <w:ilvl w:val="0"/>
          <w:numId w:val="37"/>
        </w:numPr>
        <w:rPr>
          <w:szCs w:val="22"/>
        </w:rPr>
      </w:pPr>
      <w:r w:rsidRPr="00FB27E8">
        <w:rPr>
          <w:bCs/>
          <w:szCs w:val="22"/>
        </w:rPr>
        <w:t>Safeguard information system</w:t>
      </w:r>
      <w:r w:rsidR="0086794C" w:rsidRPr="00FB27E8">
        <w:rPr>
          <w:bCs/>
          <w:szCs w:val="22"/>
        </w:rPr>
        <w:t xml:space="preserve"> (SIS)</w:t>
      </w:r>
      <w:r w:rsidR="007B7C59">
        <w:rPr>
          <w:bCs/>
          <w:szCs w:val="22"/>
        </w:rPr>
        <w:t>.</w:t>
      </w:r>
    </w:p>
    <w:p w:rsidR="00387F4A" w:rsidRPr="00387F4A" w:rsidRDefault="00863A11" w:rsidP="00387F4A">
      <w:r>
        <w:lastRenderedPageBreak/>
        <w:t xml:space="preserve">In order to operationalize these </w:t>
      </w:r>
      <w:r w:rsidR="007B7C59">
        <w:t xml:space="preserve">two </w:t>
      </w:r>
      <w:r>
        <w:t>elements, various formal and informal i</w:t>
      </w:r>
      <w:r w:rsidR="00393B1E">
        <w:t xml:space="preserve">nstitutions and procedures are </w:t>
      </w:r>
      <w:r>
        <w:t>likely to be required</w:t>
      </w:r>
      <w:r w:rsidR="001E12CA">
        <w:t xml:space="preserve">, either existing, </w:t>
      </w:r>
      <w:r w:rsidR="009B17D1">
        <w:t>new, or a combination</w:t>
      </w:r>
      <w:r w:rsidR="001E12CA">
        <w:t xml:space="preserve"> of both</w:t>
      </w:r>
      <w:r>
        <w:t xml:space="preserve">. </w:t>
      </w:r>
    </w:p>
    <w:p w:rsidR="00387F4A" w:rsidRPr="00387F4A" w:rsidRDefault="00387F4A" w:rsidP="00387F4A">
      <w:pPr>
        <w:pStyle w:val="Heading2"/>
      </w:pPr>
      <w:r w:rsidRPr="00387F4A">
        <w:t>Safeguard policies, laws and regulations</w:t>
      </w:r>
    </w:p>
    <w:p w:rsidR="00ED7DAB" w:rsidRDefault="00387F4A" w:rsidP="00387F4A">
      <w:r>
        <w:t xml:space="preserve">Safeguard </w:t>
      </w:r>
      <w:r w:rsidR="0086794C">
        <w:t>PLRs</w:t>
      </w:r>
      <w:r>
        <w:t xml:space="preserve"> establish the </w:t>
      </w:r>
      <w:r w:rsidR="00536FC8">
        <w:t>country</w:t>
      </w:r>
      <w:r w:rsidR="007B7C59">
        <w:t>-</w:t>
      </w:r>
      <w:r w:rsidR="00536FC8">
        <w:t xml:space="preserve">level </w:t>
      </w:r>
      <w:r>
        <w:t>content of safeguards</w:t>
      </w:r>
      <w:r w:rsidR="007B7C59">
        <w:t>. I</w:t>
      </w:r>
      <w:r>
        <w:t xml:space="preserve">n other words, </w:t>
      </w:r>
      <w:r w:rsidR="00536FC8">
        <w:t xml:space="preserve">they clarify the objectives and requirements to address the specific risks and </w:t>
      </w:r>
      <w:r w:rsidR="008E0380">
        <w:t>benefits</w:t>
      </w:r>
      <w:r w:rsidR="00536FC8">
        <w:t xml:space="preserve"> of REDD+ in the country, responding to the country-level goals for what needs to be </w:t>
      </w:r>
      <w:r w:rsidR="008E0380">
        <w:t>addressed and respected</w:t>
      </w:r>
      <w:r w:rsidR="00536FC8">
        <w:t xml:space="preserve"> in REDD+ activities.</w:t>
      </w:r>
    </w:p>
    <w:p w:rsidR="00905F81" w:rsidRDefault="00ED7DAB" w:rsidP="00ED7DAB">
      <w:r>
        <w:t xml:space="preserve">In the case of REDD+ safeguard </w:t>
      </w:r>
      <w:r w:rsidR="001E6068">
        <w:t>approaches</w:t>
      </w:r>
      <w:r w:rsidR="00905F81">
        <w:t>,</w:t>
      </w:r>
      <w:r>
        <w:t xml:space="preserve"> </w:t>
      </w:r>
      <w:r w:rsidR="007B7C59">
        <w:t xml:space="preserve">defined </w:t>
      </w:r>
      <w:r w:rsidR="0086794C">
        <w:t>PLRs</w:t>
      </w:r>
      <w:r>
        <w:t xml:space="preserve"> may already exist or new ones might be created. </w:t>
      </w:r>
      <w:r w:rsidR="0082184B">
        <w:t xml:space="preserve">As </w:t>
      </w:r>
      <w:r>
        <w:t>example</w:t>
      </w:r>
      <w:r w:rsidR="0082184B">
        <w:t>s</w:t>
      </w:r>
      <w:r>
        <w:t>, the</w:t>
      </w:r>
      <w:r w:rsidR="0082184B">
        <w:t>se</w:t>
      </w:r>
      <w:r>
        <w:t xml:space="preserve"> m</w:t>
      </w:r>
      <w:r w:rsidR="0082184B">
        <w:t>ight</w:t>
      </w:r>
      <w:r>
        <w:t xml:space="preserve"> include existing law</w:t>
      </w:r>
      <w:r w:rsidR="0082184B">
        <w:t>s</w:t>
      </w:r>
      <w:r>
        <w:t xml:space="preserve"> on the rights of indigenous peoples </w:t>
      </w:r>
      <w:r w:rsidR="00A83C57">
        <w:t xml:space="preserve">(e.g. the </w:t>
      </w:r>
      <w:r w:rsidR="00A83C57" w:rsidRPr="00276CCD">
        <w:t xml:space="preserve">Indigenous Peoples Rights Act (IPRA) </w:t>
      </w:r>
      <w:r w:rsidR="00A83C57">
        <w:t>in the Philippines)</w:t>
      </w:r>
      <w:r w:rsidR="00A83C57" w:rsidDel="00A83C57">
        <w:t xml:space="preserve"> </w:t>
      </w:r>
      <w:r>
        <w:t xml:space="preserve">that </w:t>
      </w:r>
      <w:r w:rsidR="0082184B">
        <w:t>would apply</w:t>
      </w:r>
      <w:r w:rsidR="00A83C57">
        <w:t xml:space="preserve"> to</w:t>
      </w:r>
      <w:r>
        <w:t xml:space="preserve"> all REDD+ activities </w:t>
      </w:r>
      <w:r w:rsidR="0082184B">
        <w:t>or an existing policy on the right to access to information</w:t>
      </w:r>
      <w:r w:rsidR="0082184B">
        <w:rPr>
          <w:rStyle w:val="FootnoteReference"/>
        </w:rPr>
        <w:footnoteReference w:id="6"/>
      </w:r>
      <w:r w:rsidR="0082184B">
        <w:t xml:space="preserve">.  In addition, </w:t>
      </w:r>
      <w:r>
        <w:t>new polic</w:t>
      </w:r>
      <w:r w:rsidR="0082184B">
        <w:t>ies</w:t>
      </w:r>
      <w:r>
        <w:t>, law</w:t>
      </w:r>
      <w:r w:rsidR="0082184B">
        <w:t>s</w:t>
      </w:r>
      <w:r>
        <w:t xml:space="preserve"> or regulation</w:t>
      </w:r>
      <w:r w:rsidR="0082184B">
        <w:t>s</w:t>
      </w:r>
      <w:r>
        <w:t xml:space="preserve"> </w:t>
      </w:r>
      <w:r w:rsidR="0082184B">
        <w:t xml:space="preserve">may need to be developed </w:t>
      </w:r>
      <w:r>
        <w:t xml:space="preserve">during the REDD+ strategy </w:t>
      </w:r>
      <w:r w:rsidR="00611D41">
        <w:t xml:space="preserve">preparation </w:t>
      </w:r>
      <w:r>
        <w:t xml:space="preserve">process. </w:t>
      </w:r>
      <w:r w:rsidR="008B6F6C">
        <w:t xml:space="preserve">The extent to which </w:t>
      </w:r>
      <w:r w:rsidR="0082184B">
        <w:t xml:space="preserve">these </w:t>
      </w:r>
      <w:r w:rsidR="008B6F6C">
        <w:t xml:space="preserve">new PLRs might </w:t>
      </w:r>
      <w:r w:rsidR="0082184B">
        <w:t xml:space="preserve">be </w:t>
      </w:r>
      <w:r w:rsidR="008B6F6C">
        <w:t>need</w:t>
      </w:r>
      <w:r w:rsidR="0082184B">
        <w:t>ed</w:t>
      </w:r>
      <w:r w:rsidR="008B6F6C">
        <w:t xml:space="preserve"> will depend on what already exists and what the country defines as the objectives of</w:t>
      </w:r>
      <w:r w:rsidR="0082184B">
        <w:t xml:space="preserve"> its approach to safeguards</w:t>
      </w:r>
      <w:r w:rsidR="008B6F6C">
        <w:t xml:space="preserve"> (e.g. is it designed to meet other safeguard requirements in addition to the UNFCCC agreements?).</w:t>
      </w:r>
      <w:r w:rsidR="001E6068">
        <w:t xml:space="preserve"> It may</w:t>
      </w:r>
      <w:r w:rsidR="00905F81">
        <w:t xml:space="preserve"> also</w:t>
      </w:r>
      <w:r w:rsidR="001E6068">
        <w:t xml:space="preserve"> be the case that a legal framework is not necessary </w:t>
      </w:r>
      <w:r w:rsidR="009252D7">
        <w:t>and some or all of the safeguards may be addressed through other means, such as national-level guidelines, but this will be dependent on the particular national context.</w:t>
      </w:r>
    </w:p>
    <w:p w:rsidR="00387F4A" w:rsidRPr="00387F4A" w:rsidRDefault="00387F4A" w:rsidP="00387F4A">
      <w:pPr>
        <w:pStyle w:val="Heading2"/>
      </w:pPr>
      <w:r w:rsidRPr="00387F4A">
        <w:t>Safeguard information system</w:t>
      </w:r>
      <w:r w:rsidR="007B7C59">
        <w:t>s</w:t>
      </w:r>
    </w:p>
    <w:p w:rsidR="000E30BF" w:rsidRDefault="00BE22B5" w:rsidP="000E30BF">
      <w:r>
        <w:rPr>
          <w:bCs/>
        </w:rPr>
        <w:t>S</w:t>
      </w:r>
      <w:r w:rsidRPr="000E30BF">
        <w:rPr>
          <w:bCs/>
        </w:rPr>
        <w:t xml:space="preserve">afeguard </w:t>
      </w:r>
      <w:r>
        <w:rPr>
          <w:bCs/>
        </w:rPr>
        <w:t>I</w:t>
      </w:r>
      <w:r w:rsidRPr="000E30BF">
        <w:rPr>
          <w:bCs/>
        </w:rPr>
        <w:t xml:space="preserve">nformation </w:t>
      </w:r>
      <w:r>
        <w:rPr>
          <w:bCs/>
        </w:rPr>
        <w:t>S</w:t>
      </w:r>
      <w:r w:rsidRPr="000E30BF">
        <w:rPr>
          <w:bCs/>
        </w:rPr>
        <w:t>ystem</w:t>
      </w:r>
      <w:r>
        <w:rPr>
          <w:bCs/>
        </w:rPr>
        <w:t>s</w:t>
      </w:r>
      <w:r w:rsidRPr="000E30BF">
        <w:rPr>
          <w:bCs/>
        </w:rPr>
        <w:t xml:space="preserve"> </w:t>
      </w:r>
      <w:r>
        <w:rPr>
          <w:bCs/>
        </w:rPr>
        <w:t xml:space="preserve">(SIS) provide a systematic approach for collecting and providing </w:t>
      </w:r>
      <w:r w:rsidRPr="000E30BF">
        <w:t>information on how REDD+ safeguards are being addressed and respected throughout</w:t>
      </w:r>
      <w:r>
        <w:t xml:space="preserve"> REDD+</w:t>
      </w:r>
      <w:r w:rsidRPr="000E30BF">
        <w:t xml:space="preserve"> implementation.</w:t>
      </w:r>
      <w:r>
        <w:t xml:space="preserve"> </w:t>
      </w:r>
      <w:r w:rsidR="000E30BF">
        <w:t xml:space="preserve">While the specific design of SIS and the level of detail of information reported will vary between countries, all SIS are likely to include the following components:  </w:t>
      </w:r>
      <w:r w:rsidR="000E30BF" w:rsidRPr="000E30BF">
        <w:t xml:space="preserve"> </w:t>
      </w:r>
    </w:p>
    <w:p w:rsidR="00970E4E" w:rsidRPr="00634219" w:rsidRDefault="00970E4E" w:rsidP="00FE6B69">
      <w:pPr>
        <w:pStyle w:val="ColorfulList-Accent11"/>
        <w:numPr>
          <w:ilvl w:val="0"/>
          <w:numId w:val="40"/>
        </w:numPr>
        <w:rPr>
          <w:szCs w:val="22"/>
        </w:rPr>
      </w:pPr>
      <w:r w:rsidRPr="008B6F6C">
        <w:rPr>
          <w:i/>
          <w:szCs w:val="22"/>
        </w:rPr>
        <w:t>Indicators</w:t>
      </w:r>
      <w:r w:rsidR="000E30BF" w:rsidRPr="008B6F6C">
        <w:rPr>
          <w:i/>
          <w:szCs w:val="22"/>
        </w:rPr>
        <w:t>:</w:t>
      </w:r>
      <w:r w:rsidR="000E30BF" w:rsidRPr="00491064">
        <w:rPr>
          <w:szCs w:val="22"/>
        </w:rPr>
        <w:t xml:space="preserve"> </w:t>
      </w:r>
      <w:r w:rsidR="007B7C59">
        <w:rPr>
          <w:szCs w:val="22"/>
        </w:rPr>
        <w:t>These</w:t>
      </w:r>
      <w:r w:rsidR="007B7C59" w:rsidRPr="00491064">
        <w:rPr>
          <w:szCs w:val="22"/>
        </w:rPr>
        <w:t xml:space="preserve"> </w:t>
      </w:r>
      <w:r w:rsidR="00FE6B69" w:rsidRPr="00491064">
        <w:rPr>
          <w:szCs w:val="22"/>
        </w:rPr>
        <w:t xml:space="preserve">help </w:t>
      </w:r>
      <w:r w:rsidR="00FE6B69">
        <w:rPr>
          <w:szCs w:val="22"/>
        </w:rPr>
        <w:t>determine, in this case, whether</w:t>
      </w:r>
      <w:r w:rsidR="00FE6B69" w:rsidRPr="00491064">
        <w:rPr>
          <w:szCs w:val="22"/>
        </w:rPr>
        <w:t xml:space="preserve"> a particular policy, law or regulation </w:t>
      </w:r>
      <w:r w:rsidR="00FE6B69">
        <w:rPr>
          <w:szCs w:val="22"/>
        </w:rPr>
        <w:t>is being effectively</w:t>
      </w:r>
      <w:r w:rsidR="00FE6B69" w:rsidRPr="00491064">
        <w:rPr>
          <w:szCs w:val="22"/>
        </w:rPr>
        <w:t xml:space="preserve"> implemented.</w:t>
      </w:r>
      <w:r w:rsidR="00FE6B69">
        <w:rPr>
          <w:szCs w:val="22"/>
        </w:rPr>
        <w:t xml:space="preserve"> </w:t>
      </w:r>
      <w:r w:rsidR="001E12CA" w:rsidRPr="008C66C4">
        <w:rPr>
          <w:szCs w:val="22"/>
        </w:rPr>
        <w:t>The indicators provide the parameters to determine what information needs to be collected</w:t>
      </w:r>
      <w:r w:rsidR="001A5902" w:rsidRPr="00634219">
        <w:rPr>
          <w:szCs w:val="22"/>
        </w:rPr>
        <w:t>.</w:t>
      </w:r>
    </w:p>
    <w:p w:rsidR="00970E4E" w:rsidRPr="00491064" w:rsidRDefault="00970E4E" w:rsidP="00970E4E">
      <w:pPr>
        <w:pStyle w:val="ColorfulList-Accent11"/>
        <w:numPr>
          <w:ilvl w:val="0"/>
          <w:numId w:val="39"/>
        </w:numPr>
        <w:rPr>
          <w:szCs w:val="22"/>
        </w:rPr>
      </w:pPr>
      <w:r w:rsidRPr="008B6F6C">
        <w:rPr>
          <w:i/>
          <w:szCs w:val="22"/>
        </w:rPr>
        <w:t>M</w:t>
      </w:r>
      <w:r w:rsidR="000E30BF" w:rsidRPr="008B6F6C">
        <w:rPr>
          <w:i/>
          <w:szCs w:val="22"/>
        </w:rPr>
        <w:t>ethodologies</w:t>
      </w:r>
      <w:r w:rsidR="003F5691">
        <w:rPr>
          <w:i/>
          <w:szCs w:val="22"/>
        </w:rPr>
        <w:t xml:space="preserve"> for collection of information</w:t>
      </w:r>
      <w:r w:rsidR="000249F4" w:rsidRPr="008B6F6C">
        <w:rPr>
          <w:i/>
          <w:szCs w:val="22"/>
        </w:rPr>
        <w:t>:</w:t>
      </w:r>
      <w:r w:rsidR="0039271B" w:rsidRPr="00491064">
        <w:rPr>
          <w:szCs w:val="22"/>
        </w:rPr>
        <w:t xml:space="preserve"> These outline </w:t>
      </w:r>
      <w:r w:rsidR="00EB59A9">
        <w:rPr>
          <w:szCs w:val="22"/>
        </w:rPr>
        <w:t xml:space="preserve">the types of information </w:t>
      </w:r>
      <w:r w:rsidR="0039271B" w:rsidRPr="00491064">
        <w:rPr>
          <w:szCs w:val="22"/>
        </w:rPr>
        <w:t xml:space="preserve">to be </w:t>
      </w:r>
      <w:r w:rsidR="00EB59A9">
        <w:rPr>
          <w:szCs w:val="22"/>
        </w:rPr>
        <w:t>collected</w:t>
      </w:r>
      <w:r w:rsidR="00521434" w:rsidRPr="00491064">
        <w:rPr>
          <w:szCs w:val="22"/>
        </w:rPr>
        <w:t xml:space="preserve"> </w:t>
      </w:r>
      <w:r w:rsidR="0039271B" w:rsidRPr="00491064">
        <w:rPr>
          <w:szCs w:val="22"/>
        </w:rPr>
        <w:t xml:space="preserve">for each indicator, and how </w:t>
      </w:r>
      <w:r w:rsidR="001E12CA">
        <w:rPr>
          <w:szCs w:val="22"/>
        </w:rPr>
        <w:t xml:space="preserve">the information collection </w:t>
      </w:r>
      <w:r w:rsidR="0039271B" w:rsidRPr="00491064">
        <w:rPr>
          <w:szCs w:val="22"/>
        </w:rPr>
        <w:t>should be carried out (e.g. sample size</w:t>
      </w:r>
      <w:r w:rsidR="00EF760A">
        <w:rPr>
          <w:szCs w:val="22"/>
        </w:rPr>
        <w:t>,</w:t>
      </w:r>
      <w:r w:rsidR="0039271B" w:rsidRPr="00491064">
        <w:rPr>
          <w:szCs w:val="22"/>
        </w:rPr>
        <w:t xml:space="preserve"> frequency</w:t>
      </w:r>
      <w:r w:rsidR="00EF760A">
        <w:rPr>
          <w:szCs w:val="22"/>
        </w:rPr>
        <w:t>,</w:t>
      </w:r>
      <w:r w:rsidR="0039271B" w:rsidRPr="00491064">
        <w:rPr>
          <w:szCs w:val="22"/>
        </w:rPr>
        <w:t xml:space="preserve"> etc.)</w:t>
      </w:r>
    </w:p>
    <w:p w:rsidR="00C15940" w:rsidRDefault="003F5691" w:rsidP="00970E4E">
      <w:pPr>
        <w:pStyle w:val="ColorfulList-Accent11"/>
        <w:numPr>
          <w:ilvl w:val="0"/>
          <w:numId w:val="39"/>
        </w:numPr>
        <w:rPr>
          <w:szCs w:val="22"/>
        </w:rPr>
      </w:pPr>
      <w:r>
        <w:rPr>
          <w:i/>
          <w:szCs w:val="22"/>
        </w:rPr>
        <w:t>F</w:t>
      </w:r>
      <w:r w:rsidR="000E30BF" w:rsidRPr="008B6F6C">
        <w:rPr>
          <w:i/>
          <w:szCs w:val="22"/>
        </w:rPr>
        <w:t>ramework</w:t>
      </w:r>
      <w:r>
        <w:rPr>
          <w:i/>
          <w:szCs w:val="22"/>
        </w:rPr>
        <w:t xml:space="preserve"> for provision of information</w:t>
      </w:r>
      <w:r w:rsidR="0039271B" w:rsidRPr="008B6F6C">
        <w:rPr>
          <w:i/>
          <w:szCs w:val="22"/>
        </w:rPr>
        <w:t>:</w:t>
      </w:r>
      <w:r w:rsidR="0039271B" w:rsidRPr="00491064">
        <w:rPr>
          <w:szCs w:val="22"/>
        </w:rPr>
        <w:t xml:space="preserve"> This defines how information is stored and </w:t>
      </w:r>
      <w:r w:rsidR="004D0306">
        <w:rPr>
          <w:szCs w:val="22"/>
        </w:rPr>
        <w:t>shared</w:t>
      </w:r>
      <w:r w:rsidR="0039271B" w:rsidRPr="00491064">
        <w:rPr>
          <w:szCs w:val="22"/>
        </w:rPr>
        <w:t xml:space="preserve">. </w:t>
      </w:r>
      <w:r w:rsidR="001E12CA">
        <w:rPr>
          <w:szCs w:val="22"/>
        </w:rPr>
        <w:t>Summary information will need to be provided</w:t>
      </w:r>
      <w:r w:rsidR="001A5902">
        <w:rPr>
          <w:szCs w:val="22"/>
        </w:rPr>
        <w:t xml:space="preserve"> </w:t>
      </w:r>
      <w:r w:rsidR="0039271B" w:rsidRPr="00491064">
        <w:rPr>
          <w:szCs w:val="22"/>
        </w:rPr>
        <w:t xml:space="preserve">to the UNFCCC but </w:t>
      </w:r>
      <w:r w:rsidR="001A5902">
        <w:rPr>
          <w:szCs w:val="22"/>
        </w:rPr>
        <w:t>is</w:t>
      </w:r>
      <w:r w:rsidR="0039271B" w:rsidRPr="00491064">
        <w:rPr>
          <w:szCs w:val="22"/>
        </w:rPr>
        <w:t xml:space="preserve"> also likely to be used at the country level </w:t>
      </w:r>
      <w:r w:rsidR="00EF760A">
        <w:rPr>
          <w:szCs w:val="22"/>
        </w:rPr>
        <w:t>for</w:t>
      </w:r>
      <w:r w:rsidR="0039271B" w:rsidRPr="00491064">
        <w:rPr>
          <w:szCs w:val="22"/>
        </w:rPr>
        <w:t xml:space="preserve"> </w:t>
      </w:r>
      <w:r w:rsidR="00BB297A">
        <w:rPr>
          <w:szCs w:val="22"/>
        </w:rPr>
        <w:t>disseminat</w:t>
      </w:r>
      <w:r w:rsidR="00EF760A">
        <w:rPr>
          <w:szCs w:val="22"/>
        </w:rPr>
        <w:t>ion</w:t>
      </w:r>
      <w:r w:rsidR="00BB297A">
        <w:rPr>
          <w:szCs w:val="22"/>
        </w:rPr>
        <w:t xml:space="preserve"> among </w:t>
      </w:r>
      <w:r w:rsidR="0039271B" w:rsidRPr="00491064">
        <w:rPr>
          <w:szCs w:val="22"/>
        </w:rPr>
        <w:t>key stakeholders.</w:t>
      </w:r>
      <w:r w:rsidR="001E12CA">
        <w:rPr>
          <w:szCs w:val="22"/>
        </w:rPr>
        <w:t xml:space="preserve"> </w:t>
      </w:r>
      <w:r w:rsidR="00E811F5">
        <w:rPr>
          <w:szCs w:val="22"/>
        </w:rPr>
        <w:t>Domestic</w:t>
      </w:r>
      <w:r w:rsidR="007B7C59">
        <w:rPr>
          <w:szCs w:val="22"/>
        </w:rPr>
        <w:t>-</w:t>
      </w:r>
      <w:r w:rsidR="00E811F5">
        <w:rPr>
          <w:szCs w:val="22"/>
        </w:rPr>
        <w:t xml:space="preserve">level </w:t>
      </w:r>
      <w:r w:rsidR="00BB297A">
        <w:rPr>
          <w:szCs w:val="22"/>
        </w:rPr>
        <w:t xml:space="preserve">dissemination </w:t>
      </w:r>
      <w:r w:rsidR="00E811F5">
        <w:rPr>
          <w:szCs w:val="22"/>
        </w:rPr>
        <w:t>of information</w:t>
      </w:r>
      <w:r w:rsidR="001E12CA">
        <w:rPr>
          <w:szCs w:val="22"/>
        </w:rPr>
        <w:t xml:space="preserve"> may need to</w:t>
      </w:r>
      <w:r w:rsidR="00C15940">
        <w:rPr>
          <w:szCs w:val="22"/>
        </w:rPr>
        <w:t xml:space="preserve"> exist</w:t>
      </w:r>
      <w:r w:rsidR="001E12CA">
        <w:rPr>
          <w:szCs w:val="22"/>
        </w:rPr>
        <w:t xml:space="preserve"> in </w:t>
      </w:r>
      <w:r w:rsidR="00C15940">
        <w:rPr>
          <w:szCs w:val="22"/>
        </w:rPr>
        <w:t xml:space="preserve">various </w:t>
      </w:r>
      <w:r w:rsidR="001E12CA">
        <w:rPr>
          <w:szCs w:val="22"/>
        </w:rPr>
        <w:t>format</w:t>
      </w:r>
      <w:r w:rsidR="00C15940">
        <w:rPr>
          <w:szCs w:val="22"/>
        </w:rPr>
        <w:t xml:space="preserve">s and be </w:t>
      </w:r>
      <w:r w:rsidR="00107ACC">
        <w:rPr>
          <w:szCs w:val="22"/>
        </w:rPr>
        <w:t>communicated</w:t>
      </w:r>
      <w:r w:rsidR="00C15940">
        <w:rPr>
          <w:szCs w:val="22"/>
        </w:rPr>
        <w:t xml:space="preserve"> at varying frequencies, depending on national circumstances.</w:t>
      </w:r>
    </w:p>
    <w:p w:rsidR="00211347" w:rsidRDefault="00CE4DF9" w:rsidP="00C15940">
      <w:r w:rsidRPr="00C15940">
        <w:t>SIS could be built on existing count</w:t>
      </w:r>
      <w:r w:rsidR="00E811F5" w:rsidRPr="00C15940">
        <w:t>ry</w:t>
      </w:r>
      <w:r w:rsidR="00E811F5" w:rsidRPr="00C15940">
        <w:rPr>
          <w:i/>
        </w:rPr>
        <w:t xml:space="preserve"> </w:t>
      </w:r>
      <w:r w:rsidR="00E811F5">
        <w:t>systems to collect and provide</w:t>
      </w:r>
      <w:r>
        <w:t xml:space="preserve"> data, such as those in place </w:t>
      </w:r>
      <w:r w:rsidR="001E12CA">
        <w:t xml:space="preserve">for countries </w:t>
      </w:r>
      <w:r>
        <w:t>to monitor and report on biodive</w:t>
      </w:r>
      <w:r w:rsidR="008B6F6C">
        <w:t>rsity conservation under the Convention on Biological Diversity (CBD)</w:t>
      </w:r>
      <w:r w:rsidR="004D0306">
        <w:t xml:space="preserve"> </w:t>
      </w:r>
      <w:r w:rsidR="006B174A">
        <w:t xml:space="preserve">or </w:t>
      </w:r>
      <w:r w:rsidR="004D0306">
        <w:t xml:space="preserve">to prepare their national reports </w:t>
      </w:r>
      <w:r w:rsidR="00A50E1A">
        <w:t>for</w:t>
      </w:r>
      <w:r w:rsidR="004D0306">
        <w:t xml:space="preserve"> </w:t>
      </w:r>
      <w:r w:rsidR="007B7C59">
        <w:t xml:space="preserve">the </w:t>
      </w:r>
      <w:r w:rsidR="004D0306">
        <w:t>Global Forest Resources Assessments</w:t>
      </w:r>
      <w:r w:rsidR="007B7C59">
        <w:t xml:space="preserve"> of the Food and Agriculture Organization of the United Nations (FAO)</w:t>
      </w:r>
      <w:r>
        <w:t xml:space="preserve">. Existing systems may need to be </w:t>
      </w:r>
      <w:r>
        <w:lastRenderedPageBreak/>
        <w:t>adapted for REDD+ if, for example, they do not cover specific issues such as</w:t>
      </w:r>
      <w:r w:rsidR="001E12CA">
        <w:t xml:space="preserve"> permanence and leakage, which are more specific to a </w:t>
      </w:r>
      <w:r w:rsidR="006B174A">
        <w:t>g</w:t>
      </w:r>
      <w:r w:rsidR="007B7C59">
        <w:t xml:space="preserve">reenhouse </w:t>
      </w:r>
      <w:r w:rsidR="006B174A">
        <w:t>g</w:t>
      </w:r>
      <w:r w:rsidR="007B7C59">
        <w:t>as (G</w:t>
      </w:r>
      <w:r w:rsidR="001E12CA">
        <w:t>HG</w:t>
      </w:r>
      <w:r w:rsidR="007B7C59">
        <w:t>)</w:t>
      </w:r>
      <w:r w:rsidR="001E12CA">
        <w:t xml:space="preserve"> </w:t>
      </w:r>
      <w:r w:rsidR="00EF760A">
        <w:t xml:space="preserve">emissions? </w:t>
      </w:r>
      <w:proofErr w:type="gramStart"/>
      <w:r w:rsidR="001E12CA">
        <w:t>context</w:t>
      </w:r>
      <w:proofErr w:type="gramEnd"/>
      <w:r w:rsidR="001E12CA">
        <w:t>.</w:t>
      </w:r>
      <w:r>
        <w:t xml:space="preserve"> A new institutional framework may also need to be created for the purposes of consolidating different streams of information</w:t>
      </w:r>
      <w:r w:rsidR="008B6F6C">
        <w:t xml:space="preserve"> and reporting to the UNFCCC</w:t>
      </w:r>
      <w:r w:rsidR="00B419B0">
        <w:t>.</w:t>
      </w:r>
    </w:p>
    <w:p w:rsidR="00DB1FBB" w:rsidRDefault="00863A11" w:rsidP="0086794C">
      <w:pPr>
        <w:pStyle w:val="Heading2"/>
      </w:pPr>
      <w:r>
        <w:t>Institutions, processes and</w:t>
      </w:r>
      <w:r w:rsidR="0086794C">
        <w:t xml:space="preserve"> p</w:t>
      </w:r>
      <w:r w:rsidR="00D77DA5">
        <w:t>rocedures</w:t>
      </w:r>
    </w:p>
    <w:p w:rsidR="00C53140" w:rsidRPr="00AF3136" w:rsidRDefault="00C53140" w:rsidP="00C53140">
      <w:pPr>
        <w:rPr>
          <w:rFonts w:cs="Calibri"/>
          <w:lang w:val="en-GB"/>
        </w:rPr>
      </w:pPr>
      <w:r>
        <w:t>In support of the two core components described above, there are various formal and informal institutions</w:t>
      </w:r>
      <w:r w:rsidR="00802FEB">
        <w:t>,</w:t>
      </w:r>
      <w:r w:rsidR="007B6C3B">
        <w:t xml:space="preserve"> </w:t>
      </w:r>
      <w:r>
        <w:t>processes and procedures needed in order to design and implement effective approaches to safeguards. Institutions</w:t>
      </w:r>
      <w:r w:rsidR="006B174A">
        <w:t xml:space="preserve"> </w:t>
      </w:r>
      <w:r>
        <w:t xml:space="preserve">will play a role in ensuring the fair and effective design of the REDD+ safeguard approach, the implementation of PLRs, and the operation of SIS. Processes and procedures include aspects that may not be captured in formal PLRs, such as consultation processes, strategic assessments and information dissemination and communication.  This also will include, for example, data collection and analysis that may be needed to address and respect the safeguards (e.g. defining and mapping natural forests). Another example of a process that may be </w:t>
      </w:r>
      <w:r w:rsidRPr="00AF3136">
        <w:rPr>
          <w:rFonts w:cs="Calibri"/>
          <w:lang w:val="en-GB"/>
        </w:rPr>
        <w:t xml:space="preserve">a potentially integral component of national approaches to safeguards is a national-level grievance </w:t>
      </w:r>
      <w:r w:rsidR="006B174A" w:rsidRPr="00AF3136">
        <w:rPr>
          <w:rFonts w:cs="Calibri"/>
          <w:lang w:val="en-GB"/>
        </w:rPr>
        <w:t xml:space="preserve">redress </w:t>
      </w:r>
      <w:r w:rsidRPr="00AF3136">
        <w:rPr>
          <w:rFonts w:cs="Calibri"/>
          <w:lang w:val="en-GB"/>
        </w:rPr>
        <w:t>mechanism.</w:t>
      </w:r>
    </w:p>
    <w:p w:rsidR="005B0038" w:rsidRDefault="008C512D" w:rsidP="005B0038">
      <w:pPr>
        <w:keepNext/>
      </w:pPr>
      <w:r w:rsidRPr="00AF3136">
        <w:rPr>
          <w:rFonts w:cs="Calibri"/>
          <w:noProof/>
        </w:rPr>
        <w:pict>
          <v:shapetype id="_x0000_t202" coordsize="21600,21600" o:spt="202" path="m,l,21600r21600,l21600,xe">
            <v:stroke joinstyle="miter"/>
            <v:path gradientshapeok="t" o:connecttype="rect"/>
          </v:shapetype>
          <v:shape id="Text Box 14" o:spid="_x0000_s1028" type="#_x0000_t202" style="position:absolute;margin-left:132.45pt;margin-top:142.65pt;width:184.55pt;height:21.4pt;z-index:251657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" filled="f" stroked="f">
            <v:path arrowok="t"/>
            <v:textbox>
              <w:txbxContent>
                <w:p w:rsidR="00EF760A" w:rsidRDefault="00EF760A" w:rsidP="00491064">
                  <w:pPr>
                    <w:jc w:val="center"/>
                  </w:pPr>
                </w:p>
              </w:txbxContent>
            </v:textbox>
          </v:shape>
        </w:pict>
      </w:r>
    </w:p>
    <w:p w:rsidR="00611D41" w:rsidRDefault="00491064">
      <w:pPr>
        <w:pStyle w:val="Heading1"/>
        <w:numPr>
          <w:ilvl w:val="0"/>
          <w:numId w:val="0"/>
        </w:numPr>
      </w:pPr>
      <w:r w:rsidRPr="001A5902">
        <w:t>Developing a country</w:t>
      </w:r>
      <w:r w:rsidR="006F05B2" w:rsidRPr="008C5687">
        <w:t xml:space="preserve"> safeguard </w:t>
      </w:r>
      <w:r w:rsidR="00DA6F65">
        <w:t>approach</w:t>
      </w:r>
    </w:p>
    <w:p w:rsidR="00F803C4" w:rsidRPr="004D541D" w:rsidRDefault="006F05B2" w:rsidP="00491064">
      <w:r w:rsidRPr="001A5902">
        <w:t xml:space="preserve">There is </w:t>
      </w:r>
      <w:r w:rsidR="005B0038" w:rsidRPr="008C5687">
        <w:t>no fixed</w:t>
      </w:r>
      <w:r w:rsidR="001C7133" w:rsidRPr="004D541D">
        <w:t xml:space="preserve">, linear </w:t>
      </w:r>
      <w:r w:rsidR="00802FEB">
        <w:t>process</w:t>
      </w:r>
      <w:r w:rsidR="00802FEB" w:rsidRPr="004D541D">
        <w:t xml:space="preserve"> </w:t>
      </w:r>
      <w:r w:rsidR="005B0038" w:rsidRPr="004D541D">
        <w:t xml:space="preserve">to develop a </w:t>
      </w:r>
      <w:r w:rsidR="006B174A">
        <w:t xml:space="preserve">country-level </w:t>
      </w:r>
      <w:r w:rsidR="005B0038" w:rsidRPr="004D541D">
        <w:t xml:space="preserve">safeguard </w:t>
      </w:r>
      <w:r w:rsidR="00DA6F65">
        <w:t>approach</w:t>
      </w:r>
      <w:r w:rsidR="003F7CE6">
        <w:t>. It</w:t>
      </w:r>
      <w:r w:rsidR="005B0038" w:rsidRPr="004D541D">
        <w:t xml:space="preserve"> </w:t>
      </w:r>
      <w:r w:rsidRPr="004D541D">
        <w:t>depend</w:t>
      </w:r>
      <w:r w:rsidR="00802FEB">
        <w:t>s</w:t>
      </w:r>
      <w:r w:rsidRPr="004D541D">
        <w:t xml:space="preserve"> on what is already in place in the country, a</w:t>
      </w:r>
      <w:r w:rsidR="00DA6F65">
        <w:t>s well as</w:t>
      </w:r>
      <w:r w:rsidRPr="004D541D">
        <w:t xml:space="preserve"> what governments define as the overall objectives of the system.</w:t>
      </w:r>
      <w:r w:rsidR="00BB2E57" w:rsidRPr="004D541D">
        <w:t xml:space="preserve"> </w:t>
      </w:r>
      <w:r w:rsidR="005B0038" w:rsidRPr="004D541D">
        <w:t xml:space="preserve">However, </w:t>
      </w:r>
      <w:r w:rsidR="00BB2E57" w:rsidRPr="004D541D">
        <w:t>based on insights from countries and the steps defined in existing safeguards schemes</w:t>
      </w:r>
      <w:r w:rsidR="005B0038" w:rsidRPr="004D541D">
        <w:t>, some generic steps can be identified which may be useful for countries planning such a</w:t>
      </w:r>
      <w:r w:rsidR="00DA6F65">
        <w:t>n</w:t>
      </w:r>
      <w:r w:rsidR="00D66835">
        <w:t xml:space="preserve"> </w:t>
      </w:r>
      <w:r w:rsidR="00DA6F65">
        <w:t>approach</w:t>
      </w:r>
      <w:r w:rsidR="00BB2E57" w:rsidRPr="004D541D">
        <w:t xml:space="preserve">. </w:t>
      </w:r>
    </w:p>
    <w:p w:rsidR="004B2ABA" w:rsidRDefault="004B2ABA" w:rsidP="00491064">
      <w:r w:rsidRPr="004D541D">
        <w:t xml:space="preserve">An accountable and participatory process will be essential in developing </w:t>
      </w:r>
      <w:r w:rsidR="001E12CA" w:rsidRPr="004D541D">
        <w:t xml:space="preserve">transparent and effective </w:t>
      </w:r>
      <w:r w:rsidRPr="004D541D">
        <w:t xml:space="preserve">safeguards </w:t>
      </w:r>
      <w:r w:rsidR="00DA6F65">
        <w:t>approaches</w:t>
      </w:r>
      <w:r w:rsidRPr="004D541D">
        <w:t xml:space="preserve">. </w:t>
      </w:r>
      <w:r w:rsidR="005923B9">
        <w:t xml:space="preserve">In particular, the effective participation of women and indigenous peoples </w:t>
      </w:r>
      <w:r w:rsidR="005F3F91">
        <w:t xml:space="preserve">in </w:t>
      </w:r>
      <w:r w:rsidR="005923B9">
        <w:t xml:space="preserve">all </w:t>
      </w:r>
      <w:r w:rsidR="005F3F91">
        <w:t>responses to</w:t>
      </w:r>
      <w:r w:rsidR="005923B9">
        <w:t xml:space="preserve"> climate change is recognized in Cancun decision 1/CP.16.  </w:t>
      </w:r>
      <w:r w:rsidRPr="004D541D">
        <w:t>The UN-REDD</w:t>
      </w:r>
      <w:r w:rsidR="00645662">
        <w:t xml:space="preserve"> Programme</w:t>
      </w:r>
      <w:r w:rsidRPr="004D541D">
        <w:t>/</w:t>
      </w:r>
      <w:r w:rsidR="009651E4">
        <w:t>FCPF</w:t>
      </w:r>
      <w:r w:rsidRPr="004D541D">
        <w:t xml:space="preserve"> Stakeholder Engagement Guidelines</w:t>
      </w:r>
      <w:r w:rsidR="00F77DF3">
        <w:t xml:space="preserve"> and UN-REDD </w:t>
      </w:r>
      <w:r w:rsidR="00645662">
        <w:t xml:space="preserve">Programme </w:t>
      </w:r>
      <w:r w:rsidR="00F77DF3">
        <w:t>FPIC</w:t>
      </w:r>
      <w:r w:rsidRPr="004D541D">
        <w:t xml:space="preserve"> Guidelines are useful </w:t>
      </w:r>
      <w:r w:rsidR="00A25912">
        <w:t xml:space="preserve">for </w:t>
      </w:r>
      <w:r w:rsidRPr="004D541D">
        <w:t>ensur</w:t>
      </w:r>
      <w:r w:rsidR="00A25912">
        <w:t>ing</w:t>
      </w:r>
      <w:r w:rsidRPr="004D541D">
        <w:t xml:space="preserve"> </w:t>
      </w:r>
      <w:r w:rsidR="00817F10">
        <w:t xml:space="preserve">full and effective </w:t>
      </w:r>
      <w:r w:rsidRPr="004D541D">
        <w:t xml:space="preserve">participation. The UN-REDD </w:t>
      </w:r>
      <w:proofErr w:type="spellStart"/>
      <w:r w:rsidR="00645662">
        <w:t>Programme</w:t>
      </w:r>
      <w:r w:rsidR="00053064">
        <w:t>'s</w:t>
      </w:r>
      <w:proofErr w:type="spellEnd"/>
      <w:r w:rsidR="00645662">
        <w:t xml:space="preserve"> </w:t>
      </w:r>
      <w:r w:rsidRPr="004D541D">
        <w:t>P</w:t>
      </w:r>
      <w:r w:rsidR="00645662">
        <w:t xml:space="preserve">articipatory </w:t>
      </w:r>
      <w:r w:rsidRPr="004D541D">
        <w:t>G</w:t>
      </w:r>
      <w:r w:rsidR="00645662">
        <w:t xml:space="preserve">overnance </w:t>
      </w:r>
      <w:r w:rsidRPr="004D541D">
        <w:t>A</w:t>
      </w:r>
      <w:r w:rsidR="00645662">
        <w:t>ssessment (PGA)</w:t>
      </w:r>
      <w:r w:rsidRPr="004D541D">
        <w:t xml:space="preserve"> </w:t>
      </w:r>
      <w:r w:rsidR="00BB297A">
        <w:t xml:space="preserve">approach </w:t>
      </w:r>
      <w:r w:rsidRPr="004D541D">
        <w:t xml:space="preserve">also </w:t>
      </w:r>
      <w:r w:rsidR="004E1DEF" w:rsidRPr="004D541D">
        <w:t>outline</w:t>
      </w:r>
      <w:r w:rsidR="00BB297A">
        <w:t>s</w:t>
      </w:r>
      <w:r w:rsidR="004E1DEF" w:rsidRPr="004D541D">
        <w:t xml:space="preserve"> in detail</w:t>
      </w:r>
      <w:r w:rsidRPr="004D541D">
        <w:t xml:space="preserve"> how to establish a</w:t>
      </w:r>
      <w:r w:rsidR="00BE7C92">
        <w:t>n inclusive</w:t>
      </w:r>
      <w:r w:rsidRPr="004D541D">
        <w:t xml:space="preserve"> process </w:t>
      </w:r>
      <w:r w:rsidR="007D5384">
        <w:t>focusing on safeguards linked to governance issues</w:t>
      </w:r>
      <w:r w:rsidR="00624748">
        <w:t>.</w:t>
      </w:r>
      <w:r w:rsidR="00624748">
        <w:rPr>
          <w:rStyle w:val="FootnoteReference"/>
        </w:rPr>
        <w:footnoteReference w:id="7"/>
      </w:r>
    </w:p>
    <w:p w:rsidR="00BB2E57" w:rsidRDefault="00CA49A9" w:rsidP="00CA49A9">
      <w:pPr>
        <w:pStyle w:val="Heading2"/>
        <w:numPr>
          <w:ilvl w:val="0"/>
          <w:numId w:val="0"/>
        </w:numPr>
        <w:ind w:left="578" w:hanging="578"/>
      </w:pPr>
      <w:r>
        <w:t xml:space="preserve">4.1 </w:t>
      </w:r>
      <w:r w:rsidR="00BB2E57">
        <w:t xml:space="preserve">Determining the objectives of the safeguard </w:t>
      </w:r>
      <w:r w:rsidR="00231547">
        <w:t>approach</w:t>
      </w:r>
    </w:p>
    <w:p w:rsidR="007D5384" w:rsidRDefault="00A44421" w:rsidP="00BB2E57">
      <w:r>
        <w:t xml:space="preserve">A first and crucial step in developing a REDD+ safeguards </w:t>
      </w:r>
      <w:r w:rsidR="00231547">
        <w:t>approach</w:t>
      </w:r>
      <w:r>
        <w:t xml:space="preserve"> is to clearly define what </w:t>
      </w:r>
      <w:r w:rsidR="00231547">
        <w:t>it</w:t>
      </w:r>
      <w:r w:rsidR="00D66835">
        <w:t xml:space="preserve"> </w:t>
      </w:r>
      <w:r>
        <w:t>is supposed to do</w:t>
      </w:r>
      <w:r w:rsidR="00612BD8">
        <w:t xml:space="preserve"> (</w:t>
      </w:r>
      <w:r w:rsidR="0081551D">
        <w:t>e.</w:t>
      </w:r>
      <w:r w:rsidR="00267748">
        <w:t>g.</w:t>
      </w:r>
      <w:r w:rsidR="0026235F">
        <w:t xml:space="preserve"> </w:t>
      </w:r>
      <w:r w:rsidR="00612BD8">
        <w:t>why it is being established)</w:t>
      </w:r>
      <w:r>
        <w:t>. All countries are likely to be interested in developing a system that enables</w:t>
      </w:r>
      <w:r w:rsidR="004B2ABA">
        <w:t xml:space="preserve"> them to respond to UNFCCC </w:t>
      </w:r>
      <w:r w:rsidR="00231547">
        <w:t>decisions</w:t>
      </w:r>
      <w:r w:rsidR="005923B9">
        <w:t>.</w:t>
      </w:r>
      <w:r>
        <w:t xml:space="preserve"> This will require interpr</w:t>
      </w:r>
      <w:r w:rsidR="004B2ABA">
        <w:t xml:space="preserve">eting what is contained in </w:t>
      </w:r>
      <w:r w:rsidR="00231547">
        <w:t>decisions</w:t>
      </w:r>
      <w:r>
        <w:t xml:space="preserve"> from the country perspective</w:t>
      </w:r>
      <w:r w:rsidR="001366F8">
        <w:t xml:space="preserve"> and also a consideration of the </w:t>
      </w:r>
      <w:r w:rsidR="005F3F91">
        <w:t xml:space="preserve">potential </w:t>
      </w:r>
      <w:r w:rsidR="001366F8">
        <w:t xml:space="preserve">social and </w:t>
      </w:r>
      <w:r w:rsidR="001366F8">
        <w:lastRenderedPageBreak/>
        <w:t xml:space="preserve">environmental risks </w:t>
      </w:r>
      <w:r w:rsidR="005F3F91">
        <w:t>and benefit</w:t>
      </w:r>
      <w:r w:rsidR="008E0380">
        <w:t>s</w:t>
      </w:r>
      <w:r w:rsidR="005F3F91">
        <w:t xml:space="preserve"> of </w:t>
      </w:r>
      <w:r w:rsidR="001366F8">
        <w:t>REDD+</w:t>
      </w:r>
      <w:r w:rsidR="004B2ABA">
        <w:t xml:space="preserve">. </w:t>
      </w:r>
      <w:r>
        <w:t>However, it will be important for countries to carefully consider wh</w:t>
      </w:r>
      <w:r w:rsidR="004D541D">
        <w:t>ether</w:t>
      </w:r>
      <w:r w:rsidR="00B04FA4">
        <w:t>,</w:t>
      </w:r>
      <w:r w:rsidR="004D541D">
        <w:t xml:space="preserve"> in addition to ensuring that the </w:t>
      </w:r>
      <w:r w:rsidR="00231547">
        <w:t>approach</w:t>
      </w:r>
      <w:r w:rsidR="004D541D">
        <w:t xml:space="preserve"> responds to the </w:t>
      </w:r>
      <w:r>
        <w:t>Cancun</w:t>
      </w:r>
      <w:r w:rsidR="004979D5">
        <w:t xml:space="preserve"> safeguards</w:t>
      </w:r>
      <w:r w:rsidR="004D541D">
        <w:t>,</w:t>
      </w:r>
      <w:r w:rsidR="000628CE">
        <w:t xml:space="preserve"> it also </w:t>
      </w:r>
      <w:r w:rsidR="004D541D">
        <w:t>needs to be designed to respond to other objectives</w:t>
      </w:r>
      <w:r>
        <w:t xml:space="preserve">. </w:t>
      </w:r>
      <w:r w:rsidR="00536FC8">
        <w:t xml:space="preserve">These could include, for </w:t>
      </w:r>
      <w:r>
        <w:t>example</w:t>
      </w:r>
      <w:r w:rsidR="007D5384">
        <w:t>:</w:t>
      </w:r>
      <w:r>
        <w:t xml:space="preserve"> </w:t>
      </w:r>
    </w:p>
    <w:p w:rsidR="00B04FA4" w:rsidRDefault="00B04FA4" w:rsidP="00B04FA4">
      <w:pPr>
        <w:pStyle w:val="ColorfulList-Accent11"/>
        <w:numPr>
          <w:ilvl w:val="0"/>
          <w:numId w:val="48"/>
        </w:numPr>
      </w:pPr>
      <w:r>
        <w:t>Nationally established commitments, policy priorities, etc</w:t>
      </w:r>
      <w:r w:rsidR="00645662">
        <w:t>;</w:t>
      </w:r>
    </w:p>
    <w:p w:rsidR="00491BCF" w:rsidRDefault="007D5384">
      <w:pPr>
        <w:pStyle w:val="ColorfulList-Accent11"/>
        <w:numPr>
          <w:ilvl w:val="0"/>
          <w:numId w:val="48"/>
        </w:numPr>
      </w:pPr>
      <w:r>
        <w:t>E</w:t>
      </w:r>
      <w:r w:rsidR="00536FC8">
        <w:t xml:space="preserve">xisting international </w:t>
      </w:r>
      <w:r w:rsidR="005F3F91">
        <w:t xml:space="preserve">commitments </w:t>
      </w:r>
      <w:r w:rsidR="00536FC8">
        <w:t xml:space="preserve">(e.g. </w:t>
      </w:r>
      <w:r w:rsidR="005F3F91">
        <w:t>to conventions and treaties</w:t>
      </w:r>
      <w:r w:rsidR="00253F66">
        <w:rPr>
          <w:rStyle w:val="FootnoteReference"/>
        </w:rPr>
        <w:footnoteReference w:id="8"/>
      </w:r>
      <w:r w:rsidR="005F3F91">
        <w:t>)</w:t>
      </w:r>
      <w:r w:rsidR="00645662">
        <w:t>;</w:t>
      </w:r>
    </w:p>
    <w:p w:rsidR="00491BCF" w:rsidRDefault="007D5384">
      <w:pPr>
        <w:pStyle w:val="ColorfulList-Accent11"/>
        <w:numPr>
          <w:ilvl w:val="0"/>
          <w:numId w:val="48"/>
        </w:numPr>
      </w:pPr>
      <w:r>
        <w:t>D</w:t>
      </w:r>
      <w:r w:rsidR="00A44421">
        <w:t>onor or investor policies</w:t>
      </w:r>
      <w:r w:rsidR="00645662">
        <w:t>.</w:t>
      </w:r>
    </w:p>
    <w:p w:rsidR="00BB2E57" w:rsidRDefault="004979D5" w:rsidP="007D5384">
      <w:r>
        <w:t>A</w:t>
      </w:r>
      <w:r w:rsidR="00A44421">
        <w:t xml:space="preserve">s </w:t>
      </w:r>
      <w:r w:rsidR="00536FC8">
        <w:t xml:space="preserve">donors and </w:t>
      </w:r>
      <w:r w:rsidR="005F3F91">
        <w:t xml:space="preserve">private </w:t>
      </w:r>
      <w:r w:rsidR="00536FC8">
        <w:t xml:space="preserve">investors </w:t>
      </w:r>
      <w:r w:rsidR="00A44421">
        <w:t>could play a major role in fina</w:t>
      </w:r>
      <w:r w:rsidR="001366F8">
        <w:t>ncing REDD+ in the future, their</w:t>
      </w:r>
      <w:r w:rsidR="00A44421">
        <w:t xml:space="preserve"> requirements </w:t>
      </w:r>
      <w:r w:rsidR="006B174A">
        <w:t xml:space="preserve">would </w:t>
      </w:r>
      <w:r w:rsidR="001366F8">
        <w:t xml:space="preserve">be important </w:t>
      </w:r>
      <w:r w:rsidR="00536FC8">
        <w:t xml:space="preserve">to consider </w:t>
      </w:r>
      <w:r w:rsidR="001366F8">
        <w:t>in addition to those of the UNFCCC</w:t>
      </w:r>
      <w:r w:rsidR="00A44421">
        <w:t>.</w:t>
      </w:r>
    </w:p>
    <w:p w:rsidR="004B2ABA" w:rsidRPr="00BB2E57" w:rsidRDefault="0086794C" w:rsidP="00BB2E57">
      <w:r>
        <w:t xml:space="preserve">Many of the international </w:t>
      </w:r>
      <w:r w:rsidR="00C343AC" w:rsidRPr="0081551D">
        <w:t>instruments</w:t>
      </w:r>
      <w:r>
        <w:t xml:space="preserve"> described in </w:t>
      </w:r>
      <w:r w:rsidR="00645662">
        <w:t>S</w:t>
      </w:r>
      <w:r>
        <w:t xml:space="preserve">ection </w:t>
      </w:r>
      <w:r w:rsidR="00CA49A9">
        <w:t xml:space="preserve">2 </w:t>
      </w:r>
      <w:r>
        <w:t xml:space="preserve">may be useful in defining the objectives of the safeguards </w:t>
      </w:r>
      <w:r w:rsidR="00231547">
        <w:t>approach</w:t>
      </w:r>
      <w:r>
        <w:t xml:space="preserve">. For example, the UN-REDD </w:t>
      </w:r>
      <w:proofErr w:type="spellStart"/>
      <w:r w:rsidR="00645662">
        <w:t>Programme's</w:t>
      </w:r>
      <w:proofErr w:type="spellEnd"/>
      <w:r w:rsidR="00645662">
        <w:t xml:space="preserve"> </w:t>
      </w:r>
      <w:r>
        <w:t>S</w:t>
      </w:r>
      <w:r w:rsidR="006725DE">
        <w:t xml:space="preserve">ocial and </w:t>
      </w:r>
      <w:r>
        <w:t>E</w:t>
      </w:r>
      <w:r w:rsidR="006725DE">
        <w:t xml:space="preserve">nvironmental </w:t>
      </w:r>
      <w:r>
        <w:t>P</w:t>
      </w:r>
      <w:r w:rsidR="006725DE">
        <w:t xml:space="preserve">rinciples and </w:t>
      </w:r>
      <w:r>
        <w:t>C</w:t>
      </w:r>
      <w:r w:rsidR="006725DE">
        <w:t>riteria</w:t>
      </w:r>
      <w:r>
        <w:t xml:space="preserve"> </w:t>
      </w:r>
      <w:r w:rsidR="00DC1890">
        <w:t xml:space="preserve">and REDD+ SES </w:t>
      </w:r>
      <w:r w:rsidR="00B04FA4">
        <w:t xml:space="preserve">each </w:t>
      </w:r>
      <w:r>
        <w:t xml:space="preserve">outline a more detailed set of criteria that can help to add detail to the broad principles of the Cancun </w:t>
      </w:r>
      <w:r w:rsidR="005C6EC7">
        <w:t>A</w:t>
      </w:r>
      <w:r>
        <w:t>greement</w:t>
      </w:r>
      <w:r w:rsidR="005C6EC7">
        <w:t>s</w:t>
      </w:r>
      <w:r>
        <w:t xml:space="preserve">, which in turn may help to define what information </w:t>
      </w:r>
      <w:r w:rsidR="002629A2">
        <w:t>needs</w:t>
      </w:r>
      <w:r>
        <w:t xml:space="preserve"> to be </w:t>
      </w:r>
      <w:r w:rsidR="0098602C">
        <w:t>made available</w:t>
      </w:r>
      <w:r>
        <w:t xml:space="preserve">. </w:t>
      </w:r>
      <w:r w:rsidR="00DC1890">
        <w:t xml:space="preserve">These </w:t>
      </w:r>
      <w:r w:rsidR="00C343AC" w:rsidRPr="0081551D">
        <w:t>instruments</w:t>
      </w:r>
      <w:r w:rsidR="006B174A">
        <w:t>, together with the World Bank safeguard policies,</w:t>
      </w:r>
      <w:r w:rsidR="00DC1890">
        <w:t xml:space="preserve"> also focus on the provision of</w:t>
      </w:r>
      <w:r>
        <w:t xml:space="preserve"> benefits to communities</w:t>
      </w:r>
      <w:r w:rsidR="00DC1890">
        <w:t xml:space="preserve"> and as such</w:t>
      </w:r>
      <w:r>
        <w:t>,</w:t>
      </w:r>
      <w:r w:rsidR="00DC1890">
        <w:t xml:space="preserve"> they could </w:t>
      </w:r>
      <w:r w:rsidR="000E05B5">
        <w:t>be</w:t>
      </w:r>
      <w:r w:rsidR="0098602C">
        <w:t xml:space="preserve"> </w:t>
      </w:r>
      <w:r>
        <w:t xml:space="preserve">useful for countries </w:t>
      </w:r>
      <w:r w:rsidR="00DC1890">
        <w:t>interested in trying to enhance benefits through REDD+ implementation.</w:t>
      </w:r>
    </w:p>
    <w:p w:rsidR="00BB2E57" w:rsidRPr="00491064" w:rsidRDefault="00CA49A9" w:rsidP="00CA49A9">
      <w:pPr>
        <w:pStyle w:val="Heading2"/>
        <w:numPr>
          <w:ilvl w:val="0"/>
          <w:numId w:val="0"/>
        </w:numPr>
        <w:ind w:left="578" w:hanging="578"/>
      </w:pPr>
      <w:r>
        <w:t xml:space="preserve">4.2 </w:t>
      </w:r>
      <w:r w:rsidR="00BB2E57">
        <w:t>Developing safeguard policies, laws and regulations</w:t>
      </w:r>
    </w:p>
    <w:p w:rsidR="009A40F1" w:rsidRDefault="00460185" w:rsidP="00460185">
      <w:r>
        <w:t>Once objectives have been defined, countries will have to consider what</w:t>
      </w:r>
      <w:r w:rsidR="001C7133">
        <w:t>, if any,</w:t>
      </w:r>
      <w:r>
        <w:t xml:space="preserve"> policies, laws and regulations </w:t>
      </w:r>
      <w:r w:rsidR="00645662">
        <w:t xml:space="preserve">(PLRs) </w:t>
      </w:r>
      <w:r>
        <w:t xml:space="preserve">need to be in place to </w:t>
      </w:r>
      <w:r w:rsidR="00612BD8">
        <w:t>achieve the</w:t>
      </w:r>
      <w:r>
        <w:t xml:space="preserve"> objectives</w:t>
      </w:r>
      <w:r w:rsidR="009651E4">
        <w:t>.</w:t>
      </w:r>
      <w:r w:rsidR="009A7EAE">
        <w:t xml:space="preserve"> A first step in this process is likely to be a</w:t>
      </w:r>
      <w:r w:rsidR="00612BD8">
        <w:t xml:space="preserve"> gap </w:t>
      </w:r>
      <w:r w:rsidR="009A7EAE">
        <w:t xml:space="preserve">analysis of existing </w:t>
      </w:r>
      <w:r w:rsidR="005F3F91">
        <w:t>PLRs</w:t>
      </w:r>
      <w:r w:rsidR="009A7EAE">
        <w:t xml:space="preserve"> relevant to REDD+</w:t>
      </w:r>
      <w:r w:rsidR="00DC1890">
        <w:t>,</w:t>
      </w:r>
      <w:r w:rsidR="00521434">
        <w:t xml:space="preserve"> </w:t>
      </w:r>
      <w:r w:rsidR="00612BD8">
        <w:t>compar</w:t>
      </w:r>
      <w:r w:rsidR="00645662">
        <w:t>ing</w:t>
      </w:r>
      <w:r w:rsidR="00612BD8">
        <w:t xml:space="preserve"> what exists to the requirements defined in the objective</w:t>
      </w:r>
      <w:r w:rsidR="00645662">
        <w:t>-</w:t>
      </w:r>
      <w:r w:rsidR="00612BD8">
        <w:t xml:space="preserve">setting exercise. </w:t>
      </w:r>
      <w:r w:rsidR="00EE26E7">
        <w:t xml:space="preserve">It will also need to determine the effectiveness of existing systems, in order to identify weaknesses </w:t>
      </w:r>
      <w:r w:rsidR="006B174A">
        <w:t xml:space="preserve">in application </w:t>
      </w:r>
      <w:r w:rsidR="00EE26E7">
        <w:t xml:space="preserve">that need to be addressed. </w:t>
      </w:r>
      <w:r w:rsidR="00612BD8">
        <w:t>Depending on the outcomes, new policies, laws and regulations may need to be developed</w:t>
      </w:r>
      <w:r w:rsidR="00EE26E7">
        <w:t>. For example, few countries have clear policies on how carbon rights are defined and protected, and these are likely to be important in responding to UNFCCC requirements on effective participation and the rights of indigenous peoples.</w:t>
      </w:r>
      <w:r w:rsidR="002629A2">
        <w:t xml:space="preserve"> </w:t>
      </w:r>
      <w:r w:rsidR="00231547">
        <w:t>The outcome of the process could be captured in a safeguard policy framework, which outlines the set of country REDD+ safeguard</w:t>
      </w:r>
      <w:r w:rsidR="00F5100D">
        <w:t xml:space="preserve"> PLRs</w:t>
      </w:r>
      <w:r w:rsidR="00231547">
        <w:t xml:space="preserve"> that ha</w:t>
      </w:r>
      <w:r w:rsidR="00F5100D">
        <w:t>s</w:t>
      </w:r>
      <w:r w:rsidR="00231547">
        <w:t xml:space="preserve"> been developed or defined, and</w:t>
      </w:r>
      <w:r w:rsidR="005F3F91">
        <w:t xml:space="preserve"> </w:t>
      </w:r>
      <w:r w:rsidR="00F5100D" w:rsidRPr="00A7654A">
        <w:t>how these provide the foundation for the country</w:t>
      </w:r>
      <w:r w:rsidR="00F5100D">
        <w:t>’s</w:t>
      </w:r>
      <w:r w:rsidR="00F5100D" w:rsidRPr="00A7654A">
        <w:t xml:space="preserve"> re</w:t>
      </w:r>
      <w:r w:rsidR="00F5100D">
        <w:t>sponse</w:t>
      </w:r>
      <w:r w:rsidR="00F5100D" w:rsidRPr="00A7654A">
        <w:t xml:space="preserve"> to </w:t>
      </w:r>
      <w:r w:rsidR="00F5100D">
        <w:t>the UNFCCC</w:t>
      </w:r>
      <w:r w:rsidR="00F5100D" w:rsidRPr="00A7654A">
        <w:t xml:space="preserve"> </w:t>
      </w:r>
      <w:r w:rsidR="005F3F91">
        <w:t>or other</w:t>
      </w:r>
      <w:r w:rsidR="00F5100D" w:rsidRPr="00A7654A">
        <w:t xml:space="preserve"> objectives</w:t>
      </w:r>
      <w:r w:rsidR="00F5100D">
        <w:t xml:space="preserve">. </w:t>
      </w:r>
      <w:r w:rsidR="00231547">
        <w:t xml:space="preserve">Such a framework is not </w:t>
      </w:r>
      <w:r w:rsidR="00D66835">
        <w:t>a requirement</w:t>
      </w:r>
      <w:r w:rsidR="00231547">
        <w:t>, but it could provide clarity for those involved in REDD+ activities, and particularly those providing funding. F</w:t>
      </w:r>
      <w:r w:rsidR="002629A2">
        <w:t>or certain safeguards, it may be decided that a set of guidelines, rather than a l</w:t>
      </w:r>
      <w:r w:rsidR="00BE507C">
        <w:t xml:space="preserve">aw </w:t>
      </w:r>
      <w:r w:rsidR="002629A2">
        <w:t>or policy, will be more appropriate for the given safeguard and the national context.</w:t>
      </w:r>
    </w:p>
    <w:p w:rsidR="005B0038" w:rsidRDefault="005B0038" w:rsidP="00287084">
      <w:r>
        <w:t>Existing tools</w:t>
      </w:r>
      <w:r w:rsidR="005A35E5">
        <w:t xml:space="preserve"> can be useful </w:t>
      </w:r>
      <w:r w:rsidR="008E0380">
        <w:t xml:space="preserve">both for </w:t>
      </w:r>
      <w:r w:rsidR="005A35E5">
        <w:t>assessing gaps</w:t>
      </w:r>
      <w:r w:rsidR="00993870">
        <w:t xml:space="preserve"> as well as developing</w:t>
      </w:r>
      <w:r w:rsidR="008E0380">
        <w:t xml:space="preserve"> any new PLRs</w:t>
      </w:r>
      <w:r w:rsidR="005A35E5">
        <w:t xml:space="preserve">. The UN-REDD </w:t>
      </w:r>
      <w:r w:rsidR="002A0604">
        <w:t xml:space="preserve">Programme </w:t>
      </w:r>
      <w:r>
        <w:t>Benefits and Risks Tool (</w:t>
      </w:r>
      <w:proofErr w:type="spellStart"/>
      <w:r>
        <w:t>BeRT</w:t>
      </w:r>
      <w:proofErr w:type="spellEnd"/>
      <w:r>
        <w:t xml:space="preserve">) </w:t>
      </w:r>
      <w:r w:rsidR="005A35E5">
        <w:t xml:space="preserve">sets out key questions for assessing gaps across a broad range of areas; other </w:t>
      </w:r>
      <w:r w:rsidR="001F3643">
        <w:t xml:space="preserve">UN-REDD </w:t>
      </w:r>
      <w:r w:rsidR="002A0604">
        <w:t xml:space="preserve">Programme </w:t>
      </w:r>
      <w:r w:rsidR="005A35E5">
        <w:t xml:space="preserve">tools provide more detailed </w:t>
      </w:r>
      <w:r w:rsidR="003C3683">
        <w:t xml:space="preserve">assessment frameworks on specific issues, such as </w:t>
      </w:r>
      <w:r w:rsidR="005A35E5">
        <w:t>the PGAs on</w:t>
      </w:r>
      <w:r w:rsidR="00287084">
        <w:t xml:space="preserve"> governance issues and the</w:t>
      </w:r>
      <w:r w:rsidR="008A187E">
        <w:t xml:space="preserve"> </w:t>
      </w:r>
      <w:r w:rsidR="00382416" w:rsidRPr="00382416">
        <w:t>Guidance on Conducting REDD+ Corruption Risk Assessment</w:t>
      </w:r>
      <w:r w:rsidR="0098602C">
        <w:t xml:space="preserve">. </w:t>
      </w:r>
      <w:r w:rsidR="003C3683">
        <w:t xml:space="preserve">The </w:t>
      </w:r>
      <w:r w:rsidR="008A187E">
        <w:t>FCPF</w:t>
      </w:r>
      <w:r w:rsidR="003C3683">
        <w:t xml:space="preserve"> SESA</w:t>
      </w:r>
      <w:r w:rsidR="0026235F">
        <w:t xml:space="preserve"> </w:t>
      </w:r>
      <w:r w:rsidR="00BE507C">
        <w:t>approach applies a set of participatory and analytical tools for the assessment of gaps in the existing legal and policy framework</w:t>
      </w:r>
      <w:r>
        <w:t>.</w:t>
      </w:r>
      <w:r w:rsidR="008E0380">
        <w:t xml:space="preserve"> For PLR development</w:t>
      </w:r>
      <w:r w:rsidR="002A0604">
        <w:t>,</w:t>
      </w:r>
      <w:r w:rsidR="004C1FF5">
        <w:t xml:space="preserve"> </w:t>
      </w:r>
      <w:r w:rsidR="008E0380">
        <w:t>the</w:t>
      </w:r>
      <w:r w:rsidR="00BE507C">
        <w:t>re is a</w:t>
      </w:r>
      <w:r w:rsidR="008E0380">
        <w:t xml:space="preserve"> </w:t>
      </w:r>
      <w:r w:rsidR="004C1FF5">
        <w:lastRenderedPageBreak/>
        <w:t xml:space="preserve">UN-REDD </w:t>
      </w:r>
      <w:r w:rsidR="004F54EE">
        <w:t xml:space="preserve">Participatory Law Development </w:t>
      </w:r>
      <w:r w:rsidR="00BE507C">
        <w:t xml:space="preserve">methodology </w:t>
      </w:r>
      <w:r w:rsidR="004F54EE">
        <w:t xml:space="preserve"> (</w:t>
      </w:r>
      <w:r w:rsidR="008E0380">
        <w:t>LEG</w:t>
      </w:r>
      <w:r w:rsidR="00817F10">
        <w:t>-</w:t>
      </w:r>
      <w:r w:rsidR="008E0380">
        <w:t>REDD+</w:t>
      </w:r>
      <w:r w:rsidR="004F54EE">
        <w:t>)</w:t>
      </w:r>
      <w:r w:rsidR="008E0380">
        <w:t xml:space="preserve"> </w:t>
      </w:r>
      <w:r w:rsidR="00BE507C">
        <w:t xml:space="preserve">which </w:t>
      </w:r>
      <w:r w:rsidR="008E0380">
        <w:t xml:space="preserve">can support countries to design and </w:t>
      </w:r>
      <w:r w:rsidR="004C1FF5">
        <w:t>run</w:t>
      </w:r>
      <w:r w:rsidR="008E0380">
        <w:t xml:space="preserve"> participatory processes for the formulation of legal and policy reforms and </w:t>
      </w:r>
      <w:r w:rsidR="00BE507C">
        <w:t xml:space="preserve">the </w:t>
      </w:r>
      <w:r w:rsidR="008E0380">
        <w:t>drafting of new laws, regulations, or other specialized legal instruments.</w:t>
      </w:r>
    </w:p>
    <w:p w:rsidR="00EC4F58" w:rsidRDefault="00CA49A9" w:rsidP="00CA49A9">
      <w:pPr>
        <w:pStyle w:val="Heading2"/>
        <w:numPr>
          <w:ilvl w:val="0"/>
          <w:numId w:val="0"/>
        </w:numPr>
        <w:ind w:left="578" w:hanging="578"/>
      </w:pPr>
      <w:r>
        <w:t xml:space="preserve">4.3 </w:t>
      </w:r>
      <w:r w:rsidR="009C753F">
        <w:t>Developing</w:t>
      </w:r>
      <w:r w:rsidR="00EC4F58" w:rsidRPr="00300CD4">
        <w:t xml:space="preserve"> </w:t>
      </w:r>
      <w:r w:rsidR="002A0604">
        <w:t>s</w:t>
      </w:r>
      <w:r w:rsidR="00EC4F58" w:rsidRPr="00300CD4">
        <w:t xml:space="preserve">afeguard </w:t>
      </w:r>
      <w:r w:rsidR="002A0604">
        <w:t>i</w:t>
      </w:r>
      <w:r w:rsidR="00EC4F58" w:rsidRPr="00300CD4">
        <w:t xml:space="preserve">nformation </w:t>
      </w:r>
      <w:r w:rsidR="002A0604">
        <w:t>s</w:t>
      </w:r>
      <w:r w:rsidR="00EC4F58" w:rsidRPr="00300CD4">
        <w:t>ystem</w:t>
      </w:r>
      <w:r w:rsidR="002A0604">
        <w:t>s</w:t>
      </w:r>
    </w:p>
    <w:p w:rsidR="0018044E" w:rsidRPr="00AF3136" w:rsidRDefault="006E7041" w:rsidP="00E21EF3">
      <w:pPr>
        <w:rPr>
          <w:rFonts w:cs="Calibri"/>
          <w:bCs/>
        </w:rPr>
      </w:pPr>
      <w:r w:rsidRPr="00AF3136">
        <w:rPr>
          <w:rFonts w:cs="Calibri"/>
          <w:bCs/>
        </w:rPr>
        <w:t>Ideall</w:t>
      </w:r>
      <w:r w:rsidR="00275411" w:rsidRPr="00AF3136">
        <w:rPr>
          <w:rFonts w:cs="Calibri"/>
          <w:bCs/>
        </w:rPr>
        <w:t>y the development of SIS will</w:t>
      </w:r>
      <w:r w:rsidRPr="00AF3136">
        <w:rPr>
          <w:rFonts w:cs="Calibri"/>
          <w:bCs/>
        </w:rPr>
        <w:t xml:space="preserve"> follow the objective</w:t>
      </w:r>
      <w:r w:rsidR="002A0604" w:rsidRPr="00AF3136">
        <w:rPr>
          <w:rFonts w:cs="Calibri"/>
          <w:bCs/>
        </w:rPr>
        <w:t>-</w:t>
      </w:r>
      <w:r w:rsidRPr="00AF3136">
        <w:rPr>
          <w:rFonts w:cs="Calibri"/>
          <w:bCs/>
        </w:rPr>
        <w:t xml:space="preserve">setting exercise and the </w:t>
      </w:r>
      <w:r w:rsidR="001F3643" w:rsidRPr="00AF3136">
        <w:rPr>
          <w:rFonts w:cs="Calibri"/>
          <w:bCs/>
        </w:rPr>
        <w:t xml:space="preserve">PLR </w:t>
      </w:r>
      <w:r w:rsidRPr="00AF3136">
        <w:rPr>
          <w:rFonts w:cs="Calibri"/>
          <w:bCs/>
        </w:rPr>
        <w:t xml:space="preserve">gap analysis. This is because it is necessary to know, at least in outline, what </w:t>
      </w:r>
      <w:r w:rsidR="00243480" w:rsidRPr="00AF3136">
        <w:rPr>
          <w:rFonts w:cs="Calibri"/>
          <w:bCs/>
        </w:rPr>
        <w:t xml:space="preserve">the </w:t>
      </w:r>
      <w:r w:rsidRPr="00AF3136">
        <w:rPr>
          <w:rFonts w:cs="Calibri"/>
          <w:bCs/>
        </w:rPr>
        <w:t>safeguards are</w:t>
      </w:r>
      <w:r w:rsidR="00243480" w:rsidRPr="00AF3136">
        <w:rPr>
          <w:rFonts w:cs="Calibri"/>
          <w:bCs/>
        </w:rPr>
        <w:t>,</w:t>
      </w:r>
      <w:r w:rsidR="00275411" w:rsidRPr="00AF3136">
        <w:rPr>
          <w:rFonts w:cs="Calibri"/>
          <w:bCs/>
        </w:rPr>
        <w:t xml:space="preserve"> in order to collect information on how </w:t>
      </w:r>
      <w:r w:rsidR="001F3643" w:rsidRPr="00AF3136">
        <w:rPr>
          <w:rFonts w:cs="Calibri"/>
          <w:bCs/>
        </w:rPr>
        <w:t xml:space="preserve">they </w:t>
      </w:r>
      <w:r w:rsidR="00275411" w:rsidRPr="00AF3136">
        <w:rPr>
          <w:rFonts w:cs="Calibri"/>
          <w:bCs/>
        </w:rPr>
        <w:t>are addressed and respected</w:t>
      </w:r>
      <w:r w:rsidRPr="00AF3136">
        <w:rPr>
          <w:rFonts w:cs="Calibri"/>
          <w:bCs/>
        </w:rPr>
        <w:t>.</w:t>
      </w:r>
      <w:r w:rsidR="00BE507C" w:rsidRPr="00BE507C">
        <w:rPr>
          <w:rStyle w:val="FootnoteReference"/>
        </w:rPr>
        <w:t xml:space="preserve"> </w:t>
      </w:r>
      <w:r w:rsidR="00BE507C">
        <w:rPr>
          <w:rStyle w:val="FootnoteReference"/>
        </w:rPr>
        <w:footnoteReference w:id="9"/>
      </w:r>
      <w:r w:rsidR="004909C5" w:rsidRPr="00AF3136">
        <w:rPr>
          <w:rFonts w:cs="Calibri"/>
          <w:bCs/>
        </w:rPr>
        <w:t xml:space="preserve"> </w:t>
      </w:r>
    </w:p>
    <w:p w:rsidR="00E21EF3" w:rsidRPr="00AF3136" w:rsidRDefault="00937900" w:rsidP="00E21EF3">
      <w:pPr>
        <w:rPr>
          <w:rFonts w:cs="Calibri"/>
        </w:rPr>
      </w:pPr>
      <w:r w:rsidRPr="00AF3136">
        <w:rPr>
          <w:rFonts w:cs="Calibri"/>
          <w:bCs/>
        </w:rPr>
        <w:t>C</w:t>
      </w:r>
      <w:r w:rsidR="00E21EF3" w:rsidRPr="00AF3136">
        <w:rPr>
          <w:rFonts w:cs="Calibri"/>
          <w:bCs/>
        </w:rPr>
        <w:t xml:space="preserve">onsistent with the PLR component, a crucial first step </w:t>
      </w:r>
      <w:r w:rsidR="003E257E" w:rsidRPr="00AF3136">
        <w:rPr>
          <w:rFonts w:cs="Calibri"/>
          <w:bCs/>
        </w:rPr>
        <w:t xml:space="preserve">for the SIS </w:t>
      </w:r>
      <w:r w:rsidRPr="00AF3136">
        <w:rPr>
          <w:rFonts w:cs="Calibri"/>
          <w:bCs/>
        </w:rPr>
        <w:t xml:space="preserve">will likely involve </w:t>
      </w:r>
      <w:r w:rsidR="00E21EF3" w:rsidRPr="00AF3136">
        <w:rPr>
          <w:rFonts w:cs="Calibri"/>
          <w:bCs/>
        </w:rPr>
        <w:t>conduct</w:t>
      </w:r>
      <w:r w:rsidRPr="00AF3136">
        <w:rPr>
          <w:rFonts w:cs="Calibri"/>
          <w:bCs/>
        </w:rPr>
        <w:t>ing</w:t>
      </w:r>
      <w:r w:rsidR="00E21EF3" w:rsidRPr="00AF3136">
        <w:rPr>
          <w:rFonts w:cs="Calibri"/>
          <w:bCs/>
        </w:rPr>
        <w:t xml:space="preserve"> </w:t>
      </w:r>
      <w:r w:rsidR="00E21EF3" w:rsidRPr="00AF3136">
        <w:rPr>
          <w:rFonts w:cs="Calibri"/>
        </w:rPr>
        <w:t>a national assessment of existing information</w:t>
      </w:r>
      <w:r w:rsidRPr="00AF3136">
        <w:rPr>
          <w:rFonts w:cs="Calibri"/>
        </w:rPr>
        <w:t xml:space="preserve"> sources,</w:t>
      </w:r>
      <w:r w:rsidR="00E21EF3" w:rsidRPr="00AF3136">
        <w:rPr>
          <w:rFonts w:cs="Calibri"/>
        </w:rPr>
        <w:t xml:space="preserve"> </w:t>
      </w:r>
      <w:r w:rsidRPr="00AF3136">
        <w:rPr>
          <w:rFonts w:cs="Calibri"/>
        </w:rPr>
        <w:t xml:space="preserve">and existing systems </w:t>
      </w:r>
      <w:r w:rsidR="007A0B01" w:rsidRPr="00AF3136">
        <w:rPr>
          <w:rFonts w:cs="Calibri"/>
        </w:rPr>
        <w:t xml:space="preserve">for provision of information </w:t>
      </w:r>
      <w:r w:rsidRPr="00AF3136">
        <w:rPr>
          <w:rFonts w:cs="Calibri"/>
        </w:rPr>
        <w:t>that are relevant to the safeguards</w:t>
      </w:r>
      <w:r w:rsidR="00E21EF3" w:rsidRPr="00AF3136">
        <w:rPr>
          <w:rFonts w:cs="Calibri"/>
        </w:rPr>
        <w:t xml:space="preserve">. </w:t>
      </w:r>
      <w:r w:rsidR="00300CD4" w:rsidRPr="00AF3136">
        <w:rPr>
          <w:rFonts w:cs="Calibri"/>
        </w:rPr>
        <w:t>Based on this, an assessment can be made regarding what types of new processes</w:t>
      </w:r>
      <w:r w:rsidR="00BE507C" w:rsidRPr="00AF3136">
        <w:rPr>
          <w:rFonts w:cs="Calibri"/>
        </w:rPr>
        <w:t xml:space="preserve"> or procedures</w:t>
      </w:r>
      <w:r w:rsidR="002A0604" w:rsidRPr="00AF3136">
        <w:rPr>
          <w:rFonts w:cs="Calibri"/>
        </w:rPr>
        <w:t xml:space="preserve"> and</w:t>
      </w:r>
      <w:r w:rsidR="00BE507C" w:rsidRPr="00AF3136">
        <w:rPr>
          <w:rFonts w:cs="Calibri"/>
        </w:rPr>
        <w:t xml:space="preserve"> </w:t>
      </w:r>
      <w:r w:rsidR="00300CD4" w:rsidRPr="00AF3136">
        <w:rPr>
          <w:rFonts w:cs="Calibri"/>
        </w:rPr>
        <w:t xml:space="preserve">institutions, </w:t>
      </w:r>
      <w:r w:rsidR="002A0604" w:rsidRPr="00AF3136">
        <w:rPr>
          <w:rFonts w:cs="Calibri"/>
        </w:rPr>
        <w:t xml:space="preserve">among other structures, </w:t>
      </w:r>
      <w:r w:rsidR="00300CD4" w:rsidRPr="00AF3136">
        <w:rPr>
          <w:rFonts w:cs="Calibri"/>
        </w:rPr>
        <w:t>might be needed.</w:t>
      </w:r>
    </w:p>
    <w:p w:rsidR="00275411" w:rsidRPr="004979D5" w:rsidRDefault="00275411" w:rsidP="00D66835">
      <w:r w:rsidRPr="00AF3136">
        <w:rPr>
          <w:rFonts w:cs="Calibri"/>
          <w:bCs/>
        </w:rPr>
        <w:t xml:space="preserve">In order to collect information on whether safeguards are being addressed and respected, some form of indicators will be needed. </w:t>
      </w:r>
      <w:r w:rsidR="004979D5" w:rsidRPr="00AF3136">
        <w:rPr>
          <w:rFonts w:cs="Calibri"/>
        </w:rPr>
        <w:t xml:space="preserve">These could be </w:t>
      </w:r>
      <w:r w:rsidR="004979D5" w:rsidRPr="00AF3136">
        <w:rPr>
          <w:rFonts w:cs="Calibri"/>
          <w:bCs/>
        </w:rPr>
        <w:t xml:space="preserve">process </w:t>
      </w:r>
      <w:r w:rsidR="004979D5" w:rsidRPr="00AF3136">
        <w:rPr>
          <w:rFonts w:cs="Calibri"/>
        </w:rPr>
        <w:t>indicators (</w:t>
      </w:r>
      <w:r w:rsidR="002A0604" w:rsidRPr="00AF3136">
        <w:rPr>
          <w:rFonts w:cs="Calibri"/>
        </w:rPr>
        <w:t xml:space="preserve">e.g. to </w:t>
      </w:r>
      <w:r w:rsidR="004979D5" w:rsidRPr="00AF3136">
        <w:rPr>
          <w:rFonts w:cs="Calibri"/>
        </w:rPr>
        <w:t xml:space="preserve">illustrate whether </w:t>
      </w:r>
      <w:r w:rsidR="002A0604" w:rsidRPr="00AF3136">
        <w:rPr>
          <w:rFonts w:cs="Calibri"/>
        </w:rPr>
        <w:t xml:space="preserve">or not </w:t>
      </w:r>
      <w:r w:rsidR="004979D5" w:rsidRPr="00AF3136">
        <w:rPr>
          <w:rFonts w:cs="Calibri"/>
        </w:rPr>
        <w:t xml:space="preserve">an output has been achieved) or </w:t>
      </w:r>
      <w:r w:rsidR="004979D5" w:rsidRPr="00AF3136">
        <w:rPr>
          <w:rFonts w:cs="Calibri"/>
          <w:bCs/>
        </w:rPr>
        <w:t xml:space="preserve">impact </w:t>
      </w:r>
      <w:r w:rsidR="004979D5" w:rsidRPr="00AF3136">
        <w:rPr>
          <w:rFonts w:cs="Calibri"/>
        </w:rPr>
        <w:t>indicators (</w:t>
      </w:r>
      <w:r w:rsidR="002A0604" w:rsidRPr="00AF3136">
        <w:rPr>
          <w:rFonts w:cs="Calibri"/>
        </w:rPr>
        <w:t xml:space="preserve">e.g. </w:t>
      </w:r>
      <w:r w:rsidR="004979D5" w:rsidRPr="00AF3136">
        <w:rPr>
          <w:rFonts w:cs="Calibri"/>
        </w:rPr>
        <w:t xml:space="preserve">linked to actual </w:t>
      </w:r>
      <w:r w:rsidR="00131988" w:rsidRPr="00AF3136">
        <w:rPr>
          <w:rFonts w:cs="Calibri"/>
        </w:rPr>
        <w:t xml:space="preserve">social or environmental </w:t>
      </w:r>
      <w:r w:rsidR="004979D5" w:rsidRPr="00AF3136">
        <w:rPr>
          <w:rFonts w:cs="Calibri"/>
        </w:rPr>
        <w:t xml:space="preserve">impacts). </w:t>
      </w:r>
      <w:r w:rsidRPr="004979D5">
        <w:rPr>
          <w:rFonts w:eastAsia="Times New Roman"/>
          <w:color w:val="000000"/>
        </w:rPr>
        <w:t>The precise indicators used</w:t>
      </w:r>
      <w:r w:rsidR="00F725AC" w:rsidRPr="004979D5">
        <w:rPr>
          <w:rFonts w:eastAsia="Times New Roman"/>
          <w:color w:val="000000"/>
        </w:rPr>
        <w:t xml:space="preserve"> may vary depending on national circumstances</w:t>
      </w:r>
      <w:r w:rsidRPr="004979D5">
        <w:rPr>
          <w:rFonts w:eastAsia="Times New Roman"/>
          <w:color w:val="000000"/>
        </w:rPr>
        <w:t xml:space="preserve"> and also the degree of detail the country wishes to provide</w:t>
      </w:r>
      <w:r w:rsidR="00F725AC" w:rsidRPr="004979D5">
        <w:rPr>
          <w:rFonts w:eastAsia="Times New Roman"/>
          <w:color w:val="000000"/>
        </w:rPr>
        <w:t>.</w:t>
      </w:r>
      <w:r w:rsidR="00A50A4C" w:rsidRPr="004979D5">
        <w:rPr>
          <w:rFonts w:eastAsia="Times New Roman"/>
          <w:color w:val="000000"/>
        </w:rPr>
        <w:t xml:space="preserve"> </w:t>
      </w:r>
      <w:r w:rsidR="00F725AC" w:rsidRPr="004979D5">
        <w:rPr>
          <w:rFonts w:eastAsia="Times New Roman"/>
          <w:color w:val="000000"/>
        </w:rPr>
        <w:t>Many countries will already have existing</w:t>
      </w:r>
      <w:r w:rsidR="00A50A4C" w:rsidRPr="004979D5">
        <w:rPr>
          <w:rFonts w:eastAsia="Times New Roman"/>
          <w:color w:val="000000"/>
        </w:rPr>
        <w:t xml:space="preserve"> indicators for other contexts, such as those linked to imp</w:t>
      </w:r>
      <w:r w:rsidRPr="004979D5">
        <w:rPr>
          <w:rFonts w:eastAsia="Times New Roman"/>
          <w:color w:val="000000"/>
        </w:rPr>
        <w:t xml:space="preserve">lementation of forest policies or assessing income distribution. </w:t>
      </w:r>
      <w:r w:rsidR="00BE507C">
        <w:rPr>
          <w:rFonts w:eastAsia="Times New Roman"/>
          <w:color w:val="000000"/>
        </w:rPr>
        <w:t>While t</w:t>
      </w:r>
      <w:r w:rsidRPr="004979D5">
        <w:rPr>
          <w:rFonts w:eastAsia="Times New Roman"/>
          <w:color w:val="000000"/>
        </w:rPr>
        <w:t>hese may be adequate for REDD+ safeguard</w:t>
      </w:r>
      <w:r w:rsidR="00263ED7" w:rsidRPr="004979D5">
        <w:rPr>
          <w:rFonts w:eastAsia="Times New Roman"/>
          <w:color w:val="000000"/>
        </w:rPr>
        <w:t>s</w:t>
      </w:r>
      <w:r w:rsidR="00BE507C">
        <w:rPr>
          <w:rFonts w:eastAsia="Times New Roman"/>
          <w:color w:val="000000"/>
        </w:rPr>
        <w:t xml:space="preserve">, </w:t>
      </w:r>
      <w:r w:rsidRPr="004979D5">
        <w:rPr>
          <w:rFonts w:eastAsia="Times New Roman"/>
          <w:color w:val="000000"/>
        </w:rPr>
        <w:t xml:space="preserve">new </w:t>
      </w:r>
      <w:r w:rsidRPr="004979D5">
        <w:t>indicators may</w:t>
      </w:r>
      <w:r w:rsidR="00A50A4C" w:rsidRPr="004979D5">
        <w:t xml:space="preserve"> need to be developed</w:t>
      </w:r>
      <w:r w:rsidR="00BE507C">
        <w:t xml:space="preserve"> as well</w:t>
      </w:r>
      <w:r w:rsidR="00A50A4C" w:rsidRPr="004979D5">
        <w:t xml:space="preserve">. </w:t>
      </w:r>
      <w:r w:rsidR="00FE7F40">
        <w:t xml:space="preserve">The UN-REDD </w:t>
      </w:r>
      <w:r w:rsidR="002A0604">
        <w:t xml:space="preserve">Programme </w:t>
      </w:r>
      <w:r w:rsidR="00FE7F40">
        <w:t xml:space="preserve">PGA process </w:t>
      </w:r>
      <w:r w:rsidR="0056243E">
        <w:t xml:space="preserve">is designed to </w:t>
      </w:r>
      <w:r w:rsidR="00FE7F40">
        <w:t>help countries develop governance indicators relevant for REDD+ activities, and the REDD+ SES is also designed to help countries develop</w:t>
      </w:r>
      <w:r w:rsidR="00D3184C">
        <w:t xml:space="preserve"> indicators</w:t>
      </w:r>
      <w:r w:rsidR="001F3643">
        <w:t xml:space="preserve"> across many issues</w:t>
      </w:r>
      <w:r w:rsidR="00D3184C">
        <w:t>.</w:t>
      </w:r>
    </w:p>
    <w:p w:rsidR="00F249D5" w:rsidRPr="004979D5" w:rsidRDefault="001F3643" w:rsidP="004909C5">
      <w:pPr>
        <w:rPr>
          <w:rFonts w:eastAsia="Times New Roman"/>
          <w:color w:val="000000"/>
        </w:rPr>
      </w:pPr>
      <w:r>
        <w:rPr>
          <w:rFonts w:eastAsia="Times New Roman"/>
          <w:color w:val="000000"/>
        </w:rPr>
        <w:t xml:space="preserve">An approach </w:t>
      </w:r>
      <w:r w:rsidR="00243480">
        <w:rPr>
          <w:rFonts w:eastAsia="Times New Roman"/>
          <w:color w:val="000000"/>
        </w:rPr>
        <w:t xml:space="preserve">for how data is collected </w:t>
      </w:r>
      <w:r>
        <w:rPr>
          <w:rFonts w:eastAsia="Times New Roman"/>
          <w:color w:val="000000"/>
        </w:rPr>
        <w:t>will need to be worked out</w:t>
      </w:r>
      <w:r w:rsidR="00243480">
        <w:rPr>
          <w:rFonts w:eastAsia="Times New Roman"/>
          <w:color w:val="000000"/>
        </w:rPr>
        <w:t>,</w:t>
      </w:r>
      <w:r>
        <w:rPr>
          <w:rFonts w:eastAsia="Times New Roman"/>
          <w:color w:val="000000"/>
        </w:rPr>
        <w:t xml:space="preserve"> in order to </w:t>
      </w:r>
      <w:r w:rsidR="00707FA1" w:rsidRPr="004979D5">
        <w:rPr>
          <w:rFonts w:eastAsia="Times New Roman"/>
          <w:color w:val="000000"/>
        </w:rPr>
        <w:t>determine</w:t>
      </w:r>
      <w:r w:rsidR="00F249D5" w:rsidRPr="004979D5">
        <w:rPr>
          <w:rFonts w:eastAsia="Times New Roman"/>
          <w:color w:val="000000"/>
        </w:rPr>
        <w:t xml:space="preserve"> whether indicators are being met. Key considerations include:</w:t>
      </w:r>
    </w:p>
    <w:p w:rsidR="007A0B01" w:rsidRDefault="00B04FA4" w:rsidP="007A0B01">
      <w:pPr>
        <w:pStyle w:val="ColorfulList-Accent11"/>
        <w:numPr>
          <w:ilvl w:val="0"/>
          <w:numId w:val="41"/>
        </w:numPr>
        <w:rPr>
          <w:rFonts w:eastAsia="Times New Roman"/>
          <w:color w:val="000000"/>
          <w:szCs w:val="22"/>
        </w:rPr>
      </w:pPr>
      <w:r>
        <w:rPr>
          <w:rFonts w:eastAsia="Times New Roman"/>
          <w:color w:val="000000"/>
          <w:szCs w:val="22"/>
        </w:rPr>
        <w:t>D</w:t>
      </w:r>
      <w:r w:rsidR="007A0B01">
        <w:rPr>
          <w:rFonts w:eastAsia="Times New Roman"/>
          <w:color w:val="000000"/>
          <w:szCs w:val="22"/>
        </w:rPr>
        <w:t xml:space="preserve">ata </w:t>
      </w:r>
      <w:r>
        <w:rPr>
          <w:rFonts w:eastAsia="Times New Roman"/>
          <w:color w:val="000000"/>
          <w:szCs w:val="22"/>
        </w:rPr>
        <w:t xml:space="preserve">that </w:t>
      </w:r>
      <w:r w:rsidR="007A0B01">
        <w:rPr>
          <w:rFonts w:eastAsia="Times New Roman"/>
          <w:color w:val="000000"/>
          <w:szCs w:val="22"/>
        </w:rPr>
        <w:t xml:space="preserve">already </w:t>
      </w:r>
      <w:r w:rsidR="00EA2397">
        <w:rPr>
          <w:rFonts w:eastAsia="Times New Roman"/>
          <w:color w:val="000000"/>
          <w:szCs w:val="22"/>
        </w:rPr>
        <w:t>exist</w:t>
      </w:r>
      <w:r w:rsidR="00053064">
        <w:rPr>
          <w:rFonts w:eastAsia="Times New Roman"/>
          <w:color w:val="000000"/>
          <w:szCs w:val="22"/>
        </w:rPr>
        <w:t xml:space="preserve"> </w:t>
      </w:r>
      <w:r w:rsidR="007A0B01">
        <w:rPr>
          <w:rFonts w:eastAsia="Times New Roman"/>
          <w:color w:val="000000"/>
          <w:szCs w:val="22"/>
        </w:rPr>
        <w:t>(mapping of data sources)</w:t>
      </w:r>
      <w:r w:rsidR="00053064">
        <w:rPr>
          <w:rFonts w:eastAsia="Times New Roman"/>
          <w:color w:val="000000"/>
          <w:szCs w:val="22"/>
        </w:rPr>
        <w:t>;</w:t>
      </w:r>
    </w:p>
    <w:p w:rsidR="004F54EE" w:rsidRDefault="00B04FA4" w:rsidP="00F249D5">
      <w:pPr>
        <w:pStyle w:val="ColorfulList-Accent11"/>
        <w:numPr>
          <w:ilvl w:val="0"/>
          <w:numId w:val="41"/>
        </w:numPr>
        <w:rPr>
          <w:rFonts w:eastAsia="Times New Roman"/>
          <w:color w:val="000000"/>
          <w:szCs w:val="22"/>
        </w:rPr>
      </w:pPr>
      <w:r>
        <w:rPr>
          <w:rFonts w:eastAsia="Times New Roman"/>
          <w:color w:val="000000"/>
          <w:szCs w:val="22"/>
        </w:rPr>
        <w:t>D</w:t>
      </w:r>
      <w:r w:rsidR="00F249D5" w:rsidRPr="00F249D5">
        <w:rPr>
          <w:rFonts w:eastAsia="Times New Roman"/>
          <w:color w:val="000000"/>
          <w:szCs w:val="22"/>
        </w:rPr>
        <w:t>ata to be collected (e.g. income data)</w:t>
      </w:r>
      <w:r w:rsidR="00053064">
        <w:rPr>
          <w:rFonts w:eastAsia="Times New Roman"/>
          <w:color w:val="000000"/>
          <w:szCs w:val="22"/>
        </w:rPr>
        <w:t>;</w:t>
      </w:r>
      <w:r w:rsidR="00425D52">
        <w:rPr>
          <w:rFonts w:eastAsia="Times New Roman"/>
          <w:color w:val="000000"/>
          <w:szCs w:val="22"/>
        </w:rPr>
        <w:t xml:space="preserve"> </w:t>
      </w:r>
    </w:p>
    <w:p w:rsidR="00F249D5" w:rsidRPr="007A0B01" w:rsidRDefault="00F249D5" w:rsidP="00F249D5">
      <w:pPr>
        <w:pStyle w:val="ColorfulList-Accent11"/>
        <w:numPr>
          <w:ilvl w:val="0"/>
          <w:numId w:val="41"/>
        </w:numPr>
        <w:rPr>
          <w:rFonts w:eastAsia="Times New Roman"/>
          <w:color w:val="000000"/>
          <w:szCs w:val="22"/>
        </w:rPr>
      </w:pPr>
      <w:r w:rsidRPr="007A0B01">
        <w:rPr>
          <w:rFonts w:eastAsia="Times New Roman"/>
          <w:color w:val="000000"/>
          <w:szCs w:val="22"/>
        </w:rPr>
        <w:t>Methodologies to be used (e.g. household surveys; participatory approaches, such as participatory biodiversity monitoring)</w:t>
      </w:r>
      <w:r w:rsidR="00053064">
        <w:rPr>
          <w:rFonts w:eastAsia="Times New Roman"/>
          <w:color w:val="000000"/>
          <w:szCs w:val="22"/>
        </w:rPr>
        <w:t>;</w:t>
      </w:r>
    </w:p>
    <w:p w:rsidR="00F249D5" w:rsidRDefault="00F249D5" w:rsidP="00F249D5">
      <w:pPr>
        <w:pStyle w:val="ColorfulList-Accent11"/>
        <w:numPr>
          <w:ilvl w:val="0"/>
          <w:numId w:val="41"/>
        </w:numPr>
        <w:rPr>
          <w:rFonts w:eastAsia="Times New Roman"/>
          <w:color w:val="000000"/>
          <w:szCs w:val="22"/>
        </w:rPr>
      </w:pPr>
      <w:r w:rsidRPr="007A0B01">
        <w:rPr>
          <w:rFonts w:eastAsia="Times New Roman"/>
          <w:color w:val="000000"/>
          <w:szCs w:val="22"/>
        </w:rPr>
        <w:t xml:space="preserve">Who </w:t>
      </w:r>
      <w:r w:rsidR="00B04FA4">
        <w:rPr>
          <w:rFonts w:eastAsia="Times New Roman"/>
          <w:color w:val="000000"/>
          <w:szCs w:val="22"/>
        </w:rPr>
        <w:t xml:space="preserve">is to </w:t>
      </w:r>
      <w:r w:rsidRPr="007A0B01">
        <w:rPr>
          <w:rFonts w:eastAsia="Times New Roman"/>
          <w:color w:val="000000"/>
          <w:szCs w:val="22"/>
        </w:rPr>
        <w:t>collect data</w:t>
      </w:r>
      <w:r w:rsidR="00053064">
        <w:rPr>
          <w:rFonts w:eastAsia="Times New Roman"/>
          <w:color w:val="000000"/>
          <w:szCs w:val="22"/>
        </w:rPr>
        <w:t>;</w:t>
      </w:r>
    </w:p>
    <w:p w:rsidR="00B04FA4" w:rsidRPr="007A0B01" w:rsidRDefault="00B04FA4" w:rsidP="00F249D5">
      <w:pPr>
        <w:pStyle w:val="ColorfulList-Accent11"/>
        <w:numPr>
          <w:ilvl w:val="0"/>
          <w:numId w:val="41"/>
        </w:numPr>
        <w:rPr>
          <w:rFonts w:eastAsia="Times New Roman"/>
          <w:color w:val="000000"/>
          <w:szCs w:val="22"/>
        </w:rPr>
      </w:pPr>
      <w:r>
        <w:rPr>
          <w:rFonts w:eastAsia="Times New Roman"/>
          <w:color w:val="000000"/>
          <w:szCs w:val="22"/>
        </w:rPr>
        <w:t xml:space="preserve">How often </w:t>
      </w:r>
      <w:r w:rsidR="00BE507C">
        <w:rPr>
          <w:rFonts w:eastAsia="Times New Roman"/>
          <w:color w:val="000000"/>
          <w:szCs w:val="22"/>
        </w:rPr>
        <w:t>are</w:t>
      </w:r>
      <w:r w:rsidR="00053064">
        <w:rPr>
          <w:rFonts w:eastAsia="Times New Roman"/>
          <w:color w:val="000000"/>
          <w:szCs w:val="22"/>
        </w:rPr>
        <w:t xml:space="preserve"> </w:t>
      </w:r>
      <w:r>
        <w:rPr>
          <w:rFonts w:eastAsia="Times New Roman"/>
          <w:color w:val="000000"/>
          <w:szCs w:val="22"/>
        </w:rPr>
        <w:t>data to be collected</w:t>
      </w:r>
      <w:r w:rsidR="00053064">
        <w:rPr>
          <w:rFonts w:eastAsia="Times New Roman"/>
          <w:color w:val="000000"/>
          <w:szCs w:val="22"/>
        </w:rPr>
        <w:t>;</w:t>
      </w:r>
    </w:p>
    <w:p w:rsidR="00F249D5" w:rsidRDefault="00F249D5" w:rsidP="00F725AC">
      <w:pPr>
        <w:pStyle w:val="ColorfulList-Accent11"/>
        <w:numPr>
          <w:ilvl w:val="0"/>
          <w:numId w:val="41"/>
        </w:numPr>
        <w:rPr>
          <w:rFonts w:eastAsia="Times New Roman"/>
          <w:color w:val="000000"/>
          <w:szCs w:val="22"/>
        </w:rPr>
      </w:pPr>
      <w:r w:rsidRPr="00F249D5">
        <w:rPr>
          <w:rFonts w:eastAsia="Times New Roman"/>
          <w:color w:val="000000"/>
          <w:szCs w:val="22"/>
        </w:rPr>
        <w:t xml:space="preserve">The scale at which data </w:t>
      </w:r>
      <w:r w:rsidR="00BE507C">
        <w:rPr>
          <w:rFonts w:eastAsia="Times New Roman"/>
          <w:color w:val="000000"/>
          <w:szCs w:val="22"/>
        </w:rPr>
        <w:t>are</w:t>
      </w:r>
      <w:r w:rsidRPr="00F249D5">
        <w:rPr>
          <w:rFonts w:eastAsia="Times New Roman"/>
          <w:color w:val="000000"/>
          <w:szCs w:val="22"/>
        </w:rPr>
        <w:t xml:space="preserve"> collected (e.g. at the country</w:t>
      </w:r>
      <w:r w:rsidR="00DD1EC5">
        <w:rPr>
          <w:rFonts w:eastAsia="Times New Roman"/>
          <w:color w:val="000000"/>
          <w:szCs w:val="22"/>
        </w:rPr>
        <w:t xml:space="preserve">, </w:t>
      </w:r>
      <w:r w:rsidRPr="00F249D5">
        <w:rPr>
          <w:rFonts w:eastAsia="Times New Roman"/>
          <w:color w:val="000000"/>
          <w:szCs w:val="22"/>
        </w:rPr>
        <w:t xml:space="preserve">local </w:t>
      </w:r>
      <w:r w:rsidR="00DD1EC5">
        <w:rPr>
          <w:rFonts w:eastAsia="Times New Roman"/>
          <w:color w:val="000000"/>
          <w:szCs w:val="22"/>
        </w:rPr>
        <w:t xml:space="preserve">or </w:t>
      </w:r>
      <w:r w:rsidRPr="00F249D5">
        <w:rPr>
          <w:rFonts w:eastAsia="Times New Roman"/>
          <w:color w:val="000000"/>
          <w:szCs w:val="22"/>
        </w:rPr>
        <w:t>project level)</w:t>
      </w:r>
      <w:r w:rsidR="00053064">
        <w:rPr>
          <w:rFonts w:eastAsia="Times New Roman"/>
          <w:color w:val="000000"/>
          <w:szCs w:val="22"/>
        </w:rPr>
        <w:t>;</w:t>
      </w:r>
    </w:p>
    <w:p w:rsidR="007A0B01" w:rsidRDefault="007A0B01" w:rsidP="00F725AC">
      <w:pPr>
        <w:pStyle w:val="ColorfulList-Accent11"/>
        <w:numPr>
          <w:ilvl w:val="0"/>
          <w:numId w:val="41"/>
        </w:numPr>
        <w:rPr>
          <w:rFonts w:eastAsia="Times New Roman"/>
          <w:color w:val="000000"/>
          <w:szCs w:val="22"/>
        </w:rPr>
      </w:pPr>
      <w:r>
        <w:rPr>
          <w:rFonts w:eastAsia="Times New Roman"/>
          <w:color w:val="000000"/>
          <w:szCs w:val="22"/>
        </w:rPr>
        <w:t>Quality assurance/quality control of the data</w:t>
      </w:r>
      <w:r w:rsidR="00131988">
        <w:rPr>
          <w:rFonts w:eastAsia="Times New Roman"/>
          <w:color w:val="000000"/>
          <w:szCs w:val="22"/>
        </w:rPr>
        <w:t xml:space="preserve"> collection system</w:t>
      </w:r>
      <w:r w:rsidR="00053064">
        <w:rPr>
          <w:rFonts w:eastAsia="Times New Roman"/>
          <w:color w:val="000000"/>
          <w:szCs w:val="22"/>
        </w:rPr>
        <w:t>;</w:t>
      </w:r>
    </w:p>
    <w:p w:rsidR="00817F10" w:rsidRDefault="00817F10" w:rsidP="00817F10">
      <w:pPr>
        <w:pStyle w:val="ColorfulList-Accent11"/>
        <w:numPr>
          <w:ilvl w:val="0"/>
          <w:numId w:val="41"/>
        </w:numPr>
        <w:rPr>
          <w:rFonts w:eastAsia="Times New Roman"/>
          <w:color w:val="000000"/>
          <w:szCs w:val="22"/>
        </w:rPr>
      </w:pPr>
      <w:r>
        <w:rPr>
          <w:rFonts w:eastAsia="Times New Roman"/>
          <w:color w:val="000000"/>
          <w:szCs w:val="22"/>
        </w:rPr>
        <w:t xml:space="preserve">How the data </w:t>
      </w:r>
      <w:r w:rsidR="00BE507C">
        <w:rPr>
          <w:rFonts w:eastAsia="Times New Roman"/>
          <w:color w:val="000000"/>
          <w:szCs w:val="22"/>
        </w:rPr>
        <w:t>are</w:t>
      </w:r>
      <w:r>
        <w:rPr>
          <w:rFonts w:eastAsia="Times New Roman"/>
          <w:color w:val="000000"/>
          <w:szCs w:val="22"/>
        </w:rPr>
        <w:t xml:space="preserve"> being used and by whom</w:t>
      </w:r>
      <w:r w:rsidR="00053064">
        <w:rPr>
          <w:rFonts w:eastAsia="Times New Roman"/>
          <w:color w:val="000000"/>
          <w:szCs w:val="22"/>
        </w:rPr>
        <w:t>.</w:t>
      </w:r>
      <w:r>
        <w:rPr>
          <w:rFonts w:eastAsia="Times New Roman"/>
          <w:color w:val="000000"/>
          <w:szCs w:val="22"/>
        </w:rPr>
        <w:t xml:space="preserve"> </w:t>
      </w:r>
    </w:p>
    <w:p w:rsidR="00817F10" w:rsidRDefault="00817F10" w:rsidP="00817F10">
      <w:pPr>
        <w:pStyle w:val="ColorfulList-Accent11"/>
        <w:rPr>
          <w:rFonts w:eastAsia="Times New Roman"/>
          <w:color w:val="000000"/>
          <w:szCs w:val="22"/>
        </w:rPr>
      </w:pPr>
    </w:p>
    <w:p w:rsidR="00817F10" w:rsidRDefault="00287084" w:rsidP="004F54EE">
      <w:r>
        <w:t xml:space="preserve">Countries are likely to have </w:t>
      </w:r>
      <w:r w:rsidR="001F3643">
        <w:t xml:space="preserve">existing </w:t>
      </w:r>
      <w:r>
        <w:t xml:space="preserve">systems in place for collecting information on a variety of issues linked to REDD+ </w:t>
      </w:r>
      <w:r w:rsidR="00B565DF" w:rsidRPr="00B565DF">
        <w:rPr>
          <w:rFonts w:eastAsia="Times New Roman"/>
          <w:color w:val="000000"/>
        </w:rPr>
        <w:t>safeguards</w:t>
      </w:r>
      <w:r>
        <w:t xml:space="preserve">. There are also many existing tools that can be applied. For example, </w:t>
      </w:r>
      <w:r w:rsidR="00817F10">
        <w:t xml:space="preserve">the </w:t>
      </w:r>
      <w:r>
        <w:t xml:space="preserve">UN-REDD </w:t>
      </w:r>
      <w:r w:rsidR="00817F10">
        <w:t xml:space="preserve">Programme </w:t>
      </w:r>
      <w:r>
        <w:t xml:space="preserve">has developed draft </w:t>
      </w:r>
      <w:r w:rsidR="001F3643">
        <w:t>g</w:t>
      </w:r>
      <w:r w:rsidRPr="00287084">
        <w:t>uidelines</w:t>
      </w:r>
      <w:r w:rsidR="00817F10">
        <w:t xml:space="preserve"> </w:t>
      </w:r>
      <w:r w:rsidRPr="00287084">
        <w:t xml:space="preserve">for monitoring the impacts of REDD+ on </w:t>
      </w:r>
      <w:r w:rsidRPr="00287084">
        <w:lastRenderedPageBreak/>
        <w:t>biod</w:t>
      </w:r>
      <w:r>
        <w:t>iversity and ecosystem services</w:t>
      </w:r>
      <w:r w:rsidR="00817F10">
        <w:t xml:space="preserve"> and </w:t>
      </w:r>
      <w:r w:rsidR="004C1FF5">
        <w:t>REDD+ SES provides voluntary guidelines for establishing a process to monitor and report information relevant to safeguards.</w:t>
      </w:r>
      <w:r w:rsidR="00536FC8">
        <w:t xml:space="preserve"> </w:t>
      </w:r>
    </w:p>
    <w:p w:rsidR="000F7F2D" w:rsidRDefault="00DF7EB0" w:rsidP="004F54EE">
      <w:r>
        <w:t>Approaches for provision of information</w:t>
      </w:r>
      <w:r w:rsidR="00FE7F40">
        <w:t xml:space="preserve"> </w:t>
      </w:r>
      <w:r w:rsidR="00F249D5">
        <w:t xml:space="preserve">will also need to be defined or developed. </w:t>
      </w:r>
      <w:r w:rsidR="00263ED7">
        <w:t xml:space="preserve">These will need to </w:t>
      </w:r>
      <w:r w:rsidR="00FE7F40">
        <w:t xml:space="preserve">elaborate </w:t>
      </w:r>
      <w:r w:rsidR="00263ED7">
        <w:t xml:space="preserve">how information is tracked over time, the form of the information and the channels through which it should be reported both internationally and at the national level. </w:t>
      </w:r>
      <w:r w:rsidR="00F725AC" w:rsidRPr="00AF3136">
        <w:rPr>
          <w:rFonts w:eastAsia="MS Gothic"/>
        </w:rPr>
        <w:t>In many countries, information may need to be gathered from multiple institutions that oversee data collection in different sectors</w:t>
      </w:r>
      <w:r w:rsidR="00BB57D1" w:rsidRPr="00AF3136">
        <w:rPr>
          <w:rFonts w:eastAsia="MS Gothic"/>
        </w:rPr>
        <w:t>. Data storage would likely need to</w:t>
      </w:r>
      <w:r w:rsidR="00F725AC" w:rsidRPr="00AF3136">
        <w:rPr>
          <w:rFonts w:eastAsia="MS Gothic"/>
        </w:rPr>
        <w:t xml:space="preserve"> occur in some type of database</w:t>
      </w:r>
      <w:r w:rsidR="004979D5" w:rsidRPr="00AF3136">
        <w:rPr>
          <w:rFonts w:eastAsia="MS Gothic"/>
        </w:rPr>
        <w:t>.</w:t>
      </w:r>
      <w:r w:rsidR="00F725AC" w:rsidRPr="00AF3136">
        <w:rPr>
          <w:rFonts w:eastAsia="MS Gothic"/>
        </w:rPr>
        <w:t xml:space="preserve"> </w:t>
      </w:r>
      <w:r w:rsidR="006D31C5" w:rsidRPr="00AF3136">
        <w:rPr>
          <w:rFonts w:eastAsia="MS Gothic"/>
        </w:rPr>
        <w:t>Countries may find it to be</w:t>
      </w:r>
      <w:r w:rsidR="004979D5" w:rsidRPr="00AF3136">
        <w:rPr>
          <w:rFonts w:eastAsia="MS Gothic"/>
        </w:rPr>
        <w:t xml:space="preserve"> most practical for this information </w:t>
      </w:r>
      <w:r w:rsidR="006D31C5" w:rsidRPr="00AF3136">
        <w:rPr>
          <w:rFonts w:eastAsia="MS Gothic"/>
        </w:rPr>
        <w:t xml:space="preserve">to be </w:t>
      </w:r>
      <w:r w:rsidR="00F725AC" w:rsidRPr="00AF3136">
        <w:rPr>
          <w:rFonts w:eastAsia="MS Gothic"/>
        </w:rPr>
        <w:t xml:space="preserve">held by the national institution </w:t>
      </w:r>
      <w:r w:rsidR="00BB57D1" w:rsidRPr="00AF3136">
        <w:rPr>
          <w:rFonts w:eastAsia="MS Gothic"/>
        </w:rPr>
        <w:t>charged with UNFCCC reporting</w:t>
      </w:r>
      <w:r w:rsidR="00263ED7" w:rsidRPr="00AF3136">
        <w:rPr>
          <w:rFonts w:eastAsia="MS Gothic"/>
        </w:rPr>
        <w:t xml:space="preserve"> through </w:t>
      </w:r>
      <w:r w:rsidR="002A1DAE" w:rsidRPr="00AF3136">
        <w:rPr>
          <w:rFonts w:eastAsia="MS Gothic"/>
        </w:rPr>
        <w:t>n</w:t>
      </w:r>
      <w:r w:rsidR="00263ED7" w:rsidRPr="00AF3136">
        <w:rPr>
          <w:rFonts w:eastAsia="MS Gothic"/>
        </w:rPr>
        <w:t xml:space="preserve">ational </w:t>
      </w:r>
      <w:r w:rsidR="002A1DAE" w:rsidRPr="00AF3136">
        <w:rPr>
          <w:rFonts w:eastAsia="MS Gothic"/>
        </w:rPr>
        <w:t>c</w:t>
      </w:r>
      <w:r w:rsidR="00263ED7" w:rsidRPr="00AF3136">
        <w:rPr>
          <w:rFonts w:eastAsia="MS Gothic"/>
        </w:rPr>
        <w:t>ommunication</w:t>
      </w:r>
      <w:r w:rsidR="004979D5" w:rsidRPr="00AF3136">
        <w:rPr>
          <w:rFonts w:eastAsia="MS Gothic"/>
        </w:rPr>
        <w:t>s</w:t>
      </w:r>
      <w:r w:rsidR="00F725AC" w:rsidRPr="00AF3136">
        <w:rPr>
          <w:rFonts w:eastAsia="MS Gothic"/>
        </w:rPr>
        <w:t xml:space="preserve">. </w:t>
      </w:r>
      <w:r w:rsidR="00263ED7">
        <w:rPr>
          <w:rFonts w:eastAsia="Times New Roman"/>
          <w:color w:val="000000"/>
        </w:rPr>
        <w:t xml:space="preserve">It will also need </w:t>
      </w:r>
      <w:r w:rsidR="00263ED7" w:rsidRPr="00E15EBE">
        <w:rPr>
          <w:rFonts w:eastAsia="Times New Roman"/>
          <w:color w:val="000000"/>
        </w:rPr>
        <w:t>to</w:t>
      </w:r>
      <w:r w:rsidR="00263ED7" w:rsidRPr="00E15EBE">
        <w:t xml:space="preserve"> be presented in a way that makes it easily understandable</w:t>
      </w:r>
      <w:r w:rsidR="00817F10">
        <w:t xml:space="preserve">, </w:t>
      </w:r>
      <w:r w:rsidR="00263ED7" w:rsidRPr="00E15EBE">
        <w:t>access</w:t>
      </w:r>
      <w:r w:rsidR="00263ED7">
        <w:t>ible</w:t>
      </w:r>
      <w:r w:rsidR="00817F10">
        <w:t xml:space="preserve"> and actionable</w:t>
      </w:r>
      <w:r w:rsidR="00263ED7">
        <w:t xml:space="preserve"> </w:t>
      </w:r>
      <w:r w:rsidR="000468F7">
        <w:t xml:space="preserve">by </w:t>
      </w:r>
      <w:r w:rsidR="00263ED7">
        <w:t>country stakeholders</w:t>
      </w:r>
      <w:r w:rsidR="001F3643">
        <w:t xml:space="preserve"> (e.g. </w:t>
      </w:r>
      <w:r w:rsidR="00DB0175">
        <w:t xml:space="preserve">publication through a regularly updated web-based platform and/or </w:t>
      </w:r>
      <w:r w:rsidR="001F3643">
        <w:t xml:space="preserve">in </w:t>
      </w:r>
      <w:r w:rsidR="00DB0175">
        <w:t xml:space="preserve">printed information in </w:t>
      </w:r>
      <w:r w:rsidR="001F3643">
        <w:t>local languages</w:t>
      </w:r>
      <w:r w:rsidR="00DB0175">
        <w:t>)</w:t>
      </w:r>
      <w:r w:rsidR="00263ED7">
        <w:t xml:space="preserve">. </w:t>
      </w:r>
    </w:p>
    <w:p w:rsidR="004F54EE" w:rsidRDefault="002A1DAE" w:rsidP="00024658">
      <w:pPr>
        <w:keepNext/>
      </w:pPr>
      <w:r>
        <w:t xml:space="preserve">Table 1: </w:t>
      </w:r>
      <w:r w:rsidRPr="00AF3136">
        <w:rPr>
          <w:rStyle w:val="CommentReference"/>
          <w:rFonts w:eastAsia="MS Mincho"/>
          <w:bCs/>
          <w:sz w:val="22"/>
          <w:szCs w:val="22"/>
          <w:lang w:val="en-GB"/>
        </w:rPr>
        <w:t>Steps</w:t>
      </w:r>
      <w:r w:rsidRPr="002A1DAE">
        <w:t xml:space="preserve"> </w:t>
      </w:r>
      <w:r>
        <w:t xml:space="preserve">that could be considered and adapted </w:t>
      </w:r>
      <w:r w:rsidR="00243480">
        <w:t>for</w:t>
      </w:r>
      <w:r>
        <w:t xml:space="preserve"> the development of a country</w:t>
      </w:r>
      <w:r w:rsidR="00BE507C">
        <w:t>-</w:t>
      </w:r>
      <w:r>
        <w:t xml:space="preserve">level safeguard approach.  The table also summarizes how the different UN-REDD Programme tools discussed in Section </w:t>
      </w:r>
      <w:r w:rsidR="006269A5">
        <w:t>4</w:t>
      </w:r>
      <w:r>
        <w:t xml:space="preserve"> may be useful </w:t>
      </w:r>
      <w:r w:rsidR="00243480">
        <w:t xml:space="preserve">for </w:t>
      </w:r>
      <w:r>
        <w:t>developing the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9"/>
        <w:gridCol w:w="1697"/>
        <w:gridCol w:w="3142"/>
        <w:gridCol w:w="3528"/>
      </w:tblGrid>
      <w:tr w:rsidR="007B48E0" w:rsidRPr="00AF3136" w:rsidTr="00AF3136">
        <w:tc>
          <w:tcPr>
            <w:tcW w:w="1209" w:type="dxa"/>
            <w:shd w:val="clear" w:color="auto" w:fill="auto"/>
          </w:tcPr>
          <w:p w:rsidR="000F7F2D" w:rsidRPr="00AF3136" w:rsidRDefault="000F7F2D" w:rsidP="00AF3136">
            <w:pPr>
              <w:spacing w:after="0" w:line="240" w:lineRule="auto"/>
              <w:rPr>
                <w:b/>
                <w:sz w:val="20"/>
                <w:szCs w:val="20"/>
              </w:rPr>
            </w:pPr>
            <w:r w:rsidRPr="00AF3136">
              <w:rPr>
                <w:b/>
                <w:sz w:val="20"/>
                <w:szCs w:val="20"/>
              </w:rPr>
              <w:t>Step</w:t>
            </w:r>
          </w:p>
        </w:tc>
        <w:tc>
          <w:tcPr>
            <w:tcW w:w="1697" w:type="dxa"/>
            <w:shd w:val="clear" w:color="auto" w:fill="auto"/>
          </w:tcPr>
          <w:p w:rsidR="000F7F2D" w:rsidRPr="00AF3136" w:rsidRDefault="00B565DF" w:rsidP="00A85ED1">
            <w:pPr>
              <w:rPr>
                <w:b/>
                <w:sz w:val="20"/>
                <w:szCs w:val="20"/>
              </w:rPr>
            </w:pPr>
            <w:r w:rsidRPr="00AF3136">
              <w:rPr>
                <w:b/>
                <w:sz w:val="20"/>
                <w:szCs w:val="20"/>
              </w:rPr>
              <w:t>Detailed activities</w:t>
            </w:r>
          </w:p>
        </w:tc>
        <w:tc>
          <w:tcPr>
            <w:tcW w:w="3142" w:type="dxa"/>
            <w:shd w:val="clear" w:color="auto" w:fill="auto"/>
          </w:tcPr>
          <w:p w:rsidR="000F7F2D" w:rsidRPr="00AF3136" w:rsidRDefault="000F7F2D" w:rsidP="00AF3136">
            <w:pPr>
              <w:spacing w:after="0" w:line="240" w:lineRule="auto"/>
              <w:rPr>
                <w:b/>
                <w:sz w:val="20"/>
                <w:szCs w:val="20"/>
              </w:rPr>
            </w:pPr>
            <w:r w:rsidRPr="00AF3136">
              <w:rPr>
                <w:b/>
                <w:sz w:val="20"/>
                <w:szCs w:val="20"/>
              </w:rPr>
              <w:t>UN-REDD</w:t>
            </w:r>
            <w:r w:rsidR="002A1DAE" w:rsidRPr="00AF3136">
              <w:rPr>
                <w:b/>
                <w:sz w:val="20"/>
                <w:szCs w:val="20"/>
              </w:rPr>
              <w:t xml:space="preserve"> Programme</w:t>
            </w:r>
            <w:r w:rsidRPr="00AF3136">
              <w:rPr>
                <w:b/>
                <w:sz w:val="20"/>
                <w:szCs w:val="20"/>
              </w:rPr>
              <w:t xml:space="preserve"> tools</w:t>
            </w:r>
            <w:r w:rsidR="004412AA" w:rsidRPr="00AF3136">
              <w:rPr>
                <w:b/>
                <w:sz w:val="20"/>
                <w:szCs w:val="20"/>
              </w:rPr>
              <w:t>/guidelines/methodologies</w:t>
            </w:r>
          </w:p>
        </w:tc>
        <w:tc>
          <w:tcPr>
            <w:tcW w:w="3528" w:type="dxa"/>
            <w:shd w:val="clear" w:color="auto" w:fill="auto"/>
          </w:tcPr>
          <w:p w:rsidR="000F7F2D" w:rsidRPr="00AF3136" w:rsidRDefault="000F7F2D" w:rsidP="00AF3136">
            <w:pPr>
              <w:spacing w:after="0" w:line="240" w:lineRule="auto"/>
              <w:rPr>
                <w:b/>
                <w:sz w:val="20"/>
                <w:szCs w:val="20"/>
              </w:rPr>
            </w:pPr>
            <w:r w:rsidRPr="00AF3136">
              <w:rPr>
                <w:b/>
                <w:sz w:val="20"/>
                <w:szCs w:val="20"/>
              </w:rPr>
              <w:t>Explanation</w:t>
            </w:r>
            <w:r w:rsidR="00A85ED1" w:rsidRPr="00AF3136">
              <w:rPr>
                <w:b/>
                <w:sz w:val="20"/>
                <w:szCs w:val="20"/>
              </w:rPr>
              <w:t xml:space="preserve"> of how the </w:t>
            </w:r>
            <w:r w:rsidR="00605034" w:rsidRPr="00AF3136">
              <w:rPr>
                <w:b/>
                <w:sz w:val="20"/>
                <w:szCs w:val="20"/>
              </w:rPr>
              <w:t xml:space="preserve">tools </w:t>
            </w:r>
            <w:r w:rsidR="00A85ED1" w:rsidRPr="00AF3136">
              <w:rPr>
                <w:b/>
                <w:sz w:val="20"/>
                <w:szCs w:val="20"/>
              </w:rPr>
              <w:t>contribute to the activity</w:t>
            </w:r>
          </w:p>
        </w:tc>
      </w:tr>
      <w:tr w:rsidR="007B48E0" w:rsidRPr="00AF3136" w:rsidTr="00AF3136">
        <w:trPr>
          <w:trHeight w:val="335"/>
        </w:trPr>
        <w:tc>
          <w:tcPr>
            <w:tcW w:w="1209" w:type="dxa"/>
            <w:vMerge w:val="restart"/>
            <w:shd w:val="clear" w:color="auto" w:fill="auto"/>
          </w:tcPr>
          <w:p w:rsidR="000F7F2D" w:rsidRPr="00AF3136" w:rsidRDefault="000F7F2D" w:rsidP="00AF3136">
            <w:pPr>
              <w:spacing w:after="0" w:line="240" w:lineRule="auto"/>
              <w:rPr>
                <w:b/>
                <w:sz w:val="20"/>
                <w:szCs w:val="20"/>
              </w:rPr>
            </w:pPr>
            <w:r w:rsidRPr="00AF3136">
              <w:rPr>
                <w:b/>
                <w:sz w:val="20"/>
                <w:szCs w:val="20"/>
              </w:rPr>
              <w:t>1. Objective setting</w:t>
            </w:r>
          </w:p>
        </w:tc>
        <w:tc>
          <w:tcPr>
            <w:tcW w:w="1697" w:type="dxa"/>
            <w:vMerge w:val="restart"/>
            <w:shd w:val="clear" w:color="auto" w:fill="auto"/>
          </w:tcPr>
          <w:p w:rsidR="000F7F2D" w:rsidRPr="00AF3136" w:rsidRDefault="000F7F2D" w:rsidP="00AF3136">
            <w:pPr>
              <w:spacing w:after="0" w:line="240" w:lineRule="auto"/>
              <w:rPr>
                <w:sz w:val="20"/>
                <w:szCs w:val="20"/>
              </w:rPr>
            </w:pPr>
            <w:r w:rsidRPr="00AF3136">
              <w:rPr>
                <w:sz w:val="20"/>
                <w:szCs w:val="20"/>
              </w:rPr>
              <w:t>Defining goals of the country safeguard approach</w:t>
            </w:r>
          </w:p>
        </w:tc>
        <w:tc>
          <w:tcPr>
            <w:tcW w:w="3142" w:type="dxa"/>
            <w:shd w:val="clear" w:color="auto" w:fill="auto"/>
          </w:tcPr>
          <w:p w:rsidR="000F7F2D" w:rsidRPr="00AF3136" w:rsidRDefault="002A1DAE" w:rsidP="00AF3136">
            <w:pPr>
              <w:pStyle w:val="ColorfulList-Accent11"/>
              <w:numPr>
                <w:ilvl w:val="0"/>
                <w:numId w:val="47"/>
              </w:numPr>
              <w:spacing w:after="0"/>
              <w:rPr>
                <w:sz w:val="20"/>
                <w:szCs w:val="20"/>
              </w:rPr>
            </w:pPr>
            <w:r w:rsidRPr="00AF3136">
              <w:rPr>
                <w:sz w:val="20"/>
                <w:szCs w:val="20"/>
              </w:rPr>
              <w:t>Social and Environmental Principles and Criteria (SEPC)</w:t>
            </w:r>
          </w:p>
        </w:tc>
        <w:tc>
          <w:tcPr>
            <w:tcW w:w="3528" w:type="dxa"/>
            <w:shd w:val="clear" w:color="auto" w:fill="auto"/>
          </w:tcPr>
          <w:p w:rsidR="000F7F2D" w:rsidRPr="00AF3136" w:rsidRDefault="000F7F2D" w:rsidP="00AF3136">
            <w:pPr>
              <w:spacing w:after="0" w:line="240" w:lineRule="auto"/>
              <w:rPr>
                <w:sz w:val="20"/>
                <w:szCs w:val="20"/>
              </w:rPr>
            </w:pPr>
            <w:r w:rsidRPr="00AF3136">
              <w:rPr>
                <w:sz w:val="20"/>
                <w:szCs w:val="20"/>
              </w:rPr>
              <w:t>Provides more detailed criteria that can be used to ‘unpack’ the Cancun safeguards</w:t>
            </w:r>
          </w:p>
        </w:tc>
      </w:tr>
      <w:tr w:rsidR="007B48E0" w:rsidRPr="00AF3136" w:rsidTr="00AF3136">
        <w:trPr>
          <w:trHeight w:val="276"/>
        </w:trPr>
        <w:tc>
          <w:tcPr>
            <w:tcW w:w="1209" w:type="dxa"/>
            <w:vMerge/>
            <w:shd w:val="clear" w:color="auto" w:fill="auto"/>
          </w:tcPr>
          <w:p w:rsidR="000F7F2D" w:rsidRPr="00AF3136" w:rsidRDefault="000F7F2D" w:rsidP="00AF3136">
            <w:pPr>
              <w:spacing w:after="0" w:line="240" w:lineRule="auto"/>
              <w:rPr>
                <w:b/>
                <w:sz w:val="20"/>
                <w:szCs w:val="20"/>
              </w:rPr>
            </w:pPr>
          </w:p>
        </w:tc>
        <w:tc>
          <w:tcPr>
            <w:tcW w:w="1697" w:type="dxa"/>
            <w:vMerge/>
            <w:shd w:val="clear" w:color="auto" w:fill="auto"/>
          </w:tcPr>
          <w:p w:rsidR="000F7F2D" w:rsidRPr="00AF3136" w:rsidRDefault="000F7F2D" w:rsidP="00AF3136">
            <w:pPr>
              <w:spacing w:after="0" w:line="240" w:lineRule="auto"/>
              <w:rPr>
                <w:sz w:val="20"/>
                <w:szCs w:val="20"/>
              </w:rPr>
            </w:pPr>
          </w:p>
        </w:tc>
        <w:tc>
          <w:tcPr>
            <w:tcW w:w="3142" w:type="dxa"/>
            <w:shd w:val="clear" w:color="auto" w:fill="auto"/>
          </w:tcPr>
          <w:p w:rsidR="000F7F2D" w:rsidRPr="00AF3136" w:rsidRDefault="008A187E" w:rsidP="00AF3136">
            <w:pPr>
              <w:pStyle w:val="ColorfulList-Accent11"/>
              <w:numPr>
                <w:ilvl w:val="0"/>
                <w:numId w:val="47"/>
              </w:numPr>
              <w:spacing w:after="0"/>
              <w:rPr>
                <w:sz w:val="20"/>
                <w:szCs w:val="20"/>
              </w:rPr>
            </w:pPr>
            <w:r w:rsidRPr="00AF3136">
              <w:rPr>
                <w:sz w:val="20"/>
                <w:szCs w:val="20"/>
              </w:rPr>
              <w:t xml:space="preserve">UN-REDD/FCPF Stakeholder Engagement Guidelines and UN-REDD </w:t>
            </w:r>
            <w:r w:rsidR="000F7F2D" w:rsidRPr="00AF3136">
              <w:rPr>
                <w:sz w:val="20"/>
                <w:szCs w:val="20"/>
              </w:rPr>
              <w:t>FPIC Guidelines</w:t>
            </w:r>
            <w:r w:rsidRPr="00AF3136">
              <w:rPr>
                <w:rStyle w:val="FootnoteReference"/>
                <w:sz w:val="20"/>
                <w:szCs w:val="20"/>
              </w:rPr>
              <w:footnoteReference w:id="10"/>
            </w:r>
          </w:p>
        </w:tc>
        <w:tc>
          <w:tcPr>
            <w:tcW w:w="3528" w:type="dxa"/>
            <w:shd w:val="clear" w:color="auto" w:fill="auto"/>
          </w:tcPr>
          <w:p w:rsidR="000F7F2D" w:rsidRPr="00AF3136" w:rsidRDefault="00EC68B1" w:rsidP="00AF3136">
            <w:pPr>
              <w:spacing w:after="0" w:line="240" w:lineRule="auto"/>
              <w:rPr>
                <w:sz w:val="20"/>
                <w:szCs w:val="20"/>
              </w:rPr>
            </w:pPr>
            <w:r w:rsidRPr="00AF3136">
              <w:rPr>
                <w:sz w:val="20"/>
                <w:szCs w:val="20"/>
              </w:rPr>
              <w:t xml:space="preserve">Provides guidance on </w:t>
            </w:r>
            <w:r w:rsidR="000F7F2D" w:rsidRPr="00AF3136">
              <w:rPr>
                <w:sz w:val="20"/>
                <w:szCs w:val="20"/>
              </w:rPr>
              <w:t xml:space="preserve">how participation of </w:t>
            </w:r>
            <w:r w:rsidR="002A1DAE" w:rsidRPr="00AF3136">
              <w:rPr>
                <w:sz w:val="20"/>
                <w:szCs w:val="20"/>
              </w:rPr>
              <w:t xml:space="preserve">indigenous peoples </w:t>
            </w:r>
            <w:r w:rsidR="008A187E" w:rsidRPr="00AF3136">
              <w:rPr>
                <w:sz w:val="20"/>
                <w:szCs w:val="20"/>
              </w:rPr>
              <w:t>and other forest dependent communities</w:t>
            </w:r>
            <w:r w:rsidR="000F7F2D" w:rsidRPr="00AF3136">
              <w:rPr>
                <w:sz w:val="20"/>
                <w:szCs w:val="20"/>
              </w:rPr>
              <w:t xml:space="preserve"> can be ensured in REDD+ schemes,</w:t>
            </w:r>
            <w:r w:rsidR="008A187E" w:rsidRPr="00AF3136">
              <w:rPr>
                <w:sz w:val="20"/>
                <w:szCs w:val="20"/>
              </w:rPr>
              <w:t xml:space="preserve"> including how to apply the principle of FPIC; </w:t>
            </w:r>
            <w:r w:rsidR="00605034" w:rsidRPr="00AF3136">
              <w:rPr>
                <w:sz w:val="20"/>
                <w:szCs w:val="20"/>
              </w:rPr>
              <w:t xml:space="preserve">could help </w:t>
            </w:r>
            <w:r w:rsidR="000F7F2D" w:rsidRPr="00AF3136">
              <w:rPr>
                <w:sz w:val="20"/>
                <w:szCs w:val="20"/>
              </w:rPr>
              <w:t>countr</w:t>
            </w:r>
            <w:r w:rsidR="00605034" w:rsidRPr="00AF3136">
              <w:rPr>
                <w:sz w:val="20"/>
                <w:szCs w:val="20"/>
              </w:rPr>
              <w:t>ies</w:t>
            </w:r>
            <w:r w:rsidR="000F7F2D" w:rsidRPr="00AF3136">
              <w:rPr>
                <w:sz w:val="20"/>
                <w:szCs w:val="20"/>
              </w:rPr>
              <w:t xml:space="preserve"> to define </w:t>
            </w:r>
            <w:r w:rsidR="00605034" w:rsidRPr="00AF3136">
              <w:rPr>
                <w:sz w:val="20"/>
                <w:szCs w:val="20"/>
              </w:rPr>
              <w:t xml:space="preserve">such </w:t>
            </w:r>
            <w:r w:rsidR="000F7F2D" w:rsidRPr="00AF3136">
              <w:rPr>
                <w:sz w:val="20"/>
                <w:szCs w:val="20"/>
              </w:rPr>
              <w:t xml:space="preserve">goals in </w:t>
            </w:r>
            <w:r w:rsidR="00605034" w:rsidRPr="00AF3136">
              <w:rPr>
                <w:sz w:val="20"/>
                <w:szCs w:val="20"/>
              </w:rPr>
              <w:t>their approaches</w:t>
            </w:r>
            <w:r w:rsidR="000F7F2D" w:rsidRPr="00AF3136">
              <w:rPr>
                <w:sz w:val="20"/>
                <w:szCs w:val="20"/>
              </w:rPr>
              <w:t xml:space="preserve"> </w:t>
            </w:r>
          </w:p>
        </w:tc>
      </w:tr>
      <w:tr w:rsidR="007B48E0" w:rsidRPr="00AF3136" w:rsidTr="00AF3136">
        <w:trPr>
          <w:trHeight w:val="267"/>
        </w:trPr>
        <w:tc>
          <w:tcPr>
            <w:tcW w:w="1209" w:type="dxa"/>
            <w:vMerge w:val="restart"/>
            <w:shd w:val="clear" w:color="auto" w:fill="auto"/>
          </w:tcPr>
          <w:p w:rsidR="00366A3F" w:rsidRPr="00AF3136" w:rsidRDefault="00366A3F" w:rsidP="00AF3136">
            <w:pPr>
              <w:spacing w:after="0" w:line="240" w:lineRule="auto"/>
              <w:rPr>
                <w:b/>
                <w:sz w:val="20"/>
                <w:szCs w:val="20"/>
              </w:rPr>
            </w:pPr>
            <w:r w:rsidRPr="00AF3136">
              <w:rPr>
                <w:b/>
                <w:sz w:val="20"/>
                <w:szCs w:val="20"/>
              </w:rPr>
              <w:t>2. Defining or developing safeguard policies, laws and regulations</w:t>
            </w:r>
          </w:p>
        </w:tc>
        <w:tc>
          <w:tcPr>
            <w:tcW w:w="1697" w:type="dxa"/>
            <w:vMerge w:val="restart"/>
            <w:shd w:val="clear" w:color="auto" w:fill="auto"/>
          </w:tcPr>
          <w:p w:rsidR="00366A3F" w:rsidRPr="00AF3136" w:rsidRDefault="00366A3F" w:rsidP="00AF3136">
            <w:pPr>
              <w:spacing w:after="0" w:line="240" w:lineRule="auto"/>
              <w:rPr>
                <w:sz w:val="20"/>
                <w:szCs w:val="20"/>
              </w:rPr>
            </w:pPr>
            <w:r w:rsidRPr="00AF3136">
              <w:rPr>
                <w:sz w:val="20"/>
                <w:szCs w:val="20"/>
              </w:rPr>
              <w:t>Gap analysis of existing PLRs</w:t>
            </w:r>
          </w:p>
        </w:tc>
        <w:tc>
          <w:tcPr>
            <w:tcW w:w="3142" w:type="dxa"/>
            <w:shd w:val="clear" w:color="auto" w:fill="auto"/>
          </w:tcPr>
          <w:p w:rsidR="00366A3F" w:rsidRPr="00AF3136" w:rsidRDefault="00366A3F" w:rsidP="00AF3136">
            <w:pPr>
              <w:pStyle w:val="ColorfulList-Accent11"/>
              <w:numPr>
                <w:ilvl w:val="0"/>
                <w:numId w:val="47"/>
              </w:numPr>
              <w:spacing w:after="0"/>
              <w:rPr>
                <w:sz w:val="20"/>
                <w:szCs w:val="20"/>
              </w:rPr>
            </w:pPr>
            <w:r w:rsidRPr="00AF3136">
              <w:rPr>
                <w:sz w:val="20"/>
                <w:szCs w:val="20"/>
              </w:rPr>
              <w:t>Be</w:t>
            </w:r>
            <w:r w:rsidR="002A1DAE" w:rsidRPr="00AF3136">
              <w:rPr>
                <w:sz w:val="20"/>
                <w:szCs w:val="20"/>
              </w:rPr>
              <w:t xml:space="preserve">nefits and </w:t>
            </w:r>
            <w:r w:rsidRPr="00AF3136">
              <w:rPr>
                <w:sz w:val="20"/>
                <w:szCs w:val="20"/>
              </w:rPr>
              <w:t>R</w:t>
            </w:r>
            <w:r w:rsidR="002A1DAE" w:rsidRPr="00AF3136">
              <w:rPr>
                <w:sz w:val="20"/>
                <w:szCs w:val="20"/>
              </w:rPr>
              <w:t xml:space="preserve">isk </w:t>
            </w:r>
            <w:r w:rsidRPr="00AF3136">
              <w:rPr>
                <w:sz w:val="20"/>
                <w:szCs w:val="20"/>
              </w:rPr>
              <w:t>T</w:t>
            </w:r>
            <w:r w:rsidR="002A1DAE" w:rsidRPr="00AF3136">
              <w:rPr>
                <w:sz w:val="20"/>
                <w:szCs w:val="20"/>
              </w:rPr>
              <w:t>ool</w:t>
            </w:r>
          </w:p>
        </w:tc>
        <w:tc>
          <w:tcPr>
            <w:tcW w:w="3528" w:type="dxa"/>
            <w:shd w:val="clear" w:color="auto" w:fill="auto"/>
          </w:tcPr>
          <w:p w:rsidR="00366A3F" w:rsidRPr="00AF3136" w:rsidRDefault="00366A3F" w:rsidP="00AF3136">
            <w:pPr>
              <w:spacing w:after="0" w:line="240" w:lineRule="auto"/>
              <w:rPr>
                <w:sz w:val="20"/>
                <w:szCs w:val="20"/>
              </w:rPr>
            </w:pPr>
            <w:r w:rsidRPr="00AF3136">
              <w:rPr>
                <w:sz w:val="20"/>
                <w:szCs w:val="20"/>
              </w:rPr>
              <w:t>Provides a list of questions across a broad range of issues in order to assess existing PLRs</w:t>
            </w:r>
          </w:p>
        </w:tc>
      </w:tr>
      <w:tr w:rsidR="007B48E0" w:rsidRPr="00AF3136" w:rsidTr="00AF3136">
        <w:trPr>
          <w:trHeight w:val="235"/>
        </w:trPr>
        <w:tc>
          <w:tcPr>
            <w:tcW w:w="1209" w:type="dxa"/>
            <w:vMerge/>
            <w:shd w:val="clear" w:color="auto" w:fill="auto"/>
          </w:tcPr>
          <w:p w:rsidR="00366A3F" w:rsidRPr="00AF3136" w:rsidRDefault="00366A3F" w:rsidP="00AF3136">
            <w:pPr>
              <w:spacing w:after="0" w:line="240" w:lineRule="auto"/>
              <w:rPr>
                <w:b/>
                <w:sz w:val="20"/>
                <w:szCs w:val="20"/>
              </w:rPr>
            </w:pPr>
          </w:p>
        </w:tc>
        <w:tc>
          <w:tcPr>
            <w:tcW w:w="1697" w:type="dxa"/>
            <w:vMerge/>
            <w:shd w:val="clear" w:color="auto" w:fill="auto"/>
          </w:tcPr>
          <w:p w:rsidR="00366A3F" w:rsidRPr="00AF3136" w:rsidRDefault="00366A3F" w:rsidP="00AF3136">
            <w:pPr>
              <w:spacing w:after="0" w:line="240" w:lineRule="auto"/>
              <w:rPr>
                <w:sz w:val="20"/>
                <w:szCs w:val="20"/>
              </w:rPr>
            </w:pPr>
          </w:p>
        </w:tc>
        <w:tc>
          <w:tcPr>
            <w:tcW w:w="3142" w:type="dxa"/>
            <w:shd w:val="clear" w:color="auto" w:fill="auto"/>
          </w:tcPr>
          <w:p w:rsidR="00366A3F" w:rsidRPr="00AF3136" w:rsidRDefault="00366A3F" w:rsidP="00AF3136">
            <w:pPr>
              <w:pStyle w:val="ColorfulList-Accent11"/>
              <w:numPr>
                <w:ilvl w:val="0"/>
                <w:numId w:val="47"/>
              </w:numPr>
              <w:spacing w:after="0"/>
              <w:rPr>
                <w:sz w:val="20"/>
                <w:szCs w:val="20"/>
              </w:rPr>
            </w:pPr>
            <w:r w:rsidRPr="00AF3136">
              <w:rPr>
                <w:sz w:val="20"/>
                <w:szCs w:val="20"/>
              </w:rPr>
              <w:t>P</w:t>
            </w:r>
            <w:r w:rsidR="002A1DAE" w:rsidRPr="00AF3136">
              <w:rPr>
                <w:sz w:val="20"/>
                <w:szCs w:val="20"/>
              </w:rPr>
              <w:t xml:space="preserve">articipatory </w:t>
            </w:r>
            <w:r w:rsidRPr="00AF3136">
              <w:rPr>
                <w:sz w:val="20"/>
                <w:szCs w:val="20"/>
              </w:rPr>
              <w:t>G</w:t>
            </w:r>
            <w:r w:rsidR="002A1DAE" w:rsidRPr="00AF3136">
              <w:rPr>
                <w:sz w:val="20"/>
                <w:szCs w:val="20"/>
              </w:rPr>
              <w:t xml:space="preserve">overnance </w:t>
            </w:r>
            <w:r w:rsidRPr="00AF3136">
              <w:rPr>
                <w:sz w:val="20"/>
                <w:szCs w:val="20"/>
              </w:rPr>
              <w:t>A</w:t>
            </w:r>
            <w:r w:rsidR="002A1DAE" w:rsidRPr="00AF3136">
              <w:rPr>
                <w:sz w:val="20"/>
                <w:szCs w:val="20"/>
              </w:rPr>
              <w:t>ssessments</w:t>
            </w:r>
          </w:p>
        </w:tc>
        <w:tc>
          <w:tcPr>
            <w:tcW w:w="3528" w:type="dxa"/>
            <w:shd w:val="clear" w:color="auto" w:fill="auto"/>
          </w:tcPr>
          <w:p w:rsidR="00083147" w:rsidRPr="00AF3136" w:rsidRDefault="00083147" w:rsidP="00AF3136">
            <w:pPr>
              <w:spacing w:after="0" w:line="240" w:lineRule="auto"/>
              <w:rPr>
                <w:sz w:val="20"/>
                <w:szCs w:val="20"/>
              </w:rPr>
            </w:pPr>
            <w:r w:rsidRPr="00AF3136">
              <w:rPr>
                <w:sz w:val="20"/>
                <w:szCs w:val="20"/>
              </w:rPr>
              <w:t xml:space="preserve">Provides governance data based on extensive stakeholder contributions, which serves as a basis for improvements in governance; can be used by governments in their planning and policy-making </w:t>
            </w:r>
          </w:p>
          <w:p w:rsidR="00366A3F" w:rsidRPr="00AF3136" w:rsidRDefault="00366A3F" w:rsidP="00AF3136">
            <w:pPr>
              <w:spacing w:after="0" w:line="240" w:lineRule="auto"/>
              <w:rPr>
                <w:sz w:val="20"/>
                <w:szCs w:val="20"/>
              </w:rPr>
            </w:pPr>
          </w:p>
        </w:tc>
      </w:tr>
      <w:tr w:rsidR="007B48E0" w:rsidRPr="00AF3136" w:rsidTr="00AF3136">
        <w:trPr>
          <w:trHeight w:val="1021"/>
        </w:trPr>
        <w:tc>
          <w:tcPr>
            <w:tcW w:w="1209" w:type="dxa"/>
            <w:vMerge/>
            <w:shd w:val="clear" w:color="auto" w:fill="auto"/>
          </w:tcPr>
          <w:p w:rsidR="00366A3F" w:rsidRPr="00AF3136" w:rsidRDefault="00366A3F" w:rsidP="00AF3136">
            <w:pPr>
              <w:spacing w:after="0" w:line="240" w:lineRule="auto"/>
              <w:rPr>
                <w:b/>
                <w:sz w:val="20"/>
                <w:szCs w:val="20"/>
              </w:rPr>
            </w:pPr>
          </w:p>
        </w:tc>
        <w:tc>
          <w:tcPr>
            <w:tcW w:w="1697" w:type="dxa"/>
            <w:vMerge/>
            <w:shd w:val="clear" w:color="auto" w:fill="auto"/>
          </w:tcPr>
          <w:p w:rsidR="00366A3F" w:rsidRPr="00AF3136" w:rsidRDefault="00366A3F" w:rsidP="00AF3136">
            <w:pPr>
              <w:spacing w:after="0" w:line="240" w:lineRule="auto"/>
              <w:rPr>
                <w:sz w:val="20"/>
                <w:szCs w:val="20"/>
              </w:rPr>
            </w:pPr>
          </w:p>
        </w:tc>
        <w:tc>
          <w:tcPr>
            <w:tcW w:w="3142" w:type="dxa"/>
            <w:shd w:val="clear" w:color="auto" w:fill="auto"/>
          </w:tcPr>
          <w:p w:rsidR="00366A3F" w:rsidRPr="00AF3136" w:rsidRDefault="00B67607" w:rsidP="00AF3136">
            <w:pPr>
              <w:pStyle w:val="ColorfulList-Accent11"/>
              <w:numPr>
                <w:ilvl w:val="0"/>
                <w:numId w:val="47"/>
              </w:numPr>
              <w:spacing w:after="0"/>
              <w:rPr>
                <w:sz w:val="20"/>
                <w:szCs w:val="20"/>
              </w:rPr>
            </w:pPr>
            <w:r w:rsidRPr="00AF3136">
              <w:rPr>
                <w:sz w:val="20"/>
                <w:szCs w:val="20"/>
              </w:rPr>
              <w:t xml:space="preserve">Draft Guidance on Conducting REDD+ Corruption Risk Assessment </w:t>
            </w:r>
          </w:p>
        </w:tc>
        <w:tc>
          <w:tcPr>
            <w:tcW w:w="3528" w:type="dxa"/>
            <w:shd w:val="clear" w:color="auto" w:fill="auto"/>
          </w:tcPr>
          <w:p w:rsidR="00366A3F" w:rsidRPr="00AF3136" w:rsidRDefault="00366A3F" w:rsidP="00AF3136">
            <w:pPr>
              <w:spacing w:after="0" w:line="240" w:lineRule="auto"/>
              <w:rPr>
                <w:sz w:val="20"/>
                <w:szCs w:val="20"/>
              </w:rPr>
            </w:pPr>
            <w:r w:rsidRPr="00AF3136">
              <w:rPr>
                <w:sz w:val="20"/>
                <w:szCs w:val="20"/>
              </w:rPr>
              <w:t xml:space="preserve">Provides a </w:t>
            </w:r>
            <w:r w:rsidR="000468F7" w:rsidRPr="00AF3136">
              <w:rPr>
                <w:sz w:val="20"/>
                <w:szCs w:val="20"/>
              </w:rPr>
              <w:t xml:space="preserve">methodology and a </w:t>
            </w:r>
            <w:r w:rsidRPr="00AF3136">
              <w:rPr>
                <w:sz w:val="20"/>
                <w:szCs w:val="20"/>
              </w:rPr>
              <w:t xml:space="preserve">more detailed framework (compared to </w:t>
            </w:r>
            <w:proofErr w:type="spellStart"/>
            <w:r w:rsidRPr="00AF3136">
              <w:rPr>
                <w:sz w:val="20"/>
                <w:szCs w:val="20"/>
              </w:rPr>
              <w:t>BeRT</w:t>
            </w:r>
            <w:proofErr w:type="spellEnd"/>
            <w:r w:rsidRPr="00AF3136">
              <w:rPr>
                <w:sz w:val="20"/>
                <w:szCs w:val="20"/>
              </w:rPr>
              <w:t>) for assessing corruption risks in REDD+</w:t>
            </w:r>
          </w:p>
        </w:tc>
      </w:tr>
      <w:tr w:rsidR="007B48E0" w:rsidRPr="00AF3136" w:rsidTr="00AF3136">
        <w:tc>
          <w:tcPr>
            <w:tcW w:w="1209" w:type="dxa"/>
            <w:vMerge/>
            <w:shd w:val="clear" w:color="auto" w:fill="auto"/>
          </w:tcPr>
          <w:p w:rsidR="00366A3F" w:rsidRPr="00AF3136" w:rsidRDefault="00366A3F" w:rsidP="00AF3136">
            <w:pPr>
              <w:spacing w:after="0" w:line="240" w:lineRule="auto"/>
              <w:rPr>
                <w:b/>
                <w:sz w:val="20"/>
                <w:szCs w:val="20"/>
              </w:rPr>
            </w:pPr>
          </w:p>
        </w:tc>
        <w:tc>
          <w:tcPr>
            <w:tcW w:w="1697" w:type="dxa"/>
            <w:vMerge w:val="restart"/>
            <w:shd w:val="clear" w:color="auto" w:fill="auto"/>
          </w:tcPr>
          <w:p w:rsidR="00366A3F" w:rsidRPr="00AF3136" w:rsidRDefault="00366A3F" w:rsidP="00AF3136">
            <w:pPr>
              <w:spacing w:after="0" w:line="240" w:lineRule="auto"/>
              <w:rPr>
                <w:sz w:val="20"/>
                <w:szCs w:val="20"/>
              </w:rPr>
            </w:pPr>
            <w:r w:rsidRPr="00AF3136">
              <w:rPr>
                <w:sz w:val="20"/>
                <w:szCs w:val="20"/>
              </w:rPr>
              <w:t xml:space="preserve">Development of new PLRs (if </w:t>
            </w:r>
            <w:r w:rsidRPr="00AF3136">
              <w:rPr>
                <w:sz w:val="20"/>
                <w:szCs w:val="20"/>
              </w:rPr>
              <w:lastRenderedPageBreak/>
              <w:t>necessary)</w:t>
            </w:r>
          </w:p>
        </w:tc>
        <w:tc>
          <w:tcPr>
            <w:tcW w:w="3142" w:type="dxa"/>
            <w:shd w:val="clear" w:color="auto" w:fill="auto"/>
          </w:tcPr>
          <w:p w:rsidR="00366A3F" w:rsidRPr="00AF3136" w:rsidRDefault="004F54EE" w:rsidP="00AF3136">
            <w:pPr>
              <w:pStyle w:val="ColorfulList-Accent11"/>
              <w:numPr>
                <w:ilvl w:val="0"/>
                <w:numId w:val="46"/>
              </w:numPr>
              <w:spacing w:after="0"/>
              <w:rPr>
                <w:sz w:val="20"/>
                <w:szCs w:val="20"/>
              </w:rPr>
            </w:pPr>
            <w:r w:rsidRPr="00AF3136">
              <w:rPr>
                <w:sz w:val="20"/>
                <w:szCs w:val="20"/>
              </w:rPr>
              <w:lastRenderedPageBreak/>
              <w:t xml:space="preserve">UN-REDD </w:t>
            </w:r>
            <w:r w:rsidR="00366A3F" w:rsidRPr="00AF3136">
              <w:rPr>
                <w:sz w:val="20"/>
                <w:szCs w:val="20"/>
              </w:rPr>
              <w:t>FPIC Guidelines</w:t>
            </w:r>
          </w:p>
          <w:p w:rsidR="00366A3F" w:rsidRPr="00AF3136" w:rsidRDefault="00366A3F" w:rsidP="00AF3136">
            <w:pPr>
              <w:pStyle w:val="ColorfulList-Accent11"/>
              <w:spacing w:after="0"/>
              <w:ind w:left="360"/>
              <w:rPr>
                <w:sz w:val="20"/>
                <w:szCs w:val="20"/>
              </w:rPr>
            </w:pPr>
          </w:p>
        </w:tc>
        <w:tc>
          <w:tcPr>
            <w:tcW w:w="3528" w:type="dxa"/>
            <w:shd w:val="clear" w:color="auto" w:fill="auto"/>
          </w:tcPr>
          <w:p w:rsidR="00366A3F" w:rsidRPr="00AF3136" w:rsidRDefault="00366A3F" w:rsidP="00AF3136">
            <w:pPr>
              <w:spacing w:after="0" w:line="240" w:lineRule="auto"/>
              <w:rPr>
                <w:sz w:val="20"/>
                <w:szCs w:val="20"/>
              </w:rPr>
            </w:pPr>
            <w:r w:rsidRPr="00AF3136">
              <w:rPr>
                <w:sz w:val="20"/>
                <w:szCs w:val="20"/>
              </w:rPr>
              <w:t xml:space="preserve">Provides a framework for applying the principle of FPIC at community and </w:t>
            </w:r>
            <w:r w:rsidRPr="00AF3136">
              <w:rPr>
                <w:sz w:val="20"/>
                <w:szCs w:val="20"/>
              </w:rPr>
              <w:lastRenderedPageBreak/>
              <w:t>national levels; could be adopted in REDD+ PLRs and adapted to national context</w:t>
            </w:r>
          </w:p>
        </w:tc>
      </w:tr>
      <w:tr w:rsidR="007B48E0" w:rsidRPr="00AF3136" w:rsidTr="00AF3136">
        <w:tc>
          <w:tcPr>
            <w:tcW w:w="1209" w:type="dxa"/>
            <w:vMerge/>
            <w:shd w:val="clear" w:color="auto" w:fill="auto"/>
          </w:tcPr>
          <w:p w:rsidR="00366A3F" w:rsidRPr="00AF3136" w:rsidRDefault="00366A3F" w:rsidP="00AF3136">
            <w:pPr>
              <w:spacing w:after="0" w:line="240" w:lineRule="auto"/>
              <w:rPr>
                <w:b/>
                <w:sz w:val="20"/>
                <w:szCs w:val="20"/>
              </w:rPr>
            </w:pPr>
          </w:p>
        </w:tc>
        <w:tc>
          <w:tcPr>
            <w:tcW w:w="1697" w:type="dxa"/>
            <w:vMerge/>
            <w:shd w:val="clear" w:color="auto" w:fill="auto"/>
          </w:tcPr>
          <w:p w:rsidR="00366A3F" w:rsidRPr="00AF3136" w:rsidRDefault="00366A3F" w:rsidP="00AF3136">
            <w:pPr>
              <w:spacing w:after="0" w:line="240" w:lineRule="auto"/>
              <w:rPr>
                <w:sz w:val="20"/>
                <w:szCs w:val="20"/>
              </w:rPr>
            </w:pPr>
          </w:p>
        </w:tc>
        <w:tc>
          <w:tcPr>
            <w:tcW w:w="3142" w:type="dxa"/>
            <w:shd w:val="clear" w:color="auto" w:fill="auto"/>
          </w:tcPr>
          <w:p w:rsidR="00366A3F" w:rsidRPr="00AF3136" w:rsidRDefault="00366A3F" w:rsidP="00AF3136">
            <w:pPr>
              <w:pStyle w:val="ColorfulList-Accent11"/>
              <w:numPr>
                <w:ilvl w:val="0"/>
                <w:numId w:val="46"/>
              </w:numPr>
              <w:spacing w:after="0"/>
              <w:rPr>
                <w:sz w:val="20"/>
                <w:szCs w:val="20"/>
              </w:rPr>
            </w:pPr>
            <w:r w:rsidRPr="00AF3136">
              <w:rPr>
                <w:sz w:val="20"/>
                <w:szCs w:val="20"/>
              </w:rPr>
              <w:t>Guidelines on Strengthening/Establishing National-Level Grievance Mechanisms</w:t>
            </w:r>
          </w:p>
        </w:tc>
        <w:tc>
          <w:tcPr>
            <w:tcW w:w="3528" w:type="dxa"/>
            <w:shd w:val="clear" w:color="auto" w:fill="auto"/>
          </w:tcPr>
          <w:p w:rsidR="00366A3F" w:rsidRPr="00AF3136" w:rsidRDefault="00366A3F" w:rsidP="00AF3136">
            <w:pPr>
              <w:spacing w:after="0" w:line="240" w:lineRule="auto"/>
              <w:rPr>
                <w:sz w:val="20"/>
                <w:szCs w:val="20"/>
              </w:rPr>
            </w:pPr>
            <w:r w:rsidRPr="00AF3136">
              <w:rPr>
                <w:sz w:val="20"/>
                <w:szCs w:val="20"/>
              </w:rPr>
              <w:t xml:space="preserve">Provides guidance on how to assess and strengthen existing PLRs and institutional capacity to address REDD+ related grievances </w:t>
            </w:r>
          </w:p>
        </w:tc>
      </w:tr>
      <w:tr w:rsidR="007B48E0" w:rsidRPr="00AF3136" w:rsidTr="00AF3136">
        <w:tc>
          <w:tcPr>
            <w:tcW w:w="1209" w:type="dxa"/>
            <w:vMerge/>
            <w:shd w:val="clear" w:color="auto" w:fill="auto"/>
          </w:tcPr>
          <w:p w:rsidR="00C752FC" w:rsidRPr="00AF3136" w:rsidRDefault="00C752FC" w:rsidP="00AF3136">
            <w:pPr>
              <w:spacing w:after="0" w:line="240" w:lineRule="auto"/>
              <w:rPr>
                <w:b/>
                <w:sz w:val="20"/>
                <w:szCs w:val="20"/>
              </w:rPr>
            </w:pPr>
          </w:p>
        </w:tc>
        <w:tc>
          <w:tcPr>
            <w:tcW w:w="1697" w:type="dxa"/>
            <w:vMerge/>
            <w:shd w:val="clear" w:color="auto" w:fill="auto"/>
          </w:tcPr>
          <w:p w:rsidR="00C752FC" w:rsidRPr="00AF3136" w:rsidRDefault="00C752FC" w:rsidP="00AF3136">
            <w:pPr>
              <w:spacing w:after="0" w:line="240" w:lineRule="auto"/>
              <w:rPr>
                <w:sz w:val="20"/>
                <w:szCs w:val="20"/>
              </w:rPr>
            </w:pPr>
          </w:p>
        </w:tc>
        <w:tc>
          <w:tcPr>
            <w:tcW w:w="3142" w:type="dxa"/>
            <w:shd w:val="clear" w:color="auto" w:fill="auto"/>
          </w:tcPr>
          <w:p w:rsidR="00C752FC" w:rsidRPr="00AF3136" w:rsidRDefault="00C752FC" w:rsidP="00AF3136">
            <w:pPr>
              <w:pStyle w:val="ColorfulList-Accent11"/>
              <w:numPr>
                <w:ilvl w:val="0"/>
                <w:numId w:val="46"/>
              </w:numPr>
              <w:spacing w:after="0"/>
              <w:rPr>
                <w:sz w:val="20"/>
                <w:szCs w:val="20"/>
              </w:rPr>
            </w:pPr>
            <w:r w:rsidRPr="00AF3136">
              <w:rPr>
                <w:sz w:val="20"/>
                <w:szCs w:val="20"/>
              </w:rPr>
              <w:t xml:space="preserve"> LEG-REDD+</w:t>
            </w:r>
          </w:p>
        </w:tc>
        <w:tc>
          <w:tcPr>
            <w:tcW w:w="3528" w:type="dxa"/>
            <w:shd w:val="clear" w:color="auto" w:fill="auto"/>
          </w:tcPr>
          <w:p w:rsidR="00C752FC" w:rsidRPr="00AF3136" w:rsidRDefault="00C752FC" w:rsidP="00AF3136">
            <w:pPr>
              <w:spacing w:after="0" w:line="240" w:lineRule="auto"/>
              <w:rPr>
                <w:sz w:val="20"/>
                <w:szCs w:val="20"/>
              </w:rPr>
            </w:pPr>
            <w:r w:rsidRPr="00AF3136">
              <w:rPr>
                <w:sz w:val="20"/>
                <w:szCs w:val="20"/>
              </w:rPr>
              <w:t xml:space="preserve">Provides a participatory </w:t>
            </w:r>
            <w:r w:rsidR="004412AA" w:rsidRPr="00AF3136">
              <w:rPr>
                <w:sz w:val="20"/>
                <w:szCs w:val="20"/>
              </w:rPr>
              <w:t xml:space="preserve">law development methodology </w:t>
            </w:r>
            <w:r w:rsidRPr="00AF3136">
              <w:rPr>
                <w:sz w:val="20"/>
                <w:szCs w:val="20"/>
              </w:rPr>
              <w:t xml:space="preserve"> for formulating </w:t>
            </w:r>
            <w:r w:rsidR="004D0306" w:rsidRPr="00AF3136">
              <w:rPr>
                <w:sz w:val="20"/>
                <w:szCs w:val="20"/>
              </w:rPr>
              <w:t xml:space="preserve">legal </w:t>
            </w:r>
            <w:r w:rsidR="002A1DAE" w:rsidRPr="00AF3136">
              <w:rPr>
                <w:sz w:val="20"/>
                <w:szCs w:val="20"/>
              </w:rPr>
              <w:t xml:space="preserve">and </w:t>
            </w:r>
            <w:r w:rsidR="004D0306" w:rsidRPr="00AF3136">
              <w:rPr>
                <w:sz w:val="20"/>
                <w:szCs w:val="20"/>
              </w:rPr>
              <w:t>policy</w:t>
            </w:r>
            <w:r w:rsidR="00012661" w:rsidRPr="00AF3136">
              <w:rPr>
                <w:sz w:val="20"/>
                <w:szCs w:val="20"/>
              </w:rPr>
              <w:t xml:space="preserve"> reforms</w:t>
            </w:r>
            <w:r w:rsidR="002A1DAE" w:rsidRPr="00AF3136">
              <w:rPr>
                <w:sz w:val="20"/>
                <w:szCs w:val="20"/>
              </w:rPr>
              <w:t>,</w:t>
            </w:r>
            <w:r w:rsidR="00012661" w:rsidRPr="00AF3136">
              <w:rPr>
                <w:sz w:val="20"/>
                <w:szCs w:val="20"/>
              </w:rPr>
              <w:t xml:space="preserve"> and drafting new PLRs in response to REDD+</w:t>
            </w:r>
          </w:p>
        </w:tc>
      </w:tr>
      <w:tr w:rsidR="007B48E0" w:rsidRPr="00AF3136" w:rsidTr="00AF3136">
        <w:tc>
          <w:tcPr>
            <w:tcW w:w="1209" w:type="dxa"/>
            <w:vMerge w:val="restart"/>
            <w:shd w:val="clear" w:color="auto" w:fill="auto"/>
          </w:tcPr>
          <w:p w:rsidR="001932EC" w:rsidRPr="00AF3136" w:rsidRDefault="001932EC" w:rsidP="00AF3136">
            <w:pPr>
              <w:spacing w:after="0" w:line="240" w:lineRule="auto"/>
              <w:rPr>
                <w:b/>
                <w:sz w:val="20"/>
                <w:szCs w:val="20"/>
              </w:rPr>
            </w:pPr>
            <w:r w:rsidRPr="00AF3136">
              <w:rPr>
                <w:b/>
                <w:sz w:val="20"/>
                <w:szCs w:val="20"/>
              </w:rPr>
              <w:t>3. SIS</w:t>
            </w:r>
          </w:p>
        </w:tc>
        <w:tc>
          <w:tcPr>
            <w:tcW w:w="1697" w:type="dxa"/>
            <w:shd w:val="clear" w:color="auto" w:fill="auto"/>
          </w:tcPr>
          <w:p w:rsidR="001932EC" w:rsidRPr="00AF3136" w:rsidRDefault="00EA2397" w:rsidP="00AF3136">
            <w:pPr>
              <w:spacing w:after="0" w:line="240" w:lineRule="auto"/>
              <w:rPr>
                <w:sz w:val="20"/>
                <w:szCs w:val="20"/>
              </w:rPr>
            </w:pPr>
            <w:r w:rsidRPr="00AF3136">
              <w:rPr>
                <w:sz w:val="20"/>
                <w:szCs w:val="20"/>
              </w:rPr>
              <w:t xml:space="preserve">Gap </w:t>
            </w:r>
            <w:r w:rsidR="002A1DAE" w:rsidRPr="00AF3136">
              <w:rPr>
                <w:sz w:val="20"/>
                <w:szCs w:val="20"/>
              </w:rPr>
              <w:t>a</w:t>
            </w:r>
            <w:r w:rsidRPr="00AF3136">
              <w:rPr>
                <w:sz w:val="20"/>
                <w:szCs w:val="20"/>
              </w:rPr>
              <w:t xml:space="preserve">nalysis of </w:t>
            </w:r>
            <w:r w:rsidR="002A1DAE" w:rsidRPr="00AF3136">
              <w:rPr>
                <w:sz w:val="20"/>
                <w:szCs w:val="20"/>
              </w:rPr>
              <w:t>e</w:t>
            </w:r>
            <w:r w:rsidRPr="00AF3136">
              <w:rPr>
                <w:sz w:val="20"/>
                <w:szCs w:val="20"/>
              </w:rPr>
              <w:t xml:space="preserve">xisting </w:t>
            </w:r>
            <w:r w:rsidR="002A1DAE" w:rsidRPr="00AF3136">
              <w:rPr>
                <w:sz w:val="20"/>
                <w:szCs w:val="20"/>
              </w:rPr>
              <w:t>i</w:t>
            </w:r>
            <w:r w:rsidRPr="00AF3136">
              <w:rPr>
                <w:sz w:val="20"/>
                <w:szCs w:val="20"/>
              </w:rPr>
              <w:t xml:space="preserve">nformation </w:t>
            </w:r>
            <w:r w:rsidR="002A1DAE" w:rsidRPr="00AF3136">
              <w:rPr>
                <w:sz w:val="20"/>
                <w:szCs w:val="20"/>
              </w:rPr>
              <w:t>s</w:t>
            </w:r>
            <w:r w:rsidRPr="00AF3136">
              <w:rPr>
                <w:sz w:val="20"/>
                <w:szCs w:val="20"/>
              </w:rPr>
              <w:t>ystems</w:t>
            </w:r>
          </w:p>
        </w:tc>
        <w:tc>
          <w:tcPr>
            <w:tcW w:w="3142" w:type="dxa"/>
            <w:shd w:val="clear" w:color="auto" w:fill="auto"/>
          </w:tcPr>
          <w:p w:rsidR="001932EC" w:rsidRPr="00AF3136" w:rsidRDefault="003A297F" w:rsidP="00AF3136">
            <w:pPr>
              <w:pStyle w:val="ColorfulList-Accent11"/>
              <w:numPr>
                <w:ilvl w:val="0"/>
                <w:numId w:val="46"/>
              </w:numPr>
              <w:spacing w:after="0"/>
              <w:rPr>
                <w:sz w:val="20"/>
                <w:szCs w:val="20"/>
              </w:rPr>
            </w:pPr>
            <w:r w:rsidRPr="00AF3136">
              <w:rPr>
                <w:sz w:val="20"/>
                <w:szCs w:val="20"/>
              </w:rPr>
              <w:t>Participatory Governance Assessments</w:t>
            </w:r>
          </w:p>
        </w:tc>
        <w:tc>
          <w:tcPr>
            <w:tcW w:w="3528" w:type="dxa"/>
            <w:shd w:val="clear" w:color="auto" w:fill="auto"/>
          </w:tcPr>
          <w:p w:rsidR="001932EC" w:rsidRPr="00AF3136" w:rsidRDefault="00CB75A4" w:rsidP="00AF3136">
            <w:pPr>
              <w:spacing w:after="0" w:line="240" w:lineRule="auto"/>
              <w:rPr>
                <w:sz w:val="20"/>
                <w:szCs w:val="20"/>
              </w:rPr>
            </w:pPr>
            <w:r w:rsidRPr="00AF3136">
              <w:rPr>
                <w:sz w:val="20"/>
                <w:szCs w:val="20"/>
              </w:rPr>
              <w:t>Provides a process through which existing governance and social information systems can be evaluated using a participatory approach (although it is not specifically designed to do this)</w:t>
            </w:r>
          </w:p>
        </w:tc>
      </w:tr>
      <w:tr w:rsidR="007B48E0" w:rsidRPr="00AF3136" w:rsidTr="00AF3136">
        <w:tc>
          <w:tcPr>
            <w:tcW w:w="1209" w:type="dxa"/>
            <w:vMerge/>
            <w:shd w:val="clear" w:color="auto" w:fill="auto"/>
          </w:tcPr>
          <w:p w:rsidR="001932EC" w:rsidRPr="00AF3136" w:rsidRDefault="001932EC" w:rsidP="00AF3136">
            <w:pPr>
              <w:spacing w:after="0" w:line="240" w:lineRule="auto"/>
              <w:rPr>
                <w:b/>
                <w:sz w:val="20"/>
                <w:szCs w:val="20"/>
              </w:rPr>
            </w:pPr>
          </w:p>
        </w:tc>
        <w:tc>
          <w:tcPr>
            <w:tcW w:w="1697" w:type="dxa"/>
            <w:vMerge w:val="restart"/>
            <w:shd w:val="clear" w:color="auto" w:fill="auto"/>
          </w:tcPr>
          <w:p w:rsidR="001932EC" w:rsidRPr="00AF3136" w:rsidRDefault="001932EC" w:rsidP="00AF3136">
            <w:pPr>
              <w:spacing w:after="0" w:line="240" w:lineRule="auto"/>
              <w:rPr>
                <w:sz w:val="20"/>
                <w:szCs w:val="20"/>
              </w:rPr>
            </w:pPr>
            <w:r w:rsidRPr="00AF3136">
              <w:rPr>
                <w:sz w:val="20"/>
                <w:szCs w:val="20"/>
              </w:rPr>
              <w:t>Indicators</w:t>
            </w:r>
          </w:p>
        </w:tc>
        <w:tc>
          <w:tcPr>
            <w:tcW w:w="3142" w:type="dxa"/>
            <w:shd w:val="clear" w:color="auto" w:fill="auto"/>
          </w:tcPr>
          <w:p w:rsidR="001932EC" w:rsidRPr="00AF3136" w:rsidRDefault="003A297F" w:rsidP="00AF3136">
            <w:pPr>
              <w:pStyle w:val="ColorfulList-Accent11"/>
              <w:numPr>
                <w:ilvl w:val="0"/>
                <w:numId w:val="46"/>
              </w:numPr>
              <w:spacing w:after="0"/>
              <w:rPr>
                <w:sz w:val="20"/>
                <w:szCs w:val="20"/>
              </w:rPr>
            </w:pPr>
            <w:r w:rsidRPr="00AF3136">
              <w:rPr>
                <w:sz w:val="20"/>
                <w:szCs w:val="20"/>
              </w:rPr>
              <w:t>Participatory Governance Assessments</w:t>
            </w:r>
          </w:p>
          <w:p w:rsidR="001932EC" w:rsidRPr="00AF3136" w:rsidRDefault="001932EC" w:rsidP="00AF3136">
            <w:pPr>
              <w:spacing w:after="0" w:line="240" w:lineRule="auto"/>
              <w:rPr>
                <w:sz w:val="20"/>
                <w:szCs w:val="20"/>
              </w:rPr>
            </w:pPr>
          </w:p>
        </w:tc>
        <w:tc>
          <w:tcPr>
            <w:tcW w:w="3528" w:type="dxa"/>
            <w:shd w:val="clear" w:color="auto" w:fill="auto"/>
          </w:tcPr>
          <w:p w:rsidR="001932EC" w:rsidRPr="00AF3136" w:rsidRDefault="001932EC" w:rsidP="00AF3136">
            <w:pPr>
              <w:spacing w:after="0" w:line="240" w:lineRule="auto"/>
              <w:rPr>
                <w:sz w:val="20"/>
                <w:szCs w:val="20"/>
              </w:rPr>
            </w:pPr>
            <w:r w:rsidRPr="00AF3136">
              <w:rPr>
                <w:sz w:val="20"/>
                <w:szCs w:val="20"/>
              </w:rPr>
              <w:t>Provides an overall approach for developing governance indicators for REDD+ schemes through a participatory approach</w:t>
            </w:r>
          </w:p>
        </w:tc>
      </w:tr>
      <w:tr w:rsidR="007B48E0" w:rsidRPr="00AF3136" w:rsidTr="00AF3136">
        <w:tc>
          <w:tcPr>
            <w:tcW w:w="1209" w:type="dxa"/>
            <w:vMerge/>
            <w:shd w:val="clear" w:color="auto" w:fill="auto"/>
          </w:tcPr>
          <w:p w:rsidR="001932EC" w:rsidRPr="00AF3136" w:rsidRDefault="001932EC" w:rsidP="00AF3136">
            <w:pPr>
              <w:spacing w:after="0" w:line="240" w:lineRule="auto"/>
              <w:rPr>
                <w:b/>
                <w:sz w:val="20"/>
                <w:szCs w:val="20"/>
              </w:rPr>
            </w:pPr>
          </w:p>
        </w:tc>
        <w:tc>
          <w:tcPr>
            <w:tcW w:w="1697" w:type="dxa"/>
            <w:vMerge/>
            <w:shd w:val="clear" w:color="auto" w:fill="auto"/>
          </w:tcPr>
          <w:p w:rsidR="001932EC" w:rsidRPr="00AF3136" w:rsidRDefault="001932EC" w:rsidP="00AF3136">
            <w:pPr>
              <w:spacing w:after="0" w:line="240" w:lineRule="auto"/>
              <w:rPr>
                <w:sz w:val="20"/>
                <w:szCs w:val="20"/>
              </w:rPr>
            </w:pPr>
          </w:p>
        </w:tc>
        <w:tc>
          <w:tcPr>
            <w:tcW w:w="3142" w:type="dxa"/>
            <w:shd w:val="clear" w:color="auto" w:fill="auto"/>
          </w:tcPr>
          <w:p w:rsidR="001932EC" w:rsidRPr="00AF3136" w:rsidRDefault="001932EC" w:rsidP="00AF3136">
            <w:pPr>
              <w:pStyle w:val="ColorfulList-Accent11"/>
              <w:numPr>
                <w:ilvl w:val="0"/>
                <w:numId w:val="46"/>
              </w:numPr>
              <w:spacing w:after="0"/>
              <w:rPr>
                <w:sz w:val="20"/>
                <w:szCs w:val="20"/>
              </w:rPr>
            </w:pPr>
            <w:r w:rsidRPr="00AF3136">
              <w:rPr>
                <w:sz w:val="20"/>
                <w:szCs w:val="20"/>
              </w:rPr>
              <w:t>Framework for assessing and monitoring forest governance</w:t>
            </w:r>
          </w:p>
        </w:tc>
        <w:tc>
          <w:tcPr>
            <w:tcW w:w="3528" w:type="dxa"/>
            <w:shd w:val="clear" w:color="auto" w:fill="auto"/>
          </w:tcPr>
          <w:p w:rsidR="001932EC" w:rsidRPr="00AF3136" w:rsidRDefault="001932EC" w:rsidP="00AF3136">
            <w:pPr>
              <w:spacing w:after="0" w:line="240" w:lineRule="auto"/>
              <w:rPr>
                <w:sz w:val="20"/>
                <w:szCs w:val="20"/>
              </w:rPr>
            </w:pPr>
            <w:r w:rsidRPr="00AF3136">
              <w:rPr>
                <w:sz w:val="20"/>
                <w:szCs w:val="20"/>
              </w:rPr>
              <w:t>Provides a tool for designing robust and com</w:t>
            </w:r>
            <w:r w:rsidR="004412AA" w:rsidRPr="00AF3136">
              <w:rPr>
                <w:sz w:val="20"/>
                <w:szCs w:val="20"/>
              </w:rPr>
              <w:t>prehensive sets of governance indicators</w:t>
            </w:r>
          </w:p>
        </w:tc>
      </w:tr>
      <w:tr w:rsidR="007B48E0" w:rsidRPr="00AF3136" w:rsidTr="00AF3136">
        <w:tc>
          <w:tcPr>
            <w:tcW w:w="1209" w:type="dxa"/>
            <w:vMerge/>
            <w:shd w:val="clear" w:color="auto" w:fill="auto"/>
          </w:tcPr>
          <w:p w:rsidR="001932EC" w:rsidRPr="00AF3136" w:rsidRDefault="001932EC" w:rsidP="00AF3136">
            <w:pPr>
              <w:spacing w:after="0" w:line="240" w:lineRule="auto"/>
              <w:rPr>
                <w:b/>
                <w:sz w:val="20"/>
                <w:szCs w:val="20"/>
              </w:rPr>
            </w:pPr>
          </w:p>
        </w:tc>
        <w:tc>
          <w:tcPr>
            <w:tcW w:w="1697" w:type="dxa"/>
            <w:vMerge w:val="restart"/>
            <w:shd w:val="clear" w:color="auto" w:fill="auto"/>
          </w:tcPr>
          <w:p w:rsidR="001932EC" w:rsidRPr="00AF3136" w:rsidRDefault="001932EC" w:rsidP="00AF3136">
            <w:pPr>
              <w:spacing w:after="0" w:line="240" w:lineRule="auto"/>
              <w:rPr>
                <w:sz w:val="20"/>
                <w:szCs w:val="20"/>
              </w:rPr>
            </w:pPr>
            <w:r w:rsidRPr="00AF3136">
              <w:rPr>
                <w:sz w:val="20"/>
                <w:szCs w:val="20"/>
              </w:rPr>
              <w:t>Methodologies for collection of information</w:t>
            </w:r>
          </w:p>
        </w:tc>
        <w:tc>
          <w:tcPr>
            <w:tcW w:w="3142" w:type="dxa"/>
            <w:shd w:val="clear" w:color="auto" w:fill="auto"/>
          </w:tcPr>
          <w:p w:rsidR="001932EC" w:rsidRPr="00AF3136" w:rsidRDefault="001932EC" w:rsidP="00AF3136">
            <w:pPr>
              <w:pStyle w:val="ColorfulList-Accent11"/>
              <w:numPr>
                <w:ilvl w:val="0"/>
                <w:numId w:val="46"/>
              </w:numPr>
              <w:spacing w:after="0"/>
              <w:rPr>
                <w:sz w:val="20"/>
                <w:szCs w:val="20"/>
              </w:rPr>
            </w:pPr>
            <w:r w:rsidRPr="00AF3136">
              <w:rPr>
                <w:sz w:val="20"/>
                <w:szCs w:val="20"/>
              </w:rPr>
              <w:t xml:space="preserve">Draft </w:t>
            </w:r>
            <w:r w:rsidR="002A1DAE" w:rsidRPr="00AF3136">
              <w:rPr>
                <w:sz w:val="20"/>
                <w:szCs w:val="20"/>
              </w:rPr>
              <w:t>g</w:t>
            </w:r>
            <w:r w:rsidRPr="00AF3136">
              <w:rPr>
                <w:sz w:val="20"/>
                <w:szCs w:val="20"/>
              </w:rPr>
              <w:t>uidelines for monitoring the impacts of REDD+ on biodiversity and ecosystem services</w:t>
            </w:r>
          </w:p>
        </w:tc>
        <w:tc>
          <w:tcPr>
            <w:tcW w:w="3528" w:type="dxa"/>
            <w:shd w:val="clear" w:color="auto" w:fill="auto"/>
          </w:tcPr>
          <w:p w:rsidR="001932EC" w:rsidRPr="00AF3136" w:rsidRDefault="001932EC" w:rsidP="00AF3136">
            <w:pPr>
              <w:spacing w:after="0" w:line="240" w:lineRule="auto"/>
              <w:rPr>
                <w:sz w:val="20"/>
                <w:szCs w:val="20"/>
              </w:rPr>
            </w:pPr>
            <w:r w:rsidRPr="00AF3136">
              <w:rPr>
                <w:sz w:val="20"/>
                <w:szCs w:val="20"/>
              </w:rPr>
              <w:t>Provides draft guidelines that could be used by government</w:t>
            </w:r>
            <w:r w:rsidR="0026235F" w:rsidRPr="00AF3136">
              <w:rPr>
                <w:sz w:val="20"/>
                <w:szCs w:val="20"/>
              </w:rPr>
              <w:t>s</w:t>
            </w:r>
            <w:r w:rsidRPr="00AF3136">
              <w:rPr>
                <w:sz w:val="20"/>
                <w:szCs w:val="20"/>
              </w:rPr>
              <w:t xml:space="preserve"> </w:t>
            </w:r>
            <w:r w:rsidR="0026235F" w:rsidRPr="00AF3136">
              <w:rPr>
                <w:sz w:val="20"/>
                <w:szCs w:val="20"/>
              </w:rPr>
              <w:t>to</w:t>
            </w:r>
            <w:r w:rsidRPr="00AF3136">
              <w:rPr>
                <w:sz w:val="20"/>
                <w:szCs w:val="20"/>
              </w:rPr>
              <w:t xml:space="preserve"> establish aspects of the SIS that are relevant to biodiversity</w:t>
            </w:r>
          </w:p>
        </w:tc>
      </w:tr>
      <w:tr w:rsidR="007B48E0" w:rsidRPr="00AF3136" w:rsidTr="00AF3136">
        <w:tc>
          <w:tcPr>
            <w:tcW w:w="1209" w:type="dxa"/>
            <w:vMerge/>
            <w:shd w:val="clear" w:color="auto" w:fill="auto"/>
          </w:tcPr>
          <w:p w:rsidR="001932EC" w:rsidRPr="00AF3136" w:rsidRDefault="001932EC" w:rsidP="00AF3136">
            <w:pPr>
              <w:spacing w:after="0" w:line="240" w:lineRule="auto"/>
              <w:rPr>
                <w:b/>
                <w:sz w:val="20"/>
                <w:szCs w:val="20"/>
              </w:rPr>
            </w:pPr>
          </w:p>
        </w:tc>
        <w:tc>
          <w:tcPr>
            <w:tcW w:w="1697" w:type="dxa"/>
            <w:vMerge/>
            <w:shd w:val="clear" w:color="auto" w:fill="auto"/>
          </w:tcPr>
          <w:p w:rsidR="001932EC" w:rsidRPr="00AF3136" w:rsidRDefault="001932EC" w:rsidP="00AF3136">
            <w:pPr>
              <w:spacing w:after="0" w:line="240" w:lineRule="auto"/>
              <w:rPr>
                <w:sz w:val="20"/>
                <w:szCs w:val="20"/>
              </w:rPr>
            </w:pPr>
          </w:p>
        </w:tc>
        <w:tc>
          <w:tcPr>
            <w:tcW w:w="3142" w:type="dxa"/>
            <w:shd w:val="clear" w:color="auto" w:fill="auto"/>
          </w:tcPr>
          <w:p w:rsidR="001932EC" w:rsidRPr="00AF3136" w:rsidRDefault="001932EC" w:rsidP="00AF3136">
            <w:pPr>
              <w:pStyle w:val="ColorfulList-Accent11"/>
              <w:numPr>
                <w:ilvl w:val="0"/>
                <w:numId w:val="46"/>
              </w:numPr>
              <w:spacing w:after="0"/>
              <w:rPr>
                <w:sz w:val="20"/>
                <w:szCs w:val="20"/>
              </w:rPr>
            </w:pPr>
            <w:r w:rsidRPr="00AF3136">
              <w:rPr>
                <w:sz w:val="20"/>
                <w:szCs w:val="20"/>
              </w:rPr>
              <w:t>Draft manual on the collection of forest governance data</w:t>
            </w:r>
          </w:p>
        </w:tc>
        <w:tc>
          <w:tcPr>
            <w:tcW w:w="3528" w:type="dxa"/>
            <w:shd w:val="clear" w:color="auto" w:fill="auto"/>
          </w:tcPr>
          <w:p w:rsidR="001932EC" w:rsidRPr="00AF3136" w:rsidRDefault="001932EC" w:rsidP="00AF3136">
            <w:pPr>
              <w:spacing w:after="0" w:line="240" w:lineRule="auto"/>
              <w:rPr>
                <w:sz w:val="20"/>
                <w:szCs w:val="20"/>
              </w:rPr>
            </w:pPr>
            <w:r w:rsidRPr="00AF3136">
              <w:rPr>
                <w:sz w:val="20"/>
                <w:szCs w:val="20"/>
              </w:rPr>
              <w:t>Provides a range of practical considerations, methods and available resources for collecting governance data</w:t>
            </w:r>
          </w:p>
        </w:tc>
      </w:tr>
    </w:tbl>
    <w:p w:rsidR="00024658" w:rsidRDefault="00024658" w:rsidP="00024658">
      <w:pPr>
        <w:pStyle w:val="Caption"/>
        <w:rPr>
          <w:rFonts w:eastAsia="Times New Roman"/>
          <w:color w:val="000000"/>
        </w:rPr>
      </w:pPr>
    </w:p>
    <w:p w:rsidR="002629A2" w:rsidRPr="00AF3136" w:rsidRDefault="002E4C0D" w:rsidP="000B6706">
      <w:pPr>
        <w:rPr>
          <w:rFonts w:cs="Calibri"/>
          <w:b/>
          <w:sz w:val="28"/>
          <w:szCs w:val="28"/>
        </w:rPr>
      </w:pPr>
      <w:r w:rsidRPr="00AF3136">
        <w:rPr>
          <w:rFonts w:cs="Calibri"/>
          <w:b/>
          <w:sz w:val="28"/>
          <w:szCs w:val="28"/>
        </w:rPr>
        <w:t>Conclusions</w:t>
      </w:r>
      <w:r w:rsidR="002629A2" w:rsidRPr="00AF3136">
        <w:rPr>
          <w:rFonts w:cs="Calibri"/>
          <w:b/>
          <w:sz w:val="28"/>
          <w:szCs w:val="28"/>
        </w:rPr>
        <w:t xml:space="preserve"> and r</w:t>
      </w:r>
      <w:r w:rsidR="001C399F" w:rsidRPr="00AF3136">
        <w:rPr>
          <w:rFonts w:cs="Calibri"/>
          <w:b/>
          <w:sz w:val="28"/>
          <w:szCs w:val="28"/>
        </w:rPr>
        <w:t>ecommendations</w:t>
      </w:r>
    </w:p>
    <w:p w:rsidR="00F803C4" w:rsidRPr="00AF3136" w:rsidRDefault="005F6EDE" w:rsidP="00F803C4">
      <w:pPr>
        <w:rPr>
          <w:rFonts w:cs="Calibri"/>
        </w:rPr>
      </w:pPr>
      <w:r w:rsidRPr="00AF3136">
        <w:rPr>
          <w:rFonts w:cs="Calibri"/>
        </w:rPr>
        <w:t xml:space="preserve">Building robust safeguards into REDD+ </w:t>
      </w:r>
      <w:r w:rsidR="004412AA" w:rsidRPr="00AF3136">
        <w:rPr>
          <w:rFonts w:cs="Calibri"/>
        </w:rPr>
        <w:t>strategies and implementation</w:t>
      </w:r>
      <w:r w:rsidR="00BE22B5" w:rsidRPr="00AF3136">
        <w:rPr>
          <w:rFonts w:cs="Calibri"/>
        </w:rPr>
        <w:t xml:space="preserve"> </w:t>
      </w:r>
      <w:r w:rsidRPr="00AF3136">
        <w:rPr>
          <w:rFonts w:cs="Calibri"/>
        </w:rPr>
        <w:t xml:space="preserve">is essential for the </w:t>
      </w:r>
      <w:r w:rsidR="00803C68" w:rsidRPr="00AF3136">
        <w:rPr>
          <w:rFonts w:cs="Calibri"/>
        </w:rPr>
        <w:t xml:space="preserve">effectiveness of </w:t>
      </w:r>
      <w:r w:rsidRPr="00AF3136">
        <w:rPr>
          <w:rFonts w:cs="Calibri"/>
        </w:rPr>
        <w:t xml:space="preserve">REDD+ </w:t>
      </w:r>
      <w:r w:rsidR="00803C68" w:rsidRPr="00AF3136">
        <w:rPr>
          <w:rFonts w:cs="Calibri"/>
        </w:rPr>
        <w:t xml:space="preserve">as an approach to climate change </w:t>
      </w:r>
      <w:r w:rsidRPr="00AF3136">
        <w:rPr>
          <w:rFonts w:cs="Calibri"/>
        </w:rPr>
        <w:t xml:space="preserve">mitigation, given the clear links </w:t>
      </w:r>
      <w:r w:rsidR="000B0D1B" w:rsidRPr="00AF3136">
        <w:rPr>
          <w:rFonts w:cs="Calibri"/>
        </w:rPr>
        <w:t>that exist among</w:t>
      </w:r>
      <w:r w:rsidRPr="00AF3136">
        <w:rPr>
          <w:rFonts w:cs="Calibri"/>
        </w:rPr>
        <w:t xml:space="preserve"> the economic, environmental and social aspects of </w:t>
      </w:r>
      <w:r w:rsidR="00555A2C" w:rsidRPr="00AF3136">
        <w:rPr>
          <w:rFonts w:cs="Calibri"/>
        </w:rPr>
        <w:t>land-use</w:t>
      </w:r>
      <w:r w:rsidRPr="00AF3136">
        <w:rPr>
          <w:rFonts w:cs="Calibri"/>
        </w:rPr>
        <w:t xml:space="preserve"> change. </w:t>
      </w:r>
      <w:r w:rsidR="004C1FF5" w:rsidRPr="00AF3136">
        <w:rPr>
          <w:rFonts w:cs="Calibri"/>
        </w:rPr>
        <w:t>E</w:t>
      </w:r>
      <w:r w:rsidR="00864E39" w:rsidRPr="00AF3136">
        <w:rPr>
          <w:rFonts w:cs="Calibri"/>
        </w:rPr>
        <w:t xml:space="preserve">stablishing safeguards </w:t>
      </w:r>
      <w:r w:rsidR="00540215" w:rsidRPr="00AF3136">
        <w:rPr>
          <w:rFonts w:cs="Calibri"/>
        </w:rPr>
        <w:t>for REDD+ ac</w:t>
      </w:r>
      <w:r w:rsidR="00864E39" w:rsidRPr="00AF3136">
        <w:rPr>
          <w:rFonts w:cs="Calibri"/>
        </w:rPr>
        <w:t xml:space="preserve">tivities is </w:t>
      </w:r>
      <w:r w:rsidR="004C1FF5" w:rsidRPr="00AF3136">
        <w:rPr>
          <w:rFonts w:cs="Calibri"/>
        </w:rPr>
        <w:t xml:space="preserve">also </w:t>
      </w:r>
      <w:r w:rsidR="006D31C5" w:rsidRPr="00AF3136">
        <w:rPr>
          <w:rFonts w:cs="Calibri"/>
        </w:rPr>
        <w:t>necessary</w:t>
      </w:r>
      <w:r w:rsidR="002629A2" w:rsidRPr="00AF3136">
        <w:rPr>
          <w:rFonts w:cs="Calibri"/>
        </w:rPr>
        <w:t xml:space="preserve"> </w:t>
      </w:r>
      <w:r w:rsidR="00864E39" w:rsidRPr="00AF3136">
        <w:rPr>
          <w:rFonts w:cs="Calibri"/>
        </w:rPr>
        <w:t xml:space="preserve">for </w:t>
      </w:r>
      <w:r w:rsidR="00540215" w:rsidRPr="00AF3136">
        <w:rPr>
          <w:rFonts w:cs="Calibri"/>
        </w:rPr>
        <w:t>countries wishing to participate in REDD+</w:t>
      </w:r>
      <w:r w:rsidR="00A25CE7" w:rsidRPr="00AF3136">
        <w:rPr>
          <w:rFonts w:cs="Calibri"/>
        </w:rPr>
        <w:t>, as safeguards are a</w:t>
      </w:r>
      <w:r w:rsidR="00540215" w:rsidRPr="00AF3136">
        <w:rPr>
          <w:rFonts w:cs="Calibri"/>
        </w:rPr>
        <w:t xml:space="preserve"> key component of UNFCCC agreements. </w:t>
      </w:r>
      <w:r w:rsidR="006D31C5" w:rsidRPr="00AF3136">
        <w:rPr>
          <w:rFonts w:cs="Calibri"/>
        </w:rPr>
        <w:t xml:space="preserve"> </w:t>
      </w:r>
      <w:r w:rsidR="000B0D1B" w:rsidRPr="00AF3136">
        <w:rPr>
          <w:rFonts w:cs="Calibri"/>
        </w:rPr>
        <w:t>C</w:t>
      </w:r>
      <w:r w:rsidR="006D31C5" w:rsidRPr="00AF3136">
        <w:rPr>
          <w:rFonts w:cs="Calibri"/>
        </w:rPr>
        <w:t>ountries have considerable flexibility to develop and implement a safeguard</w:t>
      </w:r>
      <w:r w:rsidR="002629A2" w:rsidRPr="00AF3136">
        <w:rPr>
          <w:rFonts w:cs="Calibri"/>
        </w:rPr>
        <w:t>s</w:t>
      </w:r>
      <w:r w:rsidR="006D31C5" w:rsidRPr="00AF3136">
        <w:rPr>
          <w:rFonts w:cs="Calibri"/>
        </w:rPr>
        <w:t xml:space="preserve"> </w:t>
      </w:r>
      <w:r w:rsidR="003E257E" w:rsidRPr="00AF3136">
        <w:rPr>
          <w:rFonts w:cs="Calibri"/>
        </w:rPr>
        <w:t>approach</w:t>
      </w:r>
      <w:r w:rsidR="006D31C5" w:rsidRPr="00AF3136">
        <w:rPr>
          <w:rFonts w:cs="Calibri"/>
        </w:rPr>
        <w:t xml:space="preserve"> at the national level</w:t>
      </w:r>
      <w:r w:rsidR="002629A2" w:rsidRPr="00AF3136">
        <w:rPr>
          <w:rFonts w:cs="Calibri"/>
        </w:rPr>
        <w:t xml:space="preserve">, and can build extensively on existing country policies, laws and regulations, as well as systems for collecting and </w:t>
      </w:r>
      <w:r w:rsidR="0098602C" w:rsidRPr="00AF3136">
        <w:rPr>
          <w:rFonts w:cs="Calibri"/>
        </w:rPr>
        <w:t xml:space="preserve">sharing </w:t>
      </w:r>
      <w:r w:rsidR="002629A2" w:rsidRPr="00AF3136">
        <w:rPr>
          <w:rFonts w:cs="Calibri"/>
        </w:rPr>
        <w:t>information</w:t>
      </w:r>
      <w:r w:rsidR="006D31C5" w:rsidRPr="00AF3136">
        <w:rPr>
          <w:rFonts w:cs="Calibri"/>
        </w:rPr>
        <w:t xml:space="preserve">. </w:t>
      </w:r>
      <w:r w:rsidR="002629A2" w:rsidRPr="00AF3136">
        <w:rPr>
          <w:rFonts w:cs="Calibri"/>
        </w:rPr>
        <w:t>However, in designing such systems</w:t>
      </w:r>
      <w:r w:rsidR="000B0D1B" w:rsidRPr="00AF3136">
        <w:rPr>
          <w:rFonts w:cs="Calibri"/>
        </w:rPr>
        <w:t>,</w:t>
      </w:r>
      <w:r w:rsidR="002629A2" w:rsidRPr="00AF3136">
        <w:rPr>
          <w:rFonts w:cs="Calibri"/>
        </w:rPr>
        <w:t xml:space="preserve"> it will also be important for countries to be clear about additional objectives </w:t>
      </w:r>
      <w:r w:rsidR="006D31C5" w:rsidRPr="00AF3136">
        <w:rPr>
          <w:rFonts w:cs="Calibri"/>
        </w:rPr>
        <w:t xml:space="preserve">that the system needs to fulfill, such as </w:t>
      </w:r>
      <w:r w:rsidR="00CB75A4" w:rsidRPr="00AF3136">
        <w:rPr>
          <w:rFonts w:cs="Calibri"/>
        </w:rPr>
        <w:t xml:space="preserve">domestic policy priorities as well as </w:t>
      </w:r>
      <w:r w:rsidR="006D31C5" w:rsidRPr="00AF3136">
        <w:rPr>
          <w:rFonts w:cs="Calibri"/>
        </w:rPr>
        <w:t>responding to the safeguard requirements of organi</w:t>
      </w:r>
      <w:r w:rsidR="004F54EE" w:rsidRPr="00AF3136">
        <w:rPr>
          <w:rFonts w:cs="Calibri"/>
        </w:rPr>
        <w:t>z</w:t>
      </w:r>
      <w:r w:rsidR="006D31C5" w:rsidRPr="00AF3136">
        <w:rPr>
          <w:rFonts w:cs="Calibri"/>
        </w:rPr>
        <w:t xml:space="preserve">ations </w:t>
      </w:r>
      <w:r w:rsidR="0098602C" w:rsidRPr="00AF3136">
        <w:rPr>
          <w:rFonts w:cs="Calibri"/>
        </w:rPr>
        <w:t xml:space="preserve">providing support for </w:t>
      </w:r>
      <w:r w:rsidR="006D31C5" w:rsidRPr="00AF3136">
        <w:rPr>
          <w:rFonts w:cs="Calibri"/>
        </w:rPr>
        <w:t xml:space="preserve">REDD+ </w:t>
      </w:r>
      <w:r w:rsidR="00131988" w:rsidRPr="00AF3136">
        <w:rPr>
          <w:rFonts w:cs="Calibri"/>
        </w:rPr>
        <w:t>activities</w:t>
      </w:r>
      <w:r w:rsidR="006D31C5" w:rsidRPr="00AF3136">
        <w:rPr>
          <w:rFonts w:cs="Calibri"/>
        </w:rPr>
        <w:t>.</w:t>
      </w:r>
      <w:r w:rsidR="00D66835" w:rsidRPr="00AF3136">
        <w:rPr>
          <w:rFonts w:cs="Calibri"/>
        </w:rPr>
        <w:t xml:space="preserve"> </w:t>
      </w:r>
      <w:r w:rsidRPr="00AF3136">
        <w:rPr>
          <w:rFonts w:cs="Calibri"/>
        </w:rPr>
        <w:t>This could present challenges for countries in terms of reduced efficiency and a greater burden on resources</w:t>
      </w:r>
      <w:r w:rsidR="00454851" w:rsidRPr="00AF3136">
        <w:rPr>
          <w:rFonts w:cs="Calibri"/>
        </w:rPr>
        <w:t>, although these can be overcome through efforts to harmoni</w:t>
      </w:r>
      <w:r w:rsidR="006A0419" w:rsidRPr="00AF3136">
        <w:rPr>
          <w:rFonts w:cs="Calibri"/>
        </w:rPr>
        <w:t>z</w:t>
      </w:r>
      <w:r w:rsidR="00454851" w:rsidRPr="00AF3136">
        <w:rPr>
          <w:rFonts w:cs="Calibri"/>
        </w:rPr>
        <w:t xml:space="preserve">e approaches at the country level. </w:t>
      </w:r>
      <w:r w:rsidR="003E257E" w:rsidRPr="00AF3136">
        <w:rPr>
          <w:rFonts w:cs="Calibri"/>
        </w:rPr>
        <w:t xml:space="preserve">The </w:t>
      </w:r>
      <w:r w:rsidR="009B3329" w:rsidRPr="00AF3136">
        <w:rPr>
          <w:rFonts w:cs="Calibri"/>
        </w:rPr>
        <w:t xml:space="preserve">generic </w:t>
      </w:r>
      <w:r w:rsidR="003E257E" w:rsidRPr="00AF3136">
        <w:rPr>
          <w:rFonts w:cs="Calibri"/>
        </w:rPr>
        <w:t>framework presented in thi</w:t>
      </w:r>
      <w:r w:rsidR="00B607E4" w:rsidRPr="00AF3136">
        <w:rPr>
          <w:rFonts w:cs="Calibri"/>
        </w:rPr>
        <w:t>s</w:t>
      </w:r>
      <w:r w:rsidR="003E257E" w:rsidRPr="00AF3136">
        <w:rPr>
          <w:rFonts w:cs="Calibri"/>
        </w:rPr>
        <w:t xml:space="preserve"> brief</w:t>
      </w:r>
      <w:r w:rsidR="009B3329" w:rsidRPr="00AF3136">
        <w:rPr>
          <w:rFonts w:cs="Calibri"/>
        </w:rPr>
        <w:t xml:space="preserve"> offers one approach that could be useful to countries as they organize their processes to develop </w:t>
      </w:r>
      <w:r w:rsidR="009B3329" w:rsidRPr="00AF3136">
        <w:rPr>
          <w:rFonts w:cs="Calibri"/>
        </w:rPr>
        <w:lastRenderedPageBreak/>
        <w:t xml:space="preserve">country approaches to safeguards. The instruments </w:t>
      </w:r>
      <w:r w:rsidR="00243480" w:rsidRPr="00AF3136">
        <w:rPr>
          <w:rFonts w:cs="Calibri"/>
        </w:rPr>
        <w:t xml:space="preserve">described here </w:t>
      </w:r>
      <w:r w:rsidR="009B3329" w:rsidRPr="00AF3136">
        <w:rPr>
          <w:rFonts w:cs="Calibri"/>
        </w:rPr>
        <w:t xml:space="preserve">can help to add detail to each of the steps in order to ensure that these processes are robust, but further detail </w:t>
      </w:r>
      <w:r w:rsidR="00276395" w:rsidRPr="00AF3136">
        <w:rPr>
          <w:rFonts w:cs="Calibri"/>
        </w:rPr>
        <w:t xml:space="preserve">and more targeted instruments are </w:t>
      </w:r>
      <w:r w:rsidR="009B3329" w:rsidRPr="00AF3136">
        <w:rPr>
          <w:rFonts w:cs="Calibri"/>
        </w:rPr>
        <w:t xml:space="preserve">likely to be needed </w:t>
      </w:r>
      <w:r w:rsidR="00276395" w:rsidRPr="00AF3136">
        <w:rPr>
          <w:rFonts w:cs="Calibri"/>
        </w:rPr>
        <w:t xml:space="preserve">in certain areas of the framework to ensure efficient and effective support to </w:t>
      </w:r>
      <w:r w:rsidR="000B0D1B" w:rsidRPr="00AF3136">
        <w:rPr>
          <w:rFonts w:cs="Calibri"/>
        </w:rPr>
        <w:t xml:space="preserve">REDD+ </w:t>
      </w:r>
      <w:r w:rsidR="00276395" w:rsidRPr="00AF3136">
        <w:rPr>
          <w:rFonts w:cs="Calibri"/>
        </w:rPr>
        <w:t xml:space="preserve">countries. </w:t>
      </w:r>
    </w:p>
    <w:sectPr w:rsidR="00F803C4" w:rsidRPr="00AF3136" w:rsidSect="00C97393">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1D5" w:rsidRDefault="005841D5" w:rsidP="00C412D4">
      <w:pPr>
        <w:spacing w:after="0" w:line="240" w:lineRule="auto"/>
      </w:pPr>
      <w:r>
        <w:separator/>
      </w:r>
    </w:p>
  </w:endnote>
  <w:endnote w:type="continuationSeparator" w:id="0">
    <w:p w:rsidR="005841D5" w:rsidRDefault="005841D5" w:rsidP="00C412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1D5" w:rsidRDefault="005841D5" w:rsidP="00C412D4">
      <w:pPr>
        <w:spacing w:after="0" w:line="240" w:lineRule="auto"/>
      </w:pPr>
      <w:r>
        <w:separator/>
      </w:r>
    </w:p>
  </w:footnote>
  <w:footnote w:type="continuationSeparator" w:id="0">
    <w:p w:rsidR="005841D5" w:rsidRDefault="005841D5" w:rsidP="00C412D4">
      <w:pPr>
        <w:spacing w:after="0" w:line="240" w:lineRule="auto"/>
      </w:pPr>
      <w:r>
        <w:continuationSeparator/>
      </w:r>
    </w:p>
  </w:footnote>
  <w:footnote w:id="1">
    <w:p w:rsidR="00EF760A" w:rsidRPr="00F12912" w:rsidRDefault="00EF760A" w:rsidP="00243480">
      <w:pPr>
        <w:spacing w:after="100" w:afterAutospacing="1" w:line="240" w:lineRule="auto"/>
      </w:pPr>
      <w:r>
        <w:rPr>
          <w:rStyle w:val="FootnoteReference"/>
        </w:rPr>
        <w:footnoteRef/>
      </w:r>
      <w:r>
        <w:t xml:space="preserve"> </w:t>
      </w:r>
      <w:r>
        <w:rPr>
          <w:sz w:val="18"/>
          <w:szCs w:val="18"/>
        </w:rPr>
        <w:t>This brief</w:t>
      </w:r>
      <w:r w:rsidRPr="00F12912">
        <w:rPr>
          <w:sz w:val="18"/>
          <w:szCs w:val="18"/>
        </w:rPr>
        <w:t xml:space="preserve"> has received, at different stages of its development, valuable inputs</w:t>
      </w:r>
      <w:r>
        <w:rPr>
          <w:sz w:val="18"/>
          <w:szCs w:val="18"/>
        </w:rPr>
        <w:t xml:space="preserve"> by those within the UN-REDD Programme</w:t>
      </w:r>
      <w:r w:rsidRPr="00F12912">
        <w:rPr>
          <w:sz w:val="18"/>
          <w:szCs w:val="18"/>
        </w:rPr>
        <w:t xml:space="preserve">, particularly </w:t>
      </w:r>
      <w:r>
        <w:rPr>
          <w:sz w:val="18"/>
          <w:szCs w:val="18"/>
        </w:rPr>
        <w:t xml:space="preserve">Tim Clairs, Silje Haugland, Jennifer Laughlin (UNDP), Julie Greenwalt (UNEP), Barney Dickson (UNEP-WCMC), Emelyne Cheney and Maria </w:t>
      </w:r>
      <w:proofErr w:type="spellStart"/>
      <w:r>
        <w:rPr>
          <w:sz w:val="18"/>
          <w:szCs w:val="18"/>
        </w:rPr>
        <w:t>Sanz</w:t>
      </w:r>
      <w:proofErr w:type="spellEnd"/>
      <w:r>
        <w:rPr>
          <w:sz w:val="18"/>
          <w:szCs w:val="18"/>
        </w:rPr>
        <w:t xml:space="preserve">-Sanchez (FAO) as well as several external reviewers: Joanna Durbin (REDD+ SES), </w:t>
      </w:r>
      <w:proofErr w:type="spellStart"/>
      <w:r>
        <w:rPr>
          <w:sz w:val="18"/>
          <w:szCs w:val="18"/>
        </w:rPr>
        <w:t>Kenn</w:t>
      </w:r>
      <w:proofErr w:type="spellEnd"/>
      <w:r>
        <w:rPr>
          <w:sz w:val="18"/>
          <w:szCs w:val="18"/>
        </w:rPr>
        <w:t xml:space="preserve"> Rapp (World Bank FCPF), and Emily </w:t>
      </w:r>
      <w:proofErr w:type="spellStart"/>
      <w:r>
        <w:rPr>
          <w:sz w:val="18"/>
          <w:szCs w:val="18"/>
        </w:rPr>
        <w:t>Brickell</w:t>
      </w:r>
      <w:proofErr w:type="spellEnd"/>
      <w:r>
        <w:rPr>
          <w:sz w:val="18"/>
          <w:szCs w:val="18"/>
        </w:rPr>
        <w:t xml:space="preserve"> (Overseas Development Institute).</w:t>
      </w:r>
    </w:p>
  </w:footnote>
  <w:footnote w:id="2">
    <w:p w:rsidR="00EF760A" w:rsidRPr="00F12912" w:rsidRDefault="00EF760A">
      <w:pPr>
        <w:pStyle w:val="FootnoteText"/>
        <w:rPr>
          <w:sz w:val="18"/>
          <w:szCs w:val="18"/>
        </w:rPr>
      </w:pPr>
      <w:r w:rsidRPr="00F12912">
        <w:rPr>
          <w:rStyle w:val="FootnoteReference"/>
          <w:sz w:val="18"/>
          <w:szCs w:val="18"/>
        </w:rPr>
        <w:footnoteRef/>
      </w:r>
      <w:r w:rsidRPr="00F12912">
        <w:rPr>
          <w:sz w:val="18"/>
          <w:szCs w:val="18"/>
        </w:rPr>
        <w:t xml:space="preserve"> Note that the framework presented in this brief builds on a conceptual framework developed together with the REDD+ </w:t>
      </w:r>
      <w:r>
        <w:rPr>
          <w:sz w:val="18"/>
          <w:szCs w:val="18"/>
        </w:rPr>
        <w:t xml:space="preserve">Social and Environmental Standards initiative (REDD+ </w:t>
      </w:r>
      <w:r w:rsidRPr="00F12912">
        <w:rPr>
          <w:sz w:val="18"/>
          <w:szCs w:val="18"/>
        </w:rPr>
        <w:t>SES</w:t>
      </w:r>
      <w:r>
        <w:rPr>
          <w:sz w:val="18"/>
          <w:szCs w:val="18"/>
        </w:rPr>
        <w:t>)</w:t>
      </w:r>
      <w:r w:rsidRPr="00F12912">
        <w:rPr>
          <w:sz w:val="18"/>
          <w:szCs w:val="18"/>
        </w:rPr>
        <w:t xml:space="preserve"> and </w:t>
      </w:r>
      <w:r>
        <w:rPr>
          <w:sz w:val="18"/>
          <w:szCs w:val="18"/>
        </w:rPr>
        <w:t>the World Bank Forest Carbon Partnership Facility (</w:t>
      </w:r>
      <w:r w:rsidRPr="00F12912">
        <w:rPr>
          <w:sz w:val="18"/>
          <w:szCs w:val="18"/>
        </w:rPr>
        <w:t>FCPF</w:t>
      </w:r>
      <w:r>
        <w:rPr>
          <w:sz w:val="18"/>
          <w:szCs w:val="18"/>
        </w:rPr>
        <w:t xml:space="preserve">) </w:t>
      </w:r>
      <w:r w:rsidRPr="00F12912">
        <w:rPr>
          <w:sz w:val="18"/>
          <w:szCs w:val="18"/>
        </w:rPr>
        <w:t>in order to clarify links between different international instruments to support countries on developing REDD+ safeguards.</w:t>
      </w:r>
    </w:p>
  </w:footnote>
  <w:footnote w:id="3">
    <w:p w:rsidR="00EF760A" w:rsidRDefault="00EF760A">
      <w:pPr>
        <w:pStyle w:val="FootnoteText"/>
      </w:pPr>
      <w:r>
        <w:rPr>
          <w:rStyle w:val="FootnoteReference"/>
        </w:rPr>
        <w:footnoteRef/>
      </w:r>
      <w:r>
        <w:t xml:space="preserve"> </w:t>
      </w:r>
      <w:r w:rsidRPr="005B72ED">
        <w:rPr>
          <w:sz w:val="18"/>
          <w:szCs w:val="18"/>
        </w:rPr>
        <w:t xml:space="preserve">There is potential for future </w:t>
      </w:r>
      <w:r>
        <w:rPr>
          <w:sz w:val="18"/>
          <w:szCs w:val="18"/>
        </w:rPr>
        <w:t xml:space="preserve">UNFCCC </w:t>
      </w:r>
      <w:r w:rsidRPr="005B72ED">
        <w:rPr>
          <w:sz w:val="18"/>
          <w:szCs w:val="18"/>
        </w:rPr>
        <w:t xml:space="preserve">decisions </w:t>
      </w:r>
      <w:r>
        <w:rPr>
          <w:sz w:val="18"/>
          <w:szCs w:val="18"/>
        </w:rPr>
        <w:t>to provide</w:t>
      </w:r>
      <w:r w:rsidRPr="005B72ED">
        <w:rPr>
          <w:sz w:val="18"/>
          <w:szCs w:val="18"/>
        </w:rPr>
        <w:t xml:space="preserve"> more detailed guidance related to </w:t>
      </w:r>
      <w:r w:rsidRPr="005B72ED">
        <w:rPr>
          <w:bCs/>
          <w:sz w:val="18"/>
          <w:szCs w:val="18"/>
        </w:rPr>
        <w:t>transparency, consistency, comprehensiveness and effectiveness</w:t>
      </w:r>
      <w:r w:rsidRPr="005B72ED">
        <w:rPr>
          <w:sz w:val="18"/>
          <w:szCs w:val="18"/>
        </w:rPr>
        <w:t xml:space="preserve"> in the presentation of the summary of information on safeguards as well as on the timing and frequency of the presentation of the summary of information on safeguards.</w:t>
      </w:r>
    </w:p>
  </w:footnote>
  <w:footnote w:id="4">
    <w:p w:rsidR="00EF760A" w:rsidRPr="003C2FE4" w:rsidRDefault="00EF760A">
      <w:pPr>
        <w:pStyle w:val="FootnoteText"/>
        <w:rPr>
          <w:lang w:val="es-ES_tradnl"/>
        </w:rPr>
      </w:pPr>
      <w:r>
        <w:rPr>
          <w:rStyle w:val="FootnoteReference"/>
        </w:rPr>
        <w:footnoteRef/>
      </w:r>
      <w:r w:rsidRPr="00687941">
        <w:rPr>
          <w:lang w:val="it-IT"/>
        </w:rPr>
        <w:t xml:space="preserve"> </w:t>
      </w:r>
      <w:r w:rsidRPr="00687941">
        <w:rPr>
          <w:sz w:val="18"/>
          <w:lang w:val="it-IT"/>
        </w:rPr>
        <w:t>Cancun decision 1/CP.16: http://unfccc.int/resource/docs/2010/cop16/eng/07a01.pdf#page=2</w:t>
      </w:r>
    </w:p>
  </w:footnote>
  <w:footnote w:id="5">
    <w:p w:rsidR="00EF760A" w:rsidRPr="008F3355" w:rsidRDefault="00EF760A" w:rsidP="00EB59A9">
      <w:pPr>
        <w:pStyle w:val="FootnoteText"/>
        <w:rPr>
          <w:sz w:val="18"/>
          <w:szCs w:val="18"/>
        </w:rPr>
      </w:pPr>
      <w:r>
        <w:rPr>
          <w:rStyle w:val="FootnoteReference"/>
        </w:rPr>
        <w:footnoteRef/>
      </w:r>
      <w:r>
        <w:t xml:space="preserve"> </w:t>
      </w:r>
      <w:r w:rsidRPr="008F3355">
        <w:rPr>
          <w:sz w:val="18"/>
          <w:szCs w:val="18"/>
        </w:rPr>
        <w:t>Durban decision 12/CP.17</w:t>
      </w:r>
      <w:r>
        <w:rPr>
          <w:sz w:val="18"/>
          <w:szCs w:val="18"/>
        </w:rPr>
        <w:t xml:space="preserve">: </w:t>
      </w:r>
      <w:r w:rsidRPr="008F3355">
        <w:rPr>
          <w:sz w:val="18"/>
          <w:szCs w:val="18"/>
        </w:rPr>
        <w:t>http://unfccc.int/resource/docs/2011/cop17/eng/09a02.pdf#page=16</w:t>
      </w:r>
    </w:p>
    <w:p w:rsidR="00EF760A" w:rsidRDefault="00EF760A">
      <w:pPr>
        <w:pStyle w:val="FootnoteText"/>
      </w:pPr>
    </w:p>
  </w:footnote>
  <w:footnote w:id="6">
    <w:p w:rsidR="00EF760A" w:rsidRDefault="00EF760A" w:rsidP="0082184B">
      <w:pPr>
        <w:pStyle w:val="FootnoteText"/>
      </w:pPr>
      <w:r>
        <w:rPr>
          <w:rStyle w:val="FootnoteReference"/>
        </w:rPr>
        <w:footnoteRef/>
      </w:r>
      <w:r>
        <w:t xml:space="preserve"> </w:t>
      </w:r>
      <w:r w:rsidRPr="00F03813">
        <w:rPr>
          <w:sz w:val="18"/>
          <w:szCs w:val="18"/>
        </w:rPr>
        <w:t xml:space="preserve">See </w:t>
      </w:r>
      <w:r>
        <w:rPr>
          <w:sz w:val="18"/>
          <w:szCs w:val="18"/>
        </w:rPr>
        <w:t xml:space="preserve">the executive summary of the </w:t>
      </w:r>
      <w:r w:rsidRPr="00F03813">
        <w:rPr>
          <w:sz w:val="18"/>
          <w:szCs w:val="18"/>
        </w:rPr>
        <w:t xml:space="preserve">UN-REDD </w:t>
      </w:r>
      <w:proofErr w:type="spellStart"/>
      <w:r>
        <w:rPr>
          <w:sz w:val="18"/>
          <w:szCs w:val="18"/>
        </w:rPr>
        <w:t>Programme's</w:t>
      </w:r>
      <w:proofErr w:type="spellEnd"/>
      <w:r>
        <w:rPr>
          <w:sz w:val="18"/>
          <w:szCs w:val="18"/>
        </w:rPr>
        <w:t xml:space="preserve"> publication, "Ensuring I</w:t>
      </w:r>
      <w:r w:rsidRPr="00F03813">
        <w:rPr>
          <w:sz w:val="18"/>
          <w:szCs w:val="18"/>
        </w:rPr>
        <w:t xml:space="preserve">nclusive, </w:t>
      </w:r>
      <w:r>
        <w:rPr>
          <w:sz w:val="18"/>
          <w:szCs w:val="18"/>
        </w:rPr>
        <w:t>T</w:t>
      </w:r>
      <w:r w:rsidRPr="00F03813">
        <w:rPr>
          <w:sz w:val="18"/>
          <w:szCs w:val="18"/>
        </w:rPr>
        <w:t>ransparent an</w:t>
      </w:r>
      <w:r>
        <w:rPr>
          <w:sz w:val="18"/>
          <w:szCs w:val="18"/>
        </w:rPr>
        <w:t>d Accountable N</w:t>
      </w:r>
      <w:r w:rsidRPr="00F03813">
        <w:rPr>
          <w:sz w:val="18"/>
          <w:szCs w:val="18"/>
        </w:rPr>
        <w:t xml:space="preserve">ational REDD+ </w:t>
      </w:r>
      <w:r>
        <w:rPr>
          <w:sz w:val="18"/>
          <w:szCs w:val="18"/>
        </w:rPr>
        <w:t xml:space="preserve">Systems: the Role of Freedom of Information" from </w:t>
      </w:r>
      <w:r w:rsidRPr="00F03813">
        <w:rPr>
          <w:sz w:val="18"/>
          <w:szCs w:val="18"/>
        </w:rPr>
        <w:t>November 2012</w:t>
      </w:r>
      <w:r>
        <w:rPr>
          <w:sz w:val="18"/>
          <w:szCs w:val="18"/>
        </w:rPr>
        <w:t xml:space="preserve">,  available here : </w:t>
      </w:r>
      <w:r w:rsidRPr="0072290E">
        <w:rPr>
          <w:sz w:val="18"/>
          <w:szCs w:val="18"/>
        </w:rPr>
        <w:t>http://www.un-redd.org/Transparent_Management_REDD_Funds/tabid/54009/Default.aspx</w:t>
      </w:r>
    </w:p>
  </w:footnote>
  <w:footnote w:id="7">
    <w:p w:rsidR="00EF760A" w:rsidRPr="006A0419" w:rsidRDefault="00EF760A" w:rsidP="00624748">
      <w:pPr>
        <w:pStyle w:val="FootnoteText"/>
        <w:rPr>
          <w:sz w:val="18"/>
          <w:szCs w:val="18"/>
        </w:rPr>
      </w:pPr>
      <w:r w:rsidRPr="006A0419">
        <w:rPr>
          <w:rStyle w:val="FootnoteReference"/>
          <w:sz w:val="18"/>
          <w:szCs w:val="18"/>
        </w:rPr>
        <w:footnoteRef/>
      </w:r>
      <w:r w:rsidRPr="006A0419">
        <w:rPr>
          <w:sz w:val="18"/>
          <w:szCs w:val="18"/>
        </w:rPr>
        <w:t xml:space="preserve"> Fast facts: Participatory governance assessments for REDD+: http://www.undp.org/content/undp/en/home/librarypage/democratic-governance/oslo_governance_centre/governance_assessments/fast-facts--participatory-governance-assessments-for-redd/</w:t>
      </w:r>
    </w:p>
  </w:footnote>
  <w:footnote w:id="8">
    <w:p w:rsidR="00EF760A" w:rsidRPr="00253F66" w:rsidRDefault="00EF760A" w:rsidP="00253F66">
      <w:pPr>
        <w:pStyle w:val="FootnoteText"/>
        <w:rPr>
          <w:sz w:val="18"/>
          <w:szCs w:val="18"/>
        </w:rPr>
      </w:pPr>
      <w:r>
        <w:rPr>
          <w:rStyle w:val="FootnoteReference"/>
        </w:rPr>
        <w:footnoteRef/>
      </w:r>
      <w:r>
        <w:t xml:space="preserve"> </w:t>
      </w:r>
      <w:r w:rsidRPr="00253F66">
        <w:rPr>
          <w:sz w:val="18"/>
          <w:szCs w:val="18"/>
        </w:rPr>
        <w:t>See</w:t>
      </w:r>
      <w:r>
        <w:rPr>
          <w:sz w:val="18"/>
          <w:szCs w:val="18"/>
        </w:rPr>
        <w:t>,</w:t>
      </w:r>
      <w:r w:rsidRPr="00253F66">
        <w:rPr>
          <w:sz w:val="18"/>
          <w:szCs w:val="18"/>
        </w:rPr>
        <w:t xml:space="preserve"> for example</w:t>
      </w:r>
      <w:r>
        <w:rPr>
          <w:sz w:val="18"/>
          <w:szCs w:val="18"/>
        </w:rPr>
        <w:t>,</w:t>
      </w:r>
      <w:r w:rsidRPr="00253F66">
        <w:rPr>
          <w:sz w:val="18"/>
          <w:szCs w:val="18"/>
        </w:rPr>
        <w:t xml:space="preserve"> the list of such treaties and conventions detailed in the UN-REDD </w:t>
      </w:r>
      <w:proofErr w:type="spellStart"/>
      <w:r>
        <w:rPr>
          <w:sz w:val="18"/>
          <w:szCs w:val="18"/>
        </w:rPr>
        <w:t>Programme's</w:t>
      </w:r>
      <w:proofErr w:type="spellEnd"/>
      <w:r>
        <w:rPr>
          <w:sz w:val="18"/>
          <w:szCs w:val="18"/>
        </w:rPr>
        <w:t xml:space="preserve"> </w:t>
      </w:r>
      <w:r w:rsidRPr="00253F66">
        <w:rPr>
          <w:sz w:val="18"/>
          <w:szCs w:val="18"/>
        </w:rPr>
        <w:t>Social and Environmental Principles and Criteria</w:t>
      </w:r>
      <w:r>
        <w:rPr>
          <w:sz w:val="18"/>
          <w:szCs w:val="18"/>
        </w:rPr>
        <w:t xml:space="preserve">: </w:t>
      </w:r>
      <w:r w:rsidRPr="00253F66">
        <w:rPr>
          <w:sz w:val="18"/>
          <w:szCs w:val="18"/>
        </w:rPr>
        <w:t>http://www.unredd.net/index.php?option=com_docman&amp;task=doc_download&amp;gid=6985&amp;Itemid=53</w:t>
      </w:r>
    </w:p>
  </w:footnote>
  <w:footnote w:id="9">
    <w:p w:rsidR="00EF760A" w:rsidRPr="006A0419" w:rsidRDefault="00EF760A" w:rsidP="00BE507C">
      <w:pPr>
        <w:pStyle w:val="FootnoteText"/>
        <w:rPr>
          <w:sz w:val="18"/>
          <w:szCs w:val="18"/>
        </w:rPr>
      </w:pPr>
      <w:r>
        <w:rPr>
          <w:rStyle w:val="FootnoteReference"/>
        </w:rPr>
        <w:footnoteRef/>
      </w:r>
      <w:r>
        <w:t xml:space="preserve"> </w:t>
      </w:r>
      <w:r w:rsidRPr="006A0419">
        <w:rPr>
          <w:sz w:val="18"/>
          <w:szCs w:val="18"/>
        </w:rPr>
        <w:t>Note that the development of SIS might to some extent be carried out in parallel with the development of safeguard PLRs</w:t>
      </w:r>
    </w:p>
  </w:footnote>
  <w:footnote w:id="10">
    <w:p w:rsidR="00EF760A" w:rsidRPr="006A0419" w:rsidRDefault="00EF760A" w:rsidP="008A187E">
      <w:pPr>
        <w:pStyle w:val="FootnoteText"/>
        <w:rPr>
          <w:sz w:val="18"/>
          <w:szCs w:val="18"/>
        </w:rPr>
      </w:pPr>
      <w:r w:rsidRPr="00E51361">
        <w:rPr>
          <w:rStyle w:val="FootnoteReference"/>
          <w:sz w:val="20"/>
          <w:szCs w:val="20"/>
        </w:rPr>
        <w:footnoteRef/>
      </w:r>
      <w:r w:rsidRPr="00E51361">
        <w:rPr>
          <w:sz w:val="20"/>
          <w:szCs w:val="20"/>
        </w:rPr>
        <w:t xml:space="preserve"> </w:t>
      </w:r>
      <w:r w:rsidRPr="006A0419">
        <w:rPr>
          <w:sz w:val="18"/>
          <w:szCs w:val="18"/>
        </w:rPr>
        <w:t>These Guidelines are most useful when applied from the beginning and throughout all stages in the development of country approaches to safeguards.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60A" w:rsidRDefault="00EF760A">
    <w:pPr>
      <w:pStyle w:val="Header"/>
    </w:pPr>
    <w:r w:rsidRPr="00AF3136">
      <w:rPr>
        <w:b/>
        <w:bCs/>
        <w:noProof/>
        <w:color w:val="76923C"/>
        <w:sz w:val="24"/>
        <w:szCs w:val="24"/>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4536E"/>
    <w:multiLevelType w:val="hybridMultilevel"/>
    <w:tmpl w:val="F04AC8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5F4D75"/>
    <w:multiLevelType w:val="hybridMultilevel"/>
    <w:tmpl w:val="8EBC4A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D867C2"/>
    <w:multiLevelType w:val="hybridMultilevel"/>
    <w:tmpl w:val="B1D0E8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A2EF1"/>
    <w:multiLevelType w:val="hybridMultilevel"/>
    <w:tmpl w:val="78B890A8"/>
    <w:lvl w:ilvl="0" w:tplc="30883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E2C4DDA"/>
    <w:multiLevelType w:val="hybridMultilevel"/>
    <w:tmpl w:val="4058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E2EF9"/>
    <w:multiLevelType w:val="hybridMultilevel"/>
    <w:tmpl w:val="96E8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E468A8"/>
    <w:multiLevelType w:val="hybridMultilevel"/>
    <w:tmpl w:val="6ADE1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860756"/>
    <w:multiLevelType w:val="hybridMultilevel"/>
    <w:tmpl w:val="6272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E0578B"/>
    <w:multiLevelType w:val="hybridMultilevel"/>
    <w:tmpl w:val="93E062D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6323994"/>
    <w:multiLevelType w:val="hybridMultilevel"/>
    <w:tmpl w:val="165E5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1B60ED"/>
    <w:multiLevelType w:val="hybridMultilevel"/>
    <w:tmpl w:val="635655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D9437F"/>
    <w:multiLevelType w:val="hybridMultilevel"/>
    <w:tmpl w:val="851E3B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1E74A4B"/>
    <w:multiLevelType w:val="hybridMultilevel"/>
    <w:tmpl w:val="4698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5B7C5B"/>
    <w:multiLevelType w:val="hybridMultilevel"/>
    <w:tmpl w:val="0D64119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CC69EC"/>
    <w:multiLevelType w:val="hybridMultilevel"/>
    <w:tmpl w:val="A528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55954"/>
    <w:multiLevelType w:val="hybridMultilevel"/>
    <w:tmpl w:val="E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524B6C"/>
    <w:multiLevelType w:val="hybridMultilevel"/>
    <w:tmpl w:val="7E2E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0A4EF0"/>
    <w:multiLevelType w:val="hybridMultilevel"/>
    <w:tmpl w:val="487E73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633365"/>
    <w:multiLevelType w:val="hybridMultilevel"/>
    <w:tmpl w:val="55AAB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A3F51"/>
    <w:multiLevelType w:val="hybridMultilevel"/>
    <w:tmpl w:val="853E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6D40E3"/>
    <w:multiLevelType w:val="hybridMultilevel"/>
    <w:tmpl w:val="1CD0AA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3F0D48"/>
    <w:multiLevelType w:val="hybridMultilevel"/>
    <w:tmpl w:val="EADED2AA"/>
    <w:lvl w:ilvl="0" w:tplc="E3C237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7C15CB"/>
    <w:multiLevelType w:val="hybridMultilevel"/>
    <w:tmpl w:val="3DE00E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CE22A8"/>
    <w:multiLevelType w:val="hybridMultilevel"/>
    <w:tmpl w:val="D884BF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FA3BD1"/>
    <w:multiLevelType w:val="hybridMultilevel"/>
    <w:tmpl w:val="E9EED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614369E"/>
    <w:multiLevelType w:val="hybridMultilevel"/>
    <w:tmpl w:val="BEC89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616AE5"/>
    <w:multiLevelType w:val="hybridMultilevel"/>
    <w:tmpl w:val="A89853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B0E1D38"/>
    <w:multiLevelType w:val="hybridMultilevel"/>
    <w:tmpl w:val="294A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A52D06"/>
    <w:multiLevelType w:val="multilevel"/>
    <w:tmpl w:val="E188BA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nsid w:val="4FEB3071"/>
    <w:multiLevelType w:val="hybridMultilevel"/>
    <w:tmpl w:val="3134F05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B15706"/>
    <w:multiLevelType w:val="hybridMultilevel"/>
    <w:tmpl w:val="7C286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FE2865"/>
    <w:multiLevelType w:val="hybridMultilevel"/>
    <w:tmpl w:val="BE38DDE6"/>
    <w:lvl w:ilvl="0" w:tplc="0409000F">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7937DA8"/>
    <w:multiLevelType w:val="hybridMultilevel"/>
    <w:tmpl w:val="EFFAF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A7589A"/>
    <w:multiLevelType w:val="hybridMultilevel"/>
    <w:tmpl w:val="B8482A22"/>
    <w:lvl w:ilvl="0" w:tplc="A2123870">
      <w:start w:val="1"/>
      <w:numFmt w:val="bullet"/>
      <w:lvlText w:val="•"/>
      <w:lvlJc w:val="left"/>
      <w:pPr>
        <w:tabs>
          <w:tab w:val="num" w:pos="720"/>
        </w:tabs>
        <w:ind w:left="720" w:hanging="360"/>
      </w:pPr>
      <w:rPr>
        <w:rFonts w:ascii="Arial" w:hAnsi="Arial" w:hint="default"/>
      </w:rPr>
    </w:lvl>
    <w:lvl w:ilvl="1" w:tplc="B442ED86">
      <w:start w:val="766"/>
      <w:numFmt w:val="bullet"/>
      <w:lvlText w:val="–"/>
      <w:lvlJc w:val="left"/>
      <w:pPr>
        <w:tabs>
          <w:tab w:val="num" w:pos="1440"/>
        </w:tabs>
        <w:ind w:left="1440" w:hanging="360"/>
      </w:pPr>
      <w:rPr>
        <w:rFonts w:ascii="Arial" w:hAnsi="Arial" w:hint="default"/>
      </w:rPr>
    </w:lvl>
    <w:lvl w:ilvl="2" w:tplc="D0EEC3BC" w:tentative="1">
      <w:start w:val="1"/>
      <w:numFmt w:val="bullet"/>
      <w:lvlText w:val="•"/>
      <w:lvlJc w:val="left"/>
      <w:pPr>
        <w:tabs>
          <w:tab w:val="num" w:pos="2160"/>
        </w:tabs>
        <w:ind w:left="2160" w:hanging="360"/>
      </w:pPr>
      <w:rPr>
        <w:rFonts w:ascii="Arial" w:hAnsi="Arial" w:hint="default"/>
      </w:rPr>
    </w:lvl>
    <w:lvl w:ilvl="3" w:tplc="BE9636C0" w:tentative="1">
      <w:start w:val="1"/>
      <w:numFmt w:val="bullet"/>
      <w:lvlText w:val="•"/>
      <w:lvlJc w:val="left"/>
      <w:pPr>
        <w:tabs>
          <w:tab w:val="num" w:pos="2880"/>
        </w:tabs>
        <w:ind w:left="2880" w:hanging="360"/>
      </w:pPr>
      <w:rPr>
        <w:rFonts w:ascii="Arial" w:hAnsi="Arial" w:hint="default"/>
      </w:rPr>
    </w:lvl>
    <w:lvl w:ilvl="4" w:tplc="C6DC7230" w:tentative="1">
      <w:start w:val="1"/>
      <w:numFmt w:val="bullet"/>
      <w:lvlText w:val="•"/>
      <w:lvlJc w:val="left"/>
      <w:pPr>
        <w:tabs>
          <w:tab w:val="num" w:pos="3600"/>
        </w:tabs>
        <w:ind w:left="3600" w:hanging="360"/>
      </w:pPr>
      <w:rPr>
        <w:rFonts w:ascii="Arial" w:hAnsi="Arial" w:hint="default"/>
      </w:rPr>
    </w:lvl>
    <w:lvl w:ilvl="5" w:tplc="FED6E192" w:tentative="1">
      <w:start w:val="1"/>
      <w:numFmt w:val="bullet"/>
      <w:lvlText w:val="•"/>
      <w:lvlJc w:val="left"/>
      <w:pPr>
        <w:tabs>
          <w:tab w:val="num" w:pos="4320"/>
        </w:tabs>
        <w:ind w:left="4320" w:hanging="360"/>
      </w:pPr>
      <w:rPr>
        <w:rFonts w:ascii="Arial" w:hAnsi="Arial" w:hint="default"/>
      </w:rPr>
    </w:lvl>
    <w:lvl w:ilvl="6" w:tplc="49C8EB5E" w:tentative="1">
      <w:start w:val="1"/>
      <w:numFmt w:val="bullet"/>
      <w:lvlText w:val="•"/>
      <w:lvlJc w:val="left"/>
      <w:pPr>
        <w:tabs>
          <w:tab w:val="num" w:pos="5040"/>
        </w:tabs>
        <w:ind w:left="5040" w:hanging="360"/>
      </w:pPr>
      <w:rPr>
        <w:rFonts w:ascii="Arial" w:hAnsi="Arial" w:hint="default"/>
      </w:rPr>
    </w:lvl>
    <w:lvl w:ilvl="7" w:tplc="FDB0E86A" w:tentative="1">
      <w:start w:val="1"/>
      <w:numFmt w:val="bullet"/>
      <w:lvlText w:val="•"/>
      <w:lvlJc w:val="left"/>
      <w:pPr>
        <w:tabs>
          <w:tab w:val="num" w:pos="5760"/>
        </w:tabs>
        <w:ind w:left="5760" w:hanging="360"/>
      </w:pPr>
      <w:rPr>
        <w:rFonts w:ascii="Arial" w:hAnsi="Arial" w:hint="default"/>
      </w:rPr>
    </w:lvl>
    <w:lvl w:ilvl="8" w:tplc="CD245CD0" w:tentative="1">
      <w:start w:val="1"/>
      <w:numFmt w:val="bullet"/>
      <w:lvlText w:val="•"/>
      <w:lvlJc w:val="left"/>
      <w:pPr>
        <w:tabs>
          <w:tab w:val="num" w:pos="6480"/>
        </w:tabs>
        <w:ind w:left="6480" w:hanging="360"/>
      </w:pPr>
      <w:rPr>
        <w:rFonts w:ascii="Arial" w:hAnsi="Arial" w:hint="default"/>
      </w:rPr>
    </w:lvl>
  </w:abstractNum>
  <w:abstractNum w:abstractNumId="35">
    <w:nsid w:val="58C13660"/>
    <w:multiLevelType w:val="hybridMultilevel"/>
    <w:tmpl w:val="78B890A8"/>
    <w:lvl w:ilvl="0" w:tplc="3088325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nsid w:val="5A1D4471"/>
    <w:multiLevelType w:val="hybridMultilevel"/>
    <w:tmpl w:val="40580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120503"/>
    <w:multiLevelType w:val="hybridMultilevel"/>
    <w:tmpl w:val="0CC06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C6E281B"/>
    <w:multiLevelType w:val="hybridMultilevel"/>
    <w:tmpl w:val="80EA1206"/>
    <w:lvl w:ilvl="0" w:tplc="D74ADDC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F063457"/>
    <w:multiLevelType w:val="hybridMultilevel"/>
    <w:tmpl w:val="7622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5F349A"/>
    <w:multiLevelType w:val="hybridMultilevel"/>
    <w:tmpl w:val="8FA67B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6867407"/>
    <w:multiLevelType w:val="hybridMultilevel"/>
    <w:tmpl w:val="17EE4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B61C9C"/>
    <w:multiLevelType w:val="hybridMultilevel"/>
    <w:tmpl w:val="9022E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6317F6"/>
    <w:multiLevelType w:val="hybridMultilevel"/>
    <w:tmpl w:val="C90ED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AF4AA0"/>
    <w:multiLevelType w:val="hybridMultilevel"/>
    <w:tmpl w:val="BB567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1727B47"/>
    <w:multiLevelType w:val="hybridMultilevel"/>
    <w:tmpl w:val="6AFE3114"/>
    <w:lvl w:ilvl="0" w:tplc="1B5ABC36">
      <w:start w:val="1"/>
      <w:numFmt w:val="bullet"/>
      <w:lvlText w:val="•"/>
      <w:lvlJc w:val="left"/>
      <w:pPr>
        <w:tabs>
          <w:tab w:val="num" w:pos="720"/>
        </w:tabs>
        <w:ind w:left="720" w:hanging="360"/>
      </w:pPr>
      <w:rPr>
        <w:rFonts w:ascii="Arial" w:hAnsi="Arial" w:hint="default"/>
      </w:rPr>
    </w:lvl>
    <w:lvl w:ilvl="1" w:tplc="1B6C685A" w:tentative="1">
      <w:start w:val="1"/>
      <w:numFmt w:val="bullet"/>
      <w:lvlText w:val="•"/>
      <w:lvlJc w:val="left"/>
      <w:pPr>
        <w:tabs>
          <w:tab w:val="num" w:pos="1440"/>
        </w:tabs>
        <w:ind w:left="1440" w:hanging="360"/>
      </w:pPr>
      <w:rPr>
        <w:rFonts w:ascii="Arial" w:hAnsi="Arial" w:hint="default"/>
      </w:rPr>
    </w:lvl>
    <w:lvl w:ilvl="2" w:tplc="E1DA1A66" w:tentative="1">
      <w:start w:val="1"/>
      <w:numFmt w:val="bullet"/>
      <w:lvlText w:val="•"/>
      <w:lvlJc w:val="left"/>
      <w:pPr>
        <w:tabs>
          <w:tab w:val="num" w:pos="2160"/>
        </w:tabs>
        <w:ind w:left="2160" w:hanging="360"/>
      </w:pPr>
      <w:rPr>
        <w:rFonts w:ascii="Arial" w:hAnsi="Arial" w:hint="default"/>
      </w:rPr>
    </w:lvl>
    <w:lvl w:ilvl="3" w:tplc="31BEA088" w:tentative="1">
      <w:start w:val="1"/>
      <w:numFmt w:val="bullet"/>
      <w:lvlText w:val="•"/>
      <w:lvlJc w:val="left"/>
      <w:pPr>
        <w:tabs>
          <w:tab w:val="num" w:pos="2880"/>
        </w:tabs>
        <w:ind w:left="2880" w:hanging="360"/>
      </w:pPr>
      <w:rPr>
        <w:rFonts w:ascii="Arial" w:hAnsi="Arial" w:hint="default"/>
      </w:rPr>
    </w:lvl>
    <w:lvl w:ilvl="4" w:tplc="16AE5752" w:tentative="1">
      <w:start w:val="1"/>
      <w:numFmt w:val="bullet"/>
      <w:lvlText w:val="•"/>
      <w:lvlJc w:val="left"/>
      <w:pPr>
        <w:tabs>
          <w:tab w:val="num" w:pos="3600"/>
        </w:tabs>
        <w:ind w:left="3600" w:hanging="360"/>
      </w:pPr>
      <w:rPr>
        <w:rFonts w:ascii="Arial" w:hAnsi="Arial" w:hint="default"/>
      </w:rPr>
    </w:lvl>
    <w:lvl w:ilvl="5" w:tplc="753E32CA" w:tentative="1">
      <w:start w:val="1"/>
      <w:numFmt w:val="bullet"/>
      <w:lvlText w:val="•"/>
      <w:lvlJc w:val="left"/>
      <w:pPr>
        <w:tabs>
          <w:tab w:val="num" w:pos="4320"/>
        </w:tabs>
        <w:ind w:left="4320" w:hanging="360"/>
      </w:pPr>
      <w:rPr>
        <w:rFonts w:ascii="Arial" w:hAnsi="Arial" w:hint="default"/>
      </w:rPr>
    </w:lvl>
    <w:lvl w:ilvl="6" w:tplc="FB7A1620" w:tentative="1">
      <w:start w:val="1"/>
      <w:numFmt w:val="bullet"/>
      <w:lvlText w:val="•"/>
      <w:lvlJc w:val="left"/>
      <w:pPr>
        <w:tabs>
          <w:tab w:val="num" w:pos="5040"/>
        </w:tabs>
        <w:ind w:left="5040" w:hanging="360"/>
      </w:pPr>
      <w:rPr>
        <w:rFonts w:ascii="Arial" w:hAnsi="Arial" w:hint="default"/>
      </w:rPr>
    </w:lvl>
    <w:lvl w:ilvl="7" w:tplc="378094E0" w:tentative="1">
      <w:start w:val="1"/>
      <w:numFmt w:val="bullet"/>
      <w:lvlText w:val="•"/>
      <w:lvlJc w:val="left"/>
      <w:pPr>
        <w:tabs>
          <w:tab w:val="num" w:pos="5760"/>
        </w:tabs>
        <w:ind w:left="5760" w:hanging="360"/>
      </w:pPr>
      <w:rPr>
        <w:rFonts w:ascii="Arial" w:hAnsi="Arial" w:hint="default"/>
      </w:rPr>
    </w:lvl>
    <w:lvl w:ilvl="8" w:tplc="0126471C" w:tentative="1">
      <w:start w:val="1"/>
      <w:numFmt w:val="bullet"/>
      <w:lvlText w:val="•"/>
      <w:lvlJc w:val="left"/>
      <w:pPr>
        <w:tabs>
          <w:tab w:val="num" w:pos="6480"/>
        </w:tabs>
        <w:ind w:left="6480" w:hanging="360"/>
      </w:pPr>
      <w:rPr>
        <w:rFonts w:ascii="Arial" w:hAnsi="Arial" w:hint="default"/>
      </w:rPr>
    </w:lvl>
  </w:abstractNum>
  <w:abstractNum w:abstractNumId="46">
    <w:nsid w:val="74553B66"/>
    <w:multiLevelType w:val="hybridMultilevel"/>
    <w:tmpl w:val="4C1432E6"/>
    <w:lvl w:ilvl="0" w:tplc="E3C2377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6B01D59"/>
    <w:multiLevelType w:val="hybridMultilevel"/>
    <w:tmpl w:val="04848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D80587A"/>
    <w:multiLevelType w:val="hybridMultilevel"/>
    <w:tmpl w:val="731A1518"/>
    <w:lvl w:ilvl="0" w:tplc="CB4CCFB0">
      <w:start w:val="1"/>
      <w:numFmt w:val="upperLetter"/>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7"/>
  </w:num>
  <w:num w:numId="2">
    <w:abstractNumId w:val="19"/>
  </w:num>
  <w:num w:numId="3">
    <w:abstractNumId w:val="23"/>
  </w:num>
  <w:num w:numId="4">
    <w:abstractNumId w:val="12"/>
  </w:num>
  <w:num w:numId="5">
    <w:abstractNumId w:val="44"/>
  </w:num>
  <w:num w:numId="6">
    <w:abstractNumId w:val="34"/>
  </w:num>
  <w:num w:numId="7">
    <w:abstractNumId w:val="38"/>
  </w:num>
  <w:num w:numId="8">
    <w:abstractNumId w:val="48"/>
  </w:num>
  <w:num w:numId="9">
    <w:abstractNumId w:val="22"/>
  </w:num>
  <w:num w:numId="10">
    <w:abstractNumId w:val="4"/>
  </w:num>
  <w:num w:numId="11">
    <w:abstractNumId w:val="9"/>
  </w:num>
  <w:num w:numId="12">
    <w:abstractNumId w:val="1"/>
  </w:num>
  <w:num w:numId="13">
    <w:abstractNumId w:val="24"/>
  </w:num>
  <w:num w:numId="14">
    <w:abstractNumId w:val="3"/>
  </w:num>
  <w:num w:numId="15">
    <w:abstractNumId w:val="18"/>
  </w:num>
  <w:num w:numId="16">
    <w:abstractNumId w:val="46"/>
  </w:num>
  <w:num w:numId="17">
    <w:abstractNumId w:val="32"/>
  </w:num>
  <w:num w:numId="18">
    <w:abstractNumId w:val="37"/>
  </w:num>
  <w:num w:numId="19">
    <w:abstractNumId w:val="41"/>
  </w:num>
  <w:num w:numId="20">
    <w:abstractNumId w:val="25"/>
  </w:num>
  <w:num w:numId="21">
    <w:abstractNumId w:val="10"/>
  </w:num>
  <w:num w:numId="22">
    <w:abstractNumId w:val="35"/>
  </w:num>
  <w:num w:numId="23">
    <w:abstractNumId w:val="13"/>
  </w:num>
  <w:num w:numId="24">
    <w:abstractNumId w:val="6"/>
  </w:num>
  <w:num w:numId="25">
    <w:abstractNumId w:val="16"/>
  </w:num>
  <w:num w:numId="26">
    <w:abstractNumId w:val="43"/>
  </w:num>
  <w:num w:numId="27">
    <w:abstractNumId w:val="45"/>
  </w:num>
  <w:num w:numId="28">
    <w:abstractNumId w:val="11"/>
  </w:num>
  <w:num w:numId="29">
    <w:abstractNumId w:val="14"/>
  </w:num>
  <w:num w:numId="30">
    <w:abstractNumId w:val="30"/>
  </w:num>
  <w:num w:numId="31">
    <w:abstractNumId w:val="7"/>
  </w:num>
  <w:num w:numId="32">
    <w:abstractNumId w:val="2"/>
  </w:num>
  <w:num w:numId="33">
    <w:abstractNumId w:val="40"/>
  </w:num>
  <w:num w:numId="34">
    <w:abstractNumId w:val="29"/>
  </w:num>
  <w:num w:numId="35">
    <w:abstractNumId w:val="42"/>
  </w:num>
  <w:num w:numId="36">
    <w:abstractNumId w:val="31"/>
  </w:num>
  <w:num w:numId="37">
    <w:abstractNumId w:val="36"/>
  </w:num>
  <w:num w:numId="38">
    <w:abstractNumId w:val="5"/>
  </w:num>
  <w:num w:numId="39">
    <w:abstractNumId w:val="28"/>
  </w:num>
  <w:num w:numId="40">
    <w:abstractNumId w:val="15"/>
  </w:num>
  <w:num w:numId="41">
    <w:abstractNumId w:val="20"/>
  </w:num>
  <w:num w:numId="42">
    <w:abstractNumId w:val="33"/>
  </w:num>
  <w:num w:numId="43">
    <w:abstractNumId w:val="39"/>
  </w:num>
  <w:num w:numId="44">
    <w:abstractNumId w:val="21"/>
  </w:num>
  <w:num w:numId="45">
    <w:abstractNumId w:val="0"/>
  </w:num>
  <w:num w:numId="46">
    <w:abstractNumId w:val="47"/>
  </w:num>
  <w:num w:numId="47">
    <w:abstractNumId w:val="26"/>
  </w:num>
  <w:num w:numId="48">
    <w:abstractNumId w:val="8"/>
  </w:num>
  <w:num w:numId="4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803C4"/>
    <w:rsid w:val="00000378"/>
    <w:rsid w:val="00000894"/>
    <w:rsid w:val="000014F2"/>
    <w:rsid w:val="00012661"/>
    <w:rsid w:val="000155DA"/>
    <w:rsid w:val="00024658"/>
    <w:rsid w:val="000249F4"/>
    <w:rsid w:val="00034996"/>
    <w:rsid w:val="00042753"/>
    <w:rsid w:val="00042ECA"/>
    <w:rsid w:val="000468F7"/>
    <w:rsid w:val="0005254E"/>
    <w:rsid w:val="00053064"/>
    <w:rsid w:val="00056D94"/>
    <w:rsid w:val="00057003"/>
    <w:rsid w:val="000628CE"/>
    <w:rsid w:val="000661B1"/>
    <w:rsid w:val="0006636A"/>
    <w:rsid w:val="00077A2C"/>
    <w:rsid w:val="00083147"/>
    <w:rsid w:val="00083C1A"/>
    <w:rsid w:val="000865E3"/>
    <w:rsid w:val="00093604"/>
    <w:rsid w:val="00094CA9"/>
    <w:rsid w:val="000A52AB"/>
    <w:rsid w:val="000B0D1B"/>
    <w:rsid w:val="000B44E4"/>
    <w:rsid w:val="000B6026"/>
    <w:rsid w:val="000B6706"/>
    <w:rsid w:val="000B709F"/>
    <w:rsid w:val="000C20E4"/>
    <w:rsid w:val="000C78C6"/>
    <w:rsid w:val="000E05B5"/>
    <w:rsid w:val="000E30BF"/>
    <w:rsid w:val="000E6635"/>
    <w:rsid w:val="000F0030"/>
    <w:rsid w:val="000F0D84"/>
    <w:rsid w:val="000F28A9"/>
    <w:rsid w:val="000F7F2D"/>
    <w:rsid w:val="00100B63"/>
    <w:rsid w:val="0010122E"/>
    <w:rsid w:val="00107ACC"/>
    <w:rsid w:val="00127F94"/>
    <w:rsid w:val="00131988"/>
    <w:rsid w:val="0013476C"/>
    <w:rsid w:val="001366F8"/>
    <w:rsid w:val="00136D02"/>
    <w:rsid w:val="00143856"/>
    <w:rsid w:val="00143922"/>
    <w:rsid w:val="001528E3"/>
    <w:rsid w:val="0016174C"/>
    <w:rsid w:val="00164E7E"/>
    <w:rsid w:val="00170EC3"/>
    <w:rsid w:val="00171622"/>
    <w:rsid w:val="00173D18"/>
    <w:rsid w:val="00174B47"/>
    <w:rsid w:val="0018044E"/>
    <w:rsid w:val="00183FCE"/>
    <w:rsid w:val="00184B3A"/>
    <w:rsid w:val="001932EC"/>
    <w:rsid w:val="00195DDB"/>
    <w:rsid w:val="001974B5"/>
    <w:rsid w:val="001A5902"/>
    <w:rsid w:val="001A6D9C"/>
    <w:rsid w:val="001C14B1"/>
    <w:rsid w:val="001C2EE0"/>
    <w:rsid w:val="001C399F"/>
    <w:rsid w:val="001C5860"/>
    <w:rsid w:val="001C7133"/>
    <w:rsid w:val="001D742C"/>
    <w:rsid w:val="001E12CA"/>
    <w:rsid w:val="001E6068"/>
    <w:rsid w:val="001E752D"/>
    <w:rsid w:val="001F3643"/>
    <w:rsid w:val="001F70AD"/>
    <w:rsid w:val="002009A7"/>
    <w:rsid w:val="00203308"/>
    <w:rsid w:val="00211347"/>
    <w:rsid w:val="00212F27"/>
    <w:rsid w:val="00214680"/>
    <w:rsid w:val="00217ECB"/>
    <w:rsid w:val="002208AE"/>
    <w:rsid w:val="0022301A"/>
    <w:rsid w:val="00223517"/>
    <w:rsid w:val="00223A00"/>
    <w:rsid w:val="00227D66"/>
    <w:rsid w:val="00231547"/>
    <w:rsid w:val="002417AB"/>
    <w:rsid w:val="00243480"/>
    <w:rsid w:val="002439B8"/>
    <w:rsid w:val="00246412"/>
    <w:rsid w:val="002467BB"/>
    <w:rsid w:val="00253053"/>
    <w:rsid w:val="00253F66"/>
    <w:rsid w:val="0025782D"/>
    <w:rsid w:val="00260779"/>
    <w:rsid w:val="0026235F"/>
    <w:rsid w:val="002629A2"/>
    <w:rsid w:val="00262D7B"/>
    <w:rsid w:val="00263ED7"/>
    <w:rsid w:val="00267105"/>
    <w:rsid w:val="00267748"/>
    <w:rsid w:val="00270933"/>
    <w:rsid w:val="00273552"/>
    <w:rsid w:val="00275411"/>
    <w:rsid w:val="00276395"/>
    <w:rsid w:val="00282630"/>
    <w:rsid w:val="00287084"/>
    <w:rsid w:val="002956D6"/>
    <w:rsid w:val="00296D67"/>
    <w:rsid w:val="002A0604"/>
    <w:rsid w:val="002A1DAE"/>
    <w:rsid w:val="002B58BB"/>
    <w:rsid w:val="002C0DFF"/>
    <w:rsid w:val="002C466F"/>
    <w:rsid w:val="002D60C3"/>
    <w:rsid w:val="002D6DE3"/>
    <w:rsid w:val="002D7256"/>
    <w:rsid w:val="002E4611"/>
    <w:rsid w:val="002E4C0D"/>
    <w:rsid w:val="002E65EC"/>
    <w:rsid w:val="002E66D9"/>
    <w:rsid w:val="0030070A"/>
    <w:rsid w:val="00300CD4"/>
    <w:rsid w:val="0030304C"/>
    <w:rsid w:val="00320AFC"/>
    <w:rsid w:val="00323282"/>
    <w:rsid w:val="003245FD"/>
    <w:rsid w:val="0033302F"/>
    <w:rsid w:val="003523B1"/>
    <w:rsid w:val="00353D0A"/>
    <w:rsid w:val="00355B87"/>
    <w:rsid w:val="003639BB"/>
    <w:rsid w:val="00366A3F"/>
    <w:rsid w:val="00376466"/>
    <w:rsid w:val="003775F9"/>
    <w:rsid w:val="00382416"/>
    <w:rsid w:val="00386D25"/>
    <w:rsid w:val="00387F4A"/>
    <w:rsid w:val="0039271B"/>
    <w:rsid w:val="00393B1C"/>
    <w:rsid w:val="00393B1E"/>
    <w:rsid w:val="0039520A"/>
    <w:rsid w:val="003A0CFD"/>
    <w:rsid w:val="003A297F"/>
    <w:rsid w:val="003A70A0"/>
    <w:rsid w:val="003B4DC9"/>
    <w:rsid w:val="003B712F"/>
    <w:rsid w:val="003B7DE6"/>
    <w:rsid w:val="003C2FE4"/>
    <w:rsid w:val="003C3683"/>
    <w:rsid w:val="003D3CB0"/>
    <w:rsid w:val="003E1DDD"/>
    <w:rsid w:val="003E257E"/>
    <w:rsid w:val="003E35B9"/>
    <w:rsid w:val="003F3673"/>
    <w:rsid w:val="003F43C8"/>
    <w:rsid w:val="003F5691"/>
    <w:rsid w:val="003F5ADE"/>
    <w:rsid w:val="003F7CE6"/>
    <w:rsid w:val="00400630"/>
    <w:rsid w:val="004152C4"/>
    <w:rsid w:val="0042019F"/>
    <w:rsid w:val="004219ED"/>
    <w:rsid w:val="00425D52"/>
    <w:rsid w:val="00432C79"/>
    <w:rsid w:val="00440AA8"/>
    <w:rsid w:val="004412AA"/>
    <w:rsid w:val="00442223"/>
    <w:rsid w:val="00443E81"/>
    <w:rsid w:val="00444B05"/>
    <w:rsid w:val="0045014F"/>
    <w:rsid w:val="0045298D"/>
    <w:rsid w:val="00454851"/>
    <w:rsid w:val="00456E4C"/>
    <w:rsid w:val="00460185"/>
    <w:rsid w:val="00473072"/>
    <w:rsid w:val="00480AD1"/>
    <w:rsid w:val="00483E69"/>
    <w:rsid w:val="00486EE4"/>
    <w:rsid w:val="004909C5"/>
    <w:rsid w:val="00491064"/>
    <w:rsid w:val="00491BCF"/>
    <w:rsid w:val="00492B26"/>
    <w:rsid w:val="00495FF4"/>
    <w:rsid w:val="00497613"/>
    <w:rsid w:val="004979D5"/>
    <w:rsid w:val="004A1DD8"/>
    <w:rsid w:val="004A580D"/>
    <w:rsid w:val="004B2827"/>
    <w:rsid w:val="004B2ABA"/>
    <w:rsid w:val="004C1FF5"/>
    <w:rsid w:val="004C7522"/>
    <w:rsid w:val="004D0306"/>
    <w:rsid w:val="004D0AA8"/>
    <w:rsid w:val="004D1299"/>
    <w:rsid w:val="004D3630"/>
    <w:rsid w:val="004D541D"/>
    <w:rsid w:val="004E1DEF"/>
    <w:rsid w:val="004E3670"/>
    <w:rsid w:val="004E3A01"/>
    <w:rsid w:val="004E446C"/>
    <w:rsid w:val="004E7E52"/>
    <w:rsid w:val="004F54EE"/>
    <w:rsid w:val="004F5D79"/>
    <w:rsid w:val="00500A9E"/>
    <w:rsid w:val="0050107E"/>
    <w:rsid w:val="005065E0"/>
    <w:rsid w:val="00511FAE"/>
    <w:rsid w:val="0051201B"/>
    <w:rsid w:val="00517CE4"/>
    <w:rsid w:val="00521434"/>
    <w:rsid w:val="005217A1"/>
    <w:rsid w:val="00536D0E"/>
    <w:rsid w:val="00536FC8"/>
    <w:rsid w:val="00540215"/>
    <w:rsid w:val="00555A2C"/>
    <w:rsid w:val="005576B5"/>
    <w:rsid w:val="005617D2"/>
    <w:rsid w:val="0056243E"/>
    <w:rsid w:val="005631AB"/>
    <w:rsid w:val="005724A4"/>
    <w:rsid w:val="0058072E"/>
    <w:rsid w:val="00583A63"/>
    <w:rsid w:val="005841D5"/>
    <w:rsid w:val="005923B9"/>
    <w:rsid w:val="005A35E5"/>
    <w:rsid w:val="005A768B"/>
    <w:rsid w:val="005B0038"/>
    <w:rsid w:val="005B2E83"/>
    <w:rsid w:val="005B534E"/>
    <w:rsid w:val="005B72ED"/>
    <w:rsid w:val="005B73D3"/>
    <w:rsid w:val="005C0528"/>
    <w:rsid w:val="005C2454"/>
    <w:rsid w:val="005C38DF"/>
    <w:rsid w:val="005C6EC7"/>
    <w:rsid w:val="005D735A"/>
    <w:rsid w:val="005D7F37"/>
    <w:rsid w:val="005E4992"/>
    <w:rsid w:val="005E71A3"/>
    <w:rsid w:val="005F0780"/>
    <w:rsid w:val="005F3A65"/>
    <w:rsid w:val="005F3F91"/>
    <w:rsid w:val="005F6EDE"/>
    <w:rsid w:val="005F725A"/>
    <w:rsid w:val="00603372"/>
    <w:rsid w:val="00603F57"/>
    <w:rsid w:val="00605034"/>
    <w:rsid w:val="00611A32"/>
    <w:rsid w:val="00611D41"/>
    <w:rsid w:val="00612839"/>
    <w:rsid w:val="00612BD8"/>
    <w:rsid w:val="0061392B"/>
    <w:rsid w:val="006226B6"/>
    <w:rsid w:val="00624748"/>
    <w:rsid w:val="00625A26"/>
    <w:rsid w:val="006269A5"/>
    <w:rsid w:val="00634219"/>
    <w:rsid w:val="0064062E"/>
    <w:rsid w:val="006420C7"/>
    <w:rsid w:val="00645662"/>
    <w:rsid w:val="00650607"/>
    <w:rsid w:val="006641A2"/>
    <w:rsid w:val="006725DE"/>
    <w:rsid w:val="00687941"/>
    <w:rsid w:val="00690DD0"/>
    <w:rsid w:val="00697283"/>
    <w:rsid w:val="00697EE6"/>
    <w:rsid w:val="006A0419"/>
    <w:rsid w:val="006B174A"/>
    <w:rsid w:val="006B4BDC"/>
    <w:rsid w:val="006C3789"/>
    <w:rsid w:val="006D28F1"/>
    <w:rsid w:val="006D31C5"/>
    <w:rsid w:val="006D5E5C"/>
    <w:rsid w:val="006D7663"/>
    <w:rsid w:val="006E05F4"/>
    <w:rsid w:val="006E0FEC"/>
    <w:rsid w:val="006E14B5"/>
    <w:rsid w:val="006E6BD1"/>
    <w:rsid w:val="006E7041"/>
    <w:rsid w:val="006F05B2"/>
    <w:rsid w:val="006F4A21"/>
    <w:rsid w:val="0070390C"/>
    <w:rsid w:val="00706338"/>
    <w:rsid w:val="00707FA1"/>
    <w:rsid w:val="007118B4"/>
    <w:rsid w:val="00730467"/>
    <w:rsid w:val="007308BA"/>
    <w:rsid w:val="007309B4"/>
    <w:rsid w:val="0073138D"/>
    <w:rsid w:val="00731D21"/>
    <w:rsid w:val="00731FE1"/>
    <w:rsid w:val="00744E78"/>
    <w:rsid w:val="0074503F"/>
    <w:rsid w:val="00747DCF"/>
    <w:rsid w:val="007529EF"/>
    <w:rsid w:val="00762651"/>
    <w:rsid w:val="0076351E"/>
    <w:rsid w:val="00770FD3"/>
    <w:rsid w:val="00777967"/>
    <w:rsid w:val="00780CFD"/>
    <w:rsid w:val="007851CF"/>
    <w:rsid w:val="00794744"/>
    <w:rsid w:val="00794B2E"/>
    <w:rsid w:val="007A0B01"/>
    <w:rsid w:val="007A311E"/>
    <w:rsid w:val="007B48E0"/>
    <w:rsid w:val="007B6C3B"/>
    <w:rsid w:val="007B7067"/>
    <w:rsid w:val="007B7C59"/>
    <w:rsid w:val="007C0067"/>
    <w:rsid w:val="007C6257"/>
    <w:rsid w:val="007D3703"/>
    <w:rsid w:val="007D4840"/>
    <w:rsid w:val="007D5384"/>
    <w:rsid w:val="007E7BE6"/>
    <w:rsid w:val="00802FEB"/>
    <w:rsid w:val="00803C68"/>
    <w:rsid w:val="00805816"/>
    <w:rsid w:val="0081084B"/>
    <w:rsid w:val="0081551D"/>
    <w:rsid w:val="00817F10"/>
    <w:rsid w:val="008213CB"/>
    <w:rsid w:val="0082184B"/>
    <w:rsid w:val="0082219B"/>
    <w:rsid w:val="0083342C"/>
    <w:rsid w:val="00834399"/>
    <w:rsid w:val="00835785"/>
    <w:rsid w:val="00840EDC"/>
    <w:rsid w:val="00851CA9"/>
    <w:rsid w:val="00856E56"/>
    <w:rsid w:val="00862567"/>
    <w:rsid w:val="00863A11"/>
    <w:rsid w:val="00863B98"/>
    <w:rsid w:val="00864E39"/>
    <w:rsid w:val="0086794C"/>
    <w:rsid w:val="0087038E"/>
    <w:rsid w:val="008705EE"/>
    <w:rsid w:val="0087408F"/>
    <w:rsid w:val="0087462E"/>
    <w:rsid w:val="008816A7"/>
    <w:rsid w:val="008860BA"/>
    <w:rsid w:val="0089027A"/>
    <w:rsid w:val="00892C14"/>
    <w:rsid w:val="0089385B"/>
    <w:rsid w:val="008A187E"/>
    <w:rsid w:val="008A558D"/>
    <w:rsid w:val="008B6F6C"/>
    <w:rsid w:val="008C0A94"/>
    <w:rsid w:val="008C512D"/>
    <w:rsid w:val="008C5687"/>
    <w:rsid w:val="008C5751"/>
    <w:rsid w:val="008C5DC0"/>
    <w:rsid w:val="008C66C4"/>
    <w:rsid w:val="008D1256"/>
    <w:rsid w:val="008D4B03"/>
    <w:rsid w:val="008E0380"/>
    <w:rsid w:val="008E1102"/>
    <w:rsid w:val="008E1F49"/>
    <w:rsid w:val="008E6235"/>
    <w:rsid w:val="008F3355"/>
    <w:rsid w:val="00905F81"/>
    <w:rsid w:val="009107BE"/>
    <w:rsid w:val="0091783C"/>
    <w:rsid w:val="009252D7"/>
    <w:rsid w:val="009357A7"/>
    <w:rsid w:val="00935F7B"/>
    <w:rsid w:val="00937900"/>
    <w:rsid w:val="00940973"/>
    <w:rsid w:val="00943C33"/>
    <w:rsid w:val="00943C6E"/>
    <w:rsid w:val="0094566E"/>
    <w:rsid w:val="00951696"/>
    <w:rsid w:val="00954A9A"/>
    <w:rsid w:val="009552CB"/>
    <w:rsid w:val="009575B3"/>
    <w:rsid w:val="009623D3"/>
    <w:rsid w:val="009651E4"/>
    <w:rsid w:val="00970566"/>
    <w:rsid w:val="00970E4E"/>
    <w:rsid w:val="0098475B"/>
    <w:rsid w:val="0098602C"/>
    <w:rsid w:val="00991712"/>
    <w:rsid w:val="00993870"/>
    <w:rsid w:val="009A04E7"/>
    <w:rsid w:val="009A40F1"/>
    <w:rsid w:val="009A75C3"/>
    <w:rsid w:val="009A7EAE"/>
    <w:rsid w:val="009B17D1"/>
    <w:rsid w:val="009B3329"/>
    <w:rsid w:val="009C212E"/>
    <w:rsid w:val="009C5BD7"/>
    <w:rsid w:val="009C753F"/>
    <w:rsid w:val="009D0343"/>
    <w:rsid w:val="009D0C8F"/>
    <w:rsid w:val="009D7B18"/>
    <w:rsid w:val="009D7E50"/>
    <w:rsid w:val="009E5294"/>
    <w:rsid w:val="009E60C4"/>
    <w:rsid w:val="009E6116"/>
    <w:rsid w:val="009F40EB"/>
    <w:rsid w:val="009F582F"/>
    <w:rsid w:val="00A03B75"/>
    <w:rsid w:val="00A06C3A"/>
    <w:rsid w:val="00A14A99"/>
    <w:rsid w:val="00A153FE"/>
    <w:rsid w:val="00A2324D"/>
    <w:rsid w:val="00A2393D"/>
    <w:rsid w:val="00A25912"/>
    <w:rsid w:val="00A25CE7"/>
    <w:rsid w:val="00A32381"/>
    <w:rsid w:val="00A33AC8"/>
    <w:rsid w:val="00A35EE7"/>
    <w:rsid w:val="00A40CEF"/>
    <w:rsid w:val="00A40E48"/>
    <w:rsid w:val="00A44421"/>
    <w:rsid w:val="00A50A4C"/>
    <w:rsid w:val="00A50E1A"/>
    <w:rsid w:val="00A56255"/>
    <w:rsid w:val="00A64E0A"/>
    <w:rsid w:val="00A7139B"/>
    <w:rsid w:val="00A7290E"/>
    <w:rsid w:val="00A771F0"/>
    <w:rsid w:val="00A83C57"/>
    <w:rsid w:val="00A85ED1"/>
    <w:rsid w:val="00A86761"/>
    <w:rsid w:val="00A92D1C"/>
    <w:rsid w:val="00A97E86"/>
    <w:rsid w:val="00AA36B9"/>
    <w:rsid w:val="00AB34DA"/>
    <w:rsid w:val="00AB3D28"/>
    <w:rsid w:val="00AC0008"/>
    <w:rsid w:val="00AD0751"/>
    <w:rsid w:val="00AD1CF1"/>
    <w:rsid w:val="00AE33B3"/>
    <w:rsid w:val="00AF1133"/>
    <w:rsid w:val="00AF2D38"/>
    <w:rsid w:val="00AF3136"/>
    <w:rsid w:val="00AF477C"/>
    <w:rsid w:val="00AF4C98"/>
    <w:rsid w:val="00AF4D35"/>
    <w:rsid w:val="00B04FA4"/>
    <w:rsid w:val="00B12F00"/>
    <w:rsid w:val="00B1781E"/>
    <w:rsid w:val="00B17A78"/>
    <w:rsid w:val="00B207C3"/>
    <w:rsid w:val="00B2288C"/>
    <w:rsid w:val="00B30E8F"/>
    <w:rsid w:val="00B33605"/>
    <w:rsid w:val="00B419B0"/>
    <w:rsid w:val="00B41CEC"/>
    <w:rsid w:val="00B42AAA"/>
    <w:rsid w:val="00B42B32"/>
    <w:rsid w:val="00B523CB"/>
    <w:rsid w:val="00B53546"/>
    <w:rsid w:val="00B5441A"/>
    <w:rsid w:val="00B5551B"/>
    <w:rsid w:val="00B565DF"/>
    <w:rsid w:val="00B607E4"/>
    <w:rsid w:val="00B61CDA"/>
    <w:rsid w:val="00B64181"/>
    <w:rsid w:val="00B64E88"/>
    <w:rsid w:val="00B67607"/>
    <w:rsid w:val="00B72CFF"/>
    <w:rsid w:val="00B950DF"/>
    <w:rsid w:val="00B95E66"/>
    <w:rsid w:val="00BB297A"/>
    <w:rsid w:val="00BB2E57"/>
    <w:rsid w:val="00BB57D1"/>
    <w:rsid w:val="00BB5C7E"/>
    <w:rsid w:val="00BC2094"/>
    <w:rsid w:val="00BC29E7"/>
    <w:rsid w:val="00BC30DC"/>
    <w:rsid w:val="00BC7283"/>
    <w:rsid w:val="00BD3C8E"/>
    <w:rsid w:val="00BD7EB2"/>
    <w:rsid w:val="00BE22B5"/>
    <w:rsid w:val="00BE507C"/>
    <w:rsid w:val="00BE7C92"/>
    <w:rsid w:val="00BF1B08"/>
    <w:rsid w:val="00BF62AA"/>
    <w:rsid w:val="00C059A9"/>
    <w:rsid w:val="00C0793E"/>
    <w:rsid w:val="00C12440"/>
    <w:rsid w:val="00C15940"/>
    <w:rsid w:val="00C17704"/>
    <w:rsid w:val="00C21EA2"/>
    <w:rsid w:val="00C301EB"/>
    <w:rsid w:val="00C343AC"/>
    <w:rsid w:val="00C3537B"/>
    <w:rsid w:val="00C40850"/>
    <w:rsid w:val="00C412D4"/>
    <w:rsid w:val="00C4403A"/>
    <w:rsid w:val="00C5020A"/>
    <w:rsid w:val="00C53140"/>
    <w:rsid w:val="00C562AE"/>
    <w:rsid w:val="00C609B3"/>
    <w:rsid w:val="00C619B0"/>
    <w:rsid w:val="00C66EEB"/>
    <w:rsid w:val="00C707D2"/>
    <w:rsid w:val="00C752FC"/>
    <w:rsid w:val="00C77E11"/>
    <w:rsid w:val="00C87339"/>
    <w:rsid w:val="00C97393"/>
    <w:rsid w:val="00CA055F"/>
    <w:rsid w:val="00CA3BBD"/>
    <w:rsid w:val="00CA3E15"/>
    <w:rsid w:val="00CA49A9"/>
    <w:rsid w:val="00CB144F"/>
    <w:rsid w:val="00CB7444"/>
    <w:rsid w:val="00CB75A4"/>
    <w:rsid w:val="00CB75B8"/>
    <w:rsid w:val="00CC0EE0"/>
    <w:rsid w:val="00CC72E6"/>
    <w:rsid w:val="00CE0F62"/>
    <w:rsid w:val="00CE3DFC"/>
    <w:rsid w:val="00CE4DF9"/>
    <w:rsid w:val="00CF2388"/>
    <w:rsid w:val="00D10700"/>
    <w:rsid w:val="00D14631"/>
    <w:rsid w:val="00D147C8"/>
    <w:rsid w:val="00D14F24"/>
    <w:rsid w:val="00D174BC"/>
    <w:rsid w:val="00D26E36"/>
    <w:rsid w:val="00D3184C"/>
    <w:rsid w:val="00D331D8"/>
    <w:rsid w:val="00D4128C"/>
    <w:rsid w:val="00D46A0F"/>
    <w:rsid w:val="00D47702"/>
    <w:rsid w:val="00D66835"/>
    <w:rsid w:val="00D73A2D"/>
    <w:rsid w:val="00D76D55"/>
    <w:rsid w:val="00D77DA5"/>
    <w:rsid w:val="00D908CB"/>
    <w:rsid w:val="00D91476"/>
    <w:rsid w:val="00D93512"/>
    <w:rsid w:val="00DA34FE"/>
    <w:rsid w:val="00DA6F65"/>
    <w:rsid w:val="00DB0175"/>
    <w:rsid w:val="00DB1FBB"/>
    <w:rsid w:val="00DB3CF0"/>
    <w:rsid w:val="00DC0C46"/>
    <w:rsid w:val="00DC1890"/>
    <w:rsid w:val="00DC1F41"/>
    <w:rsid w:val="00DD16BC"/>
    <w:rsid w:val="00DD1EC5"/>
    <w:rsid w:val="00DE19BD"/>
    <w:rsid w:val="00DE208C"/>
    <w:rsid w:val="00DE6B8F"/>
    <w:rsid w:val="00DF4E17"/>
    <w:rsid w:val="00DF7570"/>
    <w:rsid w:val="00DF7EB0"/>
    <w:rsid w:val="00E002C0"/>
    <w:rsid w:val="00E022FB"/>
    <w:rsid w:val="00E06FF5"/>
    <w:rsid w:val="00E11A4B"/>
    <w:rsid w:val="00E21EF3"/>
    <w:rsid w:val="00E22F70"/>
    <w:rsid w:val="00E31046"/>
    <w:rsid w:val="00E345C4"/>
    <w:rsid w:val="00E3585C"/>
    <w:rsid w:val="00E40F7B"/>
    <w:rsid w:val="00E4142F"/>
    <w:rsid w:val="00E42442"/>
    <w:rsid w:val="00E42547"/>
    <w:rsid w:val="00E512BA"/>
    <w:rsid w:val="00E56D11"/>
    <w:rsid w:val="00E60686"/>
    <w:rsid w:val="00E60E97"/>
    <w:rsid w:val="00E6429D"/>
    <w:rsid w:val="00E74D05"/>
    <w:rsid w:val="00E811F5"/>
    <w:rsid w:val="00E81A00"/>
    <w:rsid w:val="00E850B7"/>
    <w:rsid w:val="00E92B82"/>
    <w:rsid w:val="00EA2397"/>
    <w:rsid w:val="00EA23A2"/>
    <w:rsid w:val="00EA247F"/>
    <w:rsid w:val="00EA52FF"/>
    <w:rsid w:val="00EA6F72"/>
    <w:rsid w:val="00EB59A9"/>
    <w:rsid w:val="00EB6515"/>
    <w:rsid w:val="00EB76DA"/>
    <w:rsid w:val="00EC09B3"/>
    <w:rsid w:val="00EC4F58"/>
    <w:rsid w:val="00EC68B1"/>
    <w:rsid w:val="00EC77BE"/>
    <w:rsid w:val="00ED0100"/>
    <w:rsid w:val="00ED462B"/>
    <w:rsid w:val="00ED7DAB"/>
    <w:rsid w:val="00EE26E7"/>
    <w:rsid w:val="00EE38F2"/>
    <w:rsid w:val="00EE47DB"/>
    <w:rsid w:val="00EE6908"/>
    <w:rsid w:val="00EE6EF9"/>
    <w:rsid w:val="00EF1887"/>
    <w:rsid w:val="00EF5A15"/>
    <w:rsid w:val="00EF760A"/>
    <w:rsid w:val="00F04809"/>
    <w:rsid w:val="00F04A03"/>
    <w:rsid w:val="00F067CB"/>
    <w:rsid w:val="00F12912"/>
    <w:rsid w:val="00F15DE6"/>
    <w:rsid w:val="00F17EFA"/>
    <w:rsid w:val="00F249D5"/>
    <w:rsid w:val="00F24E4F"/>
    <w:rsid w:val="00F27611"/>
    <w:rsid w:val="00F46B0A"/>
    <w:rsid w:val="00F5100D"/>
    <w:rsid w:val="00F60793"/>
    <w:rsid w:val="00F60CE3"/>
    <w:rsid w:val="00F72488"/>
    <w:rsid w:val="00F725AC"/>
    <w:rsid w:val="00F77DF3"/>
    <w:rsid w:val="00F803C4"/>
    <w:rsid w:val="00F83111"/>
    <w:rsid w:val="00F955D8"/>
    <w:rsid w:val="00FA371D"/>
    <w:rsid w:val="00FA5F2E"/>
    <w:rsid w:val="00FB0D05"/>
    <w:rsid w:val="00FB27E8"/>
    <w:rsid w:val="00FB6388"/>
    <w:rsid w:val="00FB6F17"/>
    <w:rsid w:val="00FC1A7A"/>
    <w:rsid w:val="00FC2843"/>
    <w:rsid w:val="00FC46C7"/>
    <w:rsid w:val="00FC62AF"/>
    <w:rsid w:val="00FD13C1"/>
    <w:rsid w:val="00FE09D7"/>
    <w:rsid w:val="00FE6B69"/>
    <w:rsid w:val="00FE7F40"/>
    <w:rsid w:val="00FF15B4"/>
    <w:rsid w:val="00FF3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07E"/>
    <w:pPr>
      <w:spacing w:after="200" w:line="276" w:lineRule="auto"/>
    </w:pPr>
    <w:rPr>
      <w:sz w:val="22"/>
      <w:szCs w:val="22"/>
    </w:rPr>
  </w:style>
  <w:style w:type="paragraph" w:styleId="Heading1">
    <w:name w:val="heading 1"/>
    <w:basedOn w:val="Normal"/>
    <w:next w:val="Normal"/>
    <w:link w:val="Heading1Char"/>
    <w:uiPriority w:val="9"/>
    <w:qFormat/>
    <w:rsid w:val="00A40CEF"/>
    <w:pPr>
      <w:keepNext/>
      <w:keepLines/>
      <w:numPr>
        <w:numId w:val="34"/>
      </w:numPr>
      <w:spacing w:before="480" w:after="120"/>
      <w:ind w:left="431" w:hanging="431"/>
      <w:outlineLvl w:val="0"/>
    </w:pPr>
    <w:rPr>
      <w:rFonts w:ascii="Cambria" w:eastAsia="MS Gothic" w:hAnsi="Cambria"/>
      <w:b/>
      <w:bCs/>
      <w:color w:val="345A8A"/>
      <w:sz w:val="32"/>
      <w:szCs w:val="32"/>
    </w:rPr>
  </w:style>
  <w:style w:type="paragraph" w:styleId="Heading2">
    <w:name w:val="heading 2"/>
    <w:basedOn w:val="Normal"/>
    <w:next w:val="Normal"/>
    <w:link w:val="Heading2Char"/>
    <w:uiPriority w:val="9"/>
    <w:qFormat/>
    <w:rsid w:val="00A40CEF"/>
    <w:pPr>
      <w:keepNext/>
      <w:keepLines/>
      <w:numPr>
        <w:ilvl w:val="1"/>
        <w:numId w:val="34"/>
      </w:numPr>
      <w:spacing w:before="200" w:after="120" w:line="240" w:lineRule="auto"/>
      <w:ind w:left="578" w:hanging="578"/>
      <w:outlineLvl w:val="1"/>
    </w:pPr>
    <w:rPr>
      <w:rFonts w:ascii="Cambria" w:eastAsia="MS Gothic" w:hAnsi="Cambria"/>
      <w:b/>
      <w:bCs/>
      <w:color w:val="4F81BD"/>
      <w:sz w:val="26"/>
      <w:szCs w:val="26"/>
      <w:lang w:val="en-GB"/>
    </w:rPr>
  </w:style>
  <w:style w:type="paragraph" w:styleId="Heading3">
    <w:name w:val="heading 3"/>
    <w:basedOn w:val="Normal"/>
    <w:next w:val="Normal"/>
    <w:link w:val="Heading3Char"/>
    <w:uiPriority w:val="9"/>
    <w:qFormat/>
    <w:rsid w:val="007D4840"/>
    <w:pPr>
      <w:keepNext/>
      <w:keepLines/>
      <w:numPr>
        <w:ilvl w:val="2"/>
        <w:numId w:val="34"/>
      </w:numPr>
      <w:spacing w:before="200" w:after="0"/>
      <w:outlineLvl w:val="2"/>
    </w:pPr>
    <w:rPr>
      <w:rFonts w:ascii="Cambria" w:eastAsia="MS Gothic" w:hAnsi="Cambria"/>
      <w:b/>
      <w:bCs/>
      <w:color w:val="4F81BD"/>
    </w:rPr>
  </w:style>
  <w:style w:type="paragraph" w:styleId="Heading4">
    <w:name w:val="heading 4"/>
    <w:basedOn w:val="Normal"/>
    <w:next w:val="Normal"/>
    <w:link w:val="Heading4Char"/>
    <w:uiPriority w:val="9"/>
    <w:qFormat/>
    <w:rsid w:val="007D4840"/>
    <w:pPr>
      <w:keepNext/>
      <w:keepLines/>
      <w:numPr>
        <w:ilvl w:val="3"/>
        <w:numId w:val="34"/>
      </w:numPr>
      <w:spacing w:before="200" w:after="0"/>
      <w:outlineLvl w:val="3"/>
    </w:pPr>
    <w:rPr>
      <w:rFonts w:ascii="Cambria" w:eastAsia="MS Gothic" w:hAnsi="Cambria"/>
      <w:b/>
      <w:bCs/>
      <w:i/>
      <w:iCs/>
      <w:color w:val="4F81BD"/>
    </w:rPr>
  </w:style>
  <w:style w:type="paragraph" w:styleId="Heading5">
    <w:name w:val="heading 5"/>
    <w:basedOn w:val="Normal"/>
    <w:next w:val="Normal"/>
    <w:link w:val="Heading5Char"/>
    <w:uiPriority w:val="9"/>
    <w:qFormat/>
    <w:rsid w:val="007D4840"/>
    <w:pPr>
      <w:keepNext/>
      <w:keepLines/>
      <w:numPr>
        <w:ilvl w:val="4"/>
        <w:numId w:val="34"/>
      </w:numPr>
      <w:spacing w:before="200" w:after="0"/>
      <w:outlineLvl w:val="4"/>
    </w:pPr>
    <w:rPr>
      <w:rFonts w:ascii="Cambria" w:eastAsia="MS Gothic" w:hAnsi="Cambria"/>
      <w:color w:val="243F60"/>
    </w:rPr>
  </w:style>
  <w:style w:type="paragraph" w:styleId="Heading6">
    <w:name w:val="heading 6"/>
    <w:basedOn w:val="Normal"/>
    <w:next w:val="Normal"/>
    <w:link w:val="Heading6Char"/>
    <w:uiPriority w:val="9"/>
    <w:qFormat/>
    <w:rsid w:val="007D4840"/>
    <w:pPr>
      <w:keepNext/>
      <w:keepLines/>
      <w:numPr>
        <w:ilvl w:val="5"/>
        <w:numId w:val="34"/>
      </w:numPr>
      <w:spacing w:before="200" w:after="0"/>
      <w:outlineLvl w:val="5"/>
    </w:pPr>
    <w:rPr>
      <w:rFonts w:ascii="Cambria" w:eastAsia="MS Gothic" w:hAnsi="Cambria"/>
      <w:i/>
      <w:iCs/>
      <w:color w:val="243F60"/>
    </w:rPr>
  </w:style>
  <w:style w:type="paragraph" w:styleId="Heading7">
    <w:name w:val="heading 7"/>
    <w:basedOn w:val="Normal"/>
    <w:next w:val="Normal"/>
    <w:link w:val="Heading7Char"/>
    <w:uiPriority w:val="9"/>
    <w:qFormat/>
    <w:rsid w:val="007D4840"/>
    <w:pPr>
      <w:keepNext/>
      <w:keepLines/>
      <w:numPr>
        <w:ilvl w:val="6"/>
        <w:numId w:val="34"/>
      </w:numPr>
      <w:spacing w:before="200" w:after="0"/>
      <w:outlineLvl w:val="6"/>
    </w:pPr>
    <w:rPr>
      <w:rFonts w:ascii="Cambria" w:eastAsia="MS Gothic" w:hAnsi="Cambria"/>
      <w:i/>
      <w:iCs/>
      <w:color w:val="404040"/>
    </w:rPr>
  </w:style>
  <w:style w:type="paragraph" w:styleId="Heading8">
    <w:name w:val="heading 8"/>
    <w:basedOn w:val="Normal"/>
    <w:next w:val="Normal"/>
    <w:link w:val="Heading8Char"/>
    <w:uiPriority w:val="9"/>
    <w:qFormat/>
    <w:rsid w:val="007D4840"/>
    <w:pPr>
      <w:keepNext/>
      <w:keepLines/>
      <w:numPr>
        <w:ilvl w:val="7"/>
        <w:numId w:val="34"/>
      </w:numPr>
      <w:spacing w:before="200" w:after="0"/>
      <w:outlineLvl w:val="7"/>
    </w:pPr>
    <w:rPr>
      <w:rFonts w:ascii="Cambria" w:eastAsia="MS Gothic" w:hAnsi="Cambria"/>
      <w:color w:val="404040"/>
      <w:sz w:val="20"/>
      <w:szCs w:val="20"/>
    </w:rPr>
  </w:style>
  <w:style w:type="paragraph" w:styleId="Heading9">
    <w:name w:val="heading 9"/>
    <w:basedOn w:val="Normal"/>
    <w:next w:val="Normal"/>
    <w:link w:val="Heading9Char"/>
    <w:uiPriority w:val="9"/>
    <w:qFormat/>
    <w:rsid w:val="007D4840"/>
    <w:pPr>
      <w:keepNext/>
      <w:keepLines/>
      <w:numPr>
        <w:ilvl w:val="8"/>
        <w:numId w:val="34"/>
      </w:numPr>
      <w:spacing w:before="200" w:after="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FB27E8"/>
    <w:pPr>
      <w:spacing w:line="240" w:lineRule="auto"/>
      <w:ind w:left="720"/>
      <w:contextualSpacing/>
    </w:pPr>
    <w:rPr>
      <w:szCs w:val="24"/>
    </w:rPr>
  </w:style>
  <w:style w:type="character" w:styleId="CommentReference">
    <w:name w:val="annotation reference"/>
    <w:uiPriority w:val="99"/>
    <w:semiHidden/>
    <w:unhideWhenUsed/>
    <w:rsid w:val="00AF4C98"/>
    <w:rPr>
      <w:sz w:val="18"/>
      <w:szCs w:val="18"/>
    </w:rPr>
  </w:style>
  <w:style w:type="paragraph" w:styleId="CommentText">
    <w:name w:val="annotation text"/>
    <w:basedOn w:val="Normal"/>
    <w:link w:val="CommentTextChar"/>
    <w:uiPriority w:val="99"/>
    <w:unhideWhenUsed/>
    <w:rsid w:val="00AF4C98"/>
    <w:pPr>
      <w:spacing w:after="0" w:line="240" w:lineRule="auto"/>
    </w:pPr>
    <w:rPr>
      <w:rFonts w:eastAsia="MS Mincho"/>
      <w:sz w:val="24"/>
      <w:szCs w:val="24"/>
      <w:lang w:val="en-GB"/>
    </w:rPr>
  </w:style>
  <w:style w:type="character" w:customStyle="1" w:styleId="CommentTextChar">
    <w:name w:val="Comment Text Char"/>
    <w:link w:val="CommentText"/>
    <w:uiPriority w:val="99"/>
    <w:rsid w:val="00AF4C98"/>
    <w:rPr>
      <w:rFonts w:eastAsia="MS Mincho"/>
      <w:sz w:val="24"/>
      <w:szCs w:val="24"/>
      <w:lang w:val="en-GB"/>
    </w:rPr>
  </w:style>
  <w:style w:type="paragraph" w:styleId="BalloonText">
    <w:name w:val="Balloon Text"/>
    <w:basedOn w:val="Normal"/>
    <w:link w:val="BalloonTextChar"/>
    <w:uiPriority w:val="99"/>
    <w:semiHidden/>
    <w:unhideWhenUsed/>
    <w:rsid w:val="00AF4C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4C98"/>
    <w:rPr>
      <w:rFonts w:ascii="Tahoma" w:hAnsi="Tahoma" w:cs="Tahoma"/>
      <w:sz w:val="16"/>
      <w:szCs w:val="16"/>
    </w:rPr>
  </w:style>
  <w:style w:type="paragraph" w:styleId="Header">
    <w:name w:val="header"/>
    <w:basedOn w:val="Normal"/>
    <w:link w:val="HeaderChar"/>
    <w:uiPriority w:val="99"/>
    <w:unhideWhenUsed/>
    <w:rsid w:val="00C41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2D4"/>
  </w:style>
  <w:style w:type="paragraph" w:styleId="Footer">
    <w:name w:val="footer"/>
    <w:basedOn w:val="Normal"/>
    <w:link w:val="FooterChar"/>
    <w:uiPriority w:val="99"/>
    <w:unhideWhenUsed/>
    <w:rsid w:val="00C41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2D4"/>
  </w:style>
  <w:style w:type="paragraph" w:styleId="NormalWeb">
    <w:name w:val="Normal (Web)"/>
    <w:basedOn w:val="Normal"/>
    <w:uiPriority w:val="99"/>
    <w:semiHidden/>
    <w:unhideWhenUsed/>
    <w:rsid w:val="00495FF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link w:val="Heading2"/>
    <w:uiPriority w:val="9"/>
    <w:rsid w:val="00A40CEF"/>
    <w:rPr>
      <w:rFonts w:ascii="Cambria" w:eastAsia="MS Gothic" w:hAnsi="Cambria" w:cs="Times New Roman"/>
      <w:b/>
      <w:bCs/>
      <w:color w:val="4F81BD"/>
      <w:sz w:val="26"/>
      <w:szCs w:val="26"/>
      <w:lang w:val="en-GB"/>
    </w:rPr>
  </w:style>
  <w:style w:type="paragraph" w:styleId="CommentSubject">
    <w:name w:val="annotation subject"/>
    <w:basedOn w:val="CommentText"/>
    <w:next w:val="CommentText"/>
    <w:link w:val="CommentSubjectChar"/>
    <w:uiPriority w:val="99"/>
    <w:semiHidden/>
    <w:unhideWhenUsed/>
    <w:rsid w:val="00DE6B8F"/>
    <w:pPr>
      <w:spacing w:after="200"/>
    </w:pPr>
    <w:rPr>
      <w:rFonts w:eastAsia="Calibri"/>
      <w:b/>
      <w:bCs/>
      <w:sz w:val="20"/>
      <w:szCs w:val="20"/>
      <w:lang w:val="en-US"/>
    </w:rPr>
  </w:style>
  <w:style w:type="character" w:customStyle="1" w:styleId="CommentSubjectChar">
    <w:name w:val="Comment Subject Char"/>
    <w:link w:val="CommentSubject"/>
    <w:uiPriority w:val="99"/>
    <w:semiHidden/>
    <w:rsid w:val="00DE6B8F"/>
    <w:rPr>
      <w:rFonts w:eastAsia="MS Mincho"/>
      <w:b/>
      <w:bCs/>
      <w:sz w:val="20"/>
      <w:szCs w:val="20"/>
      <w:lang w:val="en-GB"/>
    </w:rPr>
  </w:style>
  <w:style w:type="table" w:styleId="TableGrid">
    <w:name w:val="Table Grid"/>
    <w:basedOn w:val="TableNormal"/>
    <w:uiPriority w:val="59"/>
    <w:rsid w:val="00056D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B72ED"/>
    <w:pPr>
      <w:spacing w:after="0" w:line="240" w:lineRule="auto"/>
    </w:pPr>
    <w:rPr>
      <w:sz w:val="24"/>
      <w:szCs w:val="24"/>
    </w:rPr>
  </w:style>
  <w:style w:type="character" w:customStyle="1" w:styleId="FootnoteTextChar">
    <w:name w:val="Footnote Text Char"/>
    <w:link w:val="FootnoteText"/>
    <w:uiPriority w:val="99"/>
    <w:rsid w:val="005B72ED"/>
    <w:rPr>
      <w:sz w:val="24"/>
      <w:szCs w:val="24"/>
    </w:rPr>
  </w:style>
  <w:style w:type="character" w:styleId="FootnoteReference">
    <w:name w:val="footnote reference"/>
    <w:uiPriority w:val="99"/>
    <w:unhideWhenUsed/>
    <w:rsid w:val="005B72ED"/>
    <w:rPr>
      <w:vertAlign w:val="superscript"/>
    </w:rPr>
  </w:style>
  <w:style w:type="character" w:customStyle="1" w:styleId="Heading1Char">
    <w:name w:val="Heading 1 Char"/>
    <w:link w:val="Heading1"/>
    <w:uiPriority w:val="9"/>
    <w:rsid w:val="00A40CEF"/>
    <w:rPr>
      <w:rFonts w:ascii="Cambria" w:eastAsia="MS Gothic" w:hAnsi="Cambria" w:cs="Times New Roman"/>
      <w:b/>
      <w:bCs/>
      <w:color w:val="345A8A"/>
      <w:sz w:val="32"/>
      <w:szCs w:val="32"/>
    </w:rPr>
  </w:style>
  <w:style w:type="character" w:customStyle="1" w:styleId="Heading3Char">
    <w:name w:val="Heading 3 Char"/>
    <w:link w:val="Heading3"/>
    <w:uiPriority w:val="9"/>
    <w:semiHidden/>
    <w:rsid w:val="007D4840"/>
    <w:rPr>
      <w:rFonts w:ascii="Cambria" w:eastAsia="MS Gothic" w:hAnsi="Cambria" w:cs="Times New Roman"/>
      <w:b/>
      <w:bCs/>
      <w:color w:val="4F81BD"/>
    </w:rPr>
  </w:style>
  <w:style w:type="character" w:customStyle="1" w:styleId="Heading4Char">
    <w:name w:val="Heading 4 Char"/>
    <w:link w:val="Heading4"/>
    <w:uiPriority w:val="9"/>
    <w:semiHidden/>
    <w:rsid w:val="007D4840"/>
    <w:rPr>
      <w:rFonts w:ascii="Cambria" w:eastAsia="MS Gothic" w:hAnsi="Cambria" w:cs="Times New Roman"/>
      <w:b/>
      <w:bCs/>
      <w:i/>
      <w:iCs/>
      <w:color w:val="4F81BD"/>
    </w:rPr>
  </w:style>
  <w:style w:type="character" w:customStyle="1" w:styleId="Heading5Char">
    <w:name w:val="Heading 5 Char"/>
    <w:link w:val="Heading5"/>
    <w:uiPriority w:val="9"/>
    <w:semiHidden/>
    <w:rsid w:val="007D4840"/>
    <w:rPr>
      <w:rFonts w:ascii="Cambria" w:eastAsia="MS Gothic" w:hAnsi="Cambria" w:cs="Times New Roman"/>
      <w:color w:val="243F60"/>
    </w:rPr>
  </w:style>
  <w:style w:type="character" w:customStyle="1" w:styleId="Heading6Char">
    <w:name w:val="Heading 6 Char"/>
    <w:link w:val="Heading6"/>
    <w:uiPriority w:val="9"/>
    <w:semiHidden/>
    <w:rsid w:val="007D4840"/>
    <w:rPr>
      <w:rFonts w:ascii="Cambria" w:eastAsia="MS Gothic" w:hAnsi="Cambria" w:cs="Times New Roman"/>
      <w:i/>
      <w:iCs/>
      <w:color w:val="243F60"/>
    </w:rPr>
  </w:style>
  <w:style w:type="character" w:customStyle="1" w:styleId="Heading7Char">
    <w:name w:val="Heading 7 Char"/>
    <w:link w:val="Heading7"/>
    <w:uiPriority w:val="9"/>
    <w:semiHidden/>
    <w:rsid w:val="007D4840"/>
    <w:rPr>
      <w:rFonts w:ascii="Cambria" w:eastAsia="MS Gothic" w:hAnsi="Cambria" w:cs="Times New Roman"/>
      <w:i/>
      <w:iCs/>
      <w:color w:val="404040"/>
    </w:rPr>
  </w:style>
  <w:style w:type="character" w:customStyle="1" w:styleId="Heading8Char">
    <w:name w:val="Heading 8 Char"/>
    <w:link w:val="Heading8"/>
    <w:uiPriority w:val="9"/>
    <w:semiHidden/>
    <w:rsid w:val="007D4840"/>
    <w:rPr>
      <w:rFonts w:ascii="Cambria" w:eastAsia="MS Gothic" w:hAnsi="Cambria" w:cs="Times New Roman"/>
      <w:color w:val="404040"/>
      <w:sz w:val="20"/>
      <w:szCs w:val="20"/>
    </w:rPr>
  </w:style>
  <w:style w:type="character" w:customStyle="1" w:styleId="Heading9Char">
    <w:name w:val="Heading 9 Char"/>
    <w:link w:val="Heading9"/>
    <w:uiPriority w:val="9"/>
    <w:semiHidden/>
    <w:rsid w:val="007D4840"/>
    <w:rPr>
      <w:rFonts w:ascii="Cambria" w:eastAsia="MS Gothic" w:hAnsi="Cambria" w:cs="Times New Roman"/>
      <w:i/>
      <w:iCs/>
      <w:color w:val="404040"/>
      <w:sz w:val="20"/>
      <w:szCs w:val="20"/>
    </w:rPr>
  </w:style>
  <w:style w:type="paragraph" w:styleId="Caption">
    <w:name w:val="caption"/>
    <w:basedOn w:val="Normal"/>
    <w:next w:val="Normal"/>
    <w:uiPriority w:val="35"/>
    <w:qFormat/>
    <w:rsid w:val="005B0038"/>
    <w:pPr>
      <w:spacing w:line="240" w:lineRule="auto"/>
    </w:pPr>
    <w:rPr>
      <w:b/>
      <w:bCs/>
      <w:color w:val="4F81BD"/>
      <w:sz w:val="18"/>
      <w:szCs w:val="18"/>
    </w:rPr>
  </w:style>
  <w:style w:type="paragraph" w:customStyle="1" w:styleId="yiv1012987596msonormal">
    <w:name w:val="yiv1012987596msonormal"/>
    <w:basedOn w:val="Normal"/>
    <w:rsid w:val="00F72488"/>
    <w:pPr>
      <w:spacing w:before="100" w:beforeAutospacing="1" w:after="100" w:afterAutospacing="1" w:line="240" w:lineRule="auto"/>
    </w:pPr>
    <w:rPr>
      <w:rFonts w:ascii="Times New Roman" w:hAnsi="Times New Roman"/>
      <w:sz w:val="24"/>
      <w:szCs w:val="24"/>
    </w:rPr>
  </w:style>
  <w:style w:type="paragraph" w:customStyle="1" w:styleId="ColorfulShading-Accent11">
    <w:name w:val="Colorful Shading - Accent 11"/>
    <w:hidden/>
    <w:uiPriority w:val="99"/>
    <w:semiHidden/>
    <w:rsid w:val="00DF4E17"/>
    <w:rPr>
      <w:sz w:val="22"/>
      <w:szCs w:val="22"/>
    </w:rPr>
  </w:style>
  <w:style w:type="character" w:styleId="Hyperlink">
    <w:name w:val="Hyperlink"/>
    <w:uiPriority w:val="99"/>
    <w:unhideWhenUsed/>
    <w:rsid w:val="00497613"/>
    <w:rPr>
      <w:color w:val="0000FF"/>
      <w:u w:val="single"/>
    </w:rPr>
  </w:style>
  <w:style w:type="paragraph" w:customStyle="1" w:styleId="MediumGrid21">
    <w:name w:val="Medium Grid 21"/>
    <w:uiPriority w:val="1"/>
    <w:qFormat/>
    <w:rsid w:val="004F54EE"/>
    <w:rPr>
      <w:sz w:val="22"/>
      <w:szCs w:val="22"/>
    </w:rPr>
  </w:style>
  <w:style w:type="paragraph" w:styleId="DocumentMap">
    <w:name w:val="Document Map"/>
    <w:basedOn w:val="Normal"/>
    <w:link w:val="DocumentMapChar"/>
    <w:uiPriority w:val="99"/>
    <w:semiHidden/>
    <w:unhideWhenUsed/>
    <w:rsid w:val="00376466"/>
    <w:pPr>
      <w:spacing w:after="0" w:line="240" w:lineRule="auto"/>
    </w:pPr>
    <w:rPr>
      <w:rFonts w:ascii="Lucida Grande" w:hAnsi="Lucida Grande"/>
      <w:sz w:val="24"/>
      <w:szCs w:val="24"/>
    </w:rPr>
  </w:style>
  <w:style w:type="character" w:customStyle="1" w:styleId="DocumentMapChar">
    <w:name w:val="Document Map Char"/>
    <w:link w:val="DocumentMap"/>
    <w:uiPriority w:val="99"/>
    <w:semiHidden/>
    <w:rsid w:val="00376466"/>
    <w:rPr>
      <w:rFonts w:ascii="Lucida Grande" w:hAnsi="Lucida Grande"/>
      <w:sz w:val="24"/>
      <w:szCs w:val="24"/>
    </w:rPr>
  </w:style>
</w:styles>
</file>

<file path=word/webSettings.xml><?xml version="1.0" encoding="utf-8"?>
<w:webSettings xmlns:r="http://schemas.openxmlformats.org/officeDocument/2006/relationships" xmlns:w="http://schemas.openxmlformats.org/wordprocessingml/2006/main">
  <w:divs>
    <w:div w:id="228342686">
      <w:bodyDiv w:val="1"/>
      <w:marLeft w:val="0"/>
      <w:marRight w:val="0"/>
      <w:marTop w:val="0"/>
      <w:marBottom w:val="0"/>
      <w:divBdr>
        <w:top w:val="none" w:sz="0" w:space="0" w:color="auto"/>
        <w:left w:val="none" w:sz="0" w:space="0" w:color="auto"/>
        <w:bottom w:val="none" w:sz="0" w:space="0" w:color="auto"/>
        <w:right w:val="none" w:sz="0" w:space="0" w:color="auto"/>
      </w:divBdr>
      <w:divsChild>
        <w:div w:id="669406519">
          <w:marLeft w:val="547"/>
          <w:marRight w:val="0"/>
          <w:marTop w:val="96"/>
          <w:marBottom w:val="0"/>
          <w:divBdr>
            <w:top w:val="none" w:sz="0" w:space="0" w:color="auto"/>
            <w:left w:val="none" w:sz="0" w:space="0" w:color="auto"/>
            <w:bottom w:val="none" w:sz="0" w:space="0" w:color="auto"/>
            <w:right w:val="none" w:sz="0" w:space="0" w:color="auto"/>
          </w:divBdr>
        </w:div>
        <w:div w:id="1286739299">
          <w:marLeft w:val="547"/>
          <w:marRight w:val="0"/>
          <w:marTop w:val="96"/>
          <w:marBottom w:val="0"/>
          <w:divBdr>
            <w:top w:val="none" w:sz="0" w:space="0" w:color="auto"/>
            <w:left w:val="none" w:sz="0" w:space="0" w:color="auto"/>
            <w:bottom w:val="none" w:sz="0" w:space="0" w:color="auto"/>
            <w:right w:val="none" w:sz="0" w:space="0" w:color="auto"/>
          </w:divBdr>
        </w:div>
      </w:divsChild>
    </w:div>
    <w:div w:id="656612924">
      <w:bodyDiv w:val="1"/>
      <w:marLeft w:val="0"/>
      <w:marRight w:val="0"/>
      <w:marTop w:val="0"/>
      <w:marBottom w:val="0"/>
      <w:divBdr>
        <w:top w:val="none" w:sz="0" w:space="0" w:color="auto"/>
        <w:left w:val="none" w:sz="0" w:space="0" w:color="auto"/>
        <w:bottom w:val="none" w:sz="0" w:space="0" w:color="auto"/>
        <w:right w:val="none" w:sz="0" w:space="0" w:color="auto"/>
      </w:divBdr>
    </w:div>
    <w:div w:id="707216004">
      <w:bodyDiv w:val="1"/>
      <w:marLeft w:val="0"/>
      <w:marRight w:val="0"/>
      <w:marTop w:val="0"/>
      <w:marBottom w:val="0"/>
      <w:divBdr>
        <w:top w:val="none" w:sz="0" w:space="0" w:color="auto"/>
        <w:left w:val="none" w:sz="0" w:space="0" w:color="auto"/>
        <w:bottom w:val="none" w:sz="0" w:space="0" w:color="auto"/>
        <w:right w:val="none" w:sz="0" w:space="0" w:color="auto"/>
      </w:divBdr>
    </w:div>
    <w:div w:id="789710588">
      <w:bodyDiv w:val="1"/>
      <w:marLeft w:val="0"/>
      <w:marRight w:val="0"/>
      <w:marTop w:val="0"/>
      <w:marBottom w:val="0"/>
      <w:divBdr>
        <w:top w:val="none" w:sz="0" w:space="0" w:color="auto"/>
        <w:left w:val="none" w:sz="0" w:space="0" w:color="auto"/>
        <w:bottom w:val="none" w:sz="0" w:space="0" w:color="auto"/>
        <w:right w:val="none" w:sz="0" w:space="0" w:color="auto"/>
      </w:divBdr>
    </w:div>
    <w:div w:id="1077898646">
      <w:bodyDiv w:val="1"/>
      <w:marLeft w:val="0"/>
      <w:marRight w:val="0"/>
      <w:marTop w:val="0"/>
      <w:marBottom w:val="0"/>
      <w:divBdr>
        <w:top w:val="none" w:sz="0" w:space="0" w:color="auto"/>
        <w:left w:val="none" w:sz="0" w:space="0" w:color="auto"/>
        <w:bottom w:val="none" w:sz="0" w:space="0" w:color="auto"/>
        <w:right w:val="none" w:sz="0" w:space="0" w:color="auto"/>
      </w:divBdr>
    </w:div>
    <w:div w:id="1359620529">
      <w:bodyDiv w:val="1"/>
      <w:marLeft w:val="0"/>
      <w:marRight w:val="0"/>
      <w:marTop w:val="0"/>
      <w:marBottom w:val="0"/>
      <w:divBdr>
        <w:top w:val="none" w:sz="0" w:space="0" w:color="auto"/>
        <w:left w:val="none" w:sz="0" w:space="0" w:color="auto"/>
        <w:bottom w:val="none" w:sz="0" w:space="0" w:color="auto"/>
        <w:right w:val="none" w:sz="0" w:space="0" w:color="auto"/>
      </w:divBdr>
      <w:divsChild>
        <w:div w:id="81995137">
          <w:marLeft w:val="1166"/>
          <w:marRight w:val="0"/>
          <w:marTop w:val="96"/>
          <w:marBottom w:val="0"/>
          <w:divBdr>
            <w:top w:val="none" w:sz="0" w:space="0" w:color="auto"/>
            <w:left w:val="none" w:sz="0" w:space="0" w:color="auto"/>
            <w:bottom w:val="none" w:sz="0" w:space="0" w:color="auto"/>
            <w:right w:val="none" w:sz="0" w:space="0" w:color="auto"/>
          </w:divBdr>
        </w:div>
        <w:div w:id="190607992">
          <w:marLeft w:val="547"/>
          <w:marRight w:val="0"/>
          <w:marTop w:val="96"/>
          <w:marBottom w:val="0"/>
          <w:divBdr>
            <w:top w:val="none" w:sz="0" w:space="0" w:color="auto"/>
            <w:left w:val="none" w:sz="0" w:space="0" w:color="auto"/>
            <w:bottom w:val="none" w:sz="0" w:space="0" w:color="auto"/>
            <w:right w:val="none" w:sz="0" w:space="0" w:color="auto"/>
          </w:divBdr>
        </w:div>
        <w:div w:id="416633901">
          <w:marLeft w:val="1166"/>
          <w:marRight w:val="0"/>
          <w:marTop w:val="96"/>
          <w:marBottom w:val="0"/>
          <w:divBdr>
            <w:top w:val="none" w:sz="0" w:space="0" w:color="auto"/>
            <w:left w:val="none" w:sz="0" w:space="0" w:color="auto"/>
            <w:bottom w:val="none" w:sz="0" w:space="0" w:color="auto"/>
            <w:right w:val="none" w:sz="0" w:space="0" w:color="auto"/>
          </w:divBdr>
        </w:div>
        <w:div w:id="513348069">
          <w:marLeft w:val="1166"/>
          <w:marRight w:val="0"/>
          <w:marTop w:val="96"/>
          <w:marBottom w:val="0"/>
          <w:divBdr>
            <w:top w:val="none" w:sz="0" w:space="0" w:color="auto"/>
            <w:left w:val="none" w:sz="0" w:space="0" w:color="auto"/>
            <w:bottom w:val="none" w:sz="0" w:space="0" w:color="auto"/>
            <w:right w:val="none" w:sz="0" w:space="0" w:color="auto"/>
          </w:divBdr>
        </w:div>
        <w:div w:id="1683898035">
          <w:marLeft w:val="1166"/>
          <w:marRight w:val="0"/>
          <w:marTop w:val="96"/>
          <w:marBottom w:val="0"/>
          <w:divBdr>
            <w:top w:val="none" w:sz="0" w:space="0" w:color="auto"/>
            <w:left w:val="none" w:sz="0" w:space="0" w:color="auto"/>
            <w:bottom w:val="none" w:sz="0" w:space="0" w:color="auto"/>
            <w:right w:val="none" w:sz="0" w:space="0" w:color="auto"/>
          </w:divBdr>
        </w:div>
        <w:div w:id="1955214185">
          <w:marLeft w:val="1166"/>
          <w:marRight w:val="0"/>
          <w:marTop w:val="96"/>
          <w:marBottom w:val="0"/>
          <w:divBdr>
            <w:top w:val="none" w:sz="0" w:space="0" w:color="auto"/>
            <w:left w:val="none" w:sz="0" w:space="0" w:color="auto"/>
            <w:bottom w:val="none" w:sz="0" w:space="0" w:color="auto"/>
            <w:right w:val="none" w:sz="0" w:space="0" w:color="auto"/>
          </w:divBdr>
        </w:div>
        <w:div w:id="2025284295">
          <w:marLeft w:val="1166"/>
          <w:marRight w:val="0"/>
          <w:marTop w:val="96"/>
          <w:marBottom w:val="0"/>
          <w:divBdr>
            <w:top w:val="none" w:sz="0" w:space="0" w:color="auto"/>
            <w:left w:val="none" w:sz="0" w:space="0" w:color="auto"/>
            <w:bottom w:val="none" w:sz="0" w:space="0" w:color="auto"/>
            <w:right w:val="none" w:sz="0" w:space="0" w:color="auto"/>
          </w:divBdr>
        </w:div>
      </w:divsChild>
    </w:div>
    <w:div w:id="1595046276">
      <w:bodyDiv w:val="1"/>
      <w:marLeft w:val="0"/>
      <w:marRight w:val="0"/>
      <w:marTop w:val="0"/>
      <w:marBottom w:val="0"/>
      <w:divBdr>
        <w:top w:val="none" w:sz="0" w:space="0" w:color="auto"/>
        <w:left w:val="none" w:sz="0" w:space="0" w:color="auto"/>
        <w:bottom w:val="none" w:sz="0" w:space="0" w:color="auto"/>
        <w:right w:val="none" w:sz="0" w:space="0" w:color="auto"/>
      </w:divBdr>
    </w:div>
    <w:div w:id="1822186627">
      <w:bodyDiv w:val="1"/>
      <w:marLeft w:val="0"/>
      <w:marRight w:val="0"/>
      <w:marTop w:val="0"/>
      <w:marBottom w:val="0"/>
      <w:divBdr>
        <w:top w:val="none" w:sz="0" w:space="0" w:color="auto"/>
        <w:left w:val="none" w:sz="0" w:space="0" w:color="auto"/>
        <w:bottom w:val="none" w:sz="0" w:space="0" w:color="auto"/>
        <w:right w:val="none" w:sz="0" w:space="0" w:color="auto"/>
      </w:divBdr>
    </w:div>
    <w:div w:id="1827090321">
      <w:bodyDiv w:val="1"/>
      <w:marLeft w:val="0"/>
      <w:marRight w:val="0"/>
      <w:marTop w:val="0"/>
      <w:marBottom w:val="0"/>
      <w:divBdr>
        <w:top w:val="none" w:sz="0" w:space="0" w:color="auto"/>
        <w:left w:val="none" w:sz="0" w:space="0" w:color="auto"/>
        <w:bottom w:val="none" w:sz="0" w:space="0" w:color="auto"/>
        <w:right w:val="none" w:sz="0" w:space="0" w:color="auto"/>
      </w:divBdr>
    </w:div>
    <w:div w:id="1828596544">
      <w:bodyDiv w:val="1"/>
      <w:marLeft w:val="0"/>
      <w:marRight w:val="0"/>
      <w:marTop w:val="0"/>
      <w:marBottom w:val="0"/>
      <w:divBdr>
        <w:top w:val="none" w:sz="0" w:space="0" w:color="auto"/>
        <w:left w:val="none" w:sz="0" w:space="0" w:color="auto"/>
        <w:bottom w:val="none" w:sz="0" w:space="0" w:color="auto"/>
        <w:right w:val="none" w:sz="0" w:space="0" w:color="auto"/>
      </w:divBdr>
    </w:div>
    <w:div w:id="1941909756">
      <w:bodyDiv w:val="1"/>
      <w:marLeft w:val="0"/>
      <w:marRight w:val="0"/>
      <w:marTop w:val="0"/>
      <w:marBottom w:val="0"/>
      <w:divBdr>
        <w:top w:val="none" w:sz="0" w:space="0" w:color="auto"/>
        <w:left w:val="none" w:sz="0" w:space="0" w:color="auto"/>
        <w:bottom w:val="none" w:sz="0" w:space="0" w:color="auto"/>
        <w:right w:val="none" w:sz="0" w:space="0" w:color="auto"/>
      </w:divBdr>
    </w:div>
    <w:div w:id="196997260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doNotSaveAsSingleFile/>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2012-12-07T00:00:00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336694-3461-4E67-9583-263B8CE36C7F}">
  <ds:schemaRefs>
    <ds:schemaRef ds:uri="http://schemas.openxmlformats.org/officeDocument/2006/bibliography"/>
  </ds:schemaRefs>
</ds:datastoreItem>
</file>

<file path=customXml/itemProps3.xml><?xml version="1.0" encoding="utf-8"?>
<ds:datastoreItem xmlns:ds="http://schemas.openxmlformats.org/officeDocument/2006/customXml" ds:itemID="{E61C1EBE-2C34-EA4D-9CEF-379DEE15C097}">
  <ds:schemaRefs>
    <ds:schemaRef ds:uri="http://schemas.openxmlformats.org/officeDocument/2006/bibliography"/>
  </ds:schemaRefs>
</ds:datastoreItem>
</file>

<file path=customXml/itemProps4.xml><?xml version="1.0" encoding="utf-8"?>
<ds:datastoreItem xmlns:ds="http://schemas.openxmlformats.org/officeDocument/2006/customXml" ds:itemID="{F6E920DD-04FF-984B-A373-770CD8B3DE1A}">
  <ds:schemaRefs>
    <ds:schemaRef ds:uri="http://schemas.openxmlformats.org/officeDocument/2006/bibliography"/>
  </ds:schemaRefs>
</ds:datastoreItem>
</file>

<file path=customXml/itemProps5.xml><?xml version="1.0" encoding="utf-8"?>
<ds:datastoreItem xmlns:ds="http://schemas.openxmlformats.org/officeDocument/2006/customXml" ds:itemID="{CC05B1FD-EA81-426F-9D62-16094B66C9F6}">
  <ds:schemaRefs>
    <ds:schemaRef ds:uri="http://schemas.openxmlformats.org/officeDocument/2006/bibliography"/>
  </ds:schemaRefs>
</ds:datastoreItem>
</file>

<file path=customXml/itemProps6.xml><?xml version="1.0" encoding="utf-8"?>
<ds:datastoreItem xmlns:ds="http://schemas.openxmlformats.org/officeDocument/2006/customXml" ds:itemID="{FCFE2C47-415D-49FF-BAE2-4B205CD649CB}">
  <ds:schemaRefs>
    <ds:schemaRef ds:uri="http://schemas.openxmlformats.org/officeDocument/2006/bibliography"/>
  </ds:schemaRefs>
</ds:datastoreItem>
</file>

<file path=customXml/itemProps7.xml><?xml version="1.0" encoding="utf-8"?>
<ds:datastoreItem xmlns:ds="http://schemas.openxmlformats.org/officeDocument/2006/customXml" ds:itemID="{001161E9-A140-4F71-86E7-5489498A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4734</Words>
  <Characters>26987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FINAL REVIEW VERSIOn</vt:lpstr>
    </vt:vector>
  </TitlesOfParts>
  <Company>Microsoft</Company>
  <LinksUpToDate>false</LinksUpToDate>
  <CharactersWithSpaces>31658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REVIEW VERSIOn</dc:title>
  <dc:creator>kimberly.todd</dc:creator>
  <cp:lastModifiedBy>kimberly.todd</cp:lastModifiedBy>
  <cp:revision>2</cp:revision>
  <cp:lastPrinted>2012-12-18T16:21:00Z</cp:lastPrinted>
  <dcterms:created xsi:type="dcterms:W3CDTF">2012-12-21T14:47:00Z</dcterms:created>
  <dcterms:modified xsi:type="dcterms:W3CDTF">2012-12-21T14:47:00Z</dcterms:modified>
</cp:coreProperties>
</file>