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E12" w:rsidRDefault="000B7E12" w:rsidP="000B7E12">
      <w:pPr>
        <w:pStyle w:val="Heading1"/>
        <w:numPr>
          <w:ilvl w:val="0"/>
          <w:numId w:val="0"/>
        </w:numPr>
        <w:ind w:left="432"/>
        <w:jc w:val="center"/>
        <w:rPr>
          <w:sz w:val="28"/>
          <w:szCs w:val="28"/>
        </w:rPr>
      </w:pPr>
      <w:r w:rsidRPr="00D82734">
        <w:rPr>
          <w:sz w:val="28"/>
          <w:szCs w:val="28"/>
        </w:rPr>
        <w:t>Terms of Reference</w:t>
      </w:r>
    </w:p>
    <w:p w:rsidR="000B7E12" w:rsidRPr="00D82734" w:rsidRDefault="000B7E12" w:rsidP="000B7E12"/>
    <w:p w:rsidR="000B7E12" w:rsidRPr="00D82734" w:rsidRDefault="000B7E12" w:rsidP="000B7E12">
      <w:pPr>
        <w:pStyle w:val="Heading1"/>
        <w:numPr>
          <w:ilvl w:val="0"/>
          <w:numId w:val="0"/>
        </w:numPr>
        <w:ind w:left="432"/>
        <w:jc w:val="center"/>
        <w:rPr>
          <w:sz w:val="28"/>
          <w:szCs w:val="28"/>
        </w:rPr>
      </w:pPr>
      <w:r w:rsidRPr="00D82734">
        <w:rPr>
          <w:sz w:val="28"/>
          <w:szCs w:val="28"/>
        </w:rPr>
        <w:t xml:space="preserve">Solomon Islands </w:t>
      </w:r>
      <w:proofErr w:type="spellStart"/>
      <w:r w:rsidRPr="00D82734">
        <w:rPr>
          <w:sz w:val="28"/>
          <w:szCs w:val="28"/>
        </w:rPr>
        <w:t>REDD</w:t>
      </w:r>
      <w:proofErr w:type="spellEnd"/>
      <w:r w:rsidRPr="00D82734">
        <w:rPr>
          <w:sz w:val="28"/>
          <w:szCs w:val="28"/>
        </w:rPr>
        <w:t>+ Readiness Roadmap</w:t>
      </w:r>
    </w:p>
    <w:p w:rsidR="000B7E12" w:rsidRDefault="000B7E12" w:rsidP="000B7E12">
      <w:pPr>
        <w:pStyle w:val="Heading1"/>
        <w:numPr>
          <w:ilvl w:val="0"/>
          <w:numId w:val="0"/>
        </w:numPr>
        <w:ind w:left="432"/>
        <w:jc w:val="center"/>
        <w:rPr>
          <w:sz w:val="28"/>
          <w:szCs w:val="28"/>
        </w:rPr>
      </w:pPr>
    </w:p>
    <w:p w:rsidR="000B7E12" w:rsidRDefault="000B7E12" w:rsidP="000B7E12">
      <w:pPr>
        <w:pStyle w:val="Heading2"/>
        <w:numPr>
          <w:ilvl w:val="0"/>
          <w:numId w:val="0"/>
        </w:numPr>
        <w:ind w:left="576"/>
        <w:jc w:val="center"/>
      </w:pPr>
      <w:r w:rsidRPr="00D82734">
        <w:t xml:space="preserve">Working Group </w:t>
      </w:r>
      <w:r>
        <w:t>2</w:t>
      </w:r>
      <w:r w:rsidRPr="00D82734">
        <w:t>:</w:t>
      </w:r>
    </w:p>
    <w:p w:rsidR="000B7E12" w:rsidRPr="00D82734" w:rsidRDefault="000B7E12" w:rsidP="000B7E12">
      <w:pPr>
        <w:pStyle w:val="Heading2"/>
        <w:numPr>
          <w:ilvl w:val="0"/>
          <w:numId w:val="0"/>
        </w:numPr>
        <w:ind w:left="576"/>
        <w:jc w:val="center"/>
      </w:pPr>
      <w:r>
        <w:t xml:space="preserve">Stakeholder Engagement and </w:t>
      </w:r>
      <w:r w:rsidR="007F3BCF">
        <w:t>Safeguards</w:t>
      </w:r>
    </w:p>
    <w:p w:rsidR="000B7E12" w:rsidRPr="00A11FD7" w:rsidRDefault="000B7E12" w:rsidP="000B7E12"/>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4230"/>
      </w:tblGrid>
      <w:tr w:rsidR="000B7E12" w:rsidTr="002C0DA8">
        <w:trPr>
          <w:jc w:val="center"/>
        </w:trPr>
        <w:tc>
          <w:tcPr>
            <w:tcW w:w="1278" w:type="dxa"/>
          </w:tcPr>
          <w:p w:rsidR="000B7E12" w:rsidRPr="004357E4" w:rsidRDefault="000B7E12" w:rsidP="002C0DA8">
            <w:r>
              <w:t>Co-Chairs:</w:t>
            </w:r>
            <w:r w:rsidRPr="004357E4">
              <w:t xml:space="preserve">            </w:t>
            </w:r>
          </w:p>
        </w:tc>
        <w:tc>
          <w:tcPr>
            <w:tcW w:w="4230" w:type="dxa"/>
          </w:tcPr>
          <w:p w:rsidR="000B7E12" w:rsidRPr="004357E4" w:rsidRDefault="000B7E12" w:rsidP="002C0DA8">
            <w:r w:rsidRPr="004357E4">
              <w:t>[To be appointed]</w:t>
            </w:r>
          </w:p>
        </w:tc>
      </w:tr>
      <w:tr w:rsidR="000B7E12" w:rsidTr="002C0DA8">
        <w:trPr>
          <w:jc w:val="center"/>
        </w:trPr>
        <w:tc>
          <w:tcPr>
            <w:tcW w:w="1278" w:type="dxa"/>
          </w:tcPr>
          <w:p w:rsidR="000B7E12" w:rsidRPr="004357E4" w:rsidRDefault="000B7E12" w:rsidP="002C0DA8">
            <w:r>
              <w:t>Secretary:</w:t>
            </w:r>
          </w:p>
        </w:tc>
        <w:tc>
          <w:tcPr>
            <w:tcW w:w="4230" w:type="dxa"/>
          </w:tcPr>
          <w:p w:rsidR="000B7E12" w:rsidRPr="004357E4" w:rsidRDefault="000B7E12" w:rsidP="002C0DA8">
            <w:r w:rsidRPr="004357E4">
              <w:t xml:space="preserve">UN-REDD </w:t>
            </w:r>
            <w:proofErr w:type="spellStart"/>
            <w:r w:rsidRPr="004357E4">
              <w:t>PMU</w:t>
            </w:r>
            <w:proofErr w:type="spellEnd"/>
          </w:p>
        </w:tc>
      </w:tr>
      <w:tr w:rsidR="000B7E12" w:rsidTr="002C0DA8">
        <w:trPr>
          <w:trHeight w:val="251"/>
          <w:jc w:val="center"/>
        </w:trPr>
        <w:tc>
          <w:tcPr>
            <w:tcW w:w="1278" w:type="dxa"/>
          </w:tcPr>
          <w:p w:rsidR="000B7E12" w:rsidRPr="004357E4" w:rsidRDefault="000B7E12" w:rsidP="002C0DA8">
            <w:r>
              <w:t>UN-REDD Advisors:</w:t>
            </w:r>
          </w:p>
        </w:tc>
        <w:tc>
          <w:tcPr>
            <w:tcW w:w="4230" w:type="dxa"/>
          </w:tcPr>
          <w:p w:rsidR="000B7E12" w:rsidRPr="004357E4" w:rsidRDefault="000B7E12" w:rsidP="00E92AE2">
            <w:r w:rsidRPr="00A11FD7">
              <w:t xml:space="preserve">Phil Cowling (Consultant –Policy Advisor), , </w:t>
            </w:r>
            <w:r w:rsidR="00E92AE2" w:rsidRPr="004C350A">
              <w:rPr>
                <w:rFonts w:ascii="Calibri" w:hAnsi="Calibri" w:cs="Calibri"/>
              </w:rPr>
              <w:t>Fred Patison (</w:t>
            </w:r>
            <w:proofErr w:type="spellStart"/>
            <w:r w:rsidR="00E92AE2" w:rsidRPr="004C350A">
              <w:rPr>
                <w:rFonts w:ascii="Calibri" w:hAnsi="Calibri" w:cs="Calibri"/>
              </w:rPr>
              <w:t>PMU</w:t>
            </w:r>
            <w:proofErr w:type="spellEnd"/>
            <w:r w:rsidR="00E92AE2" w:rsidRPr="004C350A">
              <w:rPr>
                <w:rFonts w:ascii="Calibri" w:hAnsi="Calibri" w:cs="Calibri"/>
              </w:rPr>
              <w:t xml:space="preserve"> Manger)</w:t>
            </w:r>
            <w:r w:rsidR="00E92AE2">
              <w:t xml:space="preserve">, </w:t>
            </w:r>
            <w:r w:rsidR="00E92AE2" w:rsidRPr="00A11FD7">
              <w:t>Aki Kono (UNDP)</w:t>
            </w:r>
            <w:r w:rsidR="00E92AE2">
              <w:t xml:space="preserve"> </w:t>
            </w:r>
            <w:r>
              <w:t xml:space="preserve"> </w:t>
            </w:r>
          </w:p>
        </w:tc>
      </w:tr>
    </w:tbl>
    <w:p w:rsidR="000B7E12" w:rsidRDefault="000B7E12" w:rsidP="000B7E12"/>
    <w:p w:rsidR="00B10D46" w:rsidRPr="002C08E7" w:rsidRDefault="00B10D46" w:rsidP="00B10D46">
      <w:pPr>
        <w:rPr>
          <w:rFonts w:ascii="Calibri" w:hAnsi="Calibri" w:cs="Calibri"/>
          <w:b/>
        </w:rPr>
      </w:pPr>
      <w:r w:rsidRPr="002C08E7">
        <w:rPr>
          <w:rFonts w:ascii="Calibri" w:hAnsi="Calibri" w:cs="Calibri"/>
          <w:b/>
        </w:rPr>
        <w:t xml:space="preserve">Objective: </w:t>
      </w:r>
    </w:p>
    <w:p w:rsidR="00B10D46" w:rsidRPr="00B10D46" w:rsidRDefault="00B10D46" w:rsidP="00B10D46">
      <w:pPr>
        <w:pStyle w:val="ListParagraph"/>
        <w:numPr>
          <w:ilvl w:val="0"/>
          <w:numId w:val="23"/>
        </w:numPr>
        <w:rPr>
          <w:rFonts w:ascii="Calibri" w:hAnsi="Calibri" w:cs="Calibri"/>
        </w:rPr>
      </w:pPr>
      <w:r>
        <w:rPr>
          <w:rFonts w:ascii="Calibri" w:hAnsi="Calibri" w:cs="Calibri"/>
        </w:rPr>
        <w:t>T</w:t>
      </w:r>
      <w:r w:rsidRPr="00B10D46">
        <w:rPr>
          <w:rFonts w:ascii="Calibri" w:hAnsi="Calibri" w:cs="Calibri"/>
        </w:rPr>
        <w:t xml:space="preserve">o establish a process </w:t>
      </w:r>
      <w:r w:rsidR="004E1649">
        <w:rPr>
          <w:rFonts w:ascii="Calibri" w:hAnsi="Calibri" w:cs="Calibri"/>
        </w:rPr>
        <w:t xml:space="preserve">and a broad strategy </w:t>
      </w:r>
      <w:r w:rsidRPr="00B10D46">
        <w:rPr>
          <w:rFonts w:ascii="Calibri" w:hAnsi="Calibri" w:cs="Calibri"/>
        </w:rPr>
        <w:t>for stakeholder engagement during the development</w:t>
      </w:r>
      <w:r w:rsidR="004E1649">
        <w:rPr>
          <w:rFonts w:ascii="Calibri" w:hAnsi="Calibri" w:cs="Calibri"/>
        </w:rPr>
        <w:t xml:space="preserve"> and implementation </w:t>
      </w:r>
      <w:r w:rsidRPr="00B10D46">
        <w:rPr>
          <w:rFonts w:ascii="Calibri" w:hAnsi="Calibri" w:cs="Calibri"/>
        </w:rPr>
        <w:t>of the</w:t>
      </w:r>
      <w:r w:rsidR="004E1649">
        <w:rPr>
          <w:rFonts w:ascii="Calibri" w:hAnsi="Calibri" w:cs="Calibri"/>
        </w:rPr>
        <w:t xml:space="preserve"> National </w:t>
      </w:r>
      <w:proofErr w:type="spellStart"/>
      <w:r w:rsidR="004E1649">
        <w:rPr>
          <w:rFonts w:ascii="Calibri" w:hAnsi="Calibri" w:cs="Calibri"/>
        </w:rPr>
        <w:t>REDD</w:t>
      </w:r>
      <w:proofErr w:type="spellEnd"/>
      <w:r w:rsidR="004E1649">
        <w:rPr>
          <w:rFonts w:ascii="Calibri" w:hAnsi="Calibri" w:cs="Calibri"/>
        </w:rPr>
        <w:t>+</w:t>
      </w:r>
      <w:r w:rsidRPr="00B10D46">
        <w:rPr>
          <w:rFonts w:ascii="Calibri" w:hAnsi="Calibri" w:cs="Calibri"/>
        </w:rPr>
        <w:t xml:space="preserve"> Roadmap</w:t>
      </w:r>
      <w:r>
        <w:rPr>
          <w:rFonts w:ascii="Calibri" w:hAnsi="Calibri" w:cs="Calibri"/>
        </w:rPr>
        <w:t>;</w:t>
      </w:r>
      <w:r w:rsidR="004E1649">
        <w:rPr>
          <w:rFonts w:ascii="Calibri" w:hAnsi="Calibri" w:cs="Calibri"/>
        </w:rPr>
        <w:t xml:space="preserve"> and</w:t>
      </w:r>
    </w:p>
    <w:p w:rsidR="00B10D46" w:rsidRPr="00B10D46" w:rsidRDefault="00B10D46" w:rsidP="00B10D46">
      <w:pPr>
        <w:pStyle w:val="ListParagraph"/>
        <w:numPr>
          <w:ilvl w:val="0"/>
          <w:numId w:val="23"/>
        </w:numPr>
        <w:rPr>
          <w:rFonts w:ascii="Calibri" w:hAnsi="Calibri" w:cs="Calibri"/>
        </w:rPr>
      </w:pPr>
      <w:r>
        <w:rPr>
          <w:rFonts w:ascii="Calibri" w:hAnsi="Calibri" w:cs="Calibri"/>
        </w:rPr>
        <w:t>To id</w:t>
      </w:r>
      <w:r w:rsidRPr="00B10D46">
        <w:rPr>
          <w:rFonts w:ascii="Calibri" w:hAnsi="Calibri" w:cs="Calibri"/>
        </w:rPr>
        <w:t>entify a system for ensuring that social and environmental safeguards are complied with according t</w:t>
      </w:r>
      <w:r>
        <w:rPr>
          <w:rFonts w:ascii="Calibri" w:hAnsi="Calibri" w:cs="Calibri"/>
        </w:rPr>
        <w:t xml:space="preserve">o </w:t>
      </w:r>
      <w:proofErr w:type="spellStart"/>
      <w:r>
        <w:rPr>
          <w:rFonts w:ascii="Calibri" w:hAnsi="Calibri" w:cs="Calibri"/>
        </w:rPr>
        <w:t>UNFCCC</w:t>
      </w:r>
      <w:proofErr w:type="spellEnd"/>
      <w:r>
        <w:rPr>
          <w:rFonts w:ascii="Calibri" w:hAnsi="Calibri" w:cs="Calibri"/>
        </w:rPr>
        <w:t xml:space="preserve"> guidelines; </w:t>
      </w:r>
      <w:r w:rsidR="004E1649">
        <w:rPr>
          <w:rFonts w:ascii="Calibri" w:hAnsi="Calibri" w:cs="Calibri"/>
        </w:rPr>
        <w:t xml:space="preserve"> </w:t>
      </w:r>
    </w:p>
    <w:p w:rsidR="00B10D46" w:rsidRDefault="00B10D46" w:rsidP="00B10D46">
      <w:pPr>
        <w:rPr>
          <w:rFonts w:ascii="Calibri" w:hAnsi="Calibri" w:cs="Calibri"/>
        </w:rPr>
      </w:pPr>
    </w:p>
    <w:p w:rsidR="007F3BCF" w:rsidRDefault="00B10D46" w:rsidP="007F3BCF">
      <w:pPr>
        <w:pStyle w:val="Heading2"/>
        <w:numPr>
          <w:ilvl w:val="0"/>
          <w:numId w:val="22"/>
        </w:numPr>
      </w:pPr>
      <w:r>
        <w:t xml:space="preserve">Background </w:t>
      </w:r>
    </w:p>
    <w:p w:rsidR="007F3BCF" w:rsidRPr="007F3BCF" w:rsidRDefault="007F3BCF" w:rsidP="007F3BCF"/>
    <w:p w:rsidR="00B10D46" w:rsidRDefault="00B10D46" w:rsidP="001C6D11">
      <w:pPr>
        <w:jc w:val="both"/>
        <w:rPr>
          <w:rFonts w:ascii="Calibri" w:hAnsi="Calibri" w:cs="Calibri"/>
        </w:rPr>
      </w:pPr>
      <w:r w:rsidRPr="00B10D46">
        <w:rPr>
          <w:rFonts w:ascii="Calibri" w:hAnsi="Calibri" w:cs="Calibri"/>
        </w:rPr>
        <w:t xml:space="preserve">The decisions at the 16th Conference of the Parties (COP) to the </w:t>
      </w:r>
      <w:proofErr w:type="spellStart"/>
      <w:r w:rsidRPr="00B10D46">
        <w:rPr>
          <w:rFonts w:ascii="Calibri" w:hAnsi="Calibri" w:cs="Calibri"/>
        </w:rPr>
        <w:t>UNFCCC</w:t>
      </w:r>
      <w:proofErr w:type="spellEnd"/>
      <w:r w:rsidRPr="00B10D46">
        <w:rPr>
          <w:rFonts w:ascii="Calibri" w:hAnsi="Calibri" w:cs="Calibri"/>
        </w:rPr>
        <w:t xml:space="preserve"> in Cancun, Mexico operationalized </w:t>
      </w:r>
      <w:proofErr w:type="spellStart"/>
      <w:r w:rsidRPr="00B10D46">
        <w:rPr>
          <w:rFonts w:ascii="Calibri" w:hAnsi="Calibri" w:cs="Calibri"/>
        </w:rPr>
        <w:t>REDD</w:t>
      </w:r>
      <w:proofErr w:type="spellEnd"/>
      <w:r w:rsidRPr="00B10D46">
        <w:rPr>
          <w:rFonts w:ascii="Calibri" w:hAnsi="Calibri" w:cs="Calibri"/>
        </w:rPr>
        <w:t xml:space="preserve">+ by both establishing the scope of </w:t>
      </w:r>
      <w:proofErr w:type="spellStart"/>
      <w:r w:rsidRPr="00B10D46">
        <w:rPr>
          <w:rFonts w:ascii="Calibri" w:hAnsi="Calibri" w:cs="Calibri"/>
        </w:rPr>
        <w:t>REDD</w:t>
      </w:r>
      <w:proofErr w:type="spellEnd"/>
      <w:r w:rsidRPr="00B10D46">
        <w:rPr>
          <w:rFonts w:ascii="Calibri" w:hAnsi="Calibri" w:cs="Calibri"/>
        </w:rPr>
        <w:t>+</w:t>
      </w:r>
      <w:r>
        <w:rPr>
          <w:rFonts w:ascii="Calibri" w:hAnsi="Calibri" w:cs="Calibri"/>
        </w:rPr>
        <w:t xml:space="preserve"> activities</w:t>
      </w:r>
      <w:r w:rsidRPr="00B10D46">
        <w:rPr>
          <w:rFonts w:ascii="Calibri" w:hAnsi="Calibri" w:cs="Calibri"/>
        </w:rPr>
        <w:t xml:space="preserve">, as well as adopting </w:t>
      </w:r>
      <w:proofErr w:type="spellStart"/>
      <w:r w:rsidRPr="00B10D46">
        <w:rPr>
          <w:rFonts w:ascii="Calibri" w:hAnsi="Calibri" w:cs="Calibri"/>
        </w:rPr>
        <w:t>REDD</w:t>
      </w:r>
      <w:proofErr w:type="spellEnd"/>
      <w:r w:rsidRPr="00B10D46">
        <w:rPr>
          <w:rFonts w:ascii="Calibri" w:hAnsi="Calibri" w:cs="Calibri"/>
        </w:rPr>
        <w:t xml:space="preserve">+ </w:t>
      </w:r>
      <w:r w:rsidRPr="0039172B">
        <w:rPr>
          <w:rFonts w:ascii="Calibri" w:hAnsi="Calibri" w:cs="Calibri"/>
          <w:b/>
        </w:rPr>
        <w:t>safeguards</w:t>
      </w:r>
      <w:r w:rsidRPr="00B10D46">
        <w:rPr>
          <w:rFonts w:ascii="Calibri" w:hAnsi="Calibri" w:cs="Calibri"/>
        </w:rPr>
        <w:t xml:space="preserve"> aimed at ensuring that </w:t>
      </w:r>
      <w:proofErr w:type="spellStart"/>
      <w:r w:rsidRPr="00B10D46">
        <w:rPr>
          <w:rFonts w:ascii="Calibri" w:hAnsi="Calibri" w:cs="Calibri"/>
        </w:rPr>
        <w:t>REDD</w:t>
      </w:r>
      <w:proofErr w:type="spellEnd"/>
      <w:r w:rsidRPr="00B10D46">
        <w:rPr>
          <w:rFonts w:ascii="Calibri" w:hAnsi="Calibri" w:cs="Calibri"/>
        </w:rPr>
        <w:t>+ als</w:t>
      </w:r>
      <w:r w:rsidRPr="007F3BCF">
        <w:rPr>
          <w:rFonts w:ascii="Calibri" w:hAnsi="Calibri" w:cs="Calibri"/>
        </w:rPr>
        <w:t>o benef</w:t>
      </w:r>
      <w:r w:rsidR="007F3BCF" w:rsidRPr="007F3BCF">
        <w:rPr>
          <w:rFonts w:ascii="Calibri" w:hAnsi="Calibri" w:cs="Calibri"/>
        </w:rPr>
        <w:t xml:space="preserve">its people and the environment, through among others, </w:t>
      </w:r>
      <w:r w:rsidR="007F3BCF" w:rsidRPr="007F3BCF">
        <w:rPr>
          <w:rFonts w:ascii="Calibri" w:hAnsi="Calibri" w:cs="Calibri"/>
          <w:b/>
        </w:rPr>
        <w:t>full and effective participation of all relevant stakeholders</w:t>
      </w:r>
      <w:r w:rsidR="007F3BCF" w:rsidRPr="007F3BCF">
        <w:rPr>
          <w:rFonts w:ascii="Calibri" w:hAnsi="Calibri" w:cs="Calibri"/>
        </w:rPr>
        <w:t xml:space="preserve">.  </w:t>
      </w:r>
      <w:r w:rsidRPr="007F3BCF">
        <w:rPr>
          <w:rFonts w:ascii="Calibri" w:hAnsi="Calibri" w:cs="Calibri"/>
        </w:rPr>
        <w:t xml:space="preserve"> </w:t>
      </w:r>
      <w:r w:rsidRPr="00B10D46">
        <w:rPr>
          <w:rFonts w:ascii="Calibri" w:hAnsi="Calibri" w:cs="Calibri"/>
        </w:rPr>
        <w:t xml:space="preserve">In addition, COP 16 called for developing country Parties to develop a system for providing information on how those safeguards are being addressed and respected throughout the implementation of the </w:t>
      </w:r>
      <w:proofErr w:type="spellStart"/>
      <w:r w:rsidRPr="00B10D46">
        <w:rPr>
          <w:rFonts w:ascii="Calibri" w:hAnsi="Calibri" w:cs="Calibri"/>
        </w:rPr>
        <w:t>REDD</w:t>
      </w:r>
      <w:proofErr w:type="spellEnd"/>
      <w:r w:rsidRPr="00B10D46">
        <w:rPr>
          <w:rFonts w:ascii="Calibri" w:hAnsi="Calibri" w:cs="Calibri"/>
        </w:rPr>
        <w:t xml:space="preserve">+.  At COP 17 (Durban, 2011) some guidance was provided for developing these “safeguard information systems (SIS).  This included agreement that an SIS should be country-driven, implemented at a national level, and built on existing systems.  It was also agreed that a summary of information on how the safeguards are being addressed and respected should be provided periodically and in national communications by developing country Parties undertaking </w:t>
      </w:r>
      <w:proofErr w:type="spellStart"/>
      <w:r w:rsidRPr="00B10D46">
        <w:rPr>
          <w:rFonts w:ascii="Calibri" w:hAnsi="Calibri" w:cs="Calibri"/>
        </w:rPr>
        <w:t>REDD</w:t>
      </w:r>
      <w:proofErr w:type="spellEnd"/>
      <w:r w:rsidRPr="00B10D46">
        <w:rPr>
          <w:rFonts w:ascii="Calibri" w:hAnsi="Calibri" w:cs="Calibri"/>
        </w:rPr>
        <w:t>+ activities, or through other communication channels that might be agreed by the COP.</w:t>
      </w:r>
    </w:p>
    <w:p w:rsidR="00B10D46" w:rsidRPr="00B10D46" w:rsidRDefault="00B10D46" w:rsidP="001C6D11">
      <w:pPr>
        <w:jc w:val="both"/>
        <w:rPr>
          <w:rFonts w:ascii="Calibri" w:hAnsi="Calibri" w:cs="Calibri"/>
        </w:rPr>
      </w:pPr>
    </w:p>
    <w:p w:rsidR="00B10D46" w:rsidRDefault="00B10D46" w:rsidP="001C6D11">
      <w:pPr>
        <w:jc w:val="both"/>
        <w:rPr>
          <w:rFonts w:ascii="Calibri" w:hAnsi="Calibri" w:cs="Calibri"/>
        </w:rPr>
      </w:pPr>
      <w:r>
        <w:rPr>
          <w:rFonts w:ascii="Calibri" w:hAnsi="Calibri" w:cs="Calibri"/>
        </w:rPr>
        <w:t xml:space="preserve">Given this, </w:t>
      </w:r>
      <w:proofErr w:type="spellStart"/>
      <w:r>
        <w:rPr>
          <w:rFonts w:ascii="Calibri" w:hAnsi="Calibri" w:cs="Calibri"/>
        </w:rPr>
        <w:t>REDD</w:t>
      </w:r>
      <w:proofErr w:type="spellEnd"/>
      <w:r>
        <w:rPr>
          <w:rFonts w:ascii="Calibri" w:hAnsi="Calibri" w:cs="Calibri"/>
        </w:rPr>
        <w:t xml:space="preserve">+ countries like the Solomon Islands are </w:t>
      </w:r>
      <w:r w:rsidRPr="00B10D46">
        <w:rPr>
          <w:rFonts w:ascii="Calibri" w:hAnsi="Calibri" w:cs="Calibri"/>
        </w:rPr>
        <w:t xml:space="preserve">in a position where </w:t>
      </w:r>
      <w:r w:rsidR="0039172B">
        <w:rPr>
          <w:rFonts w:ascii="Calibri" w:hAnsi="Calibri" w:cs="Calibri"/>
        </w:rPr>
        <w:t xml:space="preserve">they </w:t>
      </w:r>
      <w:r w:rsidRPr="00B10D46">
        <w:rPr>
          <w:rFonts w:ascii="Calibri" w:hAnsi="Calibri" w:cs="Calibri"/>
        </w:rPr>
        <w:t xml:space="preserve">need to start to put the </w:t>
      </w:r>
      <w:proofErr w:type="spellStart"/>
      <w:r w:rsidRPr="00B10D46">
        <w:rPr>
          <w:rFonts w:ascii="Calibri" w:hAnsi="Calibri" w:cs="Calibri"/>
        </w:rPr>
        <w:t>UNFCCC</w:t>
      </w:r>
      <w:proofErr w:type="spellEnd"/>
      <w:r w:rsidRPr="00B10D46">
        <w:rPr>
          <w:rFonts w:ascii="Calibri" w:hAnsi="Calibri" w:cs="Calibri"/>
        </w:rPr>
        <w:t xml:space="preserve"> requirements related to safeguards into practice, without detailed guidance coming from the </w:t>
      </w:r>
      <w:proofErr w:type="spellStart"/>
      <w:r w:rsidRPr="00B10D46">
        <w:rPr>
          <w:rFonts w:ascii="Calibri" w:hAnsi="Calibri" w:cs="Calibri"/>
        </w:rPr>
        <w:t>UNFCCC</w:t>
      </w:r>
      <w:proofErr w:type="spellEnd"/>
      <w:r w:rsidRPr="00B10D46">
        <w:rPr>
          <w:rFonts w:ascii="Calibri" w:hAnsi="Calibri" w:cs="Calibri"/>
        </w:rPr>
        <w:t xml:space="preserve"> at this stage.  </w:t>
      </w:r>
      <w:r w:rsidR="007F3BCF">
        <w:rPr>
          <w:rFonts w:ascii="Calibri" w:hAnsi="Calibri" w:cs="Calibri"/>
        </w:rPr>
        <w:t xml:space="preserve">  </w:t>
      </w:r>
    </w:p>
    <w:p w:rsidR="00B10D46" w:rsidRDefault="00B10D46" w:rsidP="00B10D46">
      <w:pPr>
        <w:rPr>
          <w:rFonts w:ascii="Calibri" w:hAnsi="Calibri" w:cs="Calibri"/>
        </w:rPr>
      </w:pPr>
    </w:p>
    <w:p w:rsidR="007A73B9" w:rsidRPr="0039172B" w:rsidRDefault="007A73B9" w:rsidP="007F3BCF">
      <w:pPr>
        <w:pStyle w:val="Heading2"/>
        <w:numPr>
          <w:ilvl w:val="0"/>
          <w:numId w:val="22"/>
        </w:numPr>
        <w:rPr>
          <w:rFonts w:ascii="Calibri" w:hAnsi="Calibri" w:cs="Calibri"/>
          <w:b w:val="0"/>
        </w:rPr>
      </w:pPr>
      <w:r w:rsidRPr="004C350A">
        <w:lastRenderedPageBreak/>
        <w:t>Stakeholder Engagement</w:t>
      </w:r>
      <w:r w:rsidR="0039172B">
        <w:t xml:space="preserve"> </w:t>
      </w:r>
      <w:r w:rsidR="0039172B" w:rsidRPr="0039172B">
        <w:rPr>
          <w:b w:val="0"/>
        </w:rPr>
        <w:t>(to ensure full and effective participation of relevant stakeholders)</w:t>
      </w:r>
    </w:p>
    <w:p w:rsidR="003F6E69" w:rsidRPr="004C350A" w:rsidRDefault="003F6E69" w:rsidP="007F3BCF">
      <w:pPr>
        <w:pStyle w:val="Heading3"/>
        <w:numPr>
          <w:ilvl w:val="0"/>
          <w:numId w:val="0"/>
        </w:numPr>
      </w:pPr>
      <w:r w:rsidRPr="004C350A">
        <w:t>Initial stakeholder mapping</w:t>
      </w:r>
    </w:p>
    <w:p w:rsidR="00A27B77" w:rsidRDefault="007F3BCF" w:rsidP="001C6D11">
      <w:pPr>
        <w:jc w:val="both"/>
        <w:rPr>
          <w:rFonts w:ascii="Calibri" w:hAnsi="Calibri" w:cs="Calibri"/>
        </w:rPr>
      </w:pPr>
      <w:r>
        <w:rPr>
          <w:rFonts w:ascii="Calibri" w:hAnsi="Calibri" w:cs="Calibri"/>
        </w:rPr>
        <w:t>I</w:t>
      </w:r>
      <w:r w:rsidR="001C42CD" w:rsidRPr="004C350A">
        <w:rPr>
          <w:rFonts w:ascii="Calibri" w:hAnsi="Calibri" w:cs="Calibri"/>
        </w:rPr>
        <w:t>dentify</w:t>
      </w:r>
      <w:r w:rsidR="003F6E69" w:rsidRPr="004C350A">
        <w:rPr>
          <w:rFonts w:ascii="Calibri" w:hAnsi="Calibri" w:cs="Calibri"/>
        </w:rPr>
        <w:t xml:space="preserve"> all</w:t>
      </w:r>
      <w:r w:rsidR="001C42CD" w:rsidRPr="004C350A">
        <w:rPr>
          <w:rFonts w:ascii="Calibri" w:hAnsi="Calibri" w:cs="Calibri"/>
        </w:rPr>
        <w:t xml:space="preserve"> </w:t>
      </w:r>
      <w:r w:rsidR="008C71EA" w:rsidRPr="004C350A">
        <w:rPr>
          <w:rFonts w:ascii="Calibri" w:hAnsi="Calibri" w:cs="Calibri"/>
        </w:rPr>
        <w:t xml:space="preserve">potential </w:t>
      </w:r>
      <w:r w:rsidR="001C42CD" w:rsidRPr="004C350A">
        <w:rPr>
          <w:rFonts w:ascii="Calibri" w:hAnsi="Calibri" w:cs="Calibri"/>
        </w:rPr>
        <w:t xml:space="preserve">stakeholders who might be affected by </w:t>
      </w:r>
      <w:proofErr w:type="spellStart"/>
      <w:r w:rsidR="001C42CD" w:rsidRPr="004C350A">
        <w:rPr>
          <w:rFonts w:ascii="Calibri" w:hAnsi="Calibri" w:cs="Calibri"/>
        </w:rPr>
        <w:t>REDD</w:t>
      </w:r>
      <w:proofErr w:type="spellEnd"/>
      <w:r w:rsidR="001C42CD" w:rsidRPr="004C350A">
        <w:rPr>
          <w:rFonts w:ascii="Calibri" w:hAnsi="Calibri" w:cs="Calibri"/>
        </w:rPr>
        <w:t xml:space="preserve">+.  </w:t>
      </w:r>
    </w:p>
    <w:p w:rsidR="00A27B77" w:rsidRDefault="00A27B77" w:rsidP="001C6D11">
      <w:pPr>
        <w:jc w:val="both"/>
        <w:rPr>
          <w:rFonts w:ascii="Calibri" w:hAnsi="Calibri" w:cs="Calibri"/>
        </w:rPr>
      </w:pPr>
    </w:p>
    <w:p w:rsidR="001C42CD" w:rsidRPr="004C350A" w:rsidRDefault="001C42CD" w:rsidP="001C6D11">
      <w:pPr>
        <w:jc w:val="both"/>
        <w:rPr>
          <w:rFonts w:ascii="Calibri" w:hAnsi="Calibri" w:cs="Calibri"/>
        </w:rPr>
      </w:pPr>
      <w:r w:rsidRPr="004C350A">
        <w:rPr>
          <w:rFonts w:ascii="Calibri" w:hAnsi="Calibri" w:cs="Calibri"/>
        </w:rPr>
        <w:t>Categories</w:t>
      </w:r>
      <w:r w:rsidR="00AD6162" w:rsidRPr="004C350A">
        <w:rPr>
          <w:rFonts w:ascii="Calibri" w:hAnsi="Calibri" w:cs="Calibri"/>
        </w:rPr>
        <w:t xml:space="preserve"> could</w:t>
      </w:r>
      <w:r w:rsidRPr="004C350A">
        <w:rPr>
          <w:rFonts w:ascii="Calibri" w:hAnsi="Calibri" w:cs="Calibri"/>
        </w:rPr>
        <w:t xml:space="preserve"> include:</w:t>
      </w:r>
    </w:p>
    <w:p w:rsidR="001C42CD" w:rsidRPr="007F3BCF" w:rsidRDefault="001C42CD" w:rsidP="001C6D11">
      <w:pPr>
        <w:pStyle w:val="ListParagraph"/>
        <w:numPr>
          <w:ilvl w:val="0"/>
          <w:numId w:val="24"/>
        </w:numPr>
        <w:jc w:val="both"/>
        <w:rPr>
          <w:rFonts w:ascii="Calibri" w:hAnsi="Calibri" w:cs="Calibri"/>
        </w:rPr>
      </w:pPr>
      <w:r w:rsidRPr="007F3BCF">
        <w:rPr>
          <w:rFonts w:ascii="Calibri" w:hAnsi="Calibri" w:cs="Calibri"/>
        </w:rPr>
        <w:t xml:space="preserve">Government sector: national, </w:t>
      </w:r>
      <w:r w:rsidR="008A3D6A" w:rsidRPr="007F3BCF">
        <w:rPr>
          <w:rFonts w:ascii="Calibri" w:hAnsi="Calibri" w:cs="Calibri"/>
        </w:rPr>
        <w:t>local, traditional</w:t>
      </w:r>
    </w:p>
    <w:p w:rsidR="009B0EE1" w:rsidRPr="007F3BCF" w:rsidRDefault="001C42CD" w:rsidP="001C6D11">
      <w:pPr>
        <w:pStyle w:val="ListParagraph"/>
        <w:numPr>
          <w:ilvl w:val="0"/>
          <w:numId w:val="24"/>
        </w:numPr>
        <w:jc w:val="both"/>
        <w:rPr>
          <w:rFonts w:ascii="Calibri" w:hAnsi="Calibri" w:cs="Calibri"/>
        </w:rPr>
      </w:pPr>
      <w:r w:rsidRPr="007F3BCF">
        <w:rPr>
          <w:rFonts w:ascii="Calibri" w:hAnsi="Calibri" w:cs="Calibri"/>
        </w:rPr>
        <w:t>Private sector</w:t>
      </w:r>
      <w:r w:rsidR="00A27B77">
        <w:rPr>
          <w:rFonts w:ascii="Calibri" w:hAnsi="Calibri" w:cs="Calibri"/>
        </w:rPr>
        <w:t xml:space="preserve"> </w:t>
      </w:r>
      <w:proofErr w:type="spellStart"/>
      <w:r w:rsidR="00A27B77">
        <w:rPr>
          <w:rFonts w:ascii="Calibri" w:hAnsi="Calibri" w:cs="Calibri"/>
        </w:rPr>
        <w:t>eg</w:t>
      </w:r>
      <w:proofErr w:type="spellEnd"/>
      <w:r w:rsidR="00A27B77">
        <w:rPr>
          <w:rFonts w:ascii="Calibri" w:hAnsi="Calibri" w:cs="Calibri"/>
        </w:rPr>
        <w:t>. Logging companies, mining and to</w:t>
      </w:r>
      <w:r w:rsidR="00D32321">
        <w:rPr>
          <w:rFonts w:ascii="Calibri" w:hAnsi="Calibri" w:cs="Calibri"/>
        </w:rPr>
        <w:t>urism operators</w:t>
      </w:r>
      <w:r w:rsidR="00A27B77">
        <w:rPr>
          <w:rFonts w:ascii="Calibri" w:hAnsi="Calibri" w:cs="Calibri"/>
        </w:rPr>
        <w:t>;</w:t>
      </w:r>
    </w:p>
    <w:p w:rsidR="001C42CD" w:rsidRPr="007F3BCF" w:rsidRDefault="00A35DE0" w:rsidP="001C6D11">
      <w:pPr>
        <w:pStyle w:val="ListParagraph"/>
        <w:numPr>
          <w:ilvl w:val="0"/>
          <w:numId w:val="24"/>
        </w:numPr>
        <w:jc w:val="both"/>
        <w:rPr>
          <w:rFonts w:ascii="Calibri" w:hAnsi="Calibri" w:cs="Calibri"/>
        </w:rPr>
      </w:pPr>
      <w:r w:rsidRPr="007F3BCF">
        <w:rPr>
          <w:rFonts w:ascii="Calibri" w:hAnsi="Calibri" w:cs="Calibri"/>
        </w:rPr>
        <w:t>Land</w:t>
      </w:r>
      <w:r w:rsidR="00A27B77">
        <w:rPr>
          <w:rFonts w:ascii="Calibri" w:hAnsi="Calibri" w:cs="Calibri"/>
        </w:rPr>
        <w:t xml:space="preserve"> </w:t>
      </w:r>
      <w:r w:rsidR="009B0EE1" w:rsidRPr="007F3BCF">
        <w:rPr>
          <w:rFonts w:ascii="Calibri" w:hAnsi="Calibri" w:cs="Calibri"/>
        </w:rPr>
        <w:t>owners</w:t>
      </w:r>
      <w:r w:rsidR="00AD6162" w:rsidRPr="007F3BCF">
        <w:rPr>
          <w:rFonts w:ascii="Calibri" w:hAnsi="Calibri" w:cs="Calibri"/>
        </w:rPr>
        <w:t xml:space="preserve"> </w:t>
      </w:r>
      <w:r w:rsidR="00A41217">
        <w:rPr>
          <w:rFonts w:ascii="Calibri" w:hAnsi="Calibri" w:cs="Calibri"/>
        </w:rPr>
        <w:t>(i.e., mostly customary land ownership)</w:t>
      </w:r>
      <w:r w:rsidR="00A41217" w:rsidRPr="007F3BCF">
        <w:rPr>
          <w:rFonts w:ascii="Calibri" w:hAnsi="Calibri" w:cs="Calibri"/>
        </w:rPr>
        <w:t xml:space="preserve"> </w:t>
      </w:r>
      <w:r w:rsidR="00AD6162" w:rsidRPr="007F3BCF">
        <w:rPr>
          <w:rFonts w:ascii="Calibri" w:hAnsi="Calibri" w:cs="Calibri"/>
        </w:rPr>
        <w:t>and users</w:t>
      </w:r>
    </w:p>
    <w:p w:rsidR="00AC1CCE" w:rsidRPr="007F3BCF" w:rsidRDefault="00AC1CCE" w:rsidP="001C6D11">
      <w:pPr>
        <w:pStyle w:val="ListParagraph"/>
        <w:numPr>
          <w:ilvl w:val="0"/>
          <w:numId w:val="25"/>
        </w:numPr>
        <w:jc w:val="both"/>
        <w:rPr>
          <w:rFonts w:ascii="Calibri" w:hAnsi="Calibri" w:cs="Calibri"/>
        </w:rPr>
      </w:pPr>
      <w:r w:rsidRPr="007F3BCF">
        <w:rPr>
          <w:rFonts w:ascii="Calibri" w:hAnsi="Calibri" w:cs="Calibri"/>
        </w:rPr>
        <w:t xml:space="preserve">Identify any potential impacts on </w:t>
      </w:r>
      <w:r w:rsidR="00A27B77">
        <w:rPr>
          <w:rFonts w:ascii="Calibri" w:hAnsi="Calibri" w:cs="Calibri"/>
        </w:rPr>
        <w:t xml:space="preserve">different groups – men, women, </w:t>
      </w:r>
      <w:r w:rsidR="00D32321">
        <w:rPr>
          <w:rFonts w:ascii="Calibri" w:hAnsi="Calibri" w:cs="Calibri"/>
        </w:rPr>
        <w:t xml:space="preserve">minorities, etc.  </w:t>
      </w:r>
      <w:r w:rsidRPr="007F3BCF">
        <w:rPr>
          <w:rFonts w:ascii="Calibri" w:hAnsi="Calibri" w:cs="Calibri"/>
        </w:rPr>
        <w:t>(</w:t>
      </w:r>
      <w:r w:rsidR="00A27B77" w:rsidRPr="007F3BCF">
        <w:rPr>
          <w:rFonts w:ascii="Calibri" w:hAnsi="Calibri" w:cs="Calibri"/>
        </w:rPr>
        <w:t>e.g.</w:t>
      </w:r>
      <w:r w:rsidRPr="007F3BCF">
        <w:rPr>
          <w:rFonts w:ascii="Calibri" w:hAnsi="Calibri" w:cs="Calibri"/>
        </w:rPr>
        <w:t xml:space="preserve"> their role in decision-making, potential impact on daily lives)</w:t>
      </w:r>
    </w:p>
    <w:p w:rsidR="009B0EE1" w:rsidRPr="007F3BCF" w:rsidRDefault="00AC1CCE" w:rsidP="001C6D11">
      <w:pPr>
        <w:pStyle w:val="ListParagraph"/>
        <w:numPr>
          <w:ilvl w:val="0"/>
          <w:numId w:val="25"/>
        </w:numPr>
        <w:jc w:val="both"/>
        <w:rPr>
          <w:rFonts w:ascii="Calibri" w:hAnsi="Calibri" w:cs="Calibri"/>
        </w:rPr>
      </w:pPr>
      <w:r w:rsidRPr="007F3BCF">
        <w:rPr>
          <w:rFonts w:ascii="Calibri" w:hAnsi="Calibri" w:cs="Calibri"/>
        </w:rPr>
        <w:t>Identify and map the</w:t>
      </w:r>
      <w:r w:rsidR="00024B51" w:rsidRPr="007F3BCF">
        <w:rPr>
          <w:rFonts w:ascii="Calibri" w:hAnsi="Calibri" w:cs="Calibri"/>
        </w:rPr>
        <w:t xml:space="preserve"> tribal groups</w:t>
      </w:r>
      <w:r w:rsidR="00A35DE0" w:rsidRPr="007F3BCF">
        <w:rPr>
          <w:rFonts w:ascii="Calibri" w:hAnsi="Calibri" w:cs="Calibri"/>
        </w:rPr>
        <w:t xml:space="preserve"> </w:t>
      </w:r>
      <w:r w:rsidRPr="007F3BCF">
        <w:rPr>
          <w:rFonts w:ascii="Calibri" w:hAnsi="Calibri" w:cs="Calibri"/>
        </w:rPr>
        <w:t xml:space="preserve">in forested areas </w:t>
      </w:r>
      <w:r w:rsidR="00A35DE0" w:rsidRPr="007F3BCF">
        <w:rPr>
          <w:rFonts w:ascii="Calibri" w:hAnsi="Calibri" w:cs="Calibri"/>
        </w:rPr>
        <w:t xml:space="preserve">that might be affected </w:t>
      </w:r>
      <w:r w:rsidR="00A27B77">
        <w:rPr>
          <w:rFonts w:ascii="Calibri" w:hAnsi="Calibri" w:cs="Calibri"/>
        </w:rPr>
        <w:t xml:space="preserve">by </w:t>
      </w:r>
      <w:proofErr w:type="spellStart"/>
      <w:r w:rsidR="00A27B77">
        <w:rPr>
          <w:rFonts w:ascii="Calibri" w:hAnsi="Calibri" w:cs="Calibri"/>
        </w:rPr>
        <w:t>REDD</w:t>
      </w:r>
      <w:proofErr w:type="spellEnd"/>
      <w:r w:rsidR="00A27B77">
        <w:rPr>
          <w:rFonts w:ascii="Calibri" w:hAnsi="Calibri" w:cs="Calibri"/>
        </w:rPr>
        <w:t xml:space="preserve">+; </w:t>
      </w:r>
    </w:p>
    <w:p w:rsidR="001C42CD" w:rsidRPr="007F3BCF" w:rsidRDefault="00381606" w:rsidP="001C6D11">
      <w:pPr>
        <w:pStyle w:val="ListParagraph"/>
        <w:numPr>
          <w:ilvl w:val="0"/>
          <w:numId w:val="24"/>
        </w:numPr>
        <w:jc w:val="both"/>
        <w:rPr>
          <w:rFonts w:ascii="Calibri" w:hAnsi="Calibri" w:cs="Calibri"/>
        </w:rPr>
      </w:pPr>
      <w:r w:rsidRPr="007F3BCF">
        <w:rPr>
          <w:rFonts w:ascii="Calibri" w:hAnsi="Calibri" w:cs="Calibri"/>
        </w:rPr>
        <w:t>Civil society organiz</w:t>
      </w:r>
      <w:r w:rsidR="001C42CD" w:rsidRPr="007F3BCF">
        <w:rPr>
          <w:rFonts w:ascii="Calibri" w:hAnsi="Calibri" w:cs="Calibri"/>
        </w:rPr>
        <w:t>ations</w:t>
      </w:r>
      <w:r w:rsidR="00A27B77">
        <w:rPr>
          <w:rFonts w:ascii="Calibri" w:hAnsi="Calibri" w:cs="Calibri"/>
        </w:rPr>
        <w:t>.</w:t>
      </w:r>
    </w:p>
    <w:p w:rsidR="003F6E69" w:rsidRPr="004C350A" w:rsidRDefault="003F6E69" w:rsidP="001C6D11">
      <w:pPr>
        <w:jc w:val="both"/>
        <w:rPr>
          <w:rFonts w:ascii="Calibri" w:hAnsi="Calibri" w:cs="Calibri"/>
        </w:rPr>
      </w:pPr>
    </w:p>
    <w:p w:rsidR="00AD6162" w:rsidRPr="004C350A" w:rsidRDefault="00AD6162" w:rsidP="001C6D11">
      <w:pPr>
        <w:jc w:val="both"/>
        <w:rPr>
          <w:rFonts w:ascii="Calibri" w:hAnsi="Calibri" w:cs="Calibri"/>
        </w:rPr>
      </w:pPr>
      <w:r w:rsidRPr="004C350A">
        <w:rPr>
          <w:rFonts w:ascii="Calibri" w:hAnsi="Calibri" w:cs="Calibri"/>
        </w:rPr>
        <w:t>The results could be presented in the form of a table</w:t>
      </w:r>
      <w:r w:rsidR="00A960FC" w:rsidRPr="004C350A">
        <w:rPr>
          <w:rFonts w:ascii="Calibri" w:hAnsi="Calibri" w:cs="Calibri"/>
        </w:rPr>
        <w:t xml:space="preserve"> using the example below</w:t>
      </w:r>
      <w:r w:rsidRPr="004C350A">
        <w:rPr>
          <w:rFonts w:ascii="Calibri" w:hAnsi="Calibri" w:cs="Calibri"/>
        </w:rPr>
        <w:t>:</w:t>
      </w:r>
    </w:p>
    <w:p w:rsidR="00AD6162" w:rsidRPr="004C350A" w:rsidRDefault="00AD6162" w:rsidP="001C3649">
      <w:pPr>
        <w:rPr>
          <w:rFonts w:ascii="Calibri" w:hAnsi="Calibri" w:cs="Calibri"/>
        </w:rPr>
      </w:pPr>
    </w:p>
    <w:tbl>
      <w:tblPr>
        <w:tblStyle w:val="TableGrid"/>
        <w:tblW w:w="0" w:type="auto"/>
        <w:tblLook w:val="04A0" w:firstRow="1" w:lastRow="0" w:firstColumn="1" w:lastColumn="0" w:noHBand="0" w:noVBand="1"/>
      </w:tblPr>
      <w:tblGrid>
        <w:gridCol w:w="1908"/>
        <w:gridCol w:w="2520"/>
        <w:gridCol w:w="4088"/>
      </w:tblGrid>
      <w:tr w:rsidR="00AD6162" w:rsidRPr="004C350A" w:rsidTr="00A960FC">
        <w:trPr>
          <w:tblHeader/>
        </w:trPr>
        <w:tc>
          <w:tcPr>
            <w:tcW w:w="1908" w:type="dxa"/>
            <w:shd w:val="clear" w:color="auto" w:fill="DBE5F1" w:themeFill="accent1" w:themeFillTint="33"/>
          </w:tcPr>
          <w:p w:rsidR="00AD6162" w:rsidRPr="004C350A" w:rsidRDefault="00AD6162" w:rsidP="001C3649">
            <w:pPr>
              <w:rPr>
                <w:rFonts w:ascii="Calibri" w:hAnsi="Calibri" w:cs="Calibri"/>
              </w:rPr>
            </w:pPr>
            <w:r w:rsidRPr="004C350A">
              <w:rPr>
                <w:rFonts w:ascii="Calibri" w:hAnsi="Calibri" w:cs="Calibri"/>
              </w:rPr>
              <w:t>Category</w:t>
            </w:r>
          </w:p>
        </w:tc>
        <w:tc>
          <w:tcPr>
            <w:tcW w:w="2520" w:type="dxa"/>
            <w:shd w:val="clear" w:color="auto" w:fill="DBE5F1" w:themeFill="accent1" w:themeFillTint="33"/>
          </w:tcPr>
          <w:p w:rsidR="00AD6162" w:rsidRPr="004C350A" w:rsidRDefault="00AD6162" w:rsidP="001C3649">
            <w:pPr>
              <w:rPr>
                <w:rFonts w:ascii="Calibri" w:hAnsi="Calibri" w:cs="Calibri"/>
              </w:rPr>
            </w:pPr>
            <w:r w:rsidRPr="004C350A">
              <w:rPr>
                <w:rFonts w:ascii="Calibri" w:hAnsi="Calibri" w:cs="Calibri"/>
              </w:rPr>
              <w:t>Stakeholder</w:t>
            </w:r>
          </w:p>
        </w:tc>
        <w:tc>
          <w:tcPr>
            <w:tcW w:w="4088" w:type="dxa"/>
            <w:shd w:val="clear" w:color="auto" w:fill="DBE5F1" w:themeFill="accent1" w:themeFillTint="33"/>
          </w:tcPr>
          <w:p w:rsidR="00AD6162" w:rsidRPr="004C350A" w:rsidRDefault="00AD6162" w:rsidP="001C3649">
            <w:pPr>
              <w:rPr>
                <w:rFonts w:ascii="Calibri" w:hAnsi="Calibri" w:cs="Calibri"/>
              </w:rPr>
            </w:pPr>
            <w:r w:rsidRPr="004C350A">
              <w:rPr>
                <w:rFonts w:ascii="Calibri" w:hAnsi="Calibri" w:cs="Calibri"/>
              </w:rPr>
              <w:t xml:space="preserve">Relevance to </w:t>
            </w:r>
            <w:proofErr w:type="spellStart"/>
            <w:r w:rsidRPr="004C350A">
              <w:rPr>
                <w:rFonts w:ascii="Calibri" w:hAnsi="Calibri" w:cs="Calibri"/>
              </w:rPr>
              <w:t>REDD</w:t>
            </w:r>
            <w:proofErr w:type="spellEnd"/>
            <w:r w:rsidRPr="004C350A">
              <w:rPr>
                <w:rFonts w:ascii="Calibri" w:hAnsi="Calibri" w:cs="Calibri"/>
              </w:rPr>
              <w:t>+</w:t>
            </w:r>
          </w:p>
        </w:tc>
      </w:tr>
      <w:tr w:rsidR="00AD6162" w:rsidRPr="004C350A" w:rsidTr="00A960FC">
        <w:tc>
          <w:tcPr>
            <w:tcW w:w="1908" w:type="dxa"/>
            <w:vMerge w:val="restart"/>
          </w:tcPr>
          <w:p w:rsidR="00AD6162" w:rsidRPr="004C350A" w:rsidRDefault="00AD6162" w:rsidP="001C3649">
            <w:pPr>
              <w:rPr>
                <w:rFonts w:ascii="Calibri" w:hAnsi="Calibri" w:cs="Calibri"/>
              </w:rPr>
            </w:pPr>
            <w:r w:rsidRPr="004C350A">
              <w:rPr>
                <w:rFonts w:ascii="Calibri" w:hAnsi="Calibri" w:cs="Calibri"/>
              </w:rPr>
              <w:t>Government sector</w:t>
            </w:r>
          </w:p>
        </w:tc>
        <w:tc>
          <w:tcPr>
            <w:tcW w:w="2520" w:type="dxa"/>
          </w:tcPr>
          <w:p w:rsidR="00AD6162" w:rsidRPr="004C350A" w:rsidRDefault="00D32321" w:rsidP="001C3649">
            <w:pPr>
              <w:rPr>
                <w:rFonts w:ascii="Calibri" w:hAnsi="Calibri" w:cs="Calibri"/>
              </w:rPr>
            </w:pPr>
            <w:proofErr w:type="spellStart"/>
            <w:r>
              <w:rPr>
                <w:rFonts w:ascii="Calibri" w:hAnsi="Calibri" w:cs="Calibri"/>
              </w:rPr>
              <w:t>MECDM</w:t>
            </w:r>
            <w:proofErr w:type="spellEnd"/>
          </w:p>
        </w:tc>
        <w:tc>
          <w:tcPr>
            <w:tcW w:w="4088" w:type="dxa"/>
          </w:tcPr>
          <w:p w:rsidR="00AD6162" w:rsidRPr="004C350A" w:rsidRDefault="00D32321" w:rsidP="001C3649">
            <w:pPr>
              <w:rPr>
                <w:rFonts w:ascii="Calibri" w:hAnsi="Calibri" w:cs="Calibri"/>
              </w:rPr>
            </w:pPr>
            <w:r w:rsidRPr="004C350A">
              <w:rPr>
                <w:rFonts w:ascii="Calibri" w:hAnsi="Calibri" w:cs="Calibri"/>
              </w:rPr>
              <w:t>Responsible for: [list responsibilities…]</w:t>
            </w:r>
          </w:p>
        </w:tc>
      </w:tr>
      <w:tr w:rsidR="00D32321" w:rsidRPr="004C350A" w:rsidTr="00A960FC">
        <w:tc>
          <w:tcPr>
            <w:tcW w:w="1908" w:type="dxa"/>
            <w:vMerge/>
          </w:tcPr>
          <w:p w:rsidR="00D32321" w:rsidRPr="004C350A" w:rsidRDefault="00D32321" w:rsidP="001C3649">
            <w:pPr>
              <w:rPr>
                <w:rFonts w:ascii="Calibri" w:hAnsi="Calibri" w:cs="Calibri"/>
              </w:rPr>
            </w:pPr>
          </w:p>
        </w:tc>
        <w:tc>
          <w:tcPr>
            <w:tcW w:w="2520" w:type="dxa"/>
          </w:tcPr>
          <w:p w:rsidR="00D32321" w:rsidRDefault="00D32321" w:rsidP="001C3649">
            <w:pPr>
              <w:rPr>
                <w:rFonts w:ascii="Calibri" w:hAnsi="Calibri" w:cs="Calibri"/>
              </w:rPr>
            </w:pPr>
            <w:proofErr w:type="spellStart"/>
            <w:r>
              <w:rPr>
                <w:rFonts w:ascii="Calibri" w:hAnsi="Calibri" w:cs="Calibri"/>
              </w:rPr>
              <w:t>MoFR</w:t>
            </w:r>
            <w:proofErr w:type="spellEnd"/>
          </w:p>
        </w:tc>
        <w:tc>
          <w:tcPr>
            <w:tcW w:w="4088" w:type="dxa"/>
          </w:tcPr>
          <w:p w:rsidR="00D32321" w:rsidRPr="004C350A" w:rsidRDefault="00D32321" w:rsidP="00D32321">
            <w:pPr>
              <w:rPr>
                <w:rFonts w:ascii="Calibri" w:hAnsi="Calibri" w:cs="Calibri"/>
              </w:rPr>
            </w:pPr>
          </w:p>
        </w:tc>
      </w:tr>
      <w:tr w:rsidR="00AD6162" w:rsidRPr="004C350A" w:rsidTr="00A960FC">
        <w:tc>
          <w:tcPr>
            <w:tcW w:w="1908" w:type="dxa"/>
            <w:vMerge/>
          </w:tcPr>
          <w:p w:rsidR="00AD6162" w:rsidRPr="004C350A" w:rsidRDefault="00AD6162" w:rsidP="001C3649">
            <w:pPr>
              <w:rPr>
                <w:rFonts w:ascii="Calibri" w:hAnsi="Calibri" w:cs="Calibri"/>
              </w:rPr>
            </w:pPr>
          </w:p>
        </w:tc>
        <w:tc>
          <w:tcPr>
            <w:tcW w:w="2520" w:type="dxa"/>
          </w:tcPr>
          <w:p w:rsidR="00AD6162" w:rsidRPr="004C350A" w:rsidRDefault="00AD6162" w:rsidP="001C3649">
            <w:pPr>
              <w:rPr>
                <w:rFonts w:ascii="Calibri" w:hAnsi="Calibri" w:cs="Calibri"/>
              </w:rPr>
            </w:pPr>
          </w:p>
        </w:tc>
        <w:tc>
          <w:tcPr>
            <w:tcW w:w="4088" w:type="dxa"/>
          </w:tcPr>
          <w:p w:rsidR="00AD6162" w:rsidRPr="004C350A" w:rsidRDefault="00AD6162" w:rsidP="00D32321">
            <w:pPr>
              <w:rPr>
                <w:rFonts w:ascii="Calibri" w:hAnsi="Calibri" w:cs="Calibri"/>
              </w:rPr>
            </w:pPr>
          </w:p>
        </w:tc>
      </w:tr>
      <w:tr w:rsidR="00D32321" w:rsidRPr="004C350A" w:rsidTr="00D32321">
        <w:trPr>
          <w:trHeight w:val="714"/>
        </w:trPr>
        <w:tc>
          <w:tcPr>
            <w:tcW w:w="1908" w:type="dxa"/>
            <w:vMerge w:val="restart"/>
          </w:tcPr>
          <w:p w:rsidR="00D32321" w:rsidRPr="004C350A" w:rsidRDefault="00D32321" w:rsidP="001C3649">
            <w:pPr>
              <w:rPr>
                <w:rFonts w:ascii="Calibri" w:hAnsi="Calibri" w:cs="Calibri"/>
              </w:rPr>
            </w:pPr>
            <w:r w:rsidRPr="004C350A">
              <w:rPr>
                <w:rFonts w:ascii="Calibri" w:hAnsi="Calibri" w:cs="Calibri"/>
              </w:rPr>
              <w:t>Land owners and users</w:t>
            </w:r>
          </w:p>
        </w:tc>
        <w:tc>
          <w:tcPr>
            <w:tcW w:w="2520" w:type="dxa"/>
          </w:tcPr>
          <w:p w:rsidR="00D32321" w:rsidRPr="004C350A" w:rsidRDefault="00D32321" w:rsidP="00A41217">
            <w:pPr>
              <w:rPr>
                <w:rFonts w:ascii="Calibri" w:hAnsi="Calibri" w:cs="Calibri"/>
              </w:rPr>
            </w:pPr>
            <w:r>
              <w:rPr>
                <w:rFonts w:ascii="Calibri" w:hAnsi="Calibri" w:cs="Calibri"/>
              </w:rPr>
              <w:t xml:space="preserve">Customary land </w:t>
            </w:r>
            <w:r w:rsidRPr="004C350A">
              <w:rPr>
                <w:rFonts w:ascii="Calibri" w:hAnsi="Calibri" w:cs="Calibri"/>
              </w:rPr>
              <w:t xml:space="preserve"> </w:t>
            </w:r>
            <w:r w:rsidR="00A41217">
              <w:rPr>
                <w:rFonts w:ascii="Calibri" w:hAnsi="Calibri" w:cs="Calibri"/>
              </w:rPr>
              <w:t>administration</w:t>
            </w:r>
          </w:p>
        </w:tc>
        <w:tc>
          <w:tcPr>
            <w:tcW w:w="4088" w:type="dxa"/>
          </w:tcPr>
          <w:p w:rsidR="00D32321" w:rsidRPr="004C350A" w:rsidRDefault="00D32321" w:rsidP="001C3649">
            <w:pPr>
              <w:rPr>
                <w:rFonts w:ascii="Calibri" w:hAnsi="Calibri" w:cs="Calibri"/>
              </w:rPr>
            </w:pPr>
            <w:r w:rsidRPr="004C350A">
              <w:rPr>
                <w:rFonts w:ascii="Calibri" w:hAnsi="Calibri" w:cs="Calibri"/>
              </w:rPr>
              <w:t>Ownership, tenure and use rights Responsible for establishing a land use management plan.</w:t>
            </w:r>
          </w:p>
        </w:tc>
      </w:tr>
      <w:tr w:rsidR="00D32321" w:rsidRPr="004C350A" w:rsidTr="00A960FC">
        <w:trPr>
          <w:trHeight w:val="163"/>
        </w:trPr>
        <w:tc>
          <w:tcPr>
            <w:tcW w:w="1908" w:type="dxa"/>
            <w:vMerge/>
          </w:tcPr>
          <w:p w:rsidR="00D32321" w:rsidRPr="004C350A" w:rsidRDefault="00D32321" w:rsidP="001C3649">
            <w:pPr>
              <w:rPr>
                <w:rFonts w:ascii="Calibri" w:hAnsi="Calibri" w:cs="Calibri"/>
              </w:rPr>
            </w:pPr>
          </w:p>
        </w:tc>
        <w:tc>
          <w:tcPr>
            <w:tcW w:w="2520" w:type="dxa"/>
          </w:tcPr>
          <w:p w:rsidR="00D32321" w:rsidRDefault="00D32321" w:rsidP="00A41217">
            <w:pPr>
              <w:rPr>
                <w:rFonts w:ascii="Calibri" w:hAnsi="Calibri" w:cs="Calibri"/>
              </w:rPr>
            </w:pPr>
            <w:r>
              <w:rPr>
                <w:rFonts w:ascii="Calibri" w:hAnsi="Calibri" w:cs="Calibri"/>
              </w:rPr>
              <w:t>Others</w:t>
            </w:r>
            <w:r w:rsidR="00A41217">
              <w:rPr>
                <w:rFonts w:ascii="Calibri" w:hAnsi="Calibri" w:cs="Calibri"/>
              </w:rPr>
              <w:t xml:space="preserve"> </w:t>
            </w:r>
          </w:p>
        </w:tc>
        <w:tc>
          <w:tcPr>
            <w:tcW w:w="4088" w:type="dxa"/>
          </w:tcPr>
          <w:p w:rsidR="00D32321" w:rsidRPr="004C350A" w:rsidRDefault="00D32321" w:rsidP="001C3649">
            <w:pPr>
              <w:rPr>
                <w:rFonts w:ascii="Calibri" w:hAnsi="Calibri" w:cs="Calibri"/>
              </w:rPr>
            </w:pPr>
          </w:p>
        </w:tc>
      </w:tr>
      <w:tr w:rsidR="00D32321" w:rsidRPr="004C350A" w:rsidTr="00D32321">
        <w:trPr>
          <w:trHeight w:val="351"/>
        </w:trPr>
        <w:tc>
          <w:tcPr>
            <w:tcW w:w="1908" w:type="dxa"/>
            <w:vMerge w:val="restart"/>
          </w:tcPr>
          <w:p w:rsidR="00D32321" w:rsidRPr="004C350A" w:rsidRDefault="00D32321" w:rsidP="001C3649">
            <w:pPr>
              <w:rPr>
                <w:rFonts w:ascii="Calibri" w:hAnsi="Calibri" w:cs="Calibri"/>
              </w:rPr>
            </w:pPr>
            <w:r w:rsidRPr="004C350A">
              <w:rPr>
                <w:rFonts w:ascii="Calibri" w:hAnsi="Calibri" w:cs="Calibri"/>
              </w:rPr>
              <w:t>Civil Society Groups</w:t>
            </w:r>
          </w:p>
        </w:tc>
        <w:tc>
          <w:tcPr>
            <w:tcW w:w="2520" w:type="dxa"/>
          </w:tcPr>
          <w:p w:rsidR="00D32321" w:rsidRPr="004C350A" w:rsidRDefault="00D32321" w:rsidP="00D32321">
            <w:pPr>
              <w:rPr>
                <w:rFonts w:ascii="Calibri" w:hAnsi="Calibri" w:cs="Calibri"/>
              </w:rPr>
            </w:pPr>
            <w:r w:rsidRPr="004C350A">
              <w:rPr>
                <w:rFonts w:ascii="Calibri" w:hAnsi="Calibri" w:cs="Calibri"/>
              </w:rPr>
              <w:t>NGO</w:t>
            </w:r>
            <w:r>
              <w:rPr>
                <w:rFonts w:ascii="Calibri" w:hAnsi="Calibri" w:cs="Calibri"/>
              </w:rPr>
              <w:t xml:space="preserve"> x</w:t>
            </w:r>
            <w:r w:rsidRPr="004C350A">
              <w:rPr>
                <w:rFonts w:ascii="Calibri" w:hAnsi="Calibri" w:cs="Calibri"/>
              </w:rPr>
              <w:t xml:space="preserve">, </w:t>
            </w:r>
          </w:p>
        </w:tc>
        <w:tc>
          <w:tcPr>
            <w:tcW w:w="4088" w:type="dxa"/>
          </w:tcPr>
          <w:p w:rsidR="00D32321" w:rsidRPr="004C350A" w:rsidRDefault="00D32321" w:rsidP="001C3649">
            <w:pPr>
              <w:rPr>
                <w:rFonts w:ascii="Calibri" w:hAnsi="Calibri" w:cs="Calibri"/>
              </w:rPr>
            </w:pPr>
          </w:p>
        </w:tc>
      </w:tr>
      <w:tr w:rsidR="00D32321" w:rsidRPr="004C350A" w:rsidTr="00A960FC">
        <w:trPr>
          <w:trHeight w:val="238"/>
        </w:trPr>
        <w:tc>
          <w:tcPr>
            <w:tcW w:w="1908" w:type="dxa"/>
            <w:vMerge/>
          </w:tcPr>
          <w:p w:rsidR="00D32321" w:rsidRPr="004C350A" w:rsidRDefault="00D32321" w:rsidP="001C3649">
            <w:pPr>
              <w:rPr>
                <w:rFonts w:ascii="Calibri" w:hAnsi="Calibri" w:cs="Calibri"/>
              </w:rPr>
            </w:pPr>
          </w:p>
        </w:tc>
        <w:tc>
          <w:tcPr>
            <w:tcW w:w="2520" w:type="dxa"/>
          </w:tcPr>
          <w:p w:rsidR="00D32321" w:rsidRPr="004C350A" w:rsidRDefault="00D32321" w:rsidP="001C3649">
            <w:pPr>
              <w:rPr>
                <w:rFonts w:ascii="Calibri" w:hAnsi="Calibri" w:cs="Calibri"/>
              </w:rPr>
            </w:pPr>
          </w:p>
        </w:tc>
        <w:tc>
          <w:tcPr>
            <w:tcW w:w="4088" w:type="dxa"/>
          </w:tcPr>
          <w:p w:rsidR="00D32321" w:rsidRPr="004C350A" w:rsidRDefault="00D32321" w:rsidP="001C3649">
            <w:pPr>
              <w:rPr>
                <w:rFonts w:ascii="Calibri" w:hAnsi="Calibri" w:cs="Calibri"/>
              </w:rPr>
            </w:pPr>
          </w:p>
        </w:tc>
      </w:tr>
      <w:tr w:rsidR="00D32321" w:rsidRPr="004C350A" w:rsidTr="00D32321">
        <w:trPr>
          <w:trHeight w:val="351"/>
        </w:trPr>
        <w:tc>
          <w:tcPr>
            <w:tcW w:w="1908" w:type="dxa"/>
            <w:vMerge w:val="restart"/>
          </w:tcPr>
          <w:p w:rsidR="00D32321" w:rsidRPr="004C350A" w:rsidRDefault="00D32321" w:rsidP="001C3649">
            <w:pPr>
              <w:rPr>
                <w:rFonts w:ascii="Calibri" w:hAnsi="Calibri" w:cs="Calibri"/>
              </w:rPr>
            </w:pPr>
            <w:r w:rsidRPr="004C350A">
              <w:rPr>
                <w:rFonts w:ascii="Calibri" w:hAnsi="Calibri" w:cs="Calibri"/>
              </w:rPr>
              <w:t>Private sector</w:t>
            </w:r>
          </w:p>
        </w:tc>
        <w:tc>
          <w:tcPr>
            <w:tcW w:w="2520" w:type="dxa"/>
          </w:tcPr>
          <w:p w:rsidR="00D32321" w:rsidRPr="004C350A" w:rsidRDefault="00D32321" w:rsidP="001C3649">
            <w:pPr>
              <w:rPr>
                <w:rFonts w:ascii="Calibri" w:hAnsi="Calibri" w:cs="Calibri"/>
              </w:rPr>
            </w:pPr>
            <w:r>
              <w:rPr>
                <w:rFonts w:ascii="Calibri" w:hAnsi="Calibri" w:cs="Calibri"/>
              </w:rPr>
              <w:t xml:space="preserve">Logging </w:t>
            </w:r>
            <w:r w:rsidR="00A41217">
              <w:rPr>
                <w:rFonts w:ascii="Calibri" w:hAnsi="Calibri" w:cs="Calibri"/>
              </w:rPr>
              <w:t>concessioners</w:t>
            </w:r>
          </w:p>
        </w:tc>
        <w:tc>
          <w:tcPr>
            <w:tcW w:w="4088" w:type="dxa"/>
          </w:tcPr>
          <w:p w:rsidR="00D32321" w:rsidRPr="004C350A" w:rsidRDefault="00D32321" w:rsidP="001C3649">
            <w:pPr>
              <w:rPr>
                <w:rFonts w:ascii="Calibri" w:hAnsi="Calibri" w:cs="Calibri"/>
              </w:rPr>
            </w:pPr>
          </w:p>
        </w:tc>
      </w:tr>
      <w:tr w:rsidR="00D32321" w:rsidRPr="004C350A" w:rsidTr="00D32321">
        <w:trPr>
          <w:trHeight w:val="170"/>
        </w:trPr>
        <w:tc>
          <w:tcPr>
            <w:tcW w:w="1908" w:type="dxa"/>
            <w:vMerge/>
          </w:tcPr>
          <w:p w:rsidR="00D32321" w:rsidRPr="004C350A" w:rsidRDefault="00D32321" w:rsidP="001C3649">
            <w:pPr>
              <w:rPr>
                <w:rFonts w:ascii="Calibri" w:hAnsi="Calibri" w:cs="Calibri"/>
              </w:rPr>
            </w:pPr>
          </w:p>
        </w:tc>
        <w:tc>
          <w:tcPr>
            <w:tcW w:w="2520" w:type="dxa"/>
          </w:tcPr>
          <w:p w:rsidR="00D32321" w:rsidRDefault="00D32321" w:rsidP="001C3649">
            <w:pPr>
              <w:rPr>
                <w:rFonts w:ascii="Calibri" w:hAnsi="Calibri" w:cs="Calibri"/>
              </w:rPr>
            </w:pPr>
            <w:r>
              <w:rPr>
                <w:rFonts w:ascii="Calibri" w:hAnsi="Calibri" w:cs="Calibri"/>
              </w:rPr>
              <w:t xml:space="preserve">Mining </w:t>
            </w:r>
          </w:p>
        </w:tc>
        <w:tc>
          <w:tcPr>
            <w:tcW w:w="4088" w:type="dxa"/>
          </w:tcPr>
          <w:p w:rsidR="00D32321" w:rsidRPr="004C350A" w:rsidRDefault="00D32321" w:rsidP="001C3649">
            <w:pPr>
              <w:rPr>
                <w:rFonts w:ascii="Calibri" w:hAnsi="Calibri" w:cs="Calibri"/>
              </w:rPr>
            </w:pPr>
          </w:p>
        </w:tc>
      </w:tr>
      <w:tr w:rsidR="00D32321" w:rsidRPr="004C350A" w:rsidTr="00A960FC">
        <w:trPr>
          <w:trHeight w:val="148"/>
        </w:trPr>
        <w:tc>
          <w:tcPr>
            <w:tcW w:w="1908" w:type="dxa"/>
            <w:vMerge/>
          </w:tcPr>
          <w:p w:rsidR="00D32321" w:rsidRPr="004C350A" w:rsidRDefault="00D32321" w:rsidP="001C3649">
            <w:pPr>
              <w:rPr>
                <w:rFonts w:ascii="Calibri" w:hAnsi="Calibri" w:cs="Calibri"/>
              </w:rPr>
            </w:pPr>
          </w:p>
        </w:tc>
        <w:tc>
          <w:tcPr>
            <w:tcW w:w="2520" w:type="dxa"/>
          </w:tcPr>
          <w:p w:rsidR="00D32321" w:rsidRDefault="00D32321" w:rsidP="001C3649">
            <w:pPr>
              <w:rPr>
                <w:rFonts w:ascii="Calibri" w:hAnsi="Calibri" w:cs="Calibri"/>
              </w:rPr>
            </w:pPr>
            <w:r>
              <w:rPr>
                <w:rFonts w:ascii="Calibri" w:hAnsi="Calibri" w:cs="Calibri"/>
              </w:rPr>
              <w:t>Tourism</w:t>
            </w:r>
          </w:p>
        </w:tc>
        <w:tc>
          <w:tcPr>
            <w:tcW w:w="4088" w:type="dxa"/>
          </w:tcPr>
          <w:p w:rsidR="00D32321" w:rsidRPr="004C350A" w:rsidRDefault="00D32321" w:rsidP="001C3649">
            <w:pPr>
              <w:rPr>
                <w:rFonts w:ascii="Calibri" w:hAnsi="Calibri" w:cs="Calibri"/>
              </w:rPr>
            </w:pPr>
          </w:p>
        </w:tc>
      </w:tr>
    </w:tbl>
    <w:p w:rsidR="00AD6162" w:rsidRPr="004C350A" w:rsidRDefault="00AD6162" w:rsidP="001C3649">
      <w:pPr>
        <w:rPr>
          <w:rFonts w:ascii="Calibri" w:hAnsi="Calibri" w:cs="Calibri"/>
        </w:rPr>
      </w:pPr>
    </w:p>
    <w:p w:rsidR="00A960FC" w:rsidRPr="004C350A" w:rsidRDefault="008A3D6A" w:rsidP="00A27B77">
      <w:pPr>
        <w:pStyle w:val="Heading3"/>
        <w:numPr>
          <w:ilvl w:val="0"/>
          <w:numId w:val="0"/>
        </w:numPr>
      </w:pPr>
      <w:r w:rsidRPr="004C350A">
        <w:t>Local communities</w:t>
      </w:r>
      <w:r w:rsidR="00381606" w:rsidRPr="004C350A">
        <w:t xml:space="preserve"> and forests</w:t>
      </w:r>
    </w:p>
    <w:p w:rsidR="00A960FC" w:rsidRPr="004C350A" w:rsidRDefault="00A27B77" w:rsidP="001C3649">
      <w:pPr>
        <w:rPr>
          <w:rFonts w:ascii="Calibri" w:hAnsi="Calibri" w:cs="Calibri"/>
        </w:rPr>
      </w:pPr>
      <w:r>
        <w:rPr>
          <w:rFonts w:ascii="Calibri" w:hAnsi="Calibri" w:cs="Calibri"/>
        </w:rPr>
        <w:t>I</w:t>
      </w:r>
      <w:r w:rsidR="00A960FC" w:rsidRPr="004C350A">
        <w:rPr>
          <w:rFonts w:ascii="Calibri" w:hAnsi="Calibri" w:cs="Calibri"/>
        </w:rPr>
        <w:t xml:space="preserve">dentify the </w:t>
      </w:r>
      <w:r w:rsidR="008A3D6A" w:rsidRPr="004C350A">
        <w:rPr>
          <w:rFonts w:ascii="Calibri" w:hAnsi="Calibri" w:cs="Calibri"/>
        </w:rPr>
        <w:t>communities</w:t>
      </w:r>
      <w:r w:rsidR="00A960FC" w:rsidRPr="004C350A">
        <w:rPr>
          <w:rFonts w:ascii="Calibri" w:hAnsi="Calibri" w:cs="Calibri"/>
        </w:rPr>
        <w:t xml:space="preserve"> that may be affected by </w:t>
      </w:r>
      <w:proofErr w:type="spellStart"/>
      <w:r w:rsidR="00A960FC" w:rsidRPr="004C350A">
        <w:rPr>
          <w:rFonts w:ascii="Calibri" w:hAnsi="Calibri" w:cs="Calibri"/>
        </w:rPr>
        <w:t>REDD</w:t>
      </w:r>
      <w:proofErr w:type="spellEnd"/>
      <w:r w:rsidR="00A960FC" w:rsidRPr="004C350A">
        <w:rPr>
          <w:rFonts w:ascii="Calibri" w:hAnsi="Calibri" w:cs="Calibri"/>
        </w:rPr>
        <w:t xml:space="preserve">+, </w:t>
      </w:r>
      <w:proofErr w:type="spellStart"/>
      <w:r w:rsidR="00A960FC" w:rsidRPr="004C350A">
        <w:rPr>
          <w:rFonts w:ascii="Calibri" w:hAnsi="Calibri" w:cs="Calibri"/>
        </w:rPr>
        <w:t>ie</w:t>
      </w:r>
      <w:proofErr w:type="spellEnd"/>
      <w:r w:rsidR="00A960FC" w:rsidRPr="004C350A">
        <w:rPr>
          <w:rFonts w:ascii="Calibri" w:hAnsi="Calibri" w:cs="Calibri"/>
        </w:rPr>
        <w:t xml:space="preserve"> those that live in or near forested areas.  Results could be presented in a table as follows:</w:t>
      </w:r>
    </w:p>
    <w:p w:rsidR="00A960FC" w:rsidRPr="004C350A" w:rsidRDefault="00A960FC" w:rsidP="001C3649">
      <w:pPr>
        <w:rPr>
          <w:rFonts w:ascii="Calibri" w:hAnsi="Calibri" w:cs="Calibri"/>
        </w:rPr>
      </w:pPr>
    </w:p>
    <w:tbl>
      <w:tblPr>
        <w:tblStyle w:val="TableGrid"/>
        <w:tblW w:w="0" w:type="auto"/>
        <w:tblLook w:val="04A0" w:firstRow="1" w:lastRow="0" w:firstColumn="1" w:lastColumn="0" w:noHBand="0" w:noVBand="1"/>
      </w:tblPr>
      <w:tblGrid>
        <w:gridCol w:w="1548"/>
        <w:gridCol w:w="1350"/>
        <w:gridCol w:w="2340"/>
        <w:gridCol w:w="3278"/>
      </w:tblGrid>
      <w:tr w:rsidR="00A960FC" w:rsidRPr="004C350A" w:rsidTr="00A41217">
        <w:tc>
          <w:tcPr>
            <w:tcW w:w="1548" w:type="dxa"/>
            <w:shd w:val="clear" w:color="auto" w:fill="DBE5F1" w:themeFill="accent1" w:themeFillTint="33"/>
          </w:tcPr>
          <w:p w:rsidR="00A960FC" w:rsidRPr="004C350A" w:rsidRDefault="008A3D6A" w:rsidP="001C3649">
            <w:pPr>
              <w:rPr>
                <w:rFonts w:ascii="Calibri" w:hAnsi="Calibri" w:cs="Calibri"/>
              </w:rPr>
            </w:pPr>
            <w:r w:rsidRPr="004C350A">
              <w:rPr>
                <w:rFonts w:ascii="Calibri" w:hAnsi="Calibri" w:cs="Calibri"/>
              </w:rPr>
              <w:t>Province</w:t>
            </w:r>
          </w:p>
        </w:tc>
        <w:tc>
          <w:tcPr>
            <w:tcW w:w="1350" w:type="dxa"/>
            <w:shd w:val="clear" w:color="auto" w:fill="DBE5F1" w:themeFill="accent1" w:themeFillTint="33"/>
          </w:tcPr>
          <w:p w:rsidR="00A960FC" w:rsidRPr="004C350A" w:rsidRDefault="00A960FC" w:rsidP="001C3649">
            <w:pPr>
              <w:rPr>
                <w:rFonts w:ascii="Calibri" w:hAnsi="Calibri" w:cs="Calibri"/>
              </w:rPr>
            </w:pPr>
            <w:r w:rsidRPr="004C350A">
              <w:rPr>
                <w:rFonts w:ascii="Calibri" w:hAnsi="Calibri" w:cs="Calibri"/>
              </w:rPr>
              <w:t>Forested area</w:t>
            </w:r>
            <w:r w:rsidR="00F436B5" w:rsidRPr="004C350A">
              <w:rPr>
                <w:rFonts w:ascii="Calibri" w:hAnsi="Calibri" w:cs="Calibri"/>
              </w:rPr>
              <w:t xml:space="preserve"> (ha)</w:t>
            </w:r>
          </w:p>
        </w:tc>
        <w:tc>
          <w:tcPr>
            <w:tcW w:w="2340" w:type="dxa"/>
            <w:shd w:val="clear" w:color="auto" w:fill="DBE5F1" w:themeFill="accent1" w:themeFillTint="33"/>
          </w:tcPr>
          <w:p w:rsidR="00A960FC" w:rsidRPr="004C350A" w:rsidRDefault="00A41217" w:rsidP="001C3649">
            <w:pPr>
              <w:rPr>
                <w:rFonts w:ascii="Calibri" w:hAnsi="Calibri" w:cs="Calibri"/>
              </w:rPr>
            </w:pPr>
            <w:r>
              <w:rPr>
                <w:rFonts w:ascii="Calibri" w:hAnsi="Calibri" w:cs="Calibri"/>
              </w:rPr>
              <w:t>Customary land administration</w:t>
            </w:r>
          </w:p>
        </w:tc>
        <w:tc>
          <w:tcPr>
            <w:tcW w:w="3278" w:type="dxa"/>
            <w:shd w:val="clear" w:color="auto" w:fill="DBE5F1" w:themeFill="accent1" w:themeFillTint="33"/>
          </w:tcPr>
          <w:p w:rsidR="00A960FC" w:rsidRPr="004C350A" w:rsidRDefault="00A960FC" w:rsidP="001C3649">
            <w:pPr>
              <w:rPr>
                <w:rFonts w:ascii="Calibri" w:hAnsi="Calibri" w:cs="Calibri"/>
              </w:rPr>
            </w:pPr>
            <w:r w:rsidRPr="004C350A">
              <w:rPr>
                <w:rFonts w:ascii="Calibri" w:hAnsi="Calibri" w:cs="Calibri"/>
              </w:rPr>
              <w:t xml:space="preserve">Characteristics </w:t>
            </w:r>
          </w:p>
        </w:tc>
      </w:tr>
      <w:tr w:rsidR="00A960FC" w:rsidRPr="004C350A" w:rsidTr="00A41217">
        <w:tc>
          <w:tcPr>
            <w:tcW w:w="1548" w:type="dxa"/>
          </w:tcPr>
          <w:p w:rsidR="00A960FC" w:rsidRPr="004C350A" w:rsidRDefault="00A41217" w:rsidP="001C3649">
            <w:pPr>
              <w:rPr>
                <w:rFonts w:ascii="Calibri" w:hAnsi="Calibri" w:cs="Calibri"/>
              </w:rPr>
            </w:pPr>
            <w:r>
              <w:rPr>
                <w:rFonts w:ascii="Calibri" w:hAnsi="Calibri" w:cs="Calibri"/>
              </w:rPr>
              <w:t xml:space="preserve">e.g. </w:t>
            </w:r>
            <w:r w:rsidR="008A3D6A" w:rsidRPr="004C350A">
              <w:rPr>
                <w:rFonts w:ascii="Calibri" w:hAnsi="Calibri" w:cs="Calibri"/>
              </w:rPr>
              <w:t>Choiseul</w:t>
            </w:r>
          </w:p>
        </w:tc>
        <w:tc>
          <w:tcPr>
            <w:tcW w:w="1350" w:type="dxa"/>
          </w:tcPr>
          <w:p w:rsidR="00A960FC" w:rsidRPr="004C350A" w:rsidRDefault="00A960FC" w:rsidP="001C3649">
            <w:pPr>
              <w:rPr>
                <w:rFonts w:ascii="Calibri" w:hAnsi="Calibri" w:cs="Calibri"/>
              </w:rPr>
            </w:pPr>
          </w:p>
        </w:tc>
        <w:tc>
          <w:tcPr>
            <w:tcW w:w="2340" w:type="dxa"/>
          </w:tcPr>
          <w:p w:rsidR="00A960FC" w:rsidRPr="004C350A" w:rsidRDefault="00A960FC" w:rsidP="001C3649">
            <w:pPr>
              <w:rPr>
                <w:rFonts w:ascii="Calibri" w:hAnsi="Calibri" w:cs="Calibri"/>
              </w:rPr>
            </w:pPr>
          </w:p>
        </w:tc>
        <w:tc>
          <w:tcPr>
            <w:tcW w:w="3278" w:type="dxa"/>
          </w:tcPr>
          <w:p w:rsidR="00F436B5" w:rsidRPr="00A41217" w:rsidRDefault="008A3D6A" w:rsidP="00A41217">
            <w:pPr>
              <w:pStyle w:val="ListParagraph"/>
              <w:numPr>
                <w:ilvl w:val="0"/>
                <w:numId w:val="24"/>
              </w:numPr>
              <w:rPr>
                <w:rFonts w:ascii="Calibri" w:hAnsi="Calibri" w:cs="Calibri"/>
              </w:rPr>
            </w:pPr>
            <w:r w:rsidRPr="00A41217">
              <w:rPr>
                <w:rFonts w:ascii="Calibri" w:hAnsi="Calibri" w:cs="Calibri"/>
              </w:rPr>
              <w:t>Main uses of forests</w:t>
            </w:r>
          </w:p>
          <w:p w:rsidR="00A41217" w:rsidRDefault="00F436B5" w:rsidP="00A41217">
            <w:pPr>
              <w:pStyle w:val="ListParagraph"/>
              <w:numPr>
                <w:ilvl w:val="0"/>
                <w:numId w:val="24"/>
              </w:numPr>
              <w:rPr>
                <w:rFonts w:ascii="Calibri" w:hAnsi="Calibri" w:cs="Calibri"/>
              </w:rPr>
            </w:pPr>
            <w:r w:rsidRPr="00A41217">
              <w:rPr>
                <w:rFonts w:ascii="Calibri" w:hAnsi="Calibri" w:cs="Calibri"/>
              </w:rPr>
              <w:t xml:space="preserve">Describe other special </w:t>
            </w:r>
            <w:r w:rsidR="00A41217">
              <w:rPr>
                <w:rFonts w:ascii="Calibri" w:hAnsi="Calibri" w:cs="Calibri"/>
              </w:rPr>
              <w:t xml:space="preserve">interest and </w:t>
            </w:r>
            <w:r w:rsidRPr="00A41217">
              <w:rPr>
                <w:rFonts w:ascii="Calibri" w:hAnsi="Calibri" w:cs="Calibri"/>
              </w:rPr>
              <w:t xml:space="preserve">characteristics of </w:t>
            </w:r>
            <w:r w:rsidR="00A41217">
              <w:rPr>
                <w:rFonts w:ascii="Calibri" w:hAnsi="Calibri" w:cs="Calibri"/>
              </w:rPr>
              <w:t>the people</w:t>
            </w:r>
          </w:p>
          <w:p w:rsidR="00F436B5" w:rsidRPr="00A41217" w:rsidRDefault="00A41217" w:rsidP="00520533">
            <w:pPr>
              <w:pStyle w:val="ListParagraph"/>
              <w:numPr>
                <w:ilvl w:val="0"/>
                <w:numId w:val="24"/>
              </w:numPr>
              <w:rPr>
                <w:rFonts w:ascii="Calibri" w:hAnsi="Calibri" w:cs="Calibri"/>
              </w:rPr>
            </w:pPr>
            <w:r>
              <w:rPr>
                <w:rFonts w:ascii="Calibri" w:hAnsi="Calibri" w:cs="Calibri"/>
              </w:rPr>
              <w:t xml:space="preserve">Strategies for ensuring their full and effective </w:t>
            </w:r>
            <w:r>
              <w:rPr>
                <w:rFonts w:ascii="Calibri" w:hAnsi="Calibri" w:cs="Calibri"/>
              </w:rPr>
              <w:lastRenderedPageBreak/>
              <w:t xml:space="preserve">participation </w:t>
            </w:r>
            <w:r w:rsidR="00F436B5" w:rsidRPr="00A41217">
              <w:rPr>
                <w:rFonts w:ascii="Calibri" w:hAnsi="Calibri" w:cs="Calibri"/>
              </w:rPr>
              <w:t>when preparing Roadmap</w:t>
            </w:r>
            <w:r w:rsidR="00520533">
              <w:rPr>
                <w:rFonts w:ascii="Calibri" w:hAnsi="Calibri" w:cs="Calibri"/>
              </w:rPr>
              <w:t xml:space="preserve"> (e.g., </w:t>
            </w:r>
            <w:r w:rsidR="00F436B5" w:rsidRPr="00A41217">
              <w:rPr>
                <w:rFonts w:ascii="Calibri" w:hAnsi="Calibri" w:cs="Calibri"/>
              </w:rPr>
              <w:t xml:space="preserve">consultations, preparing </w:t>
            </w:r>
            <w:proofErr w:type="spellStart"/>
            <w:r w:rsidR="00F436B5" w:rsidRPr="00A41217">
              <w:rPr>
                <w:rFonts w:ascii="Calibri" w:hAnsi="Calibri" w:cs="Calibri"/>
              </w:rPr>
              <w:t>REDD</w:t>
            </w:r>
            <w:proofErr w:type="spellEnd"/>
            <w:r w:rsidR="00F436B5" w:rsidRPr="00A41217">
              <w:rPr>
                <w:rFonts w:ascii="Calibri" w:hAnsi="Calibri" w:cs="Calibri"/>
              </w:rPr>
              <w:t xml:space="preserve">+ materials in </w:t>
            </w:r>
            <w:r w:rsidR="008A3D6A" w:rsidRPr="00A41217">
              <w:rPr>
                <w:rFonts w:ascii="Calibri" w:hAnsi="Calibri" w:cs="Calibri"/>
              </w:rPr>
              <w:t>local</w:t>
            </w:r>
            <w:r w:rsidR="00F436B5" w:rsidRPr="00A41217">
              <w:rPr>
                <w:rFonts w:ascii="Calibri" w:hAnsi="Calibri" w:cs="Calibri"/>
              </w:rPr>
              <w:t xml:space="preserve"> language,</w:t>
            </w:r>
            <w:r w:rsidR="00520533">
              <w:rPr>
                <w:rFonts w:ascii="Calibri" w:hAnsi="Calibri" w:cs="Calibri"/>
              </w:rPr>
              <w:t xml:space="preserve"> modes of communication</w:t>
            </w:r>
            <w:proofErr w:type="gramStart"/>
            <w:r w:rsidR="00520533">
              <w:rPr>
                <w:rFonts w:ascii="Calibri" w:hAnsi="Calibri" w:cs="Calibri"/>
              </w:rPr>
              <w:t xml:space="preserve">, </w:t>
            </w:r>
            <w:r w:rsidR="00F436B5" w:rsidRPr="00A41217">
              <w:rPr>
                <w:rFonts w:ascii="Calibri" w:hAnsi="Calibri" w:cs="Calibri"/>
              </w:rPr>
              <w:t xml:space="preserve"> etc</w:t>
            </w:r>
            <w:proofErr w:type="gramEnd"/>
            <w:r w:rsidR="00520533">
              <w:rPr>
                <w:rFonts w:ascii="Calibri" w:hAnsi="Calibri" w:cs="Calibri"/>
              </w:rPr>
              <w:t>.</w:t>
            </w:r>
            <w:r w:rsidR="00F436B5" w:rsidRPr="00A41217">
              <w:rPr>
                <w:rFonts w:ascii="Calibri" w:hAnsi="Calibri" w:cs="Calibri"/>
              </w:rPr>
              <w:t>)</w:t>
            </w:r>
          </w:p>
        </w:tc>
      </w:tr>
      <w:tr w:rsidR="00A960FC" w:rsidRPr="004C350A" w:rsidTr="00A41217">
        <w:tc>
          <w:tcPr>
            <w:tcW w:w="1548" w:type="dxa"/>
          </w:tcPr>
          <w:p w:rsidR="00A960FC" w:rsidRPr="004C350A" w:rsidRDefault="00A960FC" w:rsidP="001C3649">
            <w:pPr>
              <w:rPr>
                <w:rFonts w:ascii="Calibri" w:hAnsi="Calibri" w:cs="Calibri"/>
              </w:rPr>
            </w:pPr>
          </w:p>
        </w:tc>
        <w:tc>
          <w:tcPr>
            <w:tcW w:w="1350" w:type="dxa"/>
          </w:tcPr>
          <w:p w:rsidR="00A960FC" w:rsidRPr="004C350A" w:rsidRDefault="00A960FC" w:rsidP="001C3649">
            <w:pPr>
              <w:rPr>
                <w:rFonts w:ascii="Calibri" w:hAnsi="Calibri" w:cs="Calibri"/>
              </w:rPr>
            </w:pPr>
          </w:p>
        </w:tc>
        <w:tc>
          <w:tcPr>
            <w:tcW w:w="2340" w:type="dxa"/>
          </w:tcPr>
          <w:p w:rsidR="00A960FC" w:rsidRPr="004C350A" w:rsidRDefault="00A960FC" w:rsidP="001C3649">
            <w:pPr>
              <w:rPr>
                <w:rFonts w:ascii="Calibri" w:hAnsi="Calibri" w:cs="Calibri"/>
              </w:rPr>
            </w:pPr>
          </w:p>
        </w:tc>
        <w:tc>
          <w:tcPr>
            <w:tcW w:w="3278" w:type="dxa"/>
          </w:tcPr>
          <w:p w:rsidR="00A960FC" w:rsidRPr="004C350A" w:rsidRDefault="00A960FC" w:rsidP="001C3649">
            <w:pPr>
              <w:rPr>
                <w:rFonts w:ascii="Calibri" w:hAnsi="Calibri" w:cs="Calibri"/>
              </w:rPr>
            </w:pPr>
          </w:p>
        </w:tc>
      </w:tr>
      <w:tr w:rsidR="00A960FC" w:rsidRPr="004C350A" w:rsidTr="00A41217">
        <w:tc>
          <w:tcPr>
            <w:tcW w:w="1548" w:type="dxa"/>
          </w:tcPr>
          <w:p w:rsidR="00A960FC" w:rsidRPr="004C350A" w:rsidRDefault="00A960FC" w:rsidP="001C3649">
            <w:pPr>
              <w:rPr>
                <w:rFonts w:ascii="Calibri" w:hAnsi="Calibri" w:cs="Calibri"/>
              </w:rPr>
            </w:pPr>
          </w:p>
        </w:tc>
        <w:tc>
          <w:tcPr>
            <w:tcW w:w="1350" w:type="dxa"/>
          </w:tcPr>
          <w:p w:rsidR="00A960FC" w:rsidRPr="004C350A" w:rsidRDefault="00A960FC" w:rsidP="001C3649">
            <w:pPr>
              <w:rPr>
                <w:rFonts w:ascii="Calibri" w:hAnsi="Calibri" w:cs="Calibri"/>
              </w:rPr>
            </w:pPr>
          </w:p>
        </w:tc>
        <w:tc>
          <w:tcPr>
            <w:tcW w:w="2340" w:type="dxa"/>
          </w:tcPr>
          <w:p w:rsidR="00A960FC" w:rsidRPr="004C350A" w:rsidRDefault="00A960FC" w:rsidP="001C3649">
            <w:pPr>
              <w:rPr>
                <w:rFonts w:ascii="Calibri" w:hAnsi="Calibri" w:cs="Calibri"/>
              </w:rPr>
            </w:pPr>
          </w:p>
        </w:tc>
        <w:tc>
          <w:tcPr>
            <w:tcW w:w="3278" w:type="dxa"/>
          </w:tcPr>
          <w:p w:rsidR="00A960FC" w:rsidRPr="004C350A" w:rsidRDefault="00A960FC" w:rsidP="001C3649">
            <w:pPr>
              <w:rPr>
                <w:rFonts w:ascii="Calibri" w:hAnsi="Calibri" w:cs="Calibri"/>
              </w:rPr>
            </w:pPr>
          </w:p>
        </w:tc>
      </w:tr>
    </w:tbl>
    <w:p w:rsidR="00A960FC" w:rsidRDefault="00A960FC" w:rsidP="001C3649">
      <w:pPr>
        <w:rPr>
          <w:rFonts w:ascii="Calibri" w:hAnsi="Calibri" w:cs="Calibri"/>
        </w:rPr>
      </w:pPr>
    </w:p>
    <w:p w:rsidR="00A27B77" w:rsidRPr="00642B1C" w:rsidRDefault="008D6D9F" w:rsidP="00642B1C">
      <w:pPr>
        <w:jc w:val="both"/>
        <w:rPr>
          <w:rFonts w:ascii="Calibri" w:hAnsi="Calibri" w:cs="Calibri"/>
          <w:highlight w:val="yellow"/>
        </w:rPr>
      </w:pPr>
      <w:r w:rsidRPr="008D6D9F">
        <w:rPr>
          <w:rFonts w:ascii="Calibri" w:hAnsi="Calibri" w:cs="Calibri"/>
        </w:rPr>
        <w:t xml:space="preserve">By understanding how </w:t>
      </w:r>
      <w:proofErr w:type="spellStart"/>
      <w:r w:rsidRPr="008D6D9F">
        <w:rPr>
          <w:rFonts w:ascii="Calibri" w:hAnsi="Calibri" w:cs="Calibri"/>
        </w:rPr>
        <w:t>REDD</w:t>
      </w:r>
      <w:proofErr w:type="spellEnd"/>
      <w:r w:rsidRPr="008D6D9F">
        <w:rPr>
          <w:rFonts w:ascii="Calibri" w:hAnsi="Calibri" w:cs="Calibri"/>
        </w:rPr>
        <w:t>+ might affect different stakeholders and their specific interest with respect to the management and use of forests and forest resources</w:t>
      </w:r>
      <w:r w:rsidR="00C43ADC">
        <w:rPr>
          <w:rFonts w:ascii="Calibri" w:hAnsi="Calibri" w:cs="Calibri"/>
        </w:rPr>
        <w:t xml:space="preserve"> through these exercises</w:t>
      </w:r>
      <w:r>
        <w:rPr>
          <w:rFonts w:ascii="Calibri" w:hAnsi="Calibri" w:cs="Calibri"/>
        </w:rPr>
        <w:t xml:space="preserve">, effective stakeholder engagement </w:t>
      </w:r>
      <w:r w:rsidR="00C43ADC">
        <w:rPr>
          <w:rFonts w:ascii="Calibri" w:hAnsi="Calibri" w:cs="Calibri"/>
        </w:rPr>
        <w:t xml:space="preserve">strategies can be identified to ensure full and effective participation of all relevant stakeholders during the preparation and implementation of the National </w:t>
      </w:r>
      <w:proofErr w:type="spellStart"/>
      <w:r w:rsidR="00C43ADC">
        <w:rPr>
          <w:rFonts w:ascii="Calibri" w:hAnsi="Calibri" w:cs="Calibri"/>
        </w:rPr>
        <w:t>REDD</w:t>
      </w:r>
      <w:proofErr w:type="spellEnd"/>
      <w:r w:rsidR="00C43ADC">
        <w:rPr>
          <w:rFonts w:ascii="Calibri" w:hAnsi="Calibri" w:cs="Calibri"/>
        </w:rPr>
        <w:t xml:space="preserve">+ Roadmap in the country. </w:t>
      </w:r>
    </w:p>
    <w:p w:rsidR="003F6E69" w:rsidRPr="004C350A" w:rsidRDefault="003F6E69" w:rsidP="001C6D11">
      <w:pPr>
        <w:pStyle w:val="Heading3"/>
        <w:numPr>
          <w:ilvl w:val="0"/>
          <w:numId w:val="0"/>
        </w:numPr>
      </w:pPr>
      <w:r w:rsidRPr="004C350A">
        <w:t>Process for stakeholder engagement</w:t>
      </w:r>
      <w:r w:rsidR="008C71EA" w:rsidRPr="004C350A">
        <w:t xml:space="preserve"> while</w:t>
      </w:r>
      <w:r w:rsidR="00381606" w:rsidRPr="004C350A">
        <w:t xml:space="preserve"> preparing Roa</w:t>
      </w:r>
      <w:r w:rsidR="001668D2" w:rsidRPr="004C350A">
        <w:t>dmap</w:t>
      </w:r>
    </w:p>
    <w:p w:rsidR="00E4463B" w:rsidRPr="004C350A" w:rsidRDefault="00381606" w:rsidP="001C6D11">
      <w:pPr>
        <w:jc w:val="both"/>
        <w:rPr>
          <w:rFonts w:ascii="Calibri" w:hAnsi="Calibri" w:cs="Calibri"/>
        </w:rPr>
      </w:pPr>
      <w:r w:rsidRPr="004C350A">
        <w:rPr>
          <w:rFonts w:ascii="Calibri" w:hAnsi="Calibri" w:cs="Calibri"/>
        </w:rPr>
        <w:t>Using the results from the stakeholder mapping exercise above, s</w:t>
      </w:r>
      <w:r w:rsidR="001668D2" w:rsidRPr="004C350A">
        <w:rPr>
          <w:rFonts w:ascii="Calibri" w:hAnsi="Calibri" w:cs="Calibri"/>
        </w:rPr>
        <w:t xml:space="preserve">uggest a process for involving stakeholders in the preparation of the </w:t>
      </w:r>
      <w:proofErr w:type="spellStart"/>
      <w:r w:rsidR="001668D2" w:rsidRPr="004C350A">
        <w:rPr>
          <w:rFonts w:ascii="Calibri" w:hAnsi="Calibri" w:cs="Calibri"/>
        </w:rPr>
        <w:t>REDD</w:t>
      </w:r>
      <w:proofErr w:type="spellEnd"/>
      <w:r w:rsidR="001668D2" w:rsidRPr="004C350A">
        <w:rPr>
          <w:rFonts w:ascii="Calibri" w:hAnsi="Calibri" w:cs="Calibri"/>
        </w:rPr>
        <w:t xml:space="preserve">+ Roadmap. </w:t>
      </w:r>
      <w:r w:rsidR="007B4123" w:rsidRPr="004C350A">
        <w:rPr>
          <w:rFonts w:ascii="Calibri" w:hAnsi="Calibri" w:cs="Calibri"/>
        </w:rPr>
        <w:t xml:space="preserve"> This should focus on awareness raising and information sharing.</w:t>
      </w:r>
      <w:r w:rsidR="00E4463B" w:rsidRPr="004C350A">
        <w:rPr>
          <w:rFonts w:ascii="Calibri" w:hAnsi="Calibri" w:cs="Calibri"/>
        </w:rPr>
        <w:t xml:space="preserve">  Identify possible activities for communicating with stakeholders (</w:t>
      </w:r>
      <w:proofErr w:type="spellStart"/>
      <w:r w:rsidR="00E4463B" w:rsidRPr="004C350A">
        <w:rPr>
          <w:rFonts w:ascii="Calibri" w:hAnsi="Calibri" w:cs="Calibri"/>
        </w:rPr>
        <w:t>eg</w:t>
      </w:r>
      <w:proofErr w:type="spellEnd"/>
      <w:r w:rsidR="00E4463B" w:rsidRPr="004C350A">
        <w:rPr>
          <w:rFonts w:ascii="Calibri" w:hAnsi="Calibri" w:cs="Calibri"/>
        </w:rPr>
        <w:t xml:space="preserve"> forums for community discussion, workshops, </w:t>
      </w:r>
      <w:proofErr w:type="spellStart"/>
      <w:r w:rsidR="00E4463B" w:rsidRPr="004C350A">
        <w:rPr>
          <w:rFonts w:ascii="Calibri" w:hAnsi="Calibri" w:cs="Calibri"/>
        </w:rPr>
        <w:t>etc</w:t>
      </w:r>
      <w:proofErr w:type="spellEnd"/>
      <w:r w:rsidR="00E4463B" w:rsidRPr="004C350A">
        <w:rPr>
          <w:rFonts w:ascii="Calibri" w:hAnsi="Calibri" w:cs="Calibri"/>
        </w:rPr>
        <w:t xml:space="preserve">).  </w:t>
      </w:r>
    </w:p>
    <w:p w:rsidR="00E4463B" w:rsidRPr="004C350A" w:rsidRDefault="00E4463B" w:rsidP="001C6D11">
      <w:pPr>
        <w:jc w:val="both"/>
        <w:rPr>
          <w:rFonts w:ascii="Calibri" w:hAnsi="Calibri" w:cs="Calibri"/>
        </w:rPr>
      </w:pPr>
    </w:p>
    <w:p w:rsidR="00E4463B" w:rsidRPr="004C350A" w:rsidRDefault="00E4463B" w:rsidP="001C6D11">
      <w:pPr>
        <w:jc w:val="both"/>
        <w:rPr>
          <w:rFonts w:ascii="Calibri" w:hAnsi="Calibri" w:cs="Calibri"/>
        </w:rPr>
      </w:pPr>
      <w:r w:rsidRPr="004C350A">
        <w:rPr>
          <w:rFonts w:ascii="Calibri" w:hAnsi="Calibri" w:cs="Calibri"/>
        </w:rPr>
        <w:t xml:space="preserve">Identify any difficulties that will need to be considered: </w:t>
      </w:r>
      <w:proofErr w:type="spellStart"/>
      <w:r w:rsidRPr="004C350A">
        <w:rPr>
          <w:rFonts w:ascii="Calibri" w:hAnsi="Calibri" w:cs="Calibri"/>
        </w:rPr>
        <w:t>eg</w:t>
      </w:r>
      <w:proofErr w:type="spellEnd"/>
      <w:r w:rsidRPr="004C350A">
        <w:rPr>
          <w:rFonts w:ascii="Calibri" w:hAnsi="Calibri" w:cs="Calibri"/>
        </w:rPr>
        <w:t xml:space="preserve"> literacy rates, how to communicate with remote communities, different languages, seasonal limitations, etc.</w:t>
      </w:r>
    </w:p>
    <w:p w:rsidR="006603D2" w:rsidRPr="004C350A" w:rsidRDefault="006603D2" w:rsidP="001C6D11">
      <w:pPr>
        <w:jc w:val="both"/>
        <w:rPr>
          <w:rFonts w:ascii="Calibri" w:hAnsi="Calibri" w:cs="Calibri"/>
        </w:rPr>
      </w:pPr>
    </w:p>
    <w:p w:rsidR="001668D2" w:rsidRPr="004C350A" w:rsidRDefault="00381606" w:rsidP="001C6D11">
      <w:pPr>
        <w:jc w:val="both"/>
        <w:rPr>
          <w:rFonts w:ascii="Calibri" w:hAnsi="Calibri" w:cs="Calibri"/>
        </w:rPr>
      </w:pPr>
      <w:r w:rsidRPr="004C350A">
        <w:rPr>
          <w:rFonts w:ascii="Calibri" w:hAnsi="Calibri" w:cs="Calibri"/>
        </w:rPr>
        <w:t>For example</w:t>
      </w:r>
      <w:r w:rsidR="001C6D11">
        <w:rPr>
          <w:rFonts w:ascii="Calibri" w:hAnsi="Calibri" w:cs="Calibri"/>
        </w:rPr>
        <w:t>:</w:t>
      </w:r>
      <w:r w:rsidR="001C42CD" w:rsidRPr="004C350A">
        <w:rPr>
          <w:rFonts w:ascii="Calibri" w:hAnsi="Calibri" w:cs="Calibri"/>
        </w:rPr>
        <w:t xml:space="preserve"> </w:t>
      </w:r>
    </w:p>
    <w:p w:rsidR="001668D2" w:rsidRPr="001C6D11" w:rsidRDefault="001668D2" w:rsidP="001C6D11">
      <w:pPr>
        <w:pStyle w:val="ListParagraph"/>
        <w:numPr>
          <w:ilvl w:val="0"/>
          <w:numId w:val="26"/>
        </w:numPr>
        <w:jc w:val="both"/>
        <w:rPr>
          <w:rFonts w:ascii="Calibri" w:hAnsi="Calibri" w:cs="Calibri"/>
        </w:rPr>
      </w:pPr>
      <w:r w:rsidRPr="001C6D11">
        <w:rPr>
          <w:rFonts w:ascii="Calibri" w:hAnsi="Calibri" w:cs="Calibri"/>
        </w:rPr>
        <w:t xml:space="preserve">What </w:t>
      </w:r>
      <w:r w:rsidR="00AC1CCE" w:rsidRPr="001C6D11">
        <w:rPr>
          <w:rFonts w:ascii="Calibri" w:hAnsi="Calibri" w:cs="Calibri"/>
        </w:rPr>
        <w:t xml:space="preserve">sort of practical activities </w:t>
      </w:r>
      <w:r w:rsidRPr="001C6D11">
        <w:rPr>
          <w:rFonts w:ascii="Calibri" w:hAnsi="Calibri" w:cs="Calibri"/>
        </w:rPr>
        <w:t>can be done</w:t>
      </w:r>
      <w:r w:rsidR="001C42CD" w:rsidRPr="001C6D11">
        <w:rPr>
          <w:rFonts w:ascii="Calibri" w:hAnsi="Calibri" w:cs="Calibri"/>
        </w:rPr>
        <w:t xml:space="preserve"> to ensure that </w:t>
      </w:r>
      <w:r w:rsidR="00AC1CCE" w:rsidRPr="001C6D11">
        <w:rPr>
          <w:rFonts w:ascii="Calibri" w:hAnsi="Calibri" w:cs="Calibri"/>
        </w:rPr>
        <w:t>Stakeholders</w:t>
      </w:r>
      <w:r w:rsidR="001C42CD" w:rsidRPr="001C6D11">
        <w:rPr>
          <w:rFonts w:ascii="Calibri" w:hAnsi="Calibri" w:cs="Calibri"/>
        </w:rPr>
        <w:t xml:space="preserve"> are made aware of </w:t>
      </w:r>
      <w:r w:rsidRPr="001C6D11">
        <w:rPr>
          <w:rFonts w:ascii="Calibri" w:hAnsi="Calibri" w:cs="Calibri"/>
        </w:rPr>
        <w:t xml:space="preserve">what </w:t>
      </w:r>
      <w:proofErr w:type="spellStart"/>
      <w:r w:rsidR="001C42CD" w:rsidRPr="001C6D11">
        <w:rPr>
          <w:rFonts w:ascii="Calibri" w:hAnsi="Calibri" w:cs="Calibri"/>
        </w:rPr>
        <w:t>REDD</w:t>
      </w:r>
      <w:proofErr w:type="spellEnd"/>
      <w:r w:rsidR="001C42CD" w:rsidRPr="001C6D11">
        <w:rPr>
          <w:rFonts w:ascii="Calibri" w:hAnsi="Calibri" w:cs="Calibri"/>
        </w:rPr>
        <w:t>+</w:t>
      </w:r>
      <w:r w:rsidRPr="001C6D11">
        <w:rPr>
          <w:rFonts w:ascii="Calibri" w:hAnsi="Calibri" w:cs="Calibri"/>
        </w:rPr>
        <w:t xml:space="preserve"> is</w:t>
      </w:r>
      <w:r w:rsidR="006603D2" w:rsidRPr="001C6D11">
        <w:rPr>
          <w:rFonts w:ascii="Calibri" w:hAnsi="Calibri" w:cs="Calibri"/>
        </w:rPr>
        <w:t>?</w:t>
      </w:r>
    </w:p>
    <w:p w:rsidR="001668D2" w:rsidRPr="001C6D11" w:rsidRDefault="001668D2" w:rsidP="001C6D11">
      <w:pPr>
        <w:pStyle w:val="ListParagraph"/>
        <w:numPr>
          <w:ilvl w:val="0"/>
          <w:numId w:val="26"/>
        </w:numPr>
        <w:jc w:val="both"/>
        <w:rPr>
          <w:rFonts w:ascii="Calibri" w:hAnsi="Calibri" w:cs="Calibri"/>
        </w:rPr>
      </w:pPr>
      <w:r w:rsidRPr="001C6D11">
        <w:rPr>
          <w:rFonts w:ascii="Calibri" w:hAnsi="Calibri" w:cs="Calibri"/>
        </w:rPr>
        <w:t>How they can be</w:t>
      </w:r>
      <w:r w:rsidR="001C42CD" w:rsidRPr="001C6D11">
        <w:rPr>
          <w:rFonts w:ascii="Calibri" w:hAnsi="Calibri" w:cs="Calibri"/>
        </w:rPr>
        <w:t xml:space="preserve"> kept informed o</w:t>
      </w:r>
      <w:r w:rsidR="00381606" w:rsidRPr="001C6D11">
        <w:rPr>
          <w:rFonts w:ascii="Calibri" w:hAnsi="Calibri" w:cs="Calibri"/>
        </w:rPr>
        <w:t>f how the Roadmap is developing</w:t>
      </w:r>
      <w:r w:rsidRPr="001C6D11">
        <w:rPr>
          <w:rFonts w:ascii="Calibri" w:hAnsi="Calibri" w:cs="Calibri"/>
        </w:rPr>
        <w:t>?</w:t>
      </w:r>
      <w:r w:rsidR="00AC1CCE" w:rsidRPr="001C6D11">
        <w:rPr>
          <w:rFonts w:ascii="Calibri" w:hAnsi="Calibri" w:cs="Calibri"/>
        </w:rPr>
        <w:t xml:space="preserve"> </w:t>
      </w:r>
    </w:p>
    <w:p w:rsidR="00396EDD" w:rsidRPr="001C6D11" w:rsidRDefault="00396EDD" w:rsidP="001C6D11">
      <w:pPr>
        <w:pStyle w:val="ListParagraph"/>
        <w:numPr>
          <w:ilvl w:val="0"/>
          <w:numId w:val="26"/>
        </w:numPr>
        <w:jc w:val="both"/>
        <w:rPr>
          <w:rFonts w:ascii="Calibri" w:hAnsi="Calibri" w:cs="Calibri"/>
        </w:rPr>
      </w:pPr>
      <w:r w:rsidRPr="001C6D11">
        <w:rPr>
          <w:rFonts w:ascii="Calibri" w:hAnsi="Calibri" w:cs="Calibri"/>
        </w:rPr>
        <w:t>What existing institutional structures</w:t>
      </w:r>
      <w:r w:rsidR="00381606" w:rsidRPr="001C6D11">
        <w:rPr>
          <w:rFonts w:ascii="Calibri" w:hAnsi="Calibri" w:cs="Calibri"/>
        </w:rPr>
        <w:t xml:space="preserve"> or organizations</w:t>
      </w:r>
      <w:r w:rsidRPr="001C6D11">
        <w:rPr>
          <w:rFonts w:ascii="Calibri" w:hAnsi="Calibri" w:cs="Calibri"/>
        </w:rPr>
        <w:t xml:space="preserve"> can be used to </w:t>
      </w:r>
      <w:r w:rsidR="00381606" w:rsidRPr="001C6D11">
        <w:rPr>
          <w:rFonts w:ascii="Calibri" w:hAnsi="Calibri" w:cs="Calibri"/>
        </w:rPr>
        <w:t xml:space="preserve">help </w:t>
      </w:r>
      <w:r w:rsidRPr="001C6D11">
        <w:rPr>
          <w:rFonts w:ascii="Calibri" w:hAnsi="Calibri" w:cs="Calibri"/>
        </w:rPr>
        <w:t>disseminate information (e</w:t>
      </w:r>
      <w:r w:rsidR="00642B1C">
        <w:rPr>
          <w:rFonts w:ascii="Calibri" w:hAnsi="Calibri" w:cs="Calibri"/>
        </w:rPr>
        <w:t>.</w:t>
      </w:r>
      <w:r w:rsidRPr="001C6D11">
        <w:rPr>
          <w:rFonts w:ascii="Calibri" w:hAnsi="Calibri" w:cs="Calibri"/>
        </w:rPr>
        <w:t>g</w:t>
      </w:r>
      <w:r w:rsidR="00642B1C">
        <w:rPr>
          <w:rFonts w:ascii="Calibri" w:hAnsi="Calibri" w:cs="Calibri"/>
        </w:rPr>
        <w:t>.,</w:t>
      </w:r>
      <w:r w:rsidRPr="001C6D11">
        <w:rPr>
          <w:rFonts w:ascii="Calibri" w:hAnsi="Calibri" w:cs="Calibri"/>
        </w:rPr>
        <w:t xml:space="preserve"> </w:t>
      </w:r>
      <w:r w:rsidR="008A3D6A" w:rsidRPr="001C6D11">
        <w:rPr>
          <w:rFonts w:ascii="Calibri" w:hAnsi="Calibri" w:cs="Calibri"/>
        </w:rPr>
        <w:t>provincial councils</w:t>
      </w:r>
      <w:r w:rsidRPr="001C6D11">
        <w:rPr>
          <w:rFonts w:ascii="Calibri" w:hAnsi="Calibri" w:cs="Calibri"/>
        </w:rPr>
        <w:t>,</w:t>
      </w:r>
      <w:r w:rsidR="00642B1C">
        <w:rPr>
          <w:rFonts w:ascii="Calibri" w:hAnsi="Calibri" w:cs="Calibri"/>
        </w:rPr>
        <w:t xml:space="preserve"> customary land administrations,</w:t>
      </w:r>
      <w:r w:rsidRPr="001C6D11">
        <w:rPr>
          <w:rFonts w:ascii="Calibri" w:hAnsi="Calibri" w:cs="Calibri"/>
        </w:rPr>
        <w:t xml:space="preserve"> </w:t>
      </w:r>
      <w:proofErr w:type="gramStart"/>
      <w:r w:rsidRPr="001C6D11">
        <w:rPr>
          <w:rFonts w:ascii="Calibri" w:hAnsi="Calibri" w:cs="Calibri"/>
        </w:rPr>
        <w:t>etc</w:t>
      </w:r>
      <w:r w:rsidR="00642B1C">
        <w:rPr>
          <w:rFonts w:ascii="Calibri" w:hAnsi="Calibri" w:cs="Calibri"/>
        </w:rPr>
        <w:t>.</w:t>
      </w:r>
      <w:proofErr w:type="gramEnd"/>
      <w:r w:rsidRPr="001C6D11">
        <w:rPr>
          <w:rFonts w:ascii="Calibri" w:hAnsi="Calibri" w:cs="Calibri"/>
        </w:rPr>
        <w:t>)</w:t>
      </w:r>
    </w:p>
    <w:p w:rsidR="001C42CD" w:rsidRPr="001C6D11" w:rsidRDefault="00381606" w:rsidP="001C6D11">
      <w:pPr>
        <w:pStyle w:val="ListParagraph"/>
        <w:numPr>
          <w:ilvl w:val="0"/>
          <w:numId w:val="26"/>
        </w:numPr>
        <w:jc w:val="both"/>
        <w:rPr>
          <w:rFonts w:ascii="Calibri" w:hAnsi="Calibri" w:cs="Calibri"/>
        </w:rPr>
      </w:pPr>
      <w:r w:rsidRPr="001C6D11">
        <w:rPr>
          <w:rFonts w:ascii="Calibri" w:hAnsi="Calibri" w:cs="Calibri"/>
        </w:rPr>
        <w:t>How</w:t>
      </w:r>
      <w:r w:rsidR="001668D2" w:rsidRPr="001C6D11">
        <w:rPr>
          <w:rFonts w:ascii="Calibri" w:hAnsi="Calibri" w:cs="Calibri"/>
        </w:rPr>
        <w:t xml:space="preserve"> can</w:t>
      </w:r>
      <w:r w:rsidRPr="001C6D11">
        <w:rPr>
          <w:rFonts w:ascii="Calibri" w:hAnsi="Calibri" w:cs="Calibri"/>
        </w:rPr>
        <w:t xml:space="preserve"> stakeholders</w:t>
      </w:r>
      <w:r w:rsidR="001668D2" w:rsidRPr="001C6D11">
        <w:rPr>
          <w:rFonts w:ascii="Calibri" w:hAnsi="Calibri" w:cs="Calibri"/>
        </w:rPr>
        <w:t xml:space="preserve"> be given</w:t>
      </w:r>
      <w:r w:rsidR="001C42CD" w:rsidRPr="001C6D11">
        <w:rPr>
          <w:rFonts w:ascii="Calibri" w:hAnsi="Calibri" w:cs="Calibri"/>
        </w:rPr>
        <w:t xml:space="preserve"> an opportunity to comment</w:t>
      </w:r>
      <w:r w:rsidR="001668D2" w:rsidRPr="001C6D11">
        <w:rPr>
          <w:rFonts w:ascii="Calibri" w:hAnsi="Calibri" w:cs="Calibri"/>
        </w:rPr>
        <w:t xml:space="preserve"> on the draft </w:t>
      </w:r>
      <w:proofErr w:type="spellStart"/>
      <w:r w:rsidR="001668D2" w:rsidRPr="001C6D11">
        <w:rPr>
          <w:rFonts w:ascii="Calibri" w:hAnsi="Calibri" w:cs="Calibri"/>
        </w:rPr>
        <w:t>REDD</w:t>
      </w:r>
      <w:proofErr w:type="spellEnd"/>
      <w:r w:rsidR="001668D2" w:rsidRPr="001C6D11">
        <w:rPr>
          <w:rFonts w:ascii="Calibri" w:hAnsi="Calibri" w:cs="Calibri"/>
        </w:rPr>
        <w:t>+ Roadmap</w:t>
      </w:r>
      <w:r w:rsidR="001C42CD" w:rsidRPr="001C6D11">
        <w:rPr>
          <w:rFonts w:ascii="Calibri" w:hAnsi="Calibri" w:cs="Calibri"/>
        </w:rPr>
        <w:t>?</w:t>
      </w:r>
    </w:p>
    <w:p w:rsidR="006603D2" w:rsidRPr="001C6D11" w:rsidRDefault="00381606" w:rsidP="001C6D11">
      <w:pPr>
        <w:pStyle w:val="ListParagraph"/>
        <w:numPr>
          <w:ilvl w:val="0"/>
          <w:numId w:val="26"/>
        </w:numPr>
        <w:jc w:val="both"/>
        <w:rPr>
          <w:rFonts w:ascii="Calibri" w:hAnsi="Calibri" w:cs="Calibri"/>
        </w:rPr>
      </w:pPr>
      <w:r w:rsidRPr="001C6D11">
        <w:rPr>
          <w:rFonts w:ascii="Calibri" w:hAnsi="Calibri" w:cs="Calibri"/>
        </w:rPr>
        <w:t xml:space="preserve">What </w:t>
      </w:r>
      <w:r w:rsidR="006603D2" w:rsidRPr="001C6D11">
        <w:rPr>
          <w:rFonts w:ascii="Calibri" w:hAnsi="Calibri" w:cs="Calibri"/>
        </w:rPr>
        <w:t>process</w:t>
      </w:r>
      <w:r w:rsidRPr="001C6D11">
        <w:rPr>
          <w:rFonts w:ascii="Calibri" w:hAnsi="Calibri" w:cs="Calibri"/>
        </w:rPr>
        <w:t xml:space="preserve"> can be established to allow stakeholders to give</w:t>
      </w:r>
      <w:r w:rsidR="006603D2" w:rsidRPr="001C6D11">
        <w:rPr>
          <w:rFonts w:ascii="Calibri" w:hAnsi="Calibri" w:cs="Calibri"/>
        </w:rPr>
        <w:t xml:space="preserve"> feedback and </w:t>
      </w:r>
      <w:r w:rsidRPr="001C6D11">
        <w:rPr>
          <w:rFonts w:ascii="Calibri" w:hAnsi="Calibri" w:cs="Calibri"/>
        </w:rPr>
        <w:t>or to lodge complaints (</w:t>
      </w:r>
      <w:proofErr w:type="spellStart"/>
      <w:r w:rsidRPr="001C6D11">
        <w:rPr>
          <w:rFonts w:ascii="Calibri" w:hAnsi="Calibri" w:cs="Calibri"/>
        </w:rPr>
        <w:t>eg</w:t>
      </w:r>
      <w:proofErr w:type="spellEnd"/>
      <w:r w:rsidRPr="001C6D11">
        <w:rPr>
          <w:rFonts w:ascii="Calibri" w:hAnsi="Calibri" w:cs="Calibri"/>
        </w:rPr>
        <w:t xml:space="preserve"> identify a person and place w</w:t>
      </w:r>
      <w:r w:rsidR="006603D2" w:rsidRPr="001C6D11">
        <w:rPr>
          <w:rFonts w:ascii="Calibri" w:hAnsi="Calibri" w:cs="Calibri"/>
        </w:rPr>
        <w:t xml:space="preserve">ith whom </w:t>
      </w:r>
      <w:r w:rsidRPr="001C6D11">
        <w:rPr>
          <w:rFonts w:ascii="Calibri" w:hAnsi="Calibri" w:cs="Calibri"/>
        </w:rPr>
        <w:t>stakeholders can submit comments or</w:t>
      </w:r>
      <w:r w:rsidR="006603D2" w:rsidRPr="001C6D11">
        <w:rPr>
          <w:rFonts w:ascii="Calibri" w:hAnsi="Calibri" w:cs="Calibri"/>
        </w:rPr>
        <w:t xml:space="preserve"> lodge a complaint?</w:t>
      </w:r>
      <w:r w:rsidRPr="001C6D11">
        <w:rPr>
          <w:rFonts w:ascii="Calibri" w:hAnsi="Calibri" w:cs="Calibri"/>
        </w:rPr>
        <w:t xml:space="preserve"> Establish a clear</w:t>
      </w:r>
      <w:r w:rsidR="004C1294" w:rsidRPr="001C6D11">
        <w:rPr>
          <w:rFonts w:ascii="Calibri" w:hAnsi="Calibri" w:cs="Calibri"/>
        </w:rPr>
        <w:t xml:space="preserve"> contact point</w:t>
      </w:r>
      <w:r w:rsidRPr="001C6D11">
        <w:rPr>
          <w:rFonts w:ascii="Calibri" w:hAnsi="Calibri" w:cs="Calibri"/>
        </w:rPr>
        <w:t xml:space="preserve"> and a process for responding to comments/complaints</w:t>
      </w:r>
      <w:r w:rsidR="004C1294" w:rsidRPr="001C6D11">
        <w:rPr>
          <w:rFonts w:ascii="Calibri" w:hAnsi="Calibri" w:cs="Calibri"/>
        </w:rPr>
        <w:t>?</w:t>
      </w:r>
      <w:r w:rsidRPr="001C6D11">
        <w:rPr>
          <w:rFonts w:ascii="Calibri" w:hAnsi="Calibri" w:cs="Calibri"/>
        </w:rPr>
        <w:t>)</w:t>
      </w:r>
    </w:p>
    <w:p w:rsidR="001C42CD" w:rsidRPr="004C350A" w:rsidRDefault="001C42CD" w:rsidP="001C6D11">
      <w:pPr>
        <w:jc w:val="both"/>
        <w:rPr>
          <w:rFonts w:ascii="Calibri" w:hAnsi="Calibri" w:cs="Calibri"/>
        </w:rPr>
      </w:pPr>
    </w:p>
    <w:p w:rsidR="001C6D11" w:rsidRDefault="00642B1C" w:rsidP="00642B1C">
      <w:pPr>
        <w:jc w:val="both"/>
        <w:rPr>
          <w:rFonts w:ascii="Calibri" w:hAnsi="Calibri" w:cs="Calibri"/>
        </w:rPr>
      </w:pPr>
      <w:r>
        <w:rPr>
          <w:rFonts w:ascii="Calibri" w:hAnsi="Calibri" w:cs="Calibri"/>
        </w:rPr>
        <w:t>Also d</w:t>
      </w:r>
      <w:r w:rsidR="007B4123" w:rsidRPr="004C350A">
        <w:rPr>
          <w:rFonts w:ascii="Calibri" w:hAnsi="Calibri" w:cs="Calibri"/>
        </w:rPr>
        <w:t>escribe how the higher levels of political authority will be informed o</w:t>
      </w:r>
      <w:r>
        <w:rPr>
          <w:rFonts w:ascii="Calibri" w:hAnsi="Calibri" w:cs="Calibri"/>
        </w:rPr>
        <w:t>n the progress of the Taskforce (i.e., based on the structure described by the National Climate Change Policy).</w:t>
      </w:r>
    </w:p>
    <w:p w:rsidR="00642B1C" w:rsidRDefault="00642B1C" w:rsidP="00642B1C">
      <w:pPr>
        <w:jc w:val="both"/>
        <w:rPr>
          <w:rFonts w:ascii="Calibri" w:hAnsi="Calibri" w:cs="Calibri"/>
        </w:rPr>
      </w:pPr>
    </w:p>
    <w:p w:rsidR="00642B1C" w:rsidRPr="00642B1C" w:rsidRDefault="00642B1C" w:rsidP="00642B1C">
      <w:pPr>
        <w:jc w:val="both"/>
        <w:rPr>
          <w:rFonts w:ascii="Calibri" w:hAnsi="Calibri" w:cs="Calibri"/>
        </w:rPr>
      </w:pPr>
    </w:p>
    <w:p w:rsidR="00E1103F" w:rsidRPr="004C350A" w:rsidRDefault="001C6D11" w:rsidP="00EF3E39">
      <w:pPr>
        <w:pStyle w:val="Heading2"/>
        <w:numPr>
          <w:ilvl w:val="0"/>
          <w:numId w:val="0"/>
        </w:numPr>
      </w:pPr>
      <w:r>
        <w:lastRenderedPageBreak/>
        <w:t xml:space="preserve">Social and Environmental </w:t>
      </w:r>
      <w:r w:rsidR="00E1103F" w:rsidRPr="004C350A">
        <w:t xml:space="preserve">Safeguards </w:t>
      </w:r>
    </w:p>
    <w:p w:rsidR="001C6D11" w:rsidRDefault="001C6D11" w:rsidP="000B7E12">
      <w:pPr>
        <w:rPr>
          <w:rFonts w:ascii="Calibri" w:hAnsi="Calibri" w:cs="Calibri"/>
        </w:rPr>
      </w:pPr>
    </w:p>
    <w:p w:rsidR="000B7E12" w:rsidRDefault="000B7E12" w:rsidP="000B7E12">
      <w:pPr>
        <w:rPr>
          <w:rFonts w:ascii="Calibri" w:hAnsi="Calibri" w:cs="Calibri"/>
        </w:rPr>
      </w:pPr>
      <w:r w:rsidRPr="00EF3E39">
        <w:rPr>
          <w:rFonts w:ascii="Calibri" w:hAnsi="Calibri" w:cs="Calibri"/>
        </w:rPr>
        <w:t>There are two core elements of a national approach to safeguards, based on the ‘functions’ that need to be performed.</w:t>
      </w:r>
    </w:p>
    <w:p w:rsidR="001C6D11" w:rsidRPr="00EF3E39" w:rsidRDefault="001C6D11" w:rsidP="000B7E12">
      <w:pPr>
        <w:rPr>
          <w:rFonts w:ascii="Calibri" w:hAnsi="Calibri" w:cs="Calibri"/>
        </w:rPr>
      </w:pPr>
    </w:p>
    <w:p w:rsidR="000B7E12" w:rsidRPr="00EF3E39" w:rsidRDefault="000B7E12" w:rsidP="000B7E12">
      <w:pPr>
        <w:rPr>
          <w:rFonts w:ascii="Calibri" w:hAnsi="Calibri" w:cs="Calibri"/>
        </w:rPr>
      </w:pPr>
      <w:r w:rsidRPr="00EF3E39">
        <w:rPr>
          <w:rFonts w:ascii="Calibri" w:hAnsi="Calibri" w:cs="Calibri"/>
        </w:rPr>
        <w:t>(1)</w:t>
      </w:r>
      <w:r w:rsidRPr="00EF3E39">
        <w:rPr>
          <w:rFonts w:ascii="Calibri" w:hAnsi="Calibri" w:cs="Calibri"/>
        </w:rPr>
        <w:tab/>
        <w:t>Safeguard policies, laws and regulations</w:t>
      </w:r>
    </w:p>
    <w:p w:rsidR="000B7E12" w:rsidRPr="00EF3E39" w:rsidRDefault="000B7E12" w:rsidP="000B7E12">
      <w:pPr>
        <w:rPr>
          <w:rFonts w:ascii="Calibri" w:hAnsi="Calibri" w:cs="Calibri"/>
        </w:rPr>
      </w:pPr>
      <w:r w:rsidRPr="00EF3E39">
        <w:rPr>
          <w:rFonts w:ascii="Calibri" w:hAnsi="Calibri" w:cs="Calibri"/>
        </w:rPr>
        <w:t>(2)</w:t>
      </w:r>
      <w:r w:rsidRPr="00EF3E39">
        <w:rPr>
          <w:rFonts w:ascii="Calibri" w:hAnsi="Calibri" w:cs="Calibri"/>
        </w:rPr>
        <w:tab/>
        <w:t>Safeguard Information System (SIS)</w:t>
      </w:r>
    </w:p>
    <w:p w:rsidR="000B7E12" w:rsidRPr="00EF3E39" w:rsidRDefault="000B7E12" w:rsidP="000B7E12">
      <w:pPr>
        <w:rPr>
          <w:rFonts w:ascii="Calibri" w:hAnsi="Calibri" w:cs="Calibri"/>
        </w:rPr>
      </w:pPr>
    </w:p>
    <w:p w:rsidR="000B7E12" w:rsidRPr="00EF3E39" w:rsidRDefault="000B7E12" w:rsidP="001C6D11">
      <w:pPr>
        <w:jc w:val="both"/>
        <w:rPr>
          <w:rFonts w:ascii="Calibri" w:hAnsi="Calibri" w:cs="Calibri"/>
        </w:rPr>
      </w:pPr>
      <w:r w:rsidRPr="00EF3E39">
        <w:rPr>
          <w:rFonts w:ascii="Calibri" w:hAnsi="Calibri" w:cs="Calibri"/>
        </w:rPr>
        <w:t>Though the Policies, Laws and Regulations and SIS elements are discrete, they are closely inter-linked and it will benefit countries to consider these together and design the national approach in an integrated way.</w:t>
      </w:r>
    </w:p>
    <w:p w:rsidR="000B7E12" w:rsidRPr="00EF3E39" w:rsidRDefault="000B7E12" w:rsidP="000B7E12">
      <w:pPr>
        <w:rPr>
          <w:rFonts w:ascii="Calibri" w:hAnsi="Calibri" w:cs="Calibri"/>
        </w:rPr>
      </w:pPr>
    </w:p>
    <w:p w:rsidR="000B7E12" w:rsidRPr="00EF3E39" w:rsidRDefault="000B7E12" w:rsidP="001C6D11">
      <w:pPr>
        <w:jc w:val="both"/>
        <w:rPr>
          <w:rFonts w:ascii="Calibri" w:hAnsi="Calibri" w:cs="Calibri"/>
        </w:rPr>
      </w:pPr>
      <w:r w:rsidRPr="00EF3E39">
        <w:rPr>
          <w:rFonts w:ascii="Calibri" w:hAnsi="Calibri" w:cs="Calibri"/>
        </w:rPr>
        <w:t>Policies, Laws and Regulations (</w:t>
      </w:r>
      <w:proofErr w:type="spellStart"/>
      <w:r w:rsidRPr="00EF3E39">
        <w:rPr>
          <w:rFonts w:ascii="Calibri" w:hAnsi="Calibri" w:cs="Calibri"/>
        </w:rPr>
        <w:t>PLRs</w:t>
      </w:r>
      <w:proofErr w:type="spellEnd"/>
      <w:r w:rsidRPr="00EF3E39">
        <w:rPr>
          <w:rFonts w:ascii="Calibri" w:hAnsi="Calibri" w:cs="Calibri"/>
        </w:rPr>
        <w:t xml:space="preserve">) set out the safeguards that have been established for </w:t>
      </w:r>
      <w:proofErr w:type="spellStart"/>
      <w:r w:rsidRPr="00EF3E39">
        <w:rPr>
          <w:rFonts w:ascii="Calibri" w:hAnsi="Calibri" w:cs="Calibri"/>
        </w:rPr>
        <w:t>REDD</w:t>
      </w:r>
      <w:proofErr w:type="spellEnd"/>
      <w:r w:rsidRPr="00EF3E39">
        <w:rPr>
          <w:rFonts w:ascii="Calibri" w:hAnsi="Calibri" w:cs="Calibri"/>
        </w:rPr>
        <w:t xml:space="preserve">+. They may consist of </w:t>
      </w:r>
      <w:r w:rsidRPr="00F627BA">
        <w:rPr>
          <w:rFonts w:ascii="Calibri" w:hAnsi="Calibri" w:cs="Calibri"/>
          <w:b/>
        </w:rPr>
        <w:t xml:space="preserve">existing </w:t>
      </w:r>
      <w:proofErr w:type="spellStart"/>
      <w:r w:rsidRPr="00F627BA">
        <w:rPr>
          <w:rFonts w:ascii="Calibri" w:hAnsi="Calibri" w:cs="Calibri"/>
          <w:b/>
        </w:rPr>
        <w:t>PLRs</w:t>
      </w:r>
      <w:proofErr w:type="spellEnd"/>
      <w:r w:rsidRPr="00EF3E39">
        <w:rPr>
          <w:rFonts w:ascii="Calibri" w:hAnsi="Calibri" w:cs="Calibri"/>
        </w:rPr>
        <w:t xml:space="preserve"> that may likely not have been established exclusively for </w:t>
      </w:r>
      <w:proofErr w:type="spellStart"/>
      <w:r w:rsidRPr="00EF3E39">
        <w:rPr>
          <w:rFonts w:ascii="Calibri" w:hAnsi="Calibri" w:cs="Calibri"/>
        </w:rPr>
        <w:t>REDD</w:t>
      </w:r>
      <w:proofErr w:type="spellEnd"/>
      <w:r w:rsidRPr="00EF3E39">
        <w:rPr>
          <w:rFonts w:ascii="Calibri" w:hAnsi="Calibri" w:cs="Calibri"/>
        </w:rPr>
        <w:t xml:space="preserve">+ or new </w:t>
      </w:r>
      <w:proofErr w:type="spellStart"/>
      <w:r w:rsidRPr="00EF3E39">
        <w:rPr>
          <w:rFonts w:ascii="Calibri" w:hAnsi="Calibri" w:cs="Calibri"/>
        </w:rPr>
        <w:t>PLRs</w:t>
      </w:r>
      <w:proofErr w:type="spellEnd"/>
      <w:r w:rsidRPr="00EF3E39">
        <w:rPr>
          <w:rFonts w:ascii="Calibri" w:hAnsi="Calibri" w:cs="Calibri"/>
        </w:rPr>
        <w:t xml:space="preserve"> that have been developed specifically for </w:t>
      </w:r>
      <w:proofErr w:type="spellStart"/>
      <w:r w:rsidRPr="00EF3E39">
        <w:rPr>
          <w:rFonts w:ascii="Calibri" w:hAnsi="Calibri" w:cs="Calibri"/>
        </w:rPr>
        <w:t>REDD</w:t>
      </w:r>
      <w:proofErr w:type="spellEnd"/>
      <w:r w:rsidRPr="00EF3E39">
        <w:rPr>
          <w:rFonts w:ascii="Calibri" w:hAnsi="Calibri" w:cs="Calibri"/>
        </w:rPr>
        <w:t>+.</w:t>
      </w:r>
    </w:p>
    <w:p w:rsidR="000B7E12" w:rsidRPr="00EF3E39" w:rsidRDefault="000B7E12" w:rsidP="001C6D11">
      <w:pPr>
        <w:jc w:val="both"/>
        <w:rPr>
          <w:rFonts w:ascii="Calibri" w:hAnsi="Calibri" w:cs="Calibri"/>
        </w:rPr>
      </w:pPr>
    </w:p>
    <w:p w:rsidR="000B7E12" w:rsidRPr="00EF3E39" w:rsidRDefault="000B7E12" w:rsidP="001C6D11">
      <w:pPr>
        <w:jc w:val="both"/>
        <w:rPr>
          <w:rFonts w:ascii="Calibri" w:hAnsi="Calibri" w:cs="Calibri"/>
        </w:rPr>
      </w:pPr>
      <w:r w:rsidRPr="00EF3E39">
        <w:rPr>
          <w:rFonts w:ascii="Calibri" w:hAnsi="Calibri" w:cs="Calibri"/>
        </w:rPr>
        <w:t>A safeguard information system includes:</w:t>
      </w:r>
    </w:p>
    <w:p w:rsidR="000B7E12" w:rsidRPr="00642B1C" w:rsidRDefault="000B7E12" w:rsidP="00642B1C">
      <w:pPr>
        <w:pStyle w:val="ListParagraph"/>
        <w:numPr>
          <w:ilvl w:val="0"/>
          <w:numId w:val="26"/>
        </w:numPr>
        <w:jc w:val="both"/>
        <w:rPr>
          <w:rFonts w:ascii="Calibri" w:hAnsi="Calibri" w:cs="Calibri"/>
        </w:rPr>
      </w:pPr>
      <w:r w:rsidRPr="00642B1C">
        <w:rPr>
          <w:rFonts w:ascii="Calibri" w:hAnsi="Calibri" w:cs="Calibri"/>
        </w:rPr>
        <w:t>Information to be collected</w:t>
      </w:r>
    </w:p>
    <w:p w:rsidR="000B7E12" w:rsidRPr="00642B1C" w:rsidRDefault="000B7E12" w:rsidP="00642B1C">
      <w:pPr>
        <w:pStyle w:val="ListParagraph"/>
        <w:numPr>
          <w:ilvl w:val="0"/>
          <w:numId w:val="26"/>
        </w:numPr>
        <w:jc w:val="both"/>
        <w:rPr>
          <w:rFonts w:ascii="Calibri" w:hAnsi="Calibri" w:cs="Calibri"/>
        </w:rPr>
      </w:pPr>
      <w:r w:rsidRPr="00642B1C">
        <w:rPr>
          <w:rFonts w:ascii="Calibri" w:hAnsi="Calibri" w:cs="Calibri"/>
        </w:rPr>
        <w:t>Data and information collection methodologies, processes and tools</w:t>
      </w:r>
    </w:p>
    <w:p w:rsidR="000B7E12" w:rsidRPr="00642B1C" w:rsidRDefault="000B7E12" w:rsidP="00642B1C">
      <w:pPr>
        <w:pStyle w:val="ListParagraph"/>
        <w:numPr>
          <w:ilvl w:val="0"/>
          <w:numId w:val="26"/>
        </w:numPr>
        <w:jc w:val="both"/>
        <w:rPr>
          <w:rFonts w:ascii="Calibri" w:hAnsi="Calibri" w:cs="Calibri"/>
        </w:rPr>
      </w:pPr>
      <w:r w:rsidRPr="00642B1C">
        <w:rPr>
          <w:rFonts w:ascii="Calibri" w:hAnsi="Calibri" w:cs="Calibri"/>
        </w:rPr>
        <w:t>Management and Reporting of the Data and Information</w:t>
      </w:r>
    </w:p>
    <w:p w:rsidR="000B7E12" w:rsidRPr="00EF3E39" w:rsidRDefault="000B7E12" w:rsidP="000B7E12">
      <w:pPr>
        <w:rPr>
          <w:rFonts w:ascii="Calibri" w:hAnsi="Calibri" w:cs="Calibri"/>
        </w:rPr>
      </w:pPr>
    </w:p>
    <w:p w:rsidR="000B7E12" w:rsidRDefault="001C6D11" w:rsidP="001C6D11">
      <w:pPr>
        <w:pStyle w:val="Heading3"/>
        <w:numPr>
          <w:ilvl w:val="0"/>
          <w:numId w:val="0"/>
        </w:numPr>
      </w:pPr>
      <w:r>
        <w:t xml:space="preserve">Designing a National Safeguards System  </w:t>
      </w:r>
    </w:p>
    <w:p w:rsidR="001C6D11" w:rsidRPr="00EF3E39" w:rsidRDefault="001C6D11" w:rsidP="000B7E12">
      <w:pPr>
        <w:rPr>
          <w:rFonts w:ascii="Calibri" w:hAnsi="Calibri" w:cs="Calibri"/>
        </w:rPr>
      </w:pPr>
    </w:p>
    <w:p w:rsidR="000B7E12" w:rsidRPr="00EF3E39" w:rsidRDefault="000B7E12" w:rsidP="000B7E12">
      <w:pPr>
        <w:rPr>
          <w:rFonts w:ascii="Calibri" w:hAnsi="Calibri" w:cs="Calibri"/>
        </w:rPr>
      </w:pPr>
      <w:r w:rsidRPr="00EF3E39">
        <w:rPr>
          <w:rFonts w:ascii="Calibri" w:hAnsi="Calibri" w:cs="Calibri"/>
        </w:rPr>
        <w:t xml:space="preserve">The design of a national approach to safeguards will depend on the national context and circumstances. However, there are generic steps that all countries may need to go through (some may already have done so) and considering these could be a useful guide when planning work on safeguards systems. </w:t>
      </w:r>
      <w:r w:rsidR="001C6D11">
        <w:rPr>
          <w:rFonts w:ascii="Calibri" w:hAnsi="Calibri" w:cs="Calibri"/>
        </w:rPr>
        <w:t xml:space="preserve"> </w:t>
      </w:r>
    </w:p>
    <w:p w:rsidR="000B7E12" w:rsidRPr="00EF3E39" w:rsidRDefault="000B7E12" w:rsidP="000B7E12">
      <w:pPr>
        <w:rPr>
          <w:rFonts w:ascii="Calibri" w:hAnsi="Calibri" w:cs="Calibri"/>
        </w:rPr>
      </w:pPr>
    </w:p>
    <w:p w:rsidR="000B7E12" w:rsidRPr="00EF3E39" w:rsidRDefault="000B7E12" w:rsidP="000B7E12">
      <w:pPr>
        <w:rPr>
          <w:rFonts w:ascii="Calibri" w:hAnsi="Calibri" w:cs="Calibri"/>
        </w:rPr>
      </w:pPr>
      <w:r w:rsidRPr="00EF3E39">
        <w:rPr>
          <w:rFonts w:ascii="Calibri" w:hAnsi="Calibri" w:cs="Calibri"/>
        </w:rPr>
        <w:t xml:space="preserve">There are existing </w:t>
      </w:r>
      <w:r w:rsidR="00642B1C">
        <w:rPr>
          <w:rFonts w:ascii="Calibri" w:hAnsi="Calibri" w:cs="Calibri"/>
        </w:rPr>
        <w:t xml:space="preserve">support </w:t>
      </w:r>
      <w:r w:rsidRPr="00EF3E39">
        <w:rPr>
          <w:rFonts w:ascii="Calibri" w:hAnsi="Calibri" w:cs="Calibri"/>
        </w:rPr>
        <w:t xml:space="preserve">tools, such </w:t>
      </w:r>
      <w:r w:rsidR="001C6D11" w:rsidRPr="00EF3E39">
        <w:rPr>
          <w:rFonts w:ascii="Calibri" w:hAnsi="Calibri" w:cs="Calibri"/>
        </w:rPr>
        <w:t xml:space="preserve">as </w:t>
      </w:r>
      <w:r w:rsidR="001C6D11">
        <w:rPr>
          <w:rFonts w:ascii="Calibri" w:hAnsi="Calibri" w:cs="Calibri"/>
        </w:rPr>
        <w:t>the UN-REDD Social and Environmental Principles and Criteria (</w:t>
      </w:r>
      <w:proofErr w:type="spellStart"/>
      <w:r w:rsidR="001C6D11">
        <w:rPr>
          <w:rFonts w:ascii="Calibri" w:hAnsi="Calibri" w:cs="Calibri"/>
        </w:rPr>
        <w:t>SEPC</w:t>
      </w:r>
      <w:proofErr w:type="spellEnd"/>
      <w:r w:rsidR="001C6D11">
        <w:rPr>
          <w:rFonts w:ascii="Calibri" w:hAnsi="Calibri" w:cs="Calibri"/>
        </w:rPr>
        <w:t xml:space="preserve">), </w:t>
      </w:r>
      <w:proofErr w:type="spellStart"/>
      <w:r w:rsidR="001C6D11">
        <w:rPr>
          <w:rFonts w:ascii="Calibri" w:hAnsi="Calibri" w:cs="Calibri"/>
        </w:rPr>
        <w:t>SEPC</w:t>
      </w:r>
      <w:proofErr w:type="spellEnd"/>
      <w:r w:rsidRPr="00EF3E39">
        <w:rPr>
          <w:rFonts w:ascii="Calibri" w:hAnsi="Calibri" w:cs="Calibri"/>
        </w:rPr>
        <w:t xml:space="preserve"> </w:t>
      </w:r>
      <w:proofErr w:type="spellStart"/>
      <w:r w:rsidRPr="00EF3E39">
        <w:rPr>
          <w:rFonts w:ascii="Calibri" w:hAnsi="Calibri" w:cs="Calibri"/>
        </w:rPr>
        <w:t>BeRT</w:t>
      </w:r>
      <w:proofErr w:type="spellEnd"/>
      <w:r w:rsidR="001C6D11">
        <w:rPr>
          <w:rFonts w:ascii="Calibri" w:hAnsi="Calibri" w:cs="Calibri"/>
        </w:rPr>
        <w:t xml:space="preserve">, </w:t>
      </w:r>
      <w:proofErr w:type="spellStart"/>
      <w:r w:rsidR="001C6D11">
        <w:rPr>
          <w:rFonts w:ascii="Calibri" w:hAnsi="Calibri" w:cs="Calibri"/>
        </w:rPr>
        <w:t>REDD</w:t>
      </w:r>
      <w:proofErr w:type="spellEnd"/>
      <w:r w:rsidR="001C6D11">
        <w:rPr>
          <w:rFonts w:ascii="Calibri" w:hAnsi="Calibri" w:cs="Calibri"/>
        </w:rPr>
        <w:t>+ SES</w:t>
      </w:r>
      <w:r w:rsidRPr="00EF3E39">
        <w:rPr>
          <w:rFonts w:ascii="Calibri" w:hAnsi="Calibri" w:cs="Calibri"/>
        </w:rPr>
        <w:t xml:space="preserve">, to assist countries as they </w:t>
      </w:r>
      <w:r w:rsidR="00642B1C">
        <w:rPr>
          <w:rFonts w:ascii="Calibri" w:hAnsi="Calibri" w:cs="Calibri"/>
        </w:rPr>
        <w:t xml:space="preserve">design and </w:t>
      </w:r>
      <w:r w:rsidRPr="00EF3E39">
        <w:rPr>
          <w:rFonts w:ascii="Calibri" w:hAnsi="Calibri" w:cs="Calibri"/>
        </w:rPr>
        <w:t xml:space="preserve">operationalize the </w:t>
      </w:r>
      <w:proofErr w:type="spellStart"/>
      <w:r w:rsidRPr="00EF3E39">
        <w:rPr>
          <w:rFonts w:ascii="Calibri" w:hAnsi="Calibri" w:cs="Calibri"/>
        </w:rPr>
        <w:t>UNFCCC</w:t>
      </w:r>
      <w:proofErr w:type="spellEnd"/>
      <w:r w:rsidRPr="00EF3E39">
        <w:rPr>
          <w:rFonts w:ascii="Calibri" w:hAnsi="Calibri" w:cs="Calibri"/>
        </w:rPr>
        <w:t xml:space="preserve"> safeguards and requirements for SIS. </w:t>
      </w:r>
      <w:r w:rsidR="00727C5B">
        <w:rPr>
          <w:rFonts w:ascii="Calibri" w:hAnsi="Calibri" w:cs="Calibri"/>
        </w:rPr>
        <w:t xml:space="preserve"> </w:t>
      </w:r>
    </w:p>
    <w:p w:rsidR="000B7E12" w:rsidRDefault="000B7E12" w:rsidP="001C3649">
      <w:pPr>
        <w:rPr>
          <w:rFonts w:ascii="Calibri" w:hAnsi="Calibri" w:cs="Calibri"/>
          <w:b/>
        </w:rPr>
      </w:pPr>
    </w:p>
    <w:p w:rsidR="000B7E12" w:rsidRDefault="0060754A" w:rsidP="00727C5B">
      <w:pPr>
        <w:pStyle w:val="Heading3"/>
        <w:numPr>
          <w:ilvl w:val="0"/>
          <w:numId w:val="0"/>
        </w:numPr>
      </w:pPr>
      <w:bookmarkStart w:id="0" w:name="_GoBack"/>
      <w:r>
        <w:t xml:space="preserve">Establishing a Baseline </w:t>
      </w:r>
      <w:r w:rsidR="00727C5B">
        <w:t xml:space="preserve">and </w:t>
      </w:r>
      <w:r>
        <w:t xml:space="preserve">Identifying </w:t>
      </w:r>
      <w:r w:rsidR="00727C5B">
        <w:t>What Needs to be done</w:t>
      </w:r>
    </w:p>
    <w:p w:rsidR="00642B1C" w:rsidRDefault="00642B1C" w:rsidP="00727C5B">
      <w:pPr>
        <w:jc w:val="both"/>
        <w:rPr>
          <w:rFonts w:ascii="Calibri" w:hAnsi="Calibri" w:cs="Calibri"/>
        </w:rPr>
      </w:pPr>
    </w:p>
    <w:p w:rsidR="00727C5B" w:rsidRDefault="00427C90" w:rsidP="00727C5B">
      <w:pPr>
        <w:jc w:val="both"/>
        <w:rPr>
          <w:rFonts w:ascii="Calibri" w:hAnsi="Calibri" w:cs="Calibri"/>
        </w:rPr>
        <w:sectPr w:rsidR="00727C5B" w:rsidSect="002A36D2">
          <w:headerReference w:type="default" r:id="rId9"/>
          <w:pgSz w:w="11900" w:h="16840"/>
          <w:pgMar w:top="1440" w:right="1800" w:bottom="1440" w:left="1800" w:header="708" w:footer="708" w:gutter="0"/>
          <w:cols w:space="708"/>
          <w:titlePg/>
          <w:docGrid w:linePitch="360"/>
        </w:sectPr>
      </w:pPr>
      <w:r>
        <w:rPr>
          <w:rFonts w:ascii="Calibri" w:hAnsi="Calibri" w:cs="Calibri"/>
        </w:rPr>
        <w:t>T</w:t>
      </w:r>
      <w:r w:rsidR="00642B1C">
        <w:rPr>
          <w:rFonts w:ascii="Calibri" w:hAnsi="Calibri" w:cs="Calibri"/>
        </w:rPr>
        <w:t>h</w:t>
      </w:r>
      <w:r w:rsidR="00727C5B" w:rsidRPr="00727C5B">
        <w:rPr>
          <w:rFonts w:ascii="Calibri" w:hAnsi="Calibri" w:cs="Calibri"/>
        </w:rPr>
        <w:t xml:space="preserve">e table below indicates what potential risks (C) are expected during the design and implementation of the National </w:t>
      </w:r>
      <w:proofErr w:type="spellStart"/>
      <w:r w:rsidR="00727C5B" w:rsidRPr="00727C5B">
        <w:rPr>
          <w:rFonts w:ascii="Calibri" w:hAnsi="Calibri" w:cs="Calibri"/>
        </w:rPr>
        <w:t>REDD</w:t>
      </w:r>
      <w:proofErr w:type="spellEnd"/>
      <w:r w:rsidR="00727C5B" w:rsidRPr="00727C5B">
        <w:rPr>
          <w:rFonts w:ascii="Calibri" w:hAnsi="Calibri" w:cs="Calibri"/>
        </w:rPr>
        <w:t xml:space="preserve">+ </w:t>
      </w:r>
      <w:r w:rsidR="00727C5B">
        <w:rPr>
          <w:rFonts w:ascii="Calibri" w:hAnsi="Calibri" w:cs="Calibri"/>
        </w:rPr>
        <w:t>Roadmap in the Solomon Islands</w:t>
      </w:r>
      <w:r w:rsidR="00727C5B" w:rsidRPr="00727C5B">
        <w:rPr>
          <w:rFonts w:ascii="Calibri" w:hAnsi="Calibri" w:cs="Calibri"/>
        </w:rPr>
        <w:t xml:space="preserve"> against the Cancun safeguards (A) and associated </w:t>
      </w:r>
      <w:proofErr w:type="spellStart"/>
      <w:r w:rsidR="00727C5B">
        <w:rPr>
          <w:rFonts w:ascii="Calibri" w:hAnsi="Calibri" w:cs="Calibri"/>
        </w:rPr>
        <w:t>SEPC</w:t>
      </w:r>
      <w:proofErr w:type="spellEnd"/>
      <w:r w:rsidR="00727C5B">
        <w:rPr>
          <w:rFonts w:ascii="Calibri" w:hAnsi="Calibri" w:cs="Calibri"/>
        </w:rPr>
        <w:t xml:space="preserve"> (B), and what</w:t>
      </w:r>
      <w:r>
        <w:rPr>
          <w:rFonts w:ascii="Calibri" w:hAnsi="Calibri" w:cs="Calibri"/>
        </w:rPr>
        <w:t xml:space="preserve"> policies and measures already exist and </w:t>
      </w:r>
      <w:r w:rsidR="00727C5B">
        <w:rPr>
          <w:rFonts w:ascii="Calibri" w:hAnsi="Calibri" w:cs="Calibri"/>
        </w:rPr>
        <w:t>actions (D) should</w:t>
      </w:r>
      <w:r w:rsidR="00727C5B" w:rsidRPr="00727C5B">
        <w:rPr>
          <w:rFonts w:ascii="Calibri" w:hAnsi="Calibri" w:cs="Calibri"/>
        </w:rPr>
        <w:t xml:space="preserve"> be taken du</w:t>
      </w:r>
      <w:r w:rsidR="00727C5B">
        <w:rPr>
          <w:rFonts w:ascii="Calibri" w:hAnsi="Calibri" w:cs="Calibri"/>
        </w:rPr>
        <w:t>ring the design and implementation of the Roadmap</w:t>
      </w:r>
      <w:r w:rsidR="00727C5B" w:rsidRPr="00727C5B">
        <w:rPr>
          <w:rFonts w:ascii="Calibri" w:hAnsi="Calibri" w:cs="Calibri"/>
        </w:rPr>
        <w:t xml:space="preserve"> to assist with the mitigation of such risks and establishment of </w:t>
      </w:r>
      <w:r w:rsidR="000B3B98">
        <w:rPr>
          <w:rFonts w:ascii="Calibri" w:hAnsi="Calibri" w:cs="Calibri"/>
        </w:rPr>
        <w:t xml:space="preserve">an </w:t>
      </w:r>
      <w:r w:rsidR="00727C5B" w:rsidRPr="00727C5B">
        <w:rPr>
          <w:rFonts w:ascii="Calibri" w:hAnsi="Calibri" w:cs="Calibri"/>
        </w:rPr>
        <w:t>approp</w:t>
      </w:r>
      <w:r w:rsidR="000B3B98">
        <w:rPr>
          <w:rFonts w:ascii="Calibri" w:hAnsi="Calibri" w:cs="Calibri"/>
        </w:rPr>
        <w:t xml:space="preserve">riate </w:t>
      </w:r>
      <w:r w:rsidR="000B3B98" w:rsidRPr="00B10D46">
        <w:rPr>
          <w:rFonts w:ascii="Calibri" w:hAnsi="Calibri" w:cs="Calibri"/>
        </w:rPr>
        <w:t>system for ensuring that social and environmental safeguards</w:t>
      </w:r>
      <w:r w:rsidR="000B3B98">
        <w:rPr>
          <w:rFonts w:ascii="Calibri" w:hAnsi="Calibri" w:cs="Calibri"/>
        </w:rPr>
        <w:t xml:space="preserve"> in the country.</w:t>
      </w:r>
      <w:r w:rsidR="00BC6888">
        <w:rPr>
          <w:rFonts w:ascii="Calibri" w:hAnsi="Calibri" w:cs="Calibri"/>
        </w:rPr>
        <w:t xml:space="preserve">  Note </w:t>
      </w:r>
      <w:r w:rsidR="00727C5B" w:rsidRPr="00727C5B">
        <w:rPr>
          <w:rFonts w:ascii="Calibri" w:hAnsi="Calibri" w:cs="Calibri"/>
        </w:rPr>
        <w:t xml:space="preserve">that individual safeguards cannot be seen in isolation and that there is some overlap especially among the environmental safeguards. Hence, proposed measures to be taken </w:t>
      </w:r>
      <w:r w:rsidR="00BC6888">
        <w:rPr>
          <w:rFonts w:ascii="Calibri" w:hAnsi="Calibri" w:cs="Calibri"/>
        </w:rPr>
        <w:t>to address</w:t>
      </w:r>
      <w:r w:rsidR="00727C5B" w:rsidRPr="00727C5B">
        <w:rPr>
          <w:rFonts w:ascii="Calibri" w:hAnsi="Calibri" w:cs="Calibri"/>
        </w:rPr>
        <w:t xml:space="preserve"> a particular </w:t>
      </w:r>
      <w:proofErr w:type="gramStart"/>
      <w:r w:rsidR="00727C5B" w:rsidRPr="00727C5B">
        <w:rPr>
          <w:rFonts w:ascii="Calibri" w:hAnsi="Calibri" w:cs="Calibri"/>
        </w:rPr>
        <w:t>risk,</w:t>
      </w:r>
      <w:proofErr w:type="gramEnd"/>
      <w:r w:rsidR="00727C5B" w:rsidRPr="00727C5B">
        <w:rPr>
          <w:rFonts w:ascii="Calibri" w:hAnsi="Calibri" w:cs="Calibri"/>
        </w:rPr>
        <w:t xml:space="preserve"> are expected to also contribute </w:t>
      </w:r>
      <w:r>
        <w:rPr>
          <w:rFonts w:ascii="Calibri" w:hAnsi="Calibri" w:cs="Calibri"/>
        </w:rPr>
        <w:t>to the reduction of other risks</w:t>
      </w:r>
      <w:r w:rsidR="00BC6888">
        <w:rPr>
          <w:rFonts w:ascii="Calibri" w:hAnsi="Calibri" w:cs="Calibri"/>
        </w:rPr>
        <w:t>.</w:t>
      </w:r>
    </w:p>
    <w:tbl>
      <w:tblPr>
        <w:tblpPr w:leftFromText="180" w:rightFromText="180" w:vertAnchor="page" w:horzAnchor="margin" w:tblpY="740"/>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8"/>
        <w:gridCol w:w="2520"/>
        <w:gridCol w:w="4138"/>
        <w:gridCol w:w="4861"/>
      </w:tblGrid>
      <w:tr w:rsidR="00427C90" w:rsidTr="00427C90">
        <w:trPr>
          <w:cantSplit/>
          <w:trHeight w:val="1047"/>
        </w:trPr>
        <w:tc>
          <w:tcPr>
            <w:tcW w:w="1005" w:type="pct"/>
            <w:shd w:val="clear" w:color="auto" w:fill="C6D9F1" w:themeFill="text2" w:themeFillTint="33"/>
          </w:tcPr>
          <w:bookmarkEnd w:id="0"/>
          <w:p w:rsidR="00427C90" w:rsidRDefault="00427C90" w:rsidP="00427C90">
            <w:pPr>
              <w:pStyle w:val="Default"/>
              <w:numPr>
                <w:ilvl w:val="0"/>
                <w:numId w:val="21"/>
              </w:numPr>
              <w:rPr>
                <w:rFonts w:ascii="Calibri" w:hAnsi="Calibri"/>
                <w:color w:val="auto"/>
                <w:sz w:val="22"/>
                <w:szCs w:val="18"/>
                <w:lang w:val="en-CA"/>
              </w:rPr>
            </w:pPr>
            <w:r>
              <w:rPr>
                <w:rFonts w:ascii="Calibri" w:hAnsi="Calibri"/>
                <w:b/>
                <w:bCs/>
                <w:color w:val="auto"/>
                <w:sz w:val="22"/>
                <w:szCs w:val="18"/>
                <w:lang w:val="en-CA"/>
              </w:rPr>
              <w:lastRenderedPageBreak/>
              <w:t xml:space="preserve">Relevant section </w:t>
            </w:r>
            <w:r w:rsidRPr="002D3D63">
              <w:rPr>
                <w:rFonts w:ascii="Calibri" w:hAnsi="Calibri"/>
                <w:b/>
                <w:bCs/>
                <w:color w:val="auto"/>
                <w:sz w:val="22"/>
                <w:szCs w:val="18"/>
                <w:lang w:val="en-CA"/>
              </w:rPr>
              <w:t xml:space="preserve">of </w:t>
            </w:r>
            <w:hyperlink r:id="rId10" w:history="1">
              <w:r w:rsidRPr="002D3D63">
                <w:rPr>
                  <w:rStyle w:val="Hyperlink"/>
                  <w:rFonts w:ascii="Calibri" w:hAnsi="Calibri" w:cs="Calibri"/>
                  <w:b/>
                  <w:bCs/>
                  <w:color w:val="auto"/>
                  <w:sz w:val="22"/>
                  <w:szCs w:val="18"/>
                  <w:lang w:val="en-CA"/>
                </w:rPr>
                <w:t>Cancun Agreement</w:t>
              </w:r>
            </w:hyperlink>
            <w:r w:rsidRPr="002D3D63">
              <w:rPr>
                <w:rStyle w:val="Hyperlink"/>
                <w:rFonts w:ascii="Calibri" w:hAnsi="Calibri" w:cs="Calibri"/>
                <w:b/>
                <w:bCs/>
                <w:color w:val="auto"/>
                <w:sz w:val="22"/>
                <w:szCs w:val="18"/>
              </w:rPr>
              <w:t>s</w:t>
            </w:r>
            <w:r w:rsidRPr="002D3D63">
              <w:rPr>
                <w:rFonts w:ascii="Calibri" w:hAnsi="Calibri"/>
                <w:b/>
                <w:bCs/>
                <w:color w:val="auto"/>
                <w:sz w:val="22"/>
                <w:szCs w:val="18"/>
                <w:lang w:val="en-CA"/>
              </w:rPr>
              <w:t xml:space="preserve">, </w:t>
            </w:r>
            <w:r>
              <w:rPr>
                <w:rFonts w:ascii="Calibri" w:hAnsi="Calibri"/>
                <w:b/>
                <w:bCs/>
                <w:color w:val="auto"/>
                <w:sz w:val="22"/>
                <w:szCs w:val="18"/>
                <w:lang w:val="en-CA"/>
              </w:rPr>
              <w:t>Annex I (</w:t>
            </w:r>
            <w:proofErr w:type="spellStart"/>
            <w:r>
              <w:rPr>
                <w:rFonts w:ascii="Calibri" w:hAnsi="Calibri"/>
                <w:b/>
                <w:bCs/>
                <w:color w:val="auto"/>
                <w:sz w:val="22"/>
                <w:szCs w:val="18"/>
                <w:lang w:val="en-CA"/>
              </w:rPr>
              <w:t>REDD</w:t>
            </w:r>
            <w:proofErr w:type="spellEnd"/>
            <w:r>
              <w:rPr>
                <w:rFonts w:ascii="Calibri" w:hAnsi="Calibri"/>
                <w:b/>
                <w:bCs/>
                <w:color w:val="auto"/>
                <w:sz w:val="22"/>
                <w:szCs w:val="18"/>
                <w:lang w:val="en-CA"/>
              </w:rPr>
              <w:t xml:space="preserve">+ Safeguards, </w:t>
            </w:r>
            <w:proofErr w:type="spellStart"/>
            <w:r>
              <w:rPr>
                <w:rFonts w:ascii="Calibri" w:hAnsi="Calibri"/>
                <w:b/>
                <w:bCs/>
                <w:color w:val="auto"/>
                <w:sz w:val="22"/>
                <w:szCs w:val="18"/>
                <w:lang w:val="en-CA"/>
              </w:rPr>
              <w:t>UNFCCC</w:t>
            </w:r>
            <w:proofErr w:type="spellEnd"/>
            <w:r>
              <w:rPr>
                <w:rFonts w:ascii="Calibri" w:hAnsi="Calibri"/>
                <w:b/>
                <w:bCs/>
                <w:color w:val="auto"/>
                <w:sz w:val="22"/>
                <w:szCs w:val="18"/>
                <w:lang w:val="en-CA"/>
              </w:rPr>
              <w:t>)</w:t>
            </w:r>
          </w:p>
        </w:tc>
        <w:tc>
          <w:tcPr>
            <w:tcW w:w="874" w:type="pct"/>
            <w:shd w:val="clear" w:color="auto" w:fill="C6D9F1" w:themeFill="text2" w:themeFillTint="33"/>
          </w:tcPr>
          <w:p w:rsidR="00427C90" w:rsidRDefault="00427C90" w:rsidP="00427C90">
            <w:pPr>
              <w:pStyle w:val="Default"/>
              <w:keepNext/>
              <w:numPr>
                <w:ilvl w:val="0"/>
                <w:numId w:val="21"/>
              </w:numPr>
              <w:autoSpaceDE/>
              <w:adjustRightInd/>
              <w:jc w:val="center"/>
              <w:rPr>
                <w:rFonts w:ascii="Calibri" w:hAnsi="Calibri"/>
                <w:color w:val="auto"/>
                <w:sz w:val="22"/>
                <w:szCs w:val="18"/>
                <w:lang w:val="en-CA"/>
              </w:rPr>
            </w:pPr>
            <w:r>
              <w:rPr>
                <w:rFonts w:ascii="Calibri" w:hAnsi="Calibri"/>
                <w:b/>
                <w:bCs/>
                <w:color w:val="auto"/>
                <w:sz w:val="22"/>
                <w:szCs w:val="18"/>
                <w:lang w:val="en-CA"/>
              </w:rPr>
              <w:t>UN-REDD Social and Environmental Principle</w:t>
            </w:r>
          </w:p>
        </w:tc>
        <w:tc>
          <w:tcPr>
            <w:tcW w:w="1435" w:type="pct"/>
            <w:shd w:val="clear" w:color="auto" w:fill="C6D9F1" w:themeFill="text2" w:themeFillTint="33"/>
          </w:tcPr>
          <w:p w:rsidR="00427C90" w:rsidRDefault="00427C90" w:rsidP="004E5A53">
            <w:pPr>
              <w:pStyle w:val="Default"/>
              <w:numPr>
                <w:ilvl w:val="0"/>
                <w:numId w:val="21"/>
              </w:numPr>
              <w:jc w:val="center"/>
              <w:rPr>
                <w:rFonts w:ascii="Calibri" w:hAnsi="Calibri"/>
                <w:b/>
                <w:bCs/>
                <w:color w:val="auto"/>
                <w:sz w:val="22"/>
                <w:szCs w:val="18"/>
                <w:lang w:val="en-CA"/>
              </w:rPr>
            </w:pPr>
            <w:r>
              <w:rPr>
                <w:rFonts w:ascii="Calibri" w:hAnsi="Calibri"/>
                <w:b/>
                <w:bCs/>
                <w:color w:val="auto"/>
                <w:sz w:val="22"/>
                <w:szCs w:val="18"/>
                <w:lang w:val="en-CA"/>
              </w:rPr>
              <w:t xml:space="preserve">Potential risk in </w:t>
            </w:r>
            <w:r w:rsidR="004E5A53">
              <w:rPr>
                <w:rFonts w:ascii="Calibri" w:hAnsi="Calibri"/>
                <w:b/>
                <w:bCs/>
                <w:color w:val="auto"/>
                <w:sz w:val="22"/>
                <w:szCs w:val="18"/>
                <w:lang w:val="en-CA"/>
              </w:rPr>
              <w:t>the Solomon Islands</w:t>
            </w:r>
          </w:p>
        </w:tc>
        <w:tc>
          <w:tcPr>
            <w:tcW w:w="1686" w:type="pct"/>
            <w:shd w:val="clear" w:color="auto" w:fill="C6D9F1" w:themeFill="text2" w:themeFillTint="33"/>
          </w:tcPr>
          <w:p w:rsidR="00427C90" w:rsidRPr="00427C90" w:rsidRDefault="00427C90" w:rsidP="00427C90">
            <w:pPr>
              <w:pStyle w:val="Default"/>
              <w:numPr>
                <w:ilvl w:val="0"/>
                <w:numId w:val="21"/>
              </w:numPr>
              <w:jc w:val="center"/>
              <w:rPr>
                <w:rFonts w:ascii="Calibri" w:hAnsi="Calibri"/>
                <w:b/>
                <w:bCs/>
                <w:color w:val="auto"/>
                <w:sz w:val="22"/>
                <w:szCs w:val="18"/>
                <w:lang w:val="en-CA"/>
              </w:rPr>
            </w:pPr>
            <w:r>
              <w:rPr>
                <w:rFonts w:ascii="Calibri" w:hAnsi="Calibri"/>
                <w:b/>
                <w:bCs/>
                <w:color w:val="auto"/>
                <w:sz w:val="22"/>
                <w:szCs w:val="18"/>
                <w:lang w:val="en-CA"/>
              </w:rPr>
              <w:t>(</w:t>
            </w:r>
            <w:proofErr w:type="spellStart"/>
            <w:r>
              <w:rPr>
                <w:rFonts w:ascii="Calibri" w:hAnsi="Calibri"/>
                <w:b/>
                <w:bCs/>
                <w:color w:val="auto"/>
                <w:sz w:val="22"/>
                <w:szCs w:val="18"/>
                <w:lang w:val="en-CA"/>
              </w:rPr>
              <w:t>i</w:t>
            </w:r>
            <w:proofErr w:type="spellEnd"/>
            <w:r>
              <w:rPr>
                <w:rFonts w:ascii="Calibri" w:hAnsi="Calibri"/>
                <w:b/>
                <w:bCs/>
                <w:color w:val="auto"/>
                <w:sz w:val="22"/>
                <w:szCs w:val="18"/>
                <w:lang w:val="en-CA"/>
              </w:rPr>
              <w:t>) R</w:t>
            </w:r>
            <w:r w:rsidRPr="00B772F1">
              <w:rPr>
                <w:rFonts w:ascii="Calibri" w:hAnsi="Calibri"/>
                <w:b/>
                <w:bCs/>
                <w:color w:val="auto"/>
                <w:sz w:val="22"/>
                <w:szCs w:val="18"/>
                <w:lang w:val="en-CA"/>
              </w:rPr>
              <w:t>elevant</w:t>
            </w:r>
            <w:r w:rsidRPr="00B772F1">
              <w:rPr>
                <w:b/>
              </w:rPr>
              <w:t xml:space="preserve"> </w:t>
            </w:r>
            <w:r>
              <w:rPr>
                <w:rFonts w:ascii="Calibri" w:hAnsi="Calibri"/>
                <w:b/>
                <w:bCs/>
                <w:color w:val="auto"/>
                <w:sz w:val="22"/>
                <w:szCs w:val="18"/>
                <w:lang w:val="en-CA"/>
              </w:rPr>
              <w:t>policies, laws and r</w:t>
            </w:r>
            <w:r w:rsidRPr="00B772F1">
              <w:rPr>
                <w:rFonts w:ascii="Calibri" w:hAnsi="Calibri"/>
                <w:b/>
                <w:bCs/>
                <w:color w:val="auto"/>
                <w:sz w:val="22"/>
                <w:szCs w:val="18"/>
                <w:lang w:val="en-CA"/>
              </w:rPr>
              <w:t>egulations (</w:t>
            </w:r>
            <w:proofErr w:type="spellStart"/>
            <w:r w:rsidRPr="00B772F1">
              <w:rPr>
                <w:rFonts w:ascii="Calibri" w:hAnsi="Calibri"/>
                <w:b/>
                <w:bCs/>
                <w:color w:val="auto"/>
                <w:sz w:val="22"/>
                <w:szCs w:val="18"/>
                <w:lang w:val="en-CA"/>
              </w:rPr>
              <w:t>PL</w:t>
            </w:r>
            <w:r>
              <w:rPr>
                <w:rFonts w:ascii="Calibri" w:hAnsi="Calibri"/>
                <w:b/>
                <w:bCs/>
                <w:color w:val="auto"/>
                <w:sz w:val="22"/>
                <w:szCs w:val="18"/>
                <w:lang w:val="en-CA"/>
              </w:rPr>
              <w:t>Rs</w:t>
            </w:r>
            <w:proofErr w:type="spellEnd"/>
            <w:r>
              <w:rPr>
                <w:rFonts w:ascii="Calibri" w:hAnsi="Calibri"/>
                <w:b/>
                <w:bCs/>
                <w:color w:val="auto"/>
                <w:sz w:val="22"/>
                <w:szCs w:val="18"/>
                <w:lang w:val="en-CA"/>
              </w:rPr>
              <w:t xml:space="preserve">) setting </w:t>
            </w:r>
            <w:r w:rsidRPr="00B772F1">
              <w:rPr>
                <w:rFonts w:ascii="Calibri" w:hAnsi="Calibri"/>
                <w:b/>
                <w:bCs/>
                <w:color w:val="auto"/>
                <w:sz w:val="22"/>
                <w:szCs w:val="18"/>
                <w:lang w:val="en-CA"/>
              </w:rPr>
              <w:t>out</w:t>
            </w:r>
            <w:r>
              <w:rPr>
                <w:rFonts w:ascii="Calibri" w:hAnsi="Calibri"/>
                <w:b/>
                <w:bCs/>
                <w:color w:val="auto"/>
                <w:sz w:val="22"/>
                <w:szCs w:val="18"/>
                <w:lang w:val="en-CA"/>
              </w:rPr>
              <w:t>/supporting</w:t>
            </w:r>
            <w:r w:rsidRPr="00B772F1">
              <w:rPr>
                <w:rFonts w:ascii="Calibri" w:hAnsi="Calibri"/>
                <w:b/>
                <w:bCs/>
                <w:color w:val="auto"/>
                <w:sz w:val="22"/>
                <w:szCs w:val="18"/>
                <w:lang w:val="en-CA"/>
              </w:rPr>
              <w:t xml:space="preserve"> the safeguards </w:t>
            </w:r>
            <w:r>
              <w:rPr>
                <w:rFonts w:ascii="Calibri" w:hAnsi="Calibri"/>
                <w:b/>
                <w:bCs/>
                <w:color w:val="auto"/>
                <w:sz w:val="22"/>
                <w:szCs w:val="18"/>
                <w:lang w:val="en-CA"/>
              </w:rPr>
              <w:t xml:space="preserve">and (ii) Measures to be taken during </w:t>
            </w:r>
            <w:proofErr w:type="spellStart"/>
            <w:r>
              <w:rPr>
                <w:rFonts w:ascii="Calibri" w:hAnsi="Calibri"/>
                <w:b/>
                <w:bCs/>
                <w:color w:val="auto"/>
                <w:sz w:val="22"/>
                <w:szCs w:val="18"/>
                <w:lang w:val="en-CA"/>
              </w:rPr>
              <w:t>RPP</w:t>
            </w:r>
            <w:proofErr w:type="spellEnd"/>
            <w:r>
              <w:rPr>
                <w:rFonts w:ascii="Calibri" w:hAnsi="Calibri"/>
                <w:b/>
                <w:bCs/>
                <w:color w:val="auto"/>
                <w:sz w:val="22"/>
                <w:szCs w:val="18"/>
                <w:lang w:val="en-CA"/>
              </w:rPr>
              <w:t xml:space="preserve"> implementation and </w:t>
            </w:r>
          </w:p>
          <w:p w:rsidR="00427C90" w:rsidRPr="004E216F" w:rsidRDefault="00427C90" w:rsidP="00427C90">
            <w:pPr>
              <w:pStyle w:val="Default"/>
              <w:rPr>
                <w:rFonts w:ascii="Calibri" w:hAnsi="Calibri"/>
                <w:bCs/>
                <w:i/>
                <w:color w:val="auto"/>
                <w:sz w:val="22"/>
                <w:szCs w:val="18"/>
                <w:lang w:val="en-CA"/>
              </w:rPr>
            </w:pPr>
            <w:r>
              <w:rPr>
                <w:rFonts w:ascii="Calibri" w:hAnsi="Calibri"/>
                <w:bCs/>
                <w:i/>
                <w:color w:val="auto"/>
                <w:sz w:val="22"/>
                <w:szCs w:val="18"/>
                <w:lang w:val="en-CA"/>
              </w:rPr>
              <w:t>*</w:t>
            </w:r>
            <w:proofErr w:type="spellStart"/>
            <w:r>
              <w:rPr>
                <w:rFonts w:ascii="Calibri" w:hAnsi="Calibri"/>
                <w:bCs/>
                <w:i/>
                <w:color w:val="auto"/>
                <w:sz w:val="22"/>
                <w:szCs w:val="18"/>
                <w:lang w:val="en-CA"/>
              </w:rPr>
              <w:t>PMU</w:t>
            </w:r>
            <w:proofErr w:type="spellEnd"/>
            <w:r>
              <w:rPr>
                <w:rFonts w:ascii="Calibri" w:hAnsi="Calibri"/>
                <w:bCs/>
                <w:i/>
                <w:color w:val="auto"/>
                <w:sz w:val="22"/>
                <w:szCs w:val="18"/>
                <w:lang w:val="en-CA"/>
              </w:rPr>
              <w:t xml:space="preserve"> and advisors can also list relevant UN-REDD guidance materials. </w:t>
            </w:r>
          </w:p>
        </w:tc>
      </w:tr>
      <w:tr w:rsidR="00427C90" w:rsidTr="00427C90">
        <w:trPr>
          <w:cantSplit/>
          <w:trHeight w:val="890"/>
        </w:trPr>
        <w:tc>
          <w:tcPr>
            <w:tcW w:w="1005" w:type="pct"/>
          </w:tcPr>
          <w:p w:rsidR="00427C90" w:rsidRDefault="00427C90" w:rsidP="00427C90">
            <w:pPr>
              <w:pStyle w:val="Default"/>
              <w:rPr>
                <w:rFonts w:ascii="Calibri" w:hAnsi="Calibri"/>
                <w:color w:val="auto"/>
                <w:sz w:val="22"/>
                <w:szCs w:val="18"/>
                <w:lang w:val="en-CA"/>
              </w:rPr>
            </w:pPr>
            <w:r>
              <w:rPr>
                <w:rFonts w:ascii="Calibri" w:hAnsi="Calibri"/>
                <w:color w:val="auto"/>
                <w:sz w:val="22"/>
                <w:szCs w:val="18"/>
                <w:lang w:val="en-CA"/>
              </w:rPr>
              <w:t xml:space="preserve">2(b) Transparent and effective national forest governance structures, taking into account national legislation and sovereignty </w:t>
            </w:r>
          </w:p>
          <w:p w:rsidR="00427C90" w:rsidRDefault="00427C90" w:rsidP="00427C90">
            <w:pPr>
              <w:pStyle w:val="Default"/>
              <w:rPr>
                <w:rFonts w:ascii="Calibri" w:hAnsi="Calibri"/>
                <w:color w:val="auto"/>
                <w:sz w:val="22"/>
                <w:szCs w:val="18"/>
                <w:lang w:val="en-CA"/>
              </w:rPr>
            </w:pPr>
          </w:p>
          <w:p w:rsidR="00427C90" w:rsidRDefault="00427C90" w:rsidP="00427C90">
            <w:pPr>
              <w:pStyle w:val="Default"/>
              <w:rPr>
                <w:rFonts w:ascii="Calibri" w:hAnsi="Calibri"/>
                <w:color w:val="auto"/>
                <w:sz w:val="22"/>
                <w:szCs w:val="18"/>
                <w:lang w:val="en-CA"/>
              </w:rPr>
            </w:pPr>
            <w:r>
              <w:rPr>
                <w:rFonts w:ascii="Calibri" w:hAnsi="Calibri"/>
                <w:color w:val="auto"/>
                <w:sz w:val="22"/>
                <w:szCs w:val="18"/>
                <w:lang w:val="en-CA"/>
              </w:rPr>
              <w:t>2(d) The full and effective participation of relevant stakeholders, in particular, indigenous peoples and local communities (…)</w:t>
            </w:r>
          </w:p>
        </w:tc>
        <w:tc>
          <w:tcPr>
            <w:tcW w:w="874" w:type="pct"/>
          </w:tcPr>
          <w:p w:rsidR="00427C90" w:rsidRDefault="00427C90" w:rsidP="00427C90">
            <w:pPr>
              <w:pStyle w:val="Default"/>
              <w:rPr>
                <w:rFonts w:ascii="Calibri" w:hAnsi="Calibri"/>
                <w:color w:val="auto"/>
                <w:sz w:val="22"/>
                <w:szCs w:val="18"/>
                <w:lang w:val="en-CA"/>
              </w:rPr>
            </w:pPr>
            <w:r>
              <w:rPr>
                <w:rFonts w:ascii="Calibri" w:hAnsi="Calibri"/>
                <w:color w:val="auto"/>
                <w:sz w:val="22"/>
                <w:szCs w:val="18"/>
                <w:lang w:val="en-CA"/>
              </w:rPr>
              <w:t>Principle 1 –Apply norms of democratic governance, including those reflected in national commitments and Multilateral Agreements</w:t>
            </w:r>
          </w:p>
        </w:tc>
        <w:tc>
          <w:tcPr>
            <w:tcW w:w="1435" w:type="pct"/>
          </w:tcPr>
          <w:p w:rsidR="00427C90" w:rsidRDefault="00427C90" w:rsidP="00427C90">
            <w:pPr>
              <w:pStyle w:val="Default"/>
              <w:rPr>
                <w:rFonts w:ascii="Calibri" w:hAnsi="Calibri"/>
                <w:color w:val="auto"/>
                <w:sz w:val="22"/>
                <w:szCs w:val="18"/>
                <w:lang w:val="en-CA"/>
              </w:rPr>
            </w:pPr>
            <w:r>
              <w:rPr>
                <w:rFonts w:ascii="Calibri" w:hAnsi="Calibri"/>
                <w:color w:val="auto"/>
                <w:sz w:val="22"/>
                <w:szCs w:val="18"/>
                <w:lang w:val="en-CA"/>
              </w:rPr>
              <w:t>Example:</w:t>
            </w:r>
          </w:p>
          <w:p w:rsidR="00427C90" w:rsidRDefault="00427C90" w:rsidP="00427C90">
            <w:pPr>
              <w:pStyle w:val="Default"/>
              <w:rPr>
                <w:rFonts w:ascii="Calibri" w:hAnsi="Calibri"/>
                <w:color w:val="auto"/>
                <w:sz w:val="22"/>
                <w:szCs w:val="18"/>
                <w:lang w:val="en-CA"/>
              </w:rPr>
            </w:pPr>
          </w:p>
          <w:p w:rsidR="00427C90" w:rsidRDefault="00427C90" w:rsidP="00427C90">
            <w:pPr>
              <w:pStyle w:val="Default"/>
              <w:rPr>
                <w:rFonts w:ascii="Calibri" w:hAnsi="Calibri"/>
                <w:color w:val="auto"/>
                <w:sz w:val="22"/>
                <w:szCs w:val="18"/>
                <w:lang w:val="en-CA"/>
              </w:rPr>
            </w:pPr>
            <w:r>
              <w:rPr>
                <w:rFonts w:ascii="Calibri" w:hAnsi="Calibri"/>
                <w:color w:val="auto"/>
                <w:sz w:val="22"/>
                <w:szCs w:val="18"/>
                <w:lang w:val="en-CA"/>
              </w:rPr>
              <w:t xml:space="preserve">While the country goes through a transition phase after the conflict, </w:t>
            </w:r>
            <w:proofErr w:type="spellStart"/>
            <w:r>
              <w:rPr>
                <w:rFonts w:ascii="Calibri" w:hAnsi="Calibri"/>
                <w:color w:val="auto"/>
                <w:sz w:val="22"/>
                <w:szCs w:val="18"/>
                <w:lang w:val="en-CA"/>
              </w:rPr>
              <w:t>REDD</w:t>
            </w:r>
            <w:proofErr w:type="spellEnd"/>
            <w:r>
              <w:rPr>
                <w:rFonts w:ascii="Calibri" w:hAnsi="Calibri"/>
                <w:color w:val="auto"/>
                <w:sz w:val="22"/>
                <w:szCs w:val="18"/>
                <w:lang w:val="en-CA"/>
              </w:rPr>
              <w:t xml:space="preserve">+ actions might result in the embezzlement of public funds, illegal conversion of forests for infrastructure development through bribery and misuse of information, influencing decisions of indigenous peoples and other of forest dependent communities. </w:t>
            </w:r>
          </w:p>
        </w:tc>
        <w:tc>
          <w:tcPr>
            <w:tcW w:w="1686" w:type="pct"/>
          </w:tcPr>
          <w:p w:rsidR="00427C90" w:rsidRPr="00734802" w:rsidRDefault="00427C90" w:rsidP="00427C90">
            <w:pPr>
              <w:pStyle w:val="Default"/>
              <w:rPr>
                <w:rFonts w:ascii="Calibri" w:hAnsi="Calibri"/>
                <w:color w:val="auto"/>
                <w:sz w:val="22"/>
                <w:szCs w:val="18"/>
                <w:u w:val="single"/>
                <w:lang w:val="en-CA"/>
              </w:rPr>
            </w:pPr>
            <w:r w:rsidRPr="00734802">
              <w:rPr>
                <w:rFonts w:ascii="Calibri" w:hAnsi="Calibri"/>
                <w:color w:val="auto"/>
                <w:sz w:val="22"/>
                <w:szCs w:val="18"/>
                <w:u w:val="single"/>
                <w:lang w:val="en-CA"/>
              </w:rPr>
              <w:t>Relevant Policies, Laws and Regulations:</w:t>
            </w:r>
          </w:p>
          <w:p w:rsidR="00427C90" w:rsidRDefault="00427C90" w:rsidP="00427C90">
            <w:pPr>
              <w:pStyle w:val="Default"/>
              <w:rPr>
                <w:rFonts w:ascii="Calibri" w:hAnsi="Calibri"/>
                <w:color w:val="auto"/>
                <w:sz w:val="22"/>
                <w:szCs w:val="18"/>
                <w:u w:val="single"/>
                <w:lang w:val="en-CA"/>
              </w:rPr>
            </w:pPr>
          </w:p>
          <w:p w:rsidR="00427C90" w:rsidRDefault="00427C90" w:rsidP="00427C90">
            <w:pPr>
              <w:pStyle w:val="Default"/>
              <w:rPr>
                <w:rFonts w:ascii="Calibri" w:hAnsi="Calibri"/>
                <w:color w:val="auto"/>
                <w:sz w:val="22"/>
                <w:szCs w:val="18"/>
                <w:u w:val="single"/>
                <w:lang w:val="en-CA"/>
              </w:rPr>
            </w:pPr>
          </w:p>
          <w:p w:rsidR="00427C90" w:rsidRPr="00734802" w:rsidRDefault="00427C90" w:rsidP="00427C90">
            <w:pPr>
              <w:pStyle w:val="Default"/>
              <w:rPr>
                <w:rFonts w:ascii="Calibri" w:hAnsi="Calibri"/>
                <w:color w:val="auto"/>
                <w:sz w:val="22"/>
                <w:szCs w:val="18"/>
                <w:u w:val="single"/>
                <w:lang w:val="en-CA"/>
              </w:rPr>
            </w:pPr>
            <w:r w:rsidRPr="00734802">
              <w:rPr>
                <w:rFonts w:ascii="Calibri" w:hAnsi="Calibri"/>
                <w:color w:val="auto"/>
                <w:sz w:val="22"/>
                <w:szCs w:val="18"/>
                <w:u w:val="single"/>
                <w:lang w:val="en-CA"/>
              </w:rPr>
              <w:t>Measures:</w:t>
            </w:r>
          </w:p>
          <w:p w:rsidR="00427C90" w:rsidRDefault="00427C90" w:rsidP="00427C90">
            <w:pPr>
              <w:pStyle w:val="Default"/>
              <w:rPr>
                <w:rFonts w:ascii="Calibri" w:hAnsi="Calibri"/>
                <w:color w:val="auto"/>
                <w:sz w:val="22"/>
                <w:szCs w:val="18"/>
                <w:lang w:val="en-CA"/>
              </w:rPr>
            </w:pPr>
          </w:p>
          <w:p w:rsidR="00427C90" w:rsidRDefault="00427C90" w:rsidP="00427C90">
            <w:pPr>
              <w:pStyle w:val="Default"/>
              <w:rPr>
                <w:rFonts w:ascii="Calibri" w:hAnsi="Calibri"/>
                <w:color w:val="auto"/>
                <w:sz w:val="22"/>
                <w:szCs w:val="18"/>
                <w:lang w:val="en-CA"/>
              </w:rPr>
            </w:pPr>
          </w:p>
          <w:p w:rsidR="00427C90" w:rsidRDefault="00427C90" w:rsidP="00427C90">
            <w:pPr>
              <w:pStyle w:val="Default"/>
              <w:rPr>
                <w:rFonts w:ascii="Calibri" w:hAnsi="Calibri"/>
                <w:color w:val="auto"/>
                <w:sz w:val="22"/>
                <w:szCs w:val="18"/>
                <w:lang w:val="en-CA"/>
              </w:rPr>
            </w:pPr>
          </w:p>
          <w:p w:rsidR="00427C90" w:rsidRDefault="00427C90" w:rsidP="00427C90">
            <w:pPr>
              <w:pStyle w:val="Default"/>
              <w:rPr>
                <w:rFonts w:ascii="Calibri" w:hAnsi="Calibri"/>
                <w:color w:val="auto"/>
                <w:sz w:val="22"/>
                <w:szCs w:val="18"/>
                <w:lang w:val="en-CA"/>
              </w:rPr>
            </w:pPr>
          </w:p>
          <w:p w:rsidR="00427C90" w:rsidRDefault="00427C90" w:rsidP="00427C90">
            <w:pPr>
              <w:pStyle w:val="Default"/>
              <w:rPr>
                <w:rFonts w:ascii="Calibri" w:hAnsi="Calibri"/>
                <w:color w:val="auto"/>
                <w:sz w:val="22"/>
                <w:szCs w:val="18"/>
                <w:lang w:val="en-CA"/>
              </w:rPr>
            </w:pPr>
            <w:r>
              <w:rPr>
                <w:rFonts w:ascii="Calibri" w:hAnsi="Calibri"/>
                <w:color w:val="auto"/>
                <w:sz w:val="22"/>
                <w:szCs w:val="18"/>
                <w:lang w:val="en-CA"/>
              </w:rPr>
              <w:t xml:space="preserve">     </w:t>
            </w:r>
          </w:p>
          <w:p w:rsidR="00427C90" w:rsidRDefault="00427C90" w:rsidP="00427C90">
            <w:pPr>
              <w:pStyle w:val="Default"/>
              <w:rPr>
                <w:rFonts w:ascii="Calibri" w:hAnsi="Calibri"/>
                <w:color w:val="auto"/>
                <w:sz w:val="22"/>
                <w:szCs w:val="18"/>
                <w:lang w:val="en-CA"/>
              </w:rPr>
            </w:pPr>
          </w:p>
          <w:p w:rsidR="00427C90" w:rsidRPr="004E216F" w:rsidRDefault="00427C90" w:rsidP="00427C90">
            <w:pPr>
              <w:pStyle w:val="Default"/>
              <w:rPr>
                <w:rFonts w:ascii="Calibri" w:hAnsi="Calibri"/>
                <w:color w:val="auto"/>
                <w:sz w:val="22"/>
                <w:szCs w:val="18"/>
                <w:lang w:val="en-CA"/>
              </w:rPr>
            </w:pPr>
            <w:r w:rsidRPr="00734802">
              <w:rPr>
                <w:rFonts w:ascii="Calibri" w:hAnsi="Calibri"/>
                <w:color w:val="auto"/>
                <w:sz w:val="22"/>
                <w:szCs w:val="18"/>
                <w:u w:val="single"/>
                <w:lang w:val="en-CA"/>
              </w:rPr>
              <w:t>Relevant UN-REDD guidelines:</w:t>
            </w:r>
            <w:r>
              <w:rPr>
                <w:rFonts w:ascii="Calibri" w:hAnsi="Calibri"/>
                <w:color w:val="auto"/>
                <w:sz w:val="22"/>
                <w:szCs w:val="18"/>
                <w:lang w:val="en-CA"/>
              </w:rPr>
              <w:t xml:space="preserve"> e.g., </w:t>
            </w:r>
            <w:r w:rsidRPr="004965ED">
              <w:rPr>
                <w:rFonts w:ascii="Calibri" w:hAnsi="Calibri"/>
                <w:i/>
                <w:color w:val="auto"/>
                <w:sz w:val="20"/>
                <w:szCs w:val="20"/>
                <w:lang w:val="en-CA"/>
              </w:rPr>
              <w:t>UNDP publication, ‘Staying on Track: Tackling Corruption Risks in Climate Change’ will provide technical guidance.</w:t>
            </w:r>
          </w:p>
        </w:tc>
      </w:tr>
      <w:tr w:rsidR="00427C90" w:rsidTr="00427C90">
        <w:trPr>
          <w:cantSplit/>
          <w:trHeight w:val="3500"/>
        </w:trPr>
        <w:tc>
          <w:tcPr>
            <w:tcW w:w="1005" w:type="pct"/>
          </w:tcPr>
          <w:p w:rsidR="00427C90" w:rsidRDefault="00427C90" w:rsidP="00427C90">
            <w:pPr>
              <w:pStyle w:val="Default"/>
              <w:rPr>
                <w:rFonts w:ascii="Calibri" w:hAnsi="Calibri"/>
                <w:color w:val="auto"/>
                <w:sz w:val="22"/>
                <w:szCs w:val="18"/>
                <w:lang w:val="en-CA"/>
              </w:rPr>
            </w:pPr>
            <w:r>
              <w:rPr>
                <w:rFonts w:ascii="Calibri" w:hAnsi="Calibri"/>
                <w:color w:val="auto"/>
                <w:sz w:val="22"/>
                <w:szCs w:val="18"/>
                <w:lang w:val="en-CA"/>
              </w:rPr>
              <w:t xml:space="preserve">2(c) Respect for the knowledge and rights of indigenous peoples and members of local communities, by taking into account relevant international obligations, national circumstances and laws, and noting that the General Assembly has adopted the United Nations Declaration on the Rights of Indigenous Peoples </w:t>
            </w:r>
          </w:p>
        </w:tc>
        <w:tc>
          <w:tcPr>
            <w:tcW w:w="874" w:type="pct"/>
          </w:tcPr>
          <w:p w:rsidR="00427C90" w:rsidRDefault="00427C90" w:rsidP="00427C90">
            <w:pPr>
              <w:pStyle w:val="Default"/>
              <w:rPr>
                <w:rFonts w:ascii="Calibri" w:hAnsi="Calibri"/>
                <w:b/>
                <w:bCs/>
                <w:i/>
                <w:iCs/>
                <w:color w:val="auto"/>
                <w:sz w:val="22"/>
                <w:szCs w:val="18"/>
                <w:lang w:val="en-CA"/>
              </w:rPr>
            </w:pPr>
            <w:r>
              <w:rPr>
                <w:rFonts w:ascii="Calibri" w:hAnsi="Calibri"/>
                <w:color w:val="auto"/>
                <w:sz w:val="22"/>
                <w:szCs w:val="18"/>
                <w:lang w:val="en-CA"/>
              </w:rPr>
              <w:t>Principle 2 – Respect and protect stakeholder rights, including human rights, statutory and customary rights, and collective rights</w:t>
            </w:r>
          </w:p>
        </w:tc>
        <w:tc>
          <w:tcPr>
            <w:tcW w:w="1435" w:type="pct"/>
          </w:tcPr>
          <w:p w:rsidR="00427C90" w:rsidRDefault="00427C90" w:rsidP="00427C90">
            <w:pPr>
              <w:pStyle w:val="Default"/>
              <w:rPr>
                <w:rFonts w:ascii="Calibri" w:eastAsia="MS Mincho" w:hAnsi="Calibri"/>
                <w:sz w:val="22"/>
                <w:szCs w:val="22"/>
                <w:lang w:val="en-GB"/>
              </w:rPr>
            </w:pPr>
            <w:r>
              <w:rPr>
                <w:rFonts w:ascii="Calibri" w:eastAsia="MS Mincho" w:hAnsi="Calibri"/>
                <w:sz w:val="22"/>
                <w:szCs w:val="22"/>
                <w:lang w:val="en-GB"/>
              </w:rPr>
              <w:t xml:space="preserve">Example: </w:t>
            </w:r>
          </w:p>
          <w:p w:rsidR="00427C90" w:rsidRDefault="00427C90" w:rsidP="00427C90">
            <w:pPr>
              <w:pStyle w:val="Default"/>
              <w:rPr>
                <w:rFonts w:ascii="Calibri" w:eastAsia="MS Mincho" w:hAnsi="Calibri"/>
                <w:sz w:val="22"/>
                <w:szCs w:val="22"/>
                <w:lang w:val="en-GB"/>
              </w:rPr>
            </w:pPr>
          </w:p>
          <w:p w:rsidR="00427C90" w:rsidRPr="00000050" w:rsidRDefault="00427C90" w:rsidP="00427C90">
            <w:pPr>
              <w:pStyle w:val="Default"/>
              <w:rPr>
                <w:rFonts w:ascii="Calibri" w:hAnsi="Calibri"/>
                <w:color w:val="auto"/>
                <w:sz w:val="22"/>
                <w:szCs w:val="18"/>
                <w:lang w:val="en-CA"/>
              </w:rPr>
            </w:pPr>
            <w:proofErr w:type="spellStart"/>
            <w:r w:rsidRPr="00BF77D9">
              <w:rPr>
                <w:rFonts w:ascii="Calibri" w:eastAsia="MS Mincho" w:hAnsi="Calibri"/>
                <w:sz w:val="22"/>
                <w:szCs w:val="22"/>
                <w:lang w:val="en-GB"/>
              </w:rPr>
              <w:t>REDD</w:t>
            </w:r>
            <w:proofErr w:type="spellEnd"/>
            <w:r w:rsidRPr="00BF77D9">
              <w:rPr>
                <w:rFonts w:ascii="Calibri" w:eastAsia="MS Mincho" w:hAnsi="Calibri"/>
                <w:sz w:val="22"/>
                <w:szCs w:val="22"/>
                <w:lang w:val="en-GB"/>
              </w:rPr>
              <w:t>+ actions might dis</w:t>
            </w:r>
            <w:r>
              <w:rPr>
                <w:rFonts w:ascii="Calibri" w:eastAsia="MS Mincho" w:hAnsi="Calibri"/>
                <w:sz w:val="22"/>
                <w:szCs w:val="22"/>
                <w:lang w:val="en-GB"/>
              </w:rPr>
              <w:t xml:space="preserve">rupt social harmony and adversely </w:t>
            </w:r>
            <w:r w:rsidRPr="00BF77D9">
              <w:rPr>
                <w:rFonts w:ascii="Calibri" w:eastAsia="MS Mincho" w:hAnsi="Calibri"/>
                <w:sz w:val="22"/>
                <w:szCs w:val="22"/>
                <w:lang w:val="en-GB"/>
              </w:rPr>
              <w:t>impact the livelihood o</w:t>
            </w:r>
            <w:r>
              <w:rPr>
                <w:rFonts w:ascii="Calibri" w:hAnsi="Calibri" w:cs="Arial"/>
                <w:sz w:val="22"/>
                <w:szCs w:val="22"/>
              </w:rPr>
              <w:t>f</w:t>
            </w:r>
            <w:r w:rsidRPr="00BF77D9">
              <w:rPr>
                <w:rFonts w:ascii="Calibri" w:hAnsi="Calibri" w:cs="Arial"/>
                <w:sz w:val="22"/>
                <w:szCs w:val="22"/>
              </w:rPr>
              <w:t xml:space="preserve"> forest dependent communities through involuntary resettlement and loss of traditional livelihoods (more specific info in needed)</w:t>
            </w:r>
          </w:p>
        </w:tc>
        <w:tc>
          <w:tcPr>
            <w:tcW w:w="1686" w:type="pct"/>
          </w:tcPr>
          <w:p w:rsidR="00427C90" w:rsidRPr="00734802" w:rsidRDefault="00427C90" w:rsidP="00427C90">
            <w:pPr>
              <w:pStyle w:val="Default"/>
              <w:rPr>
                <w:rFonts w:ascii="Calibri" w:hAnsi="Calibri"/>
                <w:color w:val="auto"/>
                <w:sz w:val="22"/>
                <w:szCs w:val="18"/>
                <w:u w:val="single"/>
                <w:lang w:val="en-CA"/>
              </w:rPr>
            </w:pPr>
            <w:r w:rsidRPr="00734802">
              <w:rPr>
                <w:rFonts w:ascii="Calibri" w:hAnsi="Calibri"/>
                <w:color w:val="auto"/>
                <w:sz w:val="22"/>
                <w:szCs w:val="18"/>
                <w:u w:val="single"/>
                <w:lang w:val="en-CA"/>
              </w:rPr>
              <w:t>Relevant Policies, Laws and Regulations:</w:t>
            </w:r>
          </w:p>
          <w:p w:rsidR="00427C90" w:rsidRDefault="00427C90" w:rsidP="00427C90">
            <w:pPr>
              <w:pStyle w:val="Default"/>
              <w:rPr>
                <w:rFonts w:ascii="Calibri" w:hAnsi="Calibri"/>
                <w:color w:val="auto"/>
                <w:sz w:val="22"/>
                <w:szCs w:val="18"/>
                <w:lang w:val="en-CA"/>
              </w:rPr>
            </w:pPr>
          </w:p>
          <w:p w:rsidR="00427C90" w:rsidRDefault="00427C90" w:rsidP="00427C90">
            <w:pPr>
              <w:pStyle w:val="Default"/>
              <w:rPr>
                <w:rFonts w:ascii="Calibri" w:hAnsi="Calibri"/>
                <w:color w:val="auto"/>
                <w:sz w:val="22"/>
                <w:szCs w:val="18"/>
                <w:lang w:val="en-CA"/>
              </w:rPr>
            </w:pPr>
            <w:r>
              <w:rPr>
                <w:rFonts w:ascii="Calibri" w:hAnsi="Calibri"/>
                <w:color w:val="auto"/>
                <w:sz w:val="22"/>
                <w:szCs w:val="18"/>
                <w:lang w:val="en-CA"/>
              </w:rPr>
              <w:t xml:space="preserve">     </w:t>
            </w:r>
          </w:p>
          <w:p w:rsidR="00427C90" w:rsidRPr="00734802" w:rsidRDefault="00427C90" w:rsidP="00427C90">
            <w:pPr>
              <w:pStyle w:val="Default"/>
              <w:rPr>
                <w:rFonts w:ascii="Calibri" w:hAnsi="Calibri"/>
                <w:color w:val="auto"/>
                <w:sz w:val="22"/>
                <w:szCs w:val="18"/>
                <w:u w:val="single"/>
                <w:lang w:val="en-CA"/>
              </w:rPr>
            </w:pPr>
            <w:r w:rsidRPr="00734802">
              <w:rPr>
                <w:rFonts w:ascii="Calibri" w:hAnsi="Calibri"/>
                <w:color w:val="auto"/>
                <w:sz w:val="22"/>
                <w:szCs w:val="18"/>
                <w:u w:val="single"/>
                <w:lang w:val="en-CA"/>
              </w:rPr>
              <w:t>Measures:</w:t>
            </w:r>
          </w:p>
          <w:p w:rsidR="00427C90" w:rsidRDefault="00427C90" w:rsidP="00427C90">
            <w:pPr>
              <w:pStyle w:val="Default"/>
              <w:rPr>
                <w:rFonts w:ascii="Calibri" w:hAnsi="Calibri"/>
                <w:color w:val="auto"/>
                <w:sz w:val="22"/>
                <w:szCs w:val="18"/>
                <w:lang w:val="en-CA"/>
              </w:rPr>
            </w:pPr>
          </w:p>
          <w:p w:rsidR="00427C90" w:rsidRDefault="00427C90" w:rsidP="00427C90">
            <w:pPr>
              <w:pStyle w:val="Default"/>
              <w:rPr>
                <w:rFonts w:ascii="Calibri" w:hAnsi="Calibri"/>
                <w:color w:val="auto"/>
                <w:sz w:val="22"/>
                <w:szCs w:val="18"/>
                <w:lang w:val="en-CA"/>
              </w:rPr>
            </w:pPr>
          </w:p>
          <w:p w:rsidR="00427C90" w:rsidRPr="00734802" w:rsidRDefault="00427C90" w:rsidP="00427C90">
            <w:pPr>
              <w:pStyle w:val="Default"/>
              <w:rPr>
                <w:rFonts w:ascii="Calibri" w:hAnsi="Calibri"/>
                <w:color w:val="auto"/>
                <w:sz w:val="22"/>
                <w:szCs w:val="18"/>
                <w:lang w:val="en-CA"/>
              </w:rPr>
            </w:pPr>
            <w:r w:rsidRPr="00734802">
              <w:rPr>
                <w:rFonts w:ascii="Calibri" w:hAnsi="Calibri"/>
                <w:color w:val="auto"/>
                <w:sz w:val="22"/>
                <w:szCs w:val="18"/>
                <w:u w:val="single"/>
                <w:lang w:val="en-CA"/>
              </w:rPr>
              <w:t>Relevant UN-REDD guidelines:</w:t>
            </w:r>
            <w:r>
              <w:rPr>
                <w:rFonts w:ascii="Calibri" w:hAnsi="Calibri"/>
                <w:color w:val="auto"/>
                <w:sz w:val="22"/>
                <w:szCs w:val="18"/>
                <w:lang w:val="en-CA"/>
              </w:rPr>
              <w:t xml:space="preserve"> e.g., </w:t>
            </w:r>
            <w:r w:rsidRPr="00C07BE6">
              <w:rPr>
                <w:rFonts w:ascii="Calibri" w:hAnsi="Calibri" w:cs="Calibri"/>
                <w:i/>
                <w:color w:val="auto"/>
                <w:sz w:val="20"/>
                <w:szCs w:val="20"/>
                <w:lang w:val="en-CA"/>
              </w:rPr>
              <w:t xml:space="preserve">Guidelines on Stakeholder Engagement in </w:t>
            </w:r>
            <w:proofErr w:type="spellStart"/>
            <w:r w:rsidRPr="00C07BE6">
              <w:rPr>
                <w:rFonts w:ascii="Calibri" w:hAnsi="Calibri" w:cs="Calibri"/>
                <w:i/>
                <w:color w:val="auto"/>
                <w:sz w:val="20"/>
                <w:szCs w:val="20"/>
                <w:lang w:val="en-CA"/>
              </w:rPr>
              <w:t>REDD</w:t>
            </w:r>
            <w:proofErr w:type="spellEnd"/>
            <w:r w:rsidRPr="00C07BE6">
              <w:rPr>
                <w:rFonts w:ascii="Calibri" w:hAnsi="Calibri" w:cs="Calibri"/>
                <w:i/>
                <w:color w:val="auto"/>
                <w:sz w:val="20"/>
                <w:szCs w:val="20"/>
                <w:lang w:val="en-CA"/>
              </w:rPr>
              <w:t xml:space="preserve">+ Readiness and </w:t>
            </w:r>
            <w:r w:rsidRPr="00C07BE6">
              <w:rPr>
                <w:rFonts w:ascii="Calibri" w:hAnsi="Calibri" w:cs="Calibri"/>
                <w:i/>
                <w:sz w:val="20"/>
                <w:szCs w:val="20"/>
              </w:rPr>
              <w:t>UN</w:t>
            </w:r>
            <w:r w:rsidRPr="00C07BE6">
              <w:rPr>
                <w:rFonts w:ascii="Calibri" w:hAnsi="Calibri" w:cs="Calibri"/>
                <w:i/>
                <w:color w:val="auto"/>
                <w:sz w:val="20"/>
                <w:szCs w:val="20"/>
                <w:lang w:val="en-CA"/>
              </w:rPr>
              <w:t>-</w:t>
            </w:r>
            <w:proofErr w:type="spellStart"/>
            <w:r w:rsidRPr="00C07BE6">
              <w:rPr>
                <w:rFonts w:ascii="Calibri" w:hAnsi="Calibri" w:cs="Calibri"/>
                <w:i/>
                <w:color w:val="auto"/>
                <w:sz w:val="20"/>
                <w:szCs w:val="20"/>
                <w:lang w:val="en-CA"/>
              </w:rPr>
              <w:t>REDD</w:t>
            </w:r>
            <w:proofErr w:type="spellEnd"/>
            <w:r w:rsidRPr="00C07BE6">
              <w:rPr>
                <w:rFonts w:ascii="Calibri" w:hAnsi="Calibri" w:cs="Calibri"/>
                <w:i/>
                <w:color w:val="auto"/>
                <w:sz w:val="20"/>
                <w:szCs w:val="20"/>
                <w:lang w:val="en-CA"/>
              </w:rPr>
              <w:t xml:space="preserve"> (draft) Guidelines on Free, Prior and Informed Consent will be followed.  </w:t>
            </w:r>
            <w:proofErr w:type="spellStart"/>
            <w:r w:rsidRPr="00C07BE6">
              <w:rPr>
                <w:rFonts w:ascii="Calibri" w:hAnsi="Calibri" w:cs="Calibri"/>
                <w:i/>
                <w:sz w:val="20"/>
                <w:szCs w:val="20"/>
              </w:rPr>
              <w:t>FAO’s</w:t>
            </w:r>
            <w:proofErr w:type="spellEnd"/>
            <w:r>
              <w:rPr>
                <w:rFonts w:ascii="Calibri" w:hAnsi="Calibri" w:cs="Calibri"/>
                <w:i/>
                <w:sz w:val="20"/>
                <w:szCs w:val="20"/>
              </w:rPr>
              <w:t xml:space="preserve"> </w:t>
            </w:r>
            <w:r w:rsidRPr="00C07BE6">
              <w:rPr>
                <w:rFonts w:ascii="Calibri" w:hAnsi="Calibri" w:cs="Calibri"/>
                <w:i/>
                <w:color w:val="auto"/>
                <w:sz w:val="20"/>
                <w:szCs w:val="20"/>
                <w:lang w:val="en-CA"/>
              </w:rPr>
              <w:t xml:space="preserve">Voluntary Guidelines on the Responsible Governance of Tenure and </w:t>
            </w:r>
            <w:r>
              <w:rPr>
                <w:rFonts w:ascii="Calibri" w:hAnsi="Calibri" w:cs="Calibri"/>
                <w:i/>
                <w:color w:val="auto"/>
                <w:sz w:val="20"/>
                <w:szCs w:val="20"/>
                <w:lang w:val="en-CA"/>
              </w:rPr>
              <w:t>UNDP publication, ‘</w:t>
            </w:r>
            <w:r w:rsidRPr="00C07BE6">
              <w:rPr>
                <w:rFonts w:ascii="Calibri" w:hAnsi="Calibri" w:cs="Calibri"/>
                <w:i/>
                <w:sz w:val="20"/>
                <w:szCs w:val="20"/>
                <w:lang w:val="en-CA"/>
              </w:rPr>
              <w:t>Pro</w:t>
            </w:r>
            <w:r w:rsidRPr="00C07BE6">
              <w:rPr>
                <w:rFonts w:ascii="Calibri" w:hAnsi="Calibri" w:cs="Calibri"/>
                <w:i/>
                <w:color w:val="auto"/>
                <w:sz w:val="20"/>
                <w:szCs w:val="20"/>
                <w:lang w:val="en-CA"/>
              </w:rPr>
              <w:t>-poor Land Tenure Reform and Democratic G</w:t>
            </w:r>
            <w:r>
              <w:rPr>
                <w:rFonts w:ascii="Calibri" w:hAnsi="Calibri" w:cs="Calibri"/>
                <w:i/>
                <w:color w:val="auto"/>
                <w:sz w:val="20"/>
                <w:szCs w:val="20"/>
                <w:lang w:val="en-CA"/>
              </w:rPr>
              <w:t>overnance’ will</w:t>
            </w:r>
            <w:r w:rsidRPr="00C07BE6">
              <w:rPr>
                <w:rFonts w:ascii="Calibri" w:hAnsi="Calibri" w:cs="Calibri"/>
                <w:i/>
                <w:color w:val="auto"/>
                <w:sz w:val="20"/>
                <w:szCs w:val="20"/>
                <w:lang w:val="en-CA"/>
              </w:rPr>
              <w:t xml:space="preserve"> also provide some technical guidance.</w:t>
            </w:r>
          </w:p>
        </w:tc>
      </w:tr>
      <w:tr w:rsidR="00427C90" w:rsidTr="00427C90">
        <w:trPr>
          <w:cantSplit/>
          <w:trHeight w:val="224"/>
        </w:trPr>
        <w:tc>
          <w:tcPr>
            <w:tcW w:w="1005" w:type="pct"/>
          </w:tcPr>
          <w:p w:rsidR="00427C90" w:rsidRDefault="00427C90" w:rsidP="00427C90">
            <w:pPr>
              <w:autoSpaceDE w:val="0"/>
              <w:autoSpaceDN w:val="0"/>
              <w:adjustRightInd w:val="0"/>
              <w:rPr>
                <w:rFonts w:ascii="Calibri" w:hAnsi="Calibri"/>
                <w:szCs w:val="18"/>
                <w:lang w:val="en-CA" w:eastAsia="en-GB"/>
              </w:rPr>
            </w:pPr>
            <w:r>
              <w:rPr>
                <w:rFonts w:ascii="Calibri" w:hAnsi="Calibri"/>
                <w:sz w:val="22"/>
                <w:szCs w:val="18"/>
                <w:lang w:val="en-CA"/>
              </w:rPr>
              <w:lastRenderedPageBreak/>
              <w:t xml:space="preserve">2 </w:t>
            </w:r>
            <w:r>
              <w:rPr>
                <w:rFonts w:ascii="Calibri" w:hAnsi="Calibri"/>
                <w:sz w:val="22"/>
                <w:szCs w:val="18"/>
                <w:lang w:val="en-CA" w:eastAsia="en-GB"/>
              </w:rPr>
              <w:t>(e) Actions are (...) used to (...) enhance other social and environmental benefits (...)</w:t>
            </w:r>
            <w:r>
              <w:rPr>
                <w:rFonts w:ascii="Calibri" w:hAnsi="Calibri"/>
                <w:sz w:val="22"/>
                <w:szCs w:val="18"/>
                <w:vertAlign w:val="superscript"/>
                <w:lang w:val="en-CA" w:eastAsia="en-GB"/>
              </w:rPr>
              <w:t>1</w:t>
            </w:r>
          </w:p>
          <w:p w:rsidR="00427C90" w:rsidRDefault="00427C90" w:rsidP="00427C90">
            <w:pPr>
              <w:autoSpaceDE w:val="0"/>
              <w:autoSpaceDN w:val="0"/>
              <w:adjustRightInd w:val="0"/>
              <w:rPr>
                <w:rFonts w:ascii="Calibri" w:hAnsi="Calibri"/>
                <w:szCs w:val="18"/>
                <w:lang w:val="en-CA"/>
              </w:rPr>
            </w:pPr>
            <w:proofErr w:type="spellStart"/>
            <w:r>
              <w:rPr>
                <w:rFonts w:ascii="Calibri" w:hAnsi="Calibri"/>
                <w:sz w:val="22"/>
                <w:szCs w:val="18"/>
                <w:vertAlign w:val="superscript"/>
                <w:lang w:val="en-CA" w:eastAsia="en-GB"/>
              </w:rPr>
              <w:t>1</w:t>
            </w:r>
            <w:r>
              <w:rPr>
                <w:rFonts w:ascii="Calibri" w:hAnsi="Calibri"/>
                <w:sz w:val="20"/>
                <w:szCs w:val="20"/>
                <w:lang w:val="en-CA" w:eastAsia="en-GB"/>
              </w:rPr>
              <w:t>Taking</w:t>
            </w:r>
            <w:proofErr w:type="spellEnd"/>
            <w:r>
              <w:rPr>
                <w:rFonts w:ascii="Calibri" w:hAnsi="Calibri"/>
                <w:sz w:val="20"/>
                <w:szCs w:val="20"/>
                <w:lang w:val="en-CA" w:eastAsia="en-GB"/>
              </w:rPr>
              <w:t xml:space="preserve"> into account the need for sustainable livelihoods of indigenous peoples and local communities and their interdependence on forests in most countries, reflected in the United Nations Declaration on the Rights of Indigenous Peoples, as well as the International Mother Earth Day</w:t>
            </w:r>
            <w:r>
              <w:rPr>
                <w:rFonts w:ascii="Calibri" w:hAnsi="Calibri"/>
                <w:sz w:val="22"/>
                <w:szCs w:val="18"/>
                <w:lang w:val="en-CA" w:eastAsia="en-GB"/>
              </w:rPr>
              <w:t>.</w:t>
            </w:r>
          </w:p>
        </w:tc>
        <w:tc>
          <w:tcPr>
            <w:tcW w:w="874" w:type="pct"/>
          </w:tcPr>
          <w:p w:rsidR="00427C90" w:rsidRDefault="00427C90" w:rsidP="00427C90">
            <w:pPr>
              <w:pStyle w:val="Default"/>
              <w:rPr>
                <w:rFonts w:ascii="Calibri" w:hAnsi="Calibri"/>
                <w:color w:val="auto"/>
                <w:sz w:val="22"/>
                <w:szCs w:val="18"/>
                <w:lang w:val="en-CA"/>
              </w:rPr>
            </w:pPr>
            <w:r>
              <w:rPr>
                <w:rFonts w:ascii="Calibri" w:hAnsi="Calibri"/>
                <w:color w:val="auto"/>
                <w:sz w:val="22"/>
                <w:szCs w:val="18"/>
                <w:lang w:val="en-CA"/>
              </w:rPr>
              <w:t xml:space="preserve">Principle 3 – Promote and enhance </w:t>
            </w:r>
            <w:r>
              <w:rPr>
                <w:rFonts w:ascii="Calibri" w:hAnsi="Calibri"/>
                <w:sz w:val="22"/>
                <w:szCs w:val="22"/>
                <w:lang w:val="en-CA"/>
              </w:rPr>
              <w:t xml:space="preserve">forests’ contribution to </w:t>
            </w:r>
            <w:r>
              <w:rPr>
                <w:rFonts w:ascii="Calibri" w:hAnsi="Calibri"/>
                <w:color w:val="auto"/>
                <w:sz w:val="22"/>
                <w:szCs w:val="18"/>
                <w:lang w:val="en-CA"/>
              </w:rPr>
              <w:t>sustainable livelihoods</w:t>
            </w:r>
          </w:p>
        </w:tc>
        <w:tc>
          <w:tcPr>
            <w:tcW w:w="1435" w:type="pct"/>
          </w:tcPr>
          <w:p w:rsidR="00427C90" w:rsidRDefault="00427C90" w:rsidP="00427C90">
            <w:pPr>
              <w:autoSpaceDE w:val="0"/>
              <w:autoSpaceDN w:val="0"/>
              <w:adjustRightInd w:val="0"/>
              <w:rPr>
                <w:rFonts w:ascii="Calibri" w:hAnsi="Calibri"/>
                <w:sz w:val="22"/>
                <w:szCs w:val="18"/>
                <w:lang w:val="en-CA"/>
              </w:rPr>
            </w:pPr>
            <w:r>
              <w:rPr>
                <w:rFonts w:ascii="Calibri" w:hAnsi="Calibri"/>
                <w:sz w:val="22"/>
                <w:szCs w:val="18"/>
                <w:lang w:val="en-CA"/>
              </w:rPr>
              <w:t xml:space="preserve">Examples: </w:t>
            </w:r>
          </w:p>
          <w:p w:rsidR="00427C90" w:rsidRDefault="00427C90" w:rsidP="00427C90">
            <w:pPr>
              <w:autoSpaceDE w:val="0"/>
              <w:autoSpaceDN w:val="0"/>
              <w:adjustRightInd w:val="0"/>
              <w:rPr>
                <w:rFonts w:ascii="Calibri" w:hAnsi="Calibri"/>
                <w:sz w:val="22"/>
                <w:szCs w:val="18"/>
                <w:lang w:val="en-CA"/>
              </w:rPr>
            </w:pPr>
          </w:p>
          <w:p w:rsidR="00427C90" w:rsidRDefault="00427C90" w:rsidP="00427C90">
            <w:pPr>
              <w:autoSpaceDE w:val="0"/>
              <w:autoSpaceDN w:val="0"/>
              <w:adjustRightInd w:val="0"/>
              <w:rPr>
                <w:rFonts w:ascii="Calibri" w:hAnsi="Calibri"/>
                <w:szCs w:val="18"/>
                <w:lang w:val="en-CA"/>
              </w:rPr>
            </w:pPr>
            <w:proofErr w:type="spellStart"/>
            <w:r>
              <w:rPr>
                <w:rFonts w:ascii="Calibri" w:hAnsi="Calibri"/>
                <w:sz w:val="22"/>
                <w:szCs w:val="18"/>
                <w:lang w:val="en-CA"/>
              </w:rPr>
              <w:t>REDD</w:t>
            </w:r>
            <w:proofErr w:type="spellEnd"/>
            <w:r>
              <w:rPr>
                <w:rFonts w:ascii="Calibri" w:hAnsi="Calibri"/>
                <w:sz w:val="22"/>
                <w:szCs w:val="18"/>
                <w:lang w:val="en-CA"/>
              </w:rPr>
              <w:t xml:space="preserve">+ actions might not consider perspectives of  forest dependent communities and therefore may result in limited access by local people to </w:t>
            </w:r>
            <w:proofErr w:type="spellStart"/>
            <w:r>
              <w:rPr>
                <w:rFonts w:ascii="Calibri" w:hAnsi="Calibri"/>
                <w:sz w:val="22"/>
                <w:szCs w:val="18"/>
                <w:lang w:val="en-CA"/>
              </w:rPr>
              <w:t>NTFPs</w:t>
            </w:r>
            <w:proofErr w:type="spellEnd"/>
            <w:r>
              <w:rPr>
                <w:rFonts w:ascii="Calibri" w:hAnsi="Calibri"/>
                <w:sz w:val="22"/>
                <w:szCs w:val="18"/>
                <w:lang w:val="en-CA"/>
              </w:rPr>
              <w:t xml:space="preserve"> (more specific info is needed) on which they heavily depend and threaten livelihood security</w:t>
            </w:r>
          </w:p>
          <w:p w:rsidR="00427C90" w:rsidRDefault="00427C90" w:rsidP="00427C90">
            <w:pPr>
              <w:autoSpaceDE w:val="0"/>
              <w:autoSpaceDN w:val="0"/>
              <w:adjustRightInd w:val="0"/>
              <w:rPr>
                <w:rFonts w:ascii="Calibri" w:hAnsi="Calibri"/>
                <w:szCs w:val="18"/>
                <w:lang w:val="en-CA"/>
              </w:rPr>
            </w:pPr>
          </w:p>
          <w:p w:rsidR="00427C90" w:rsidRDefault="00427C90" w:rsidP="00427C90">
            <w:pPr>
              <w:autoSpaceDE w:val="0"/>
              <w:autoSpaceDN w:val="0"/>
              <w:adjustRightInd w:val="0"/>
              <w:rPr>
                <w:rFonts w:ascii="Calibri" w:hAnsi="Calibri"/>
                <w:szCs w:val="18"/>
                <w:lang w:val="en-CA"/>
              </w:rPr>
            </w:pPr>
            <w:proofErr w:type="spellStart"/>
            <w:r>
              <w:rPr>
                <w:rFonts w:ascii="Calibri" w:hAnsi="Calibri"/>
                <w:sz w:val="22"/>
                <w:szCs w:val="18"/>
                <w:lang w:val="en-CA"/>
              </w:rPr>
              <w:t>REDD</w:t>
            </w:r>
            <w:proofErr w:type="spellEnd"/>
            <w:r>
              <w:rPr>
                <w:rFonts w:ascii="Calibri" w:hAnsi="Calibri"/>
                <w:sz w:val="22"/>
                <w:szCs w:val="18"/>
                <w:lang w:val="en-CA"/>
              </w:rPr>
              <w:t>+ actions might hinder local economic development prospects and therefore may lead to increased poverty.</w:t>
            </w:r>
          </w:p>
        </w:tc>
        <w:tc>
          <w:tcPr>
            <w:tcW w:w="1686" w:type="pct"/>
          </w:tcPr>
          <w:p w:rsidR="00427C90" w:rsidRPr="00734802" w:rsidRDefault="00427C90" w:rsidP="00427C90">
            <w:pPr>
              <w:pStyle w:val="Default"/>
              <w:rPr>
                <w:rFonts w:ascii="Calibri" w:hAnsi="Calibri"/>
                <w:color w:val="auto"/>
                <w:sz w:val="22"/>
                <w:szCs w:val="18"/>
                <w:u w:val="single"/>
                <w:lang w:val="en-CA"/>
              </w:rPr>
            </w:pPr>
            <w:r w:rsidRPr="00734802">
              <w:rPr>
                <w:rFonts w:ascii="Calibri" w:hAnsi="Calibri"/>
                <w:color w:val="auto"/>
                <w:sz w:val="22"/>
                <w:szCs w:val="18"/>
                <w:u w:val="single"/>
                <w:lang w:val="en-CA"/>
              </w:rPr>
              <w:t>Relevant Policies, Laws and Regulations:</w:t>
            </w:r>
          </w:p>
          <w:p w:rsidR="00427C90" w:rsidRDefault="00427C90" w:rsidP="00427C90">
            <w:pPr>
              <w:pStyle w:val="Default"/>
              <w:rPr>
                <w:rFonts w:ascii="Calibri" w:hAnsi="Calibri"/>
                <w:color w:val="auto"/>
                <w:sz w:val="22"/>
                <w:szCs w:val="18"/>
                <w:lang w:val="en-CA"/>
              </w:rPr>
            </w:pPr>
          </w:p>
          <w:p w:rsidR="00427C90" w:rsidRPr="00734802" w:rsidRDefault="00427C90" w:rsidP="00427C90">
            <w:pPr>
              <w:pStyle w:val="Default"/>
              <w:rPr>
                <w:rFonts w:ascii="Calibri" w:hAnsi="Calibri"/>
                <w:color w:val="auto"/>
                <w:sz w:val="22"/>
                <w:szCs w:val="18"/>
                <w:u w:val="single"/>
                <w:lang w:val="en-CA"/>
              </w:rPr>
            </w:pPr>
            <w:r w:rsidRPr="00734802">
              <w:rPr>
                <w:rFonts w:ascii="Calibri" w:hAnsi="Calibri"/>
                <w:color w:val="auto"/>
                <w:sz w:val="22"/>
                <w:szCs w:val="18"/>
                <w:u w:val="single"/>
                <w:lang w:val="en-CA"/>
              </w:rPr>
              <w:t>Measures:</w:t>
            </w:r>
          </w:p>
          <w:p w:rsidR="00427C90" w:rsidRDefault="00427C90" w:rsidP="00427C90">
            <w:pPr>
              <w:pStyle w:val="Default"/>
              <w:rPr>
                <w:rFonts w:ascii="Calibri" w:hAnsi="Calibri"/>
                <w:color w:val="auto"/>
                <w:sz w:val="22"/>
                <w:szCs w:val="18"/>
                <w:lang w:val="en-CA"/>
              </w:rPr>
            </w:pPr>
          </w:p>
          <w:p w:rsidR="00427C90" w:rsidRDefault="00427C90" w:rsidP="00427C90">
            <w:pPr>
              <w:pStyle w:val="Default"/>
              <w:rPr>
                <w:rFonts w:ascii="Calibri" w:hAnsi="Calibri"/>
                <w:color w:val="auto"/>
                <w:sz w:val="22"/>
                <w:szCs w:val="18"/>
                <w:lang w:val="en-CA"/>
              </w:rPr>
            </w:pPr>
          </w:p>
          <w:p w:rsidR="00427C90" w:rsidRPr="004E5A53" w:rsidRDefault="00427C90" w:rsidP="00427C90">
            <w:pPr>
              <w:autoSpaceDE w:val="0"/>
              <w:autoSpaceDN w:val="0"/>
              <w:adjustRightInd w:val="0"/>
              <w:rPr>
                <w:rFonts w:ascii="Calibri" w:hAnsi="Calibri"/>
                <w:szCs w:val="18"/>
              </w:rPr>
            </w:pPr>
            <w:r w:rsidRPr="00734802">
              <w:rPr>
                <w:rFonts w:ascii="Calibri" w:hAnsi="Calibri"/>
                <w:sz w:val="22"/>
                <w:szCs w:val="18"/>
                <w:u w:val="single"/>
              </w:rPr>
              <w:t>Relevant UN-REDD guidelines:</w:t>
            </w:r>
            <w:r w:rsidRPr="00734802">
              <w:rPr>
                <w:rFonts w:ascii="Calibri" w:hAnsi="Calibri"/>
                <w:sz w:val="22"/>
                <w:szCs w:val="18"/>
              </w:rPr>
              <w:t xml:space="preserve">  e.g.,</w:t>
            </w:r>
            <w:r w:rsidRPr="00734802">
              <w:rPr>
                <w:rFonts w:ascii="Calibri" w:hAnsi="Calibri"/>
                <w:szCs w:val="18"/>
              </w:rPr>
              <w:t xml:space="preserve"> </w:t>
            </w:r>
            <w:r w:rsidRPr="003C5704">
              <w:rPr>
                <w:rFonts w:ascii="Calibri" w:hAnsi="Calibri"/>
                <w:i/>
                <w:sz w:val="20"/>
                <w:szCs w:val="20"/>
                <w:lang w:val="en-CA"/>
              </w:rPr>
              <w:t xml:space="preserve">Guidelines on Stakeholder Engagement in </w:t>
            </w:r>
            <w:proofErr w:type="spellStart"/>
            <w:r w:rsidRPr="003C5704">
              <w:rPr>
                <w:rFonts w:ascii="Calibri" w:hAnsi="Calibri"/>
                <w:i/>
                <w:sz w:val="20"/>
                <w:szCs w:val="20"/>
                <w:lang w:val="en-CA"/>
              </w:rPr>
              <w:t>REDD</w:t>
            </w:r>
            <w:proofErr w:type="spellEnd"/>
            <w:r w:rsidRPr="003C5704">
              <w:rPr>
                <w:rFonts w:ascii="Calibri" w:hAnsi="Calibri"/>
                <w:i/>
                <w:sz w:val="20"/>
                <w:szCs w:val="20"/>
                <w:lang w:val="en-CA"/>
              </w:rPr>
              <w:t xml:space="preserve">+ Readiness will be followed.   UNDP publication, </w:t>
            </w:r>
            <w:r>
              <w:rPr>
                <w:rFonts w:ascii="Calibri" w:hAnsi="Calibri"/>
                <w:i/>
                <w:sz w:val="20"/>
                <w:szCs w:val="20"/>
                <w:lang w:val="en-CA"/>
              </w:rPr>
              <w:t>‘</w:t>
            </w:r>
            <w:r w:rsidRPr="0073524F">
              <w:rPr>
                <w:rFonts w:ascii="Calibri" w:hAnsi="Calibri" w:cs="Calibri"/>
                <w:i/>
                <w:iCs/>
                <w:sz w:val="20"/>
                <w:szCs w:val="20"/>
              </w:rPr>
              <w:t>Support</w:t>
            </w:r>
            <w:r w:rsidRPr="003C5704">
              <w:rPr>
                <w:rFonts w:ascii="Calibri" w:hAnsi="Calibri" w:cs="Calibri"/>
                <w:i/>
                <w:sz w:val="20"/>
                <w:szCs w:val="20"/>
                <w:lang w:val="en-CA"/>
              </w:rPr>
              <w:t xml:space="preserve"> to Effective and Inclusive National Syste</w:t>
            </w:r>
            <w:r>
              <w:rPr>
                <w:rFonts w:ascii="Calibri" w:hAnsi="Calibri" w:cs="Calibri"/>
                <w:i/>
                <w:sz w:val="20"/>
                <w:szCs w:val="20"/>
                <w:lang w:val="en-CA"/>
              </w:rPr>
              <w:t xml:space="preserve">ms of Governance for </w:t>
            </w:r>
            <w:proofErr w:type="spellStart"/>
            <w:r>
              <w:rPr>
                <w:rFonts w:ascii="Calibri" w:hAnsi="Calibri" w:cs="Calibri"/>
                <w:i/>
                <w:sz w:val="20"/>
                <w:szCs w:val="20"/>
                <w:lang w:val="en-CA"/>
              </w:rPr>
              <w:t>REDD-plus’</w:t>
            </w:r>
            <w:r>
              <w:rPr>
                <w:rFonts w:ascii="Calibri" w:hAnsi="Calibri"/>
                <w:i/>
                <w:sz w:val="20"/>
                <w:szCs w:val="20"/>
                <w:lang w:val="en-CA"/>
              </w:rPr>
              <w:t>will</w:t>
            </w:r>
            <w:proofErr w:type="spellEnd"/>
            <w:r>
              <w:rPr>
                <w:rFonts w:ascii="Calibri" w:hAnsi="Calibri"/>
                <w:i/>
                <w:sz w:val="20"/>
                <w:szCs w:val="20"/>
                <w:lang w:val="en-CA"/>
              </w:rPr>
              <w:t xml:space="preserve"> </w:t>
            </w:r>
            <w:r w:rsidRPr="003C5704">
              <w:rPr>
                <w:rFonts w:ascii="Calibri" w:hAnsi="Calibri"/>
                <w:i/>
                <w:sz w:val="20"/>
                <w:szCs w:val="20"/>
                <w:lang w:val="en-CA"/>
              </w:rPr>
              <w:t>also provide some technical guidance.</w:t>
            </w:r>
          </w:p>
          <w:p w:rsidR="00427C90" w:rsidRPr="003C5704" w:rsidRDefault="00427C90" w:rsidP="00427C90">
            <w:pPr>
              <w:autoSpaceDE w:val="0"/>
              <w:autoSpaceDN w:val="0"/>
              <w:adjustRightInd w:val="0"/>
              <w:rPr>
                <w:rFonts w:ascii="Calibri" w:hAnsi="Calibri"/>
                <w:i/>
                <w:sz w:val="20"/>
                <w:szCs w:val="20"/>
                <w:lang w:val="en-CA"/>
              </w:rPr>
            </w:pPr>
          </w:p>
        </w:tc>
      </w:tr>
      <w:tr w:rsidR="00427C90" w:rsidTr="00427C90">
        <w:trPr>
          <w:cantSplit/>
          <w:trHeight w:val="224"/>
        </w:trPr>
        <w:tc>
          <w:tcPr>
            <w:tcW w:w="1005" w:type="pct"/>
          </w:tcPr>
          <w:p w:rsidR="00427C90" w:rsidRDefault="00427C90" w:rsidP="00427C90">
            <w:pPr>
              <w:pStyle w:val="Default"/>
              <w:rPr>
                <w:rFonts w:ascii="Calibri" w:hAnsi="Calibri"/>
                <w:color w:val="auto"/>
                <w:sz w:val="22"/>
                <w:szCs w:val="18"/>
                <w:lang w:val="en-CA"/>
              </w:rPr>
            </w:pPr>
            <w:r>
              <w:rPr>
                <w:rFonts w:ascii="Calibri" w:hAnsi="Calibri"/>
                <w:color w:val="auto"/>
                <w:sz w:val="22"/>
                <w:szCs w:val="18"/>
                <w:lang w:val="en-CA"/>
              </w:rPr>
              <w:t xml:space="preserve">2(a) Actions complement or are consistent with the objectives of national forest programmes and relevant international conventions and agreements </w:t>
            </w:r>
          </w:p>
          <w:p w:rsidR="00427C90" w:rsidRDefault="00427C90" w:rsidP="00427C90">
            <w:pPr>
              <w:pStyle w:val="Default"/>
              <w:jc w:val="both"/>
              <w:rPr>
                <w:rFonts w:ascii="Calibri" w:hAnsi="Calibri"/>
                <w:color w:val="auto"/>
                <w:sz w:val="22"/>
                <w:szCs w:val="18"/>
                <w:lang w:val="en-CA"/>
              </w:rPr>
            </w:pPr>
          </w:p>
          <w:p w:rsidR="00427C90" w:rsidRDefault="00427C90" w:rsidP="00427C90">
            <w:pPr>
              <w:pStyle w:val="Default"/>
              <w:jc w:val="both"/>
              <w:rPr>
                <w:rFonts w:ascii="Calibri" w:hAnsi="Calibri"/>
                <w:color w:val="auto"/>
                <w:sz w:val="22"/>
                <w:szCs w:val="18"/>
                <w:lang w:val="en-CA"/>
              </w:rPr>
            </w:pPr>
            <w:r>
              <w:rPr>
                <w:rFonts w:ascii="Calibri" w:hAnsi="Calibri"/>
                <w:color w:val="auto"/>
                <w:sz w:val="22"/>
                <w:szCs w:val="18"/>
                <w:lang w:val="en-CA"/>
              </w:rPr>
              <w:t>2(f) Actions to address the risk of reversals</w:t>
            </w:r>
          </w:p>
        </w:tc>
        <w:tc>
          <w:tcPr>
            <w:tcW w:w="874" w:type="pct"/>
          </w:tcPr>
          <w:p w:rsidR="00427C90" w:rsidRDefault="00427C90" w:rsidP="00427C90">
            <w:pPr>
              <w:pStyle w:val="Default"/>
              <w:rPr>
                <w:rFonts w:ascii="Calibri" w:hAnsi="Calibri"/>
                <w:color w:val="auto"/>
                <w:sz w:val="22"/>
                <w:szCs w:val="18"/>
                <w:lang w:val="en-CA"/>
              </w:rPr>
            </w:pPr>
            <w:r>
              <w:rPr>
                <w:rFonts w:ascii="Calibri" w:hAnsi="Calibri"/>
                <w:color w:val="auto"/>
                <w:sz w:val="22"/>
                <w:szCs w:val="18"/>
                <w:lang w:val="en-CA"/>
              </w:rPr>
              <w:t>Principle 4 – Contribute to low-carbon, climate-resilient sustainable development policy, consistent with national development strategies, national forest programmes and commitments under international conventions and agreements</w:t>
            </w:r>
          </w:p>
        </w:tc>
        <w:tc>
          <w:tcPr>
            <w:tcW w:w="1435" w:type="pct"/>
          </w:tcPr>
          <w:p w:rsidR="00427C90" w:rsidRDefault="00427C90" w:rsidP="00427C90">
            <w:pPr>
              <w:pStyle w:val="Default"/>
              <w:rPr>
                <w:rFonts w:ascii="Calibri" w:hAnsi="Calibri"/>
                <w:color w:val="auto"/>
                <w:sz w:val="22"/>
                <w:szCs w:val="18"/>
                <w:lang w:val="en-CA"/>
              </w:rPr>
            </w:pPr>
            <w:r>
              <w:rPr>
                <w:rFonts w:ascii="Calibri" w:hAnsi="Calibri"/>
                <w:color w:val="auto"/>
                <w:sz w:val="22"/>
                <w:szCs w:val="18"/>
                <w:lang w:val="en-CA"/>
              </w:rPr>
              <w:t>Example:</w:t>
            </w:r>
          </w:p>
          <w:p w:rsidR="00427C90" w:rsidRDefault="00427C90" w:rsidP="00427C90">
            <w:pPr>
              <w:pStyle w:val="Default"/>
              <w:rPr>
                <w:rFonts w:ascii="Calibri" w:hAnsi="Calibri"/>
                <w:color w:val="auto"/>
                <w:sz w:val="22"/>
                <w:szCs w:val="18"/>
                <w:lang w:val="en-CA"/>
              </w:rPr>
            </w:pPr>
          </w:p>
          <w:p w:rsidR="00427C90" w:rsidRPr="002E6226" w:rsidRDefault="00427C90" w:rsidP="00427C90">
            <w:pPr>
              <w:pStyle w:val="Default"/>
              <w:rPr>
                <w:rFonts w:ascii="Calibri" w:hAnsi="Calibri"/>
                <w:color w:val="auto"/>
                <w:sz w:val="22"/>
                <w:szCs w:val="18"/>
                <w:lang w:val="en-CA"/>
              </w:rPr>
            </w:pPr>
            <w:r>
              <w:rPr>
                <w:rFonts w:ascii="Calibri" w:hAnsi="Calibri"/>
                <w:color w:val="auto"/>
                <w:sz w:val="22"/>
                <w:szCs w:val="18"/>
                <w:lang w:val="en-CA"/>
              </w:rPr>
              <w:t>While forest policies and legal frameworks are in place to minimize further forest loss and to maintain the area under forests, accelerating economic development may override existing legislation. This is exacerbated by the poor understanding of social and environmental values of forests and in</w:t>
            </w:r>
            <w:r w:rsidRPr="002E6226">
              <w:rPr>
                <w:rFonts w:ascii="Calibri" w:hAnsi="Calibri"/>
                <w:color w:val="auto"/>
                <w:sz w:val="22"/>
                <w:szCs w:val="18"/>
                <w:lang w:val="en-CA"/>
              </w:rPr>
              <w:t xml:space="preserve">sufficient understanding of future risks to </w:t>
            </w:r>
            <w:proofErr w:type="spellStart"/>
            <w:r w:rsidRPr="002E6226">
              <w:rPr>
                <w:rFonts w:ascii="Calibri" w:hAnsi="Calibri"/>
                <w:color w:val="auto"/>
                <w:sz w:val="22"/>
                <w:szCs w:val="18"/>
                <w:lang w:val="en-CA"/>
              </w:rPr>
              <w:t>REDD</w:t>
            </w:r>
            <w:proofErr w:type="spellEnd"/>
            <w:r w:rsidRPr="002E6226">
              <w:rPr>
                <w:rFonts w:ascii="Calibri" w:hAnsi="Calibri"/>
                <w:color w:val="auto"/>
                <w:sz w:val="22"/>
                <w:szCs w:val="18"/>
                <w:lang w:val="en-CA"/>
              </w:rPr>
              <w:t>+ achievements</w:t>
            </w:r>
            <w:r>
              <w:rPr>
                <w:rFonts w:ascii="Calibri" w:hAnsi="Calibri"/>
                <w:color w:val="auto"/>
                <w:sz w:val="22"/>
                <w:szCs w:val="18"/>
                <w:lang w:val="en-CA"/>
              </w:rPr>
              <w:t>.</w:t>
            </w:r>
          </w:p>
        </w:tc>
        <w:tc>
          <w:tcPr>
            <w:tcW w:w="1686" w:type="pct"/>
          </w:tcPr>
          <w:p w:rsidR="00427C90" w:rsidRPr="00734802" w:rsidRDefault="00427C90" w:rsidP="00427C90">
            <w:pPr>
              <w:pStyle w:val="Default"/>
              <w:rPr>
                <w:rFonts w:ascii="Calibri" w:hAnsi="Calibri"/>
                <w:color w:val="auto"/>
                <w:sz w:val="22"/>
                <w:szCs w:val="18"/>
                <w:u w:val="single"/>
                <w:lang w:val="en-CA"/>
              </w:rPr>
            </w:pPr>
            <w:r w:rsidRPr="00734802">
              <w:rPr>
                <w:rFonts w:ascii="Calibri" w:hAnsi="Calibri"/>
                <w:color w:val="auto"/>
                <w:sz w:val="22"/>
                <w:szCs w:val="18"/>
                <w:u w:val="single"/>
                <w:lang w:val="en-CA"/>
              </w:rPr>
              <w:t>Relevant Policies, Laws and Regulations:</w:t>
            </w:r>
          </w:p>
          <w:p w:rsidR="00427C90" w:rsidRDefault="00427C90" w:rsidP="00427C90">
            <w:pPr>
              <w:pStyle w:val="Default"/>
              <w:rPr>
                <w:rFonts w:ascii="Calibri" w:hAnsi="Calibri"/>
                <w:color w:val="auto"/>
                <w:sz w:val="22"/>
                <w:szCs w:val="18"/>
                <w:lang w:val="en-CA"/>
              </w:rPr>
            </w:pPr>
          </w:p>
          <w:p w:rsidR="00427C90" w:rsidRDefault="00427C90" w:rsidP="00427C90">
            <w:pPr>
              <w:pStyle w:val="Default"/>
              <w:rPr>
                <w:rFonts w:ascii="Calibri" w:hAnsi="Calibri"/>
                <w:color w:val="auto"/>
                <w:sz w:val="22"/>
                <w:szCs w:val="18"/>
                <w:lang w:val="en-CA"/>
              </w:rPr>
            </w:pPr>
          </w:p>
          <w:p w:rsidR="00427C90" w:rsidRPr="00734802" w:rsidRDefault="00427C90" w:rsidP="00427C90">
            <w:pPr>
              <w:pStyle w:val="Default"/>
              <w:rPr>
                <w:rFonts w:ascii="Calibri" w:hAnsi="Calibri"/>
                <w:color w:val="auto"/>
                <w:sz w:val="22"/>
                <w:szCs w:val="18"/>
                <w:u w:val="single"/>
                <w:lang w:val="en-CA"/>
              </w:rPr>
            </w:pPr>
            <w:r w:rsidRPr="00734802">
              <w:rPr>
                <w:rFonts w:ascii="Calibri" w:hAnsi="Calibri"/>
                <w:color w:val="auto"/>
                <w:sz w:val="22"/>
                <w:szCs w:val="18"/>
                <w:u w:val="single"/>
                <w:lang w:val="en-CA"/>
              </w:rPr>
              <w:t>Measures:</w:t>
            </w:r>
          </w:p>
          <w:p w:rsidR="00427C90" w:rsidRDefault="00427C90" w:rsidP="00427C90">
            <w:pPr>
              <w:pStyle w:val="Default"/>
              <w:rPr>
                <w:rFonts w:ascii="Calibri" w:hAnsi="Calibri"/>
                <w:color w:val="auto"/>
                <w:sz w:val="22"/>
                <w:szCs w:val="18"/>
                <w:lang w:val="en-CA"/>
              </w:rPr>
            </w:pPr>
          </w:p>
          <w:p w:rsidR="00427C90" w:rsidRDefault="00427C90" w:rsidP="00427C90">
            <w:pPr>
              <w:pStyle w:val="Default"/>
              <w:rPr>
                <w:rFonts w:ascii="Calibri" w:hAnsi="Calibri"/>
                <w:color w:val="auto"/>
                <w:sz w:val="22"/>
                <w:szCs w:val="18"/>
                <w:lang w:val="en-CA"/>
              </w:rPr>
            </w:pPr>
            <w:r>
              <w:rPr>
                <w:rFonts w:ascii="Calibri" w:hAnsi="Calibri"/>
                <w:color w:val="auto"/>
                <w:sz w:val="22"/>
                <w:szCs w:val="18"/>
                <w:lang w:val="en-CA"/>
              </w:rPr>
              <w:t xml:space="preserve">     </w:t>
            </w:r>
          </w:p>
          <w:p w:rsidR="00427C90" w:rsidRDefault="00427C90" w:rsidP="00427C90">
            <w:pPr>
              <w:pStyle w:val="Default"/>
              <w:rPr>
                <w:rFonts w:ascii="Calibri" w:hAnsi="Calibri"/>
                <w:color w:val="auto"/>
                <w:sz w:val="22"/>
                <w:szCs w:val="18"/>
                <w:lang w:val="en-CA"/>
              </w:rPr>
            </w:pPr>
          </w:p>
          <w:p w:rsidR="00427C90" w:rsidRPr="00BF77D9" w:rsidRDefault="00427C90" w:rsidP="00427C90">
            <w:pPr>
              <w:rPr>
                <w:rFonts w:ascii="Calibri" w:hAnsi="Calibri"/>
              </w:rPr>
            </w:pPr>
            <w:r w:rsidRPr="00734802">
              <w:rPr>
                <w:rFonts w:ascii="Calibri" w:hAnsi="Calibri"/>
                <w:sz w:val="22"/>
                <w:szCs w:val="18"/>
                <w:u w:val="single"/>
                <w:lang w:val="en-CA"/>
              </w:rPr>
              <w:t>Relevant UN-REDD guidelines:</w:t>
            </w:r>
          </w:p>
        </w:tc>
      </w:tr>
      <w:tr w:rsidR="00427C90" w:rsidTr="00427C90">
        <w:trPr>
          <w:cantSplit/>
          <w:trHeight w:val="554"/>
        </w:trPr>
        <w:tc>
          <w:tcPr>
            <w:tcW w:w="1005" w:type="pct"/>
          </w:tcPr>
          <w:p w:rsidR="00427C90" w:rsidRDefault="00427C90" w:rsidP="00427C90">
            <w:pPr>
              <w:pStyle w:val="Default"/>
              <w:rPr>
                <w:rFonts w:ascii="Calibri" w:hAnsi="Calibri"/>
                <w:color w:val="auto"/>
                <w:sz w:val="22"/>
                <w:szCs w:val="18"/>
                <w:lang w:val="en-CA"/>
              </w:rPr>
            </w:pPr>
            <w:r>
              <w:rPr>
                <w:rFonts w:ascii="Calibri" w:hAnsi="Calibri"/>
                <w:color w:val="auto"/>
                <w:sz w:val="22"/>
                <w:szCs w:val="18"/>
                <w:lang w:val="en-CA"/>
              </w:rPr>
              <w:lastRenderedPageBreak/>
              <w:t>2(e) Actions are consistent with the conservation of natural forests and biological diversity, ensuring that actions (…) are not used for the conversion of natural forests but are instead used to incentivize the protection and conservation of natural forests and their ecosystem services (…)</w:t>
            </w:r>
          </w:p>
        </w:tc>
        <w:tc>
          <w:tcPr>
            <w:tcW w:w="874" w:type="pct"/>
          </w:tcPr>
          <w:p w:rsidR="00427C90" w:rsidRDefault="00427C90" w:rsidP="00427C90">
            <w:pPr>
              <w:pStyle w:val="Default"/>
              <w:keepNext/>
              <w:autoSpaceDE/>
              <w:adjustRightInd/>
              <w:rPr>
                <w:rFonts w:ascii="Calibri" w:hAnsi="Calibri"/>
                <w:color w:val="auto"/>
                <w:sz w:val="22"/>
                <w:szCs w:val="18"/>
                <w:lang w:val="en-CA"/>
              </w:rPr>
            </w:pPr>
            <w:r>
              <w:rPr>
                <w:rFonts w:ascii="Calibri" w:hAnsi="Calibri"/>
                <w:color w:val="auto"/>
                <w:sz w:val="22"/>
                <w:szCs w:val="18"/>
                <w:lang w:val="en-CA"/>
              </w:rPr>
              <w:t>Principle 5 – Protect naturally regenerating forests from degradation or conversion to other land uses, including plantation forest</w:t>
            </w:r>
          </w:p>
        </w:tc>
        <w:tc>
          <w:tcPr>
            <w:tcW w:w="1435" w:type="pct"/>
          </w:tcPr>
          <w:p w:rsidR="00427C90" w:rsidRDefault="00427C90" w:rsidP="00427C90">
            <w:pPr>
              <w:pStyle w:val="Default"/>
              <w:rPr>
                <w:rFonts w:ascii="Calibri" w:hAnsi="Calibri"/>
                <w:color w:val="auto"/>
                <w:sz w:val="22"/>
                <w:szCs w:val="18"/>
                <w:lang w:val="en-CA"/>
              </w:rPr>
            </w:pPr>
            <w:r>
              <w:rPr>
                <w:rFonts w:ascii="Calibri" w:hAnsi="Calibri"/>
                <w:color w:val="auto"/>
                <w:sz w:val="22"/>
                <w:szCs w:val="18"/>
                <w:lang w:val="en-CA"/>
              </w:rPr>
              <w:t xml:space="preserve">Example: </w:t>
            </w:r>
          </w:p>
          <w:p w:rsidR="00427C90" w:rsidRDefault="00427C90" w:rsidP="00427C90">
            <w:pPr>
              <w:pStyle w:val="Default"/>
              <w:rPr>
                <w:rFonts w:ascii="Calibri" w:hAnsi="Calibri"/>
                <w:color w:val="auto"/>
                <w:sz w:val="22"/>
                <w:szCs w:val="18"/>
                <w:lang w:val="en-CA"/>
              </w:rPr>
            </w:pPr>
          </w:p>
          <w:p w:rsidR="00427C90" w:rsidRDefault="00427C90" w:rsidP="00427C90">
            <w:pPr>
              <w:pStyle w:val="Default"/>
              <w:rPr>
                <w:rFonts w:ascii="Calibri" w:hAnsi="Calibri"/>
                <w:color w:val="auto"/>
                <w:sz w:val="22"/>
                <w:szCs w:val="18"/>
                <w:lang w:val="en-CA"/>
              </w:rPr>
            </w:pPr>
            <w:r>
              <w:rPr>
                <w:rFonts w:ascii="Calibri" w:hAnsi="Calibri"/>
                <w:color w:val="auto"/>
                <w:sz w:val="22"/>
                <w:szCs w:val="18"/>
                <w:lang w:val="en-CA"/>
              </w:rPr>
              <w:t>As interest in generating carbon credits increases, there is the potential that natural forests of high biological diversity will be replaced with carbon producing forests.</w:t>
            </w:r>
          </w:p>
        </w:tc>
        <w:tc>
          <w:tcPr>
            <w:tcW w:w="1686" w:type="pct"/>
          </w:tcPr>
          <w:p w:rsidR="00427C90" w:rsidRDefault="00427C90" w:rsidP="00427C90">
            <w:pPr>
              <w:pStyle w:val="Default"/>
              <w:rPr>
                <w:rFonts w:ascii="Calibri" w:hAnsi="Calibri"/>
                <w:color w:val="auto"/>
                <w:sz w:val="22"/>
                <w:szCs w:val="18"/>
                <w:u w:val="single"/>
                <w:lang w:val="en-CA"/>
              </w:rPr>
            </w:pPr>
            <w:r w:rsidRPr="00734802">
              <w:rPr>
                <w:rFonts w:ascii="Calibri" w:hAnsi="Calibri"/>
                <w:color w:val="auto"/>
                <w:sz w:val="22"/>
                <w:szCs w:val="18"/>
                <w:u w:val="single"/>
                <w:lang w:val="en-CA"/>
              </w:rPr>
              <w:t>Relevant Policies, Laws and Regulations:</w:t>
            </w:r>
            <w:r>
              <w:rPr>
                <w:rFonts w:ascii="Calibri" w:hAnsi="Calibri"/>
                <w:color w:val="auto"/>
                <w:sz w:val="22"/>
                <w:szCs w:val="18"/>
                <w:u w:val="single"/>
                <w:lang w:val="en-CA"/>
              </w:rPr>
              <w:t xml:space="preserve"> </w:t>
            </w:r>
          </w:p>
          <w:p w:rsidR="00427C90" w:rsidRPr="00734802" w:rsidRDefault="00427C90" w:rsidP="00427C90">
            <w:pPr>
              <w:pStyle w:val="Default"/>
              <w:rPr>
                <w:rFonts w:ascii="Calibri" w:hAnsi="Calibri"/>
                <w:color w:val="auto"/>
                <w:sz w:val="22"/>
                <w:szCs w:val="18"/>
                <w:u w:val="single"/>
                <w:lang w:val="en-CA"/>
              </w:rPr>
            </w:pPr>
            <w:proofErr w:type="spellStart"/>
            <w:r w:rsidRPr="00B772F1">
              <w:rPr>
                <w:rFonts w:ascii="Calibri" w:hAnsi="Calibri"/>
                <w:color w:val="auto"/>
                <w:sz w:val="22"/>
                <w:szCs w:val="18"/>
                <w:lang w:val="en-CA"/>
              </w:rPr>
              <w:t>e.g</w:t>
            </w:r>
            <w:proofErr w:type="spellEnd"/>
            <w:r w:rsidRPr="00B772F1">
              <w:rPr>
                <w:rFonts w:ascii="Calibri" w:hAnsi="Calibri"/>
                <w:color w:val="auto"/>
                <w:sz w:val="22"/>
                <w:szCs w:val="18"/>
                <w:lang w:val="en-CA"/>
              </w:rPr>
              <w:t xml:space="preserve">  </w:t>
            </w:r>
            <w:proofErr w:type="spellStart"/>
            <w:r w:rsidRPr="00B772F1">
              <w:rPr>
                <w:rFonts w:ascii="Calibri" w:hAnsi="Calibri"/>
                <w:color w:val="auto"/>
                <w:sz w:val="22"/>
                <w:szCs w:val="18"/>
                <w:lang w:val="en-CA"/>
              </w:rPr>
              <w:t>EIA</w:t>
            </w:r>
            <w:proofErr w:type="spellEnd"/>
            <w:r w:rsidRPr="00B772F1">
              <w:rPr>
                <w:rFonts w:ascii="Calibri" w:hAnsi="Calibri"/>
                <w:color w:val="auto"/>
                <w:sz w:val="22"/>
                <w:szCs w:val="18"/>
                <w:lang w:val="en-CA"/>
              </w:rPr>
              <w:t>,</w:t>
            </w:r>
            <w:r>
              <w:rPr>
                <w:rFonts w:ascii="Calibri" w:hAnsi="Calibri"/>
                <w:color w:val="auto"/>
                <w:sz w:val="22"/>
                <w:szCs w:val="18"/>
                <w:u w:val="single"/>
                <w:lang w:val="en-CA"/>
              </w:rPr>
              <w:t xml:space="preserve"> </w:t>
            </w:r>
          </w:p>
          <w:p w:rsidR="00427C90" w:rsidRDefault="00427C90" w:rsidP="00427C90">
            <w:pPr>
              <w:pStyle w:val="Default"/>
              <w:rPr>
                <w:rFonts w:ascii="Calibri" w:hAnsi="Calibri"/>
                <w:color w:val="auto"/>
                <w:sz w:val="22"/>
                <w:szCs w:val="18"/>
                <w:u w:val="single"/>
                <w:lang w:val="en-CA"/>
              </w:rPr>
            </w:pPr>
          </w:p>
          <w:p w:rsidR="00427C90" w:rsidRDefault="00427C90" w:rsidP="00427C90">
            <w:pPr>
              <w:pStyle w:val="Default"/>
              <w:rPr>
                <w:rFonts w:ascii="Calibri" w:hAnsi="Calibri"/>
                <w:color w:val="auto"/>
                <w:sz w:val="22"/>
                <w:szCs w:val="18"/>
                <w:u w:val="single"/>
                <w:lang w:val="en-CA"/>
              </w:rPr>
            </w:pPr>
          </w:p>
          <w:p w:rsidR="00427C90" w:rsidRPr="00734802" w:rsidRDefault="00427C90" w:rsidP="00427C90">
            <w:pPr>
              <w:pStyle w:val="Default"/>
              <w:rPr>
                <w:rFonts w:ascii="Calibri" w:hAnsi="Calibri"/>
                <w:color w:val="auto"/>
                <w:sz w:val="22"/>
                <w:szCs w:val="18"/>
                <w:u w:val="single"/>
                <w:lang w:val="en-CA"/>
              </w:rPr>
            </w:pPr>
            <w:r w:rsidRPr="00734802">
              <w:rPr>
                <w:rFonts w:ascii="Calibri" w:hAnsi="Calibri"/>
                <w:color w:val="auto"/>
                <w:sz w:val="22"/>
                <w:szCs w:val="18"/>
                <w:u w:val="single"/>
                <w:lang w:val="en-CA"/>
              </w:rPr>
              <w:t>Measures:</w:t>
            </w:r>
          </w:p>
          <w:p w:rsidR="00427C90" w:rsidRDefault="00427C90" w:rsidP="00427C90">
            <w:pPr>
              <w:pStyle w:val="Default"/>
              <w:rPr>
                <w:rFonts w:ascii="Calibri" w:hAnsi="Calibri"/>
                <w:color w:val="auto"/>
                <w:sz w:val="22"/>
                <w:szCs w:val="18"/>
                <w:lang w:val="en-CA"/>
              </w:rPr>
            </w:pPr>
          </w:p>
          <w:p w:rsidR="00427C90" w:rsidRDefault="00427C90" w:rsidP="00427C90">
            <w:pPr>
              <w:pStyle w:val="Default"/>
              <w:rPr>
                <w:rFonts w:ascii="Calibri" w:hAnsi="Calibri"/>
                <w:color w:val="auto"/>
                <w:sz w:val="22"/>
                <w:szCs w:val="18"/>
                <w:lang w:val="en-CA"/>
              </w:rPr>
            </w:pPr>
          </w:p>
          <w:p w:rsidR="00427C90" w:rsidRDefault="00427C90" w:rsidP="00427C90">
            <w:pPr>
              <w:pStyle w:val="Default"/>
              <w:rPr>
                <w:rFonts w:ascii="Calibri" w:hAnsi="Calibri"/>
                <w:color w:val="auto"/>
                <w:sz w:val="22"/>
                <w:szCs w:val="18"/>
                <w:lang w:val="en-CA"/>
              </w:rPr>
            </w:pPr>
          </w:p>
          <w:p w:rsidR="00427C90" w:rsidRDefault="00427C90" w:rsidP="00427C90">
            <w:pPr>
              <w:pStyle w:val="Default"/>
              <w:rPr>
                <w:rFonts w:ascii="Calibri" w:hAnsi="Calibri"/>
                <w:color w:val="auto"/>
                <w:sz w:val="22"/>
                <w:szCs w:val="18"/>
                <w:lang w:val="en-CA"/>
              </w:rPr>
            </w:pPr>
            <w:r w:rsidRPr="00734802">
              <w:rPr>
                <w:rFonts w:ascii="Calibri" w:hAnsi="Calibri"/>
                <w:color w:val="auto"/>
                <w:sz w:val="22"/>
                <w:szCs w:val="18"/>
                <w:u w:val="single"/>
                <w:lang w:val="en-CA"/>
              </w:rPr>
              <w:t>Relevant UN-REDD guidelines:</w:t>
            </w:r>
          </w:p>
        </w:tc>
      </w:tr>
      <w:tr w:rsidR="00427C90" w:rsidTr="00427C90">
        <w:trPr>
          <w:cantSplit/>
          <w:trHeight w:val="554"/>
        </w:trPr>
        <w:tc>
          <w:tcPr>
            <w:tcW w:w="1005" w:type="pct"/>
          </w:tcPr>
          <w:p w:rsidR="00427C90" w:rsidRDefault="00427C90" w:rsidP="00427C90">
            <w:pPr>
              <w:pStyle w:val="Default"/>
              <w:rPr>
                <w:rFonts w:ascii="Calibri" w:hAnsi="Calibri"/>
                <w:color w:val="auto"/>
                <w:sz w:val="22"/>
                <w:szCs w:val="18"/>
                <w:lang w:val="en-CA"/>
              </w:rPr>
            </w:pPr>
            <w:r>
              <w:rPr>
                <w:rFonts w:ascii="Calibri" w:hAnsi="Calibri"/>
                <w:color w:val="auto"/>
                <w:sz w:val="22"/>
                <w:szCs w:val="18"/>
                <w:lang w:val="en-CA"/>
              </w:rPr>
              <w:t xml:space="preserve">2(e) Actions (…) </w:t>
            </w:r>
            <w:proofErr w:type="gramStart"/>
            <w:r>
              <w:rPr>
                <w:rFonts w:ascii="Calibri" w:hAnsi="Calibri"/>
                <w:color w:val="auto"/>
                <w:sz w:val="22"/>
                <w:szCs w:val="18"/>
                <w:lang w:val="en-CA"/>
              </w:rPr>
              <w:t>incentivize</w:t>
            </w:r>
            <w:proofErr w:type="gramEnd"/>
            <w:r>
              <w:rPr>
                <w:rFonts w:ascii="Calibri" w:hAnsi="Calibri"/>
                <w:color w:val="auto"/>
                <w:sz w:val="22"/>
                <w:szCs w:val="18"/>
                <w:lang w:val="en-CA"/>
              </w:rPr>
              <w:t xml:space="preserve"> the protection and conservation of natural forests and their ecosystem services (…)</w:t>
            </w:r>
          </w:p>
          <w:p w:rsidR="00427C90" w:rsidRDefault="00427C90" w:rsidP="00427C90">
            <w:pPr>
              <w:pStyle w:val="Default"/>
              <w:jc w:val="both"/>
              <w:rPr>
                <w:rFonts w:ascii="Calibri" w:hAnsi="Calibri"/>
                <w:color w:val="auto"/>
                <w:sz w:val="22"/>
                <w:szCs w:val="18"/>
                <w:lang w:val="en-CA"/>
              </w:rPr>
            </w:pPr>
          </w:p>
          <w:p w:rsidR="00427C90" w:rsidRDefault="00427C90" w:rsidP="00427C90">
            <w:pPr>
              <w:pStyle w:val="Default"/>
              <w:rPr>
                <w:rFonts w:ascii="Calibri" w:hAnsi="Calibri"/>
                <w:color w:val="auto"/>
                <w:sz w:val="22"/>
                <w:szCs w:val="18"/>
                <w:lang w:val="en-CA"/>
              </w:rPr>
            </w:pPr>
            <w:r>
              <w:rPr>
                <w:rFonts w:ascii="Calibri" w:hAnsi="Calibri"/>
                <w:color w:val="auto"/>
                <w:sz w:val="22"/>
                <w:szCs w:val="18"/>
                <w:lang w:val="en-CA"/>
              </w:rPr>
              <w:t xml:space="preserve">2(e) Actions are (…) used to (…) enhance other social and environmental benefits </w:t>
            </w:r>
          </w:p>
        </w:tc>
        <w:tc>
          <w:tcPr>
            <w:tcW w:w="874" w:type="pct"/>
          </w:tcPr>
          <w:p w:rsidR="00427C90" w:rsidRDefault="00427C90" w:rsidP="00427C90">
            <w:pPr>
              <w:pStyle w:val="Default"/>
              <w:rPr>
                <w:rFonts w:ascii="Calibri" w:hAnsi="Calibri"/>
                <w:color w:val="auto"/>
                <w:sz w:val="22"/>
                <w:szCs w:val="18"/>
                <w:lang w:val="en-CA"/>
              </w:rPr>
            </w:pPr>
            <w:r>
              <w:rPr>
                <w:rFonts w:ascii="Calibri" w:hAnsi="Calibri"/>
                <w:color w:val="auto"/>
                <w:sz w:val="22"/>
                <w:szCs w:val="18"/>
                <w:lang w:val="en-CA"/>
              </w:rPr>
              <w:t>Principle 6 – Maintain and enhance multiple functions of forest to deliver management objectives including biodiversity conservation and ecosystem services</w:t>
            </w:r>
          </w:p>
        </w:tc>
        <w:tc>
          <w:tcPr>
            <w:tcW w:w="1435" w:type="pct"/>
          </w:tcPr>
          <w:p w:rsidR="00427C90" w:rsidRDefault="00427C90" w:rsidP="00427C90">
            <w:pPr>
              <w:pStyle w:val="Default"/>
              <w:rPr>
                <w:rFonts w:ascii="Calibri" w:hAnsi="Calibri"/>
                <w:color w:val="auto"/>
                <w:sz w:val="22"/>
                <w:szCs w:val="18"/>
                <w:lang w:val="en-CA"/>
              </w:rPr>
            </w:pPr>
            <w:r>
              <w:rPr>
                <w:rFonts w:ascii="Calibri" w:hAnsi="Calibri"/>
                <w:color w:val="auto"/>
                <w:sz w:val="22"/>
                <w:szCs w:val="18"/>
                <w:lang w:val="en-CA"/>
              </w:rPr>
              <w:t xml:space="preserve">Example: </w:t>
            </w:r>
          </w:p>
          <w:p w:rsidR="00427C90" w:rsidRDefault="00427C90" w:rsidP="00427C90">
            <w:pPr>
              <w:pStyle w:val="Default"/>
              <w:rPr>
                <w:rFonts w:ascii="Calibri" w:hAnsi="Calibri"/>
                <w:color w:val="auto"/>
                <w:sz w:val="22"/>
                <w:szCs w:val="18"/>
                <w:lang w:val="en-CA"/>
              </w:rPr>
            </w:pPr>
          </w:p>
          <w:p w:rsidR="00427C90" w:rsidRDefault="00427C90" w:rsidP="00427C90">
            <w:pPr>
              <w:pStyle w:val="Default"/>
              <w:rPr>
                <w:rFonts w:ascii="Calibri" w:hAnsi="Calibri"/>
                <w:color w:val="auto"/>
                <w:sz w:val="22"/>
                <w:szCs w:val="18"/>
                <w:lang w:val="en-CA"/>
              </w:rPr>
            </w:pPr>
            <w:r>
              <w:rPr>
                <w:rFonts w:ascii="Calibri" w:hAnsi="Calibri"/>
                <w:color w:val="auto"/>
                <w:sz w:val="22"/>
                <w:szCs w:val="18"/>
                <w:lang w:val="en-CA"/>
              </w:rPr>
              <w:t>Without knowledge on the social and environmental benefits of natural forests and weak incentives to protect or manage them it is likely that carbon credit generation will be overemphasized to the detriment of other benefits.</w:t>
            </w:r>
          </w:p>
        </w:tc>
        <w:tc>
          <w:tcPr>
            <w:tcW w:w="1686" w:type="pct"/>
          </w:tcPr>
          <w:p w:rsidR="00427C90" w:rsidRPr="00734802" w:rsidRDefault="00427C90" w:rsidP="00427C90">
            <w:pPr>
              <w:pStyle w:val="Default"/>
              <w:rPr>
                <w:rFonts w:ascii="Calibri" w:hAnsi="Calibri"/>
                <w:color w:val="auto"/>
                <w:sz w:val="22"/>
                <w:szCs w:val="18"/>
                <w:u w:val="single"/>
                <w:lang w:val="en-CA"/>
              </w:rPr>
            </w:pPr>
            <w:r w:rsidRPr="00734802">
              <w:rPr>
                <w:rFonts w:ascii="Calibri" w:hAnsi="Calibri"/>
                <w:color w:val="auto"/>
                <w:sz w:val="22"/>
                <w:szCs w:val="18"/>
                <w:u w:val="single"/>
                <w:lang w:val="en-CA"/>
              </w:rPr>
              <w:t>Relevant Policies, Laws and Regulations:</w:t>
            </w:r>
          </w:p>
          <w:p w:rsidR="00427C90" w:rsidRDefault="00427C90" w:rsidP="00427C90">
            <w:pPr>
              <w:pStyle w:val="Default"/>
              <w:rPr>
                <w:rFonts w:ascii="Calibri" w:hAnsi="Calibri"/>
                <w:color w:val="auto"/>
                <w:sz w:val="22"/>
                <w:szCs w:val="18"/>
                <w:u w:val="single"/>
                <w:lang w:val="en-CA"/>
              </w:rPr>
            </w:pPr>
          </w:p>
          <w:p w:rsidR="00427C90" w:rsidRDefault="00427C90" w:rsidP="00427C90">
            <w:pPr>
              <w:pStyle w:val="Default"/>
              <w:rPr>
                <w:rFonts w:ascii="Calibri" w:hAnsi="Calibri"/>
                <w:color w:val="auto"/>
                <w:sz w:val="22"/>
                <w:szCs w:val="18"/>
                <w:u w:val="single"/>
                <w:lang w:val="en-CA"/>
              </w:rPr>
            </w:pPr>
          </w:p>
          <w:p w:rsidR="00427C90" w:rsidRPr="0060754A" w:rsidRDefault="00427C90" w:rsidP="00427C90">
            <w:pPr>
              <w:pStyle w:val="Default"/>
              <w:rPr>
                <w:rFonts w:ascii="Calibri" w:hAnsi="Calibri"/>
                <w:color w:val="auto"/>
                <w:sz w:val="22"/>
                <w:szCs w:val="18"/>
                <w:u w:val="single"/>
                <w:lang w:val="en-CA"/>
              </w:rPr>
            </w:pPr>
            <w:r>
              <w:rPr>
                <w:rFonts w:ascii="Calibri" w:hAnsi="Calibri"/>
                <w:color w:val="auto"/>
                <w:sz w:val="22"/>
                <w:szCs w:val="18"/>
                <w:u w:val="single"/>
                <w:lang w:val="en-CA"/>
              </w:rPr>
              <w:t>Measures:</w:t>
            </w:r>
          </w:p>
          <w:p w:rsidR="00427C90" w:rsidRDefault="00427C90" w:rsidP="00427C90">
            <w:pPr>
              <w:pStyle w:val="Default"/>
              <w:rPr>
                <w:rFonts w:ascii="Calibri" w:hAnsi="Calibri"/>
                <w:color w:val="auto"/>
                <w:sz w:val="22"/>
                <w:szCs w:val="18"/>
                <w:lang w:val="en-CA"/>
              </w:rPr>
            </w:pPr>
          </w:p>
          <w:p w:rsidR="00427C90" w:rsidRDefault="00427C90" w:rsidP="00427C90">
            <w:pPr>
              <w:pStyle w:val="Default"/>
              <w:rPr>
                <w:rFonts w:ascii="Calibri" w:hAnsi="Calibri"/>
                <w:color w:val="auto"/>
                <w:sz w:val="22"/>
                <w:szCs w:val="18"/>
                <w:lang w:val="en-CA"/>
              </w:rPr>
            </w:pPr>
          </w:p>
          <w:p w:rsidR="00427C90" w:rsidRPr="003C5704" w:rsidRDefault="00427C90" w:rsidP="00427C90">
            <w:pPr>
              <w:pStyle w:val="Default"/>
              <w:rPr>
                <w:rFonts w:ascii="Calibri" w:hAnsi="Calibri"/>
                <w:i/>
                <w:color w:val="auto"/>
                <w:sz w:val="20"/>
                <w:szCs w:val="20"/>
                <w:lang w:val="en-CA"/>
              </w:rPr>
            </w:pPr>
            <w:r w:rsidRPr="00734802">
              <w:rPr>
                <w:rFonts w:ascii="Calibri" w:hAnsi="Calibri"/>
                <w:color w:val="auto"/>
                <w:sz w:val="22"/>
                <w:szCs w:val="18"/>
                <w:u w:val="single"/>
                <w:lang w:val="en-CA"/>
              </w:rPr>
              <w:t>Relevant UN-REDD guidelines:</w:t>
            </w:r>
          </w:p>
        </w:tc>
      </w:tr>
      <w:tr w:rsidR="00427C90" w:rsidTr="00427C90">
        <w:trPr>
          <w:cantSplit/>
          <w:trHeight w:val="554"/>
        </w:trPr>
        <w:tc>
          <w:tcPr>
            <w:tcW w:w="1005" w:type="pct"/>
          </w:tcPr>
          <w:p w:rsidR="00427C90" w:rsidRDefault="00427C90" w:rsidP="00427C90">
            <w:pPr>
              <w:pStyle w:val="Default"/>
              <w:rPr>
                <w:rFonts w:ascii="Calibri" w:hAnsi="Calibri"/>
                <w:color w:val="auto"/>
                <w:sz w:val="22"/>
                <w:szCs w:val="18"/>
                <w:lang w:val="en-CA"/>
              </w:rPr>
            </w:pPr>
            <w:r>
              <w:rPr>
                <w:rFonts w:ascii="Calibri" w:hAnsi="Calibri"/>
                <w:color w:val="auto"/>
                <w:sz w:val="22"/>
                <w:szCs w:val="18"/>
                <w:lang w:val="en-CA"/>
              </w:rPr>
              <w:t>2(e) Actions that are consistent with the conservation of… biological diversity…</w:t>
            </w:r>
          </w:p>
          <w:p w:rsidR="00427C90" w:rsidRDefault="00427C90" w:rsidP="00427C90">
            <w:pPr>
              <w:pStyle w:val="Default"/>
              <w:jc w:val="both"/>
              <w:rPr>
                <w:rFonts w:ascii="Calibri" w:hAnsi="Calibri"/>
                <w:color w:val="auto"/>
                <w:sz w:val="22"/>
                <w:szCs w:val="18"/>
                <w:lang w:val="en-CA"/>
              </w:rPr>
            </w:pPr>
          </w:p>
          <w:p w:rsidR="00427C90" w:rsidRDefault="00427C90" w:rsidP="00427C90">
            <w:pPr>
              <w:pStyle w:val="Default"/>
              <w:rPr>
                <w:rFonts w:ascii="Calibri" w:hAnsi="Calibri"/>
                <w:color w:val="auto"/>
                <w:sz w:val="22"/>
                <w:szCs w:val="18"/>
                <w:lang w:val="en-CA"/>
              </w:rPr>
            </w:pPr>
            <w:r>
              <w:rPr>
                <w:rFonts w:ascii="Calibri" w:hAnsi="Calibri"/>
                <w:color w:val="auto"/>
                <w:sz w:val="22"/>
                <w:szCs w:val="18"/>
                <w:lang w:val="en-CA"/>
              </w:rPr>
              <w:t>2(g) Actions to reduce displacement of emissions</w:t>
            </w:r>
          </w:p>
        </w:tc>
        <w:tc>
          <w:tcPr>
            <w:tcW w:w="874" w:type="pct"/>
          </w:tcPr>
          <w:p w:rsidR="00427C90" w:rsidRDefault="00427C90" w:rsidP="00427C90">
            <w:pPr>
              <w:pStyle w:val="Default"/>
              <w:rPr>
                <w:rFonts w:ascii="Calibri" w:hAnsi="Calibri"/>
                <w:color w:val="auto"/>
                <w:sz w:val="22"/>
                <w:szCs w:val="18"/>
                <w:lang w:val="en-CA"/>
              </w:rPr>
            </w:pPr>
            <w:r>
              <w:rPr>
                <w:rFonts w:ascii="Calibri" w:hAnsi="Calibri"/>
                <w:color w:val="auto"/>
                <w:sz w:val="22"/>
                <w:szCs w:val="18"/>
                <w:lang w:val="en-CA"/>
              </w:rPr>
              <w:t>Principle 7 – Minimise adverse impacts (direct and indirect) on non-forest ecosystem services and biodiversity</w:t>
            </w:r>
          </w:p>
        </w:tc>
        <w:tc>
          <w:tcPr>
            <w:tcW w:w="1435" w:type="pct"/>
          </w:tcPr>
          <w:p w:rsidR="00427C90" w:rsidRDefault="00427C90" w:rsidP="00427C90">
            <w:pPr>
              <w:pStyle w:val="Default"/>
              <w:rPr>
                <w:rFonts w:ascii="Calibri" w:hAnsi="Calibri"/>
                <w:color w:val="auto"/>
                <w:sz w:val="22"/>
                <w:szCs w:val="18"/>
                <w:lang w:val="en-CA"/>
              </w:rPr>
            </w:pPr>
            <w:r>
              <w:rPr>
                <w:rFonts w:ascii="Calibri" w:hAnsi="Calibri"/>
                <w:color w:val="auto"/>
                <w:sz w:val="22"/>
                <w:szCs w:val="18"/>
                <w:lang w:val="en-CA"/>
              </w:rPr>
              <w:t xml:space="preserve">Example: </w:t>
            </w:r>
          </w:p>
          <w:p w:rsidR="00427C90" w:rsidRDefault="00427C90" w:rsidP="00427C90">
            <w:pPr>
              <w:pStyle w:val="Default"/>
              <w:rPr>
                <w:rFonts w:ascii="Calibri" w:hAnsi="Calibri"/>
                <w:color w:val="auto"/>
                <w:sz w:val="22"/>
                <w:szCs w:val="18"/>
                <w:lang w:val="en-CA"/>
              </w:rPr>
            </w:pPr>
          </w:p>
          <w:p w:rsidR="00427C90" w:rsidRDefault="00427C90" w:rsidP="00427C90">
            <w:pPr>
              <w:pStyle w:val="Default"/>
              <w:rPr>
                <w:rFonts w:ascii="Calibri" w:hAnsi="Calibri"/>
                <w:color w:val="auto"/>
                <w:sz w:val="22"/>
                <w:szCs w:val="18"/>
                <w:lang w:val="en-CA"/>
              </w:rPr>
            </w:pPr>
            <w:r>
              <w:rPr>
                <w:rFonts w:ascii="Calibri" w:hAnsi="Calibri"/>
                <w:color w:val="auto"/>
                <w:sz w:val="22"/>
                <w:szCs w:val="18"/>
                <w:lang w:val="en-CA"/>
              </w:rPr>
              <w:t>As interest in generating carbon credits increases, there is the potential that non-forest ecosystems with high biodiversity values will be replaced with carbon producing forests.</w:t>
            </w:r>
          </w:p>
        </w:tc>
        <w:tc>
          <w:tcPr>
            <w:tcW w:w="1686" w:type="pct"/>
          </w:tcPr>
          <w:p w:rsidR="00427C90" w:rsidRPr="00734802" w:rsidRDefault="00427C90" w:rsidP="00427C90">
            <w:pPr>
              <w:pStyle w:val="Default"/>
              <w:rPr>
                <w:rFonts w:ascii="Calibri" w:hAnsi="Calibri"/>
                <w:color w:val="auto"/>
                <w:sz w:val="22"/>
                <w:szCs w:val="18"/>
                <w:u w:val="single"/>
                <w:lang w:val="en-CA"/>
              </w:rPr>
            </w:pPr>
            <w:r w:rsidRPr="00734802">
              <w:rPr>
                <w:rFonts w:ascii="Calibri" w:hAnsi="Calibri"/>
                <w:color w:val="auto"/>
                <w:sz w:val="22"/>
                <w:szCs w:val="18"/>
                <w:u w:val="single"/>
                <w:lang w:val="en-CA"/>
              </w:rPr>
              <w:t>Relevant Policies, Laws and Regulations:</w:t>
            </w:r>
          </w:p>
          <w:p w:rsidR="00427C90" w:rsidRDefault="00427C90" w:rsidP="00427C90">
            <w:pPr>
              <w:pStyle w:val="Default"/>
              <w:rPr>
                <w:rFonts w:ascii="Calibri" w:hAnsi="Calibri"/>
                <w:color w:val="auto"/>
                <w:sz w:val="22"/>
                <w:szCs w:val="18"/>
                <w:lang w:val="en-CA"/>
              </w:rPr>
            </w:pPr>
          </w:p>
          <w:p w:rsidR="00427C90" w:rsidRPr="00734802" w:rsidRDefault="00427C90" w:rsidP="00427C90">
            <w:pPr>
              <w:pStyle w:val="Default"/>
              <w:rPr>
                <w:rFonts w:ascii="Calibri" w:hAnsi="Calibri"/>
                <w:color w:val="auto"/>
                <w:sz w:val="22"/>
                <w:szCs w:val="18"/>
                <w:u w:val="single"/>
                <w:lang w:val="en-CA"/>
              </w:rPr>
            </w:pPr>
            <w:r w:rsidRPr="00734802">
              <w:rPr>
                <w:rFonts w:ascii="Calibri" w:hAnsi="Calibri"/>
                <w:color w:val="auto"/>
                <w:sz w:val="22"/>
                <w:szCs w:val="18"/>
                <w:u w:val="single"/>
                <w:lang w:val="en-CA"/>
              </w:rPr>
              <w:t>Measures:</w:t>
            </w:r>
          </w:p>
          <w:p w:rsidR="00427C90" w:rsidRDefault="00427C90" w:rsidP="00427C90">
            <w:pPr>
              <w:pStyle w:val="Default"/>
              <w:rPr>
                <w:rFonts w:ascii="Calibri" w:hAnsi="Calibri"/>
                <w:color w:val="auto"/>
                <w:sz w:val="22"/>
                <w:szCs w:val="18"/>
                <w:lang w:val="en-CA"/>
              </w:rPr>
            </w:pPr>
            <w:r>
              <w:rPr>
                <w:rFonts w:ascii="Calibri" w:hAnsi="Calibri"/>
                <w:color w:val="auto"/>
                <w:sz w:val="22"/>
                <w:szCs w:val="18"/>
                <w:lang w:val="en-CA"/>
              </w:rPr>
              <w:t xml:space="preserve">     </w:t>
            </w:r>
          </w:p>
          <w:p w:rsidR="00427C90" w:rsidRDefault="00427C90" w:rsidP="00427C90">
            <w:pPr>
              <w:pStyle w:val="Default"/>
              <w:rPr>
                <w:rFonts w:ascii="Calibri" w:hAnsi="Calibri"/>
                <w:color w:val="auto"/>
                <w:sz w:val="22"/>
                <w:szCs w:val="18"/>
                <w:lang w:val="en-CA"/>
              </w:rPr>
            </w:pPr>
          </w:p>
          <w:p w:rsidR="00427C90" w:rsidRDefault="00427C90" w:rsidP="00427C90">
            <w:pPr>
              <w:pStyle w:val="Default"/>
              <w:rPr>
                <w:rFonts w:ascii="Calibri" w:hAnsi="Calibri"/>
                <w:color w:val="auto"/>
                <w:sz w:val="22"/>
                <w:szCs w:val="18"/>
                <w:u w:val="single"/>
                <w:lang w:val="en-CA"/>
              </w:rPr>
            </w:pPr>
            <w:r w:rsidRPr="00734802">
              <w:rPr>
                <w:rFonts w:ascii="Calibri" w:hAnsi="Calibri"/>
                <w:color w:val="auto"/>
                <w:sz w:val="22"/>
                <w:szCs w:val="18"/>
                <w:u w:val="single"/>
                <w:lang w:val="en-CA"/>
              </w:rPr>
              <w:t>Relevant UN-REDD guidelines:</w:t>
            </w:r>
          </w:p>
          <w:p w:rsidR="00427C90" w:rsidRDefault="00427C90" w:rsidP="00427C90">
            <w:pPr>
              <w:pStyle w:val="Default"/>
              <w:rPr>
                <w:rFonts w:ascii="Calibri" w:hAnsi="Calibri"/>
                <w:color w:val="auto"/>
                <w:sz w:val="22"/>
                <w:szCs w:val="18"/>
                <w:u w:val="single"/>
                <w:lang w:val="en-CA"/>
              </w:rPr>
            </w:pPr>
          </w:p>
          <w:p w:rsidR="00427C90" w:rsidRPr="00056636" w:rsidRDefault="00427C90" w:rsidP="00427C90">
            <w:pPr>
              <w:pStyle w:val="Default"/>
              <w:rPr>
                <w:rFonts w:ascii="Calibri" w:hAnsi="Calibri"/>
                <w:color w:val="auto"/>
                <w:sz w:val="22"/>
                <w:szCs w:val="22"/>
                <w:lang w:val="en-CA"/>
              </w:rPr>
            </w:pPr>
          </w:p>
        </w:tc>
      </w:tr>
    </w:tbl>
    <w:p w:rsidR="00734802" w:rsidRDefault="00734802" w:rsidP="001C3649">
      <w:pPr>
        <w:rPr>
          <w:rFonts w:ascii="Calibri" w:hAnsi="Calibri" w:cs="Calibri"/>
        </w:rPr>
        <w:sectPr w:rsidR="00734802" w:rsidSect="00734802">
          <w:pgSz w:w="16840" w:h="11900" w:orient="landscape"/>
          <w:pgMar w:top="1440" w:right="1440" w:bottom="1440" w:left="1440" w:header="706" w:footer="706" w:gutter="0"/>
          <w:cols w:space="708"/>
          <w:titlePg/>
          <w:docGrid w:linePitch="360"/>
        </w:sectPr>
      </w:pPr>
    </w:p>
    <w:p w:rsidR="00734802" w:rsidRDefault="00734802" w:rsidP="001C3649">
      <w:pPr>
        <w:rPr>
          <w:rFonts w:ascii="Calibri" w:hAnsi="Calibri" w:cs="Calibri"/>
        </w:rPr>
        <w:sectPr w:rsidR="00734802" w:rsidSect="00734802">
          <w:type w:val="continuous"/>
          <w:pgSz w:w="16840" w:h="11900" w:orient="landscape"/>
          <w:pgMar w:top="1440" w:right="1440" w:bottom="1440" w:left="1440" w:header="706" w:footer="706" w:gutter="0"/>
          <w:cols w:space="708"/>
          <w:titlePg/>
          <w:docGrid w:linePitch="360"/>
        </w:sectPr>
      </w:pPr>
    </w:p>
    <w:p w:rsidR="00905A70" w:rsidRPr="004C350A" w:rsidRDefault="00905A70" w:rsidP="001C3649">
      <w:pPr>
        <w:rPr>
          <w:rFonts w:ascii="Calibri" w:hAnsi="Calibri" w:cs="Calibri"/>
        </w:rPr>
      </w:pPr>
    </w:p>
    <w:p w:rsidR="00905A70" w:rsidRPr="004C350A" w:rsidRDefault="00905A70" w:rsidP="001C3649">
      <w:pPr>
        <w:rPr>
          <w:rFonts w:ascii="Calibri" w:hAnsi="Calibri" w:cs="Calibri"/>
        </w:rPr>
      </w:pPr>
    </w:p>
    <w:sectPr w:rsidR="00905A70" w:rsidRPr="004C350A" w:rsidSect="00734802">
      <w:type w:val="continuous"/>
      <w:pgSz w:w="16840" w:h="11900" w:orient="landscape"/>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ADE" w:rsidRDefault="00503ADE" w:rsidP="002A36D2">
      <w:r>
        <w:separator/>
      </w:r>
    </w:p>
  </w:endnote>
  <w:endnote w:type="continuationSeparator" w:id="0">
    <w:p w:rsidR="00503ADE" w:rsidRDefault="00503ADE" w:rsidP="002A3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ADE" w:rsidRDefault="00503ADE" w:rsidP="002A36D2">
      <w:r>
        <w:separator/>
      </w:r>
    </w:p>
  </w:footnote>
  <w:footnote w:type="continuationSeparator" w:id="0">
    <w:p w:rsidR="00503ADE" w:rsidRDefault="00503ADE" w:rsidP="002A3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D85" w:rsidRDefault="00503ADE">
    <w:pPr>
      <w:pStyle w:val="Header"/>
    </w:pPr>
    <w:r>
      <w:rPr>
        <w:noProof/>
        <w:lang w:eastAsia="zh-TW"/>
      </w:rPr>
      <w:pict>
        <v:shapetype id="_x0000_t202" coordsize="21600,21600" o:spt="202" path="m,l,21600r21600,l21600,xe">
          <v:stroke joinstyle="miter"/>
          <v:path gradientshapeok="t" o:connecttype="rect"/>
        </v:shapetype>
        <v:shape id="_x0000_s2050" type="#_x0000_t202" style="position:absolute;margin-left:0;margin-top:0;width:415pt;height:14.05pt;z-index:251661312;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p w:rsidR="00AA4D85" w:rsidRPr="002A36D2" w:rsidRDefault="00AA4D85" w:rsidP="00381606">
                <w:pPr>
                  <w:jc w:val="right"/>
                </w:pPr>
                <w:r>
                  <w:t>Working Group 2: Stakeholder Engagement and Safeguards</w:t>
                </w:r>
              </w:p>
            </w:txbxContent>
          </v:textbox>
          <w10:wrap anchorx="margin" anchory="margin"/>
        </v:shape>
      </w:pict>
    </w:r>
    <w:r>
      <w:rPr>
        <w:noProof/>
        <w:lang w:eastAsia="zh-TW"/>
      </w:rPr>
      <w:pict>
        <v:shape id="_x0000_s2049" type="#_x0000_t202" style="position:absolute;margin-left:5448pt;margin-top:0;width:89.6pt;height:14.05pt;z-index:251660288;mso-width-percent:1000;mso-position-horizontal:right;mso-position-horizontal-relative:page;mso-position-vertical:center;mso-position-vertical-relative:top-margin-area;mso-width-percent:1000;mso-width-relative:right-margin-area;v-text-anchor:middle" o:allowincell="f" fillcolor="#4f81bd [3204]" stroked="f">
          <v:textbox style="mso-fit-shape-to-text:t" inset=",0,,0">
            <w:txbxContent>
              <w:p w:rsidR="00AA4D85" w:rsidRDefault="00E30ABD">
                <w:pPr>
                  <w:rPr>
                    <w:color w:val="FFFFFF" w:themeColor="background1"/>
                  </w:rPr>
                </w:pPr>
                <w:r>
                  <w:fldChar w:fldCharType="begin"/>
                </w:r>
                <w:r w:rsidR="00AA4D85">
                  <w:instrText xml:space="preserve"> PAGE   \* MERGEFORMAT </w:instrText>
                </w:r>
                <w:r>
                  <w:fldChar w:fldCharType="separate"/>
                </w:r>
                <w:r w:rsidR="004E5A53" w:rsidRPr="004E5A53">
                  <w:rPr>
                    <w:noProof/>
                    <w:color w:val="FFFFFF" w:themeColor="background1"/>
                  </w:rPr>
                  <w:t>4</w:t>
                </w:r>
                <w:r>
                  <w:rPr>
                    <w:noProof/>
                    <w:color w:val="FFFFFF" w:themeColor="background1"/>
                  </w:rPr>
                  <w:fldChar w:fldCharType="end"/>
                </w:r>
              </w:p>
            </w:txbxContent>
          </v:textbox>
          <w10:wrap anchorx="page"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E4E"/>
    <w:multiLevelType w:val="hybridMultilevel"/>
    <w:tmpl w:val="015215A4"/>
    <w:lvl w:ilvl="0" w:tplc="04090001">
      <w:start w:val="1"/>
      <w:numFmt w:val="bullet"/>
      <w:lvlText w:val=""/>
      <w:lvlJc w:val="left"/>
      <w:pPr>
        <w:ind w:left="788" w:hanging="360"/>
      </w:pPr>
      <w:rPr>
        <w:rFonts w:ascii="Symbol" w:hAnsi="Symbol" w:hint="default"/>
      </w:rPr>
    </w:lvl>
    <w:lvl w:ilvl="1" w:tplc="04090003">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
    <w:nsid w:val="066155D1"/>
    <w:multiLevelType w:val="hybridMultilevel"/>
    <w:tmpl w:val="1804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A0A09"/>
    <w:multiLevelType w:val="hybridMultilevel"/>
    <w:tmpl w:val="72DCC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2272880"/>
    <w:multiLevelType w:val="hybridMultilevel"/>
    <w:tmpl w:val="D9B4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474459"/>
    <w:multiLevelType w:val="hybridMultilevel"/>
    <w:tmpl w:val="69903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D8E093B"/>
    <w:multiLevelType w:val="hybridMultilevel"/>
    <w:tmpl w:val="577CC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0E2E70"/>
    <w:multiLevelType w:val="hybridMultilevel"/>
    <w:tmpl w:val="75F82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F250D8"/>
    <w:multiLevelType w:val="hybridMultilevel"/>
    <w:tmpl w:val="920A0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E71A72"/>
    <w:multiLevelType w:val="hybridMultilevel"/>
    <w:tmpl w:val="2C02C69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1AF3345"/>
    <w:multiLevelType w:val="multilevel"/>
    <w:tmpl w:val="0C090025"/>
    <w:lvl w:ilvl="0">
      <w:start w:val="1"/>
      <w:numFmt w:val="decimal"/>
      <w:pStyle w:val="Heading1"/>
      <w:lvlText w:val="%1"/>
      <w:lvlJc w:val="left"/>
      <w:pPr>
        <w:ind w:left="1332" w:hanging="432"/>
      </w:pPr>
    </w:lvl>
    <w:lvl w:ilvl="1">
      <w:start w:val="1"/>
      <w:numFmt w:val="decimal"/>
      <w:pStyle w:val="Heading2"/>
      <w:lvlText w:val="%1.%2"/>
      <w:lvlJc w:val="left"/>
      <w:pPr>
        <w:ind w:left="1476" w:hanging="576"/>
      </w:pPr>
    </w:lvl>
    <w:lvl w:ilvl="2">
      <w:start w:val="1"/>
      <w:numFmt w:val="decimal"/>
      <w:pStyle w:val="Heading3"/>
      <w:lvlText w:val="%1.%2.%3"/>
      <w:lvlJc w:val="left"/>
      <w:pPr>
        <w:ind w:left="1620" w:hanging="720"/>
      </w:pPr>
    </w:lvl>
    <w:lvl w:ilvl="3">
      <w:start w:val="1"/>
      <w:numFmt w:val="decimal"/>
      <w:pStyle w:val="Heading4"/>
      <w:lvlText w:val="%1.%2.%3.%4"/>
      <w:lvlJc w:val="left"/>
      <w:pPr>
        <w:ind w:left="1764" w:hanging="864"/>
      </w:pPr>
    </w:lvl>
    <w:lvl w:ilvl="4">
      <w:start w:val="1"/>
      <w:numFmt w:val="decimal"/>
      <w:pStyle w:val="Heading5"/>
      <w:lvlText w:val="%1.%2.%3.%4.%5"/>
      <w:lvlJc w:val="left"/>
      <w:pPr>
        <w:ind w:left="1908" w:hanging="1008"/>
      </w:pPr>
    </w:lvl>
    <w:lvl w:ilvl="5">
      <w:start w:val="1"/>
      <w:numFmt w:val="decimal"/>
      <w:pStyle w:val="Heading6"/>
      <w:lvlText w:val="%1.%2.%3.%4.%5.%6"/>
      <w:lvlJc w:val="left"/>
      <w:pPr>
        <w:ind w:left="2052" w:hanging="1152"/>
      </w:pPr>
    </w:lvl>
    <w:lvl w:ilvl="6">
      <w:start w:val="1"/>
      <w:numFmt w:val="decimal"/>
      <w:pStyle w:val="Heading7"/>
      <w:lvlText w:val="%1.%2.%3.%4.%5.%6.%7"/>
      <w:lvlJc w:val="left"/>
      <w:pPr>
        <w:ind w:left="2196" w:hanging="1296"/>
      </w:pPr>
    </w:lvl>
    <w:lvl w:ilvl="7">
      <w:start w:val="1"/>
      <w:numFmt w:val="decimal"/>
      <w:pStyle w:val="Heading8"/>
      <w:lvlText w:val="%1.%2.%3.%4.%5.%6.%7.%8"/>
      <w:lvlJc w:val="left"/>
      <w:pPr>
        <w:ind w:left="2340" w:hanging="1440"/>
      </w:pPr>
    </w:lvl>
    <w:lvl w:ilvl="8">
      <w:start w:val="1"/>
      <w:numFmt w:val="decimal"/>
      <w:pStyle w:val="Heading9"/>
      <w:lvlText w:val="%1.%2.%3.%4.%5.%6.%7.%8.%9"/>
      <w:lvlJc w:val="left"/>
      <w:pPr>
        <w:ind w:left="2484" w:hanging="1584"/>
      </w:pPr>
    </w:lvl>
  </w:abstractNum>
  <w:abstractNum w:abstractNumId="10">
    <w:nsid w:val="392E49B5"/>
    <w:multiLevelType w:val="hybridMultilevel"/>
    <w:tmpl w:val="ACAA7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4E78AD"/>
    <w:multiLevelType w:val="hybridMultilevel"/>
    <w:tmpl w:val="ADAAC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DB5046C"/>
    <w:multiLevelType w:val="hybridMultilevel"/>
    <w:tmpl w:val="66149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66338"/>
    <w:multiLevelType w:val="hybridMultilevel"/>
    <w:tmpl w:val="D5A6E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3C3406A"/>
    <w:multiLevelType w:val="hybridMultilevel"/>
    <w:tmpl w:val="C4847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AE7C01"/>
    <w:multiLevelType w:val="hybridMultilevel"/>
    <w:tmpl w:val="FB1A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C25EB9"/>
    <w:multiLevelType w:val="hybridMultilevel"/>
    <w:tmpl w:val="4D2E7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820BFA"/>
    <w:multiLevelType w:val="hybridMultilevel"/>
    <w:tmpl w:val="3A60C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181062"/>
    <w:multiLevelType w:val="hybridMultilevel"/>
    <w:tmpl w:val="4A90F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373737"/>
    <w:multiLevelType w:val="hybridMultilevel"/>
    <w:tmpl w:val="0D98EE3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569132B3"/>
    <w:multiLevelType w:val="hybridMultilevel"/>
    <w:tmpl w:val="1CD0A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DA402E"/>
    <w:multiLevelType w:val="hybridMultilevel"/>
    <w:tmpl w:val="F1E0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D128C4"/>
    <w:multiLevelType w:val="hybridMultilevel"/>
    <w:tmpl w:val="2BC0C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75027B"/>
    <w:multiLevelType w:val="hybridMultilevel"/>
    <w:tmpl w:val="1C2C4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C572ED"/>
    <w:multiLevelType w:val="hybridMultilevel"/>
    <w:tmpl w:val="02F6F21E"/>
    <w:lvl w:ilvl="0" w:tplc="E8A0D15A">
      <w:start w:val="1"/>
      <w:numFmt w:val="upperLetter"/>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6DFD5E5E"/>
    <w:multiLevelType w:val="hybridMultilevel"/>
    <w:tmpl w:val="27B0E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1003AC"/>
    <w:multiLevelType w:val="hybridMultilevel"/>
    <w:tmpl w:val="0E3A2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4"/>
  </w:num>
  <w:num w:numId="3">
    <w:abstractNumId w:val="0"/>
  </w:num>
  <w:num w:numId="4">
    <w:abstractNumId w:val="3"/>
  </w:num>
  <w:num w:numId="5">
    <w:abstractNumId w:val="5"/>
  </w:num>
  <w:num w:numId="6">
    <w:abstractNumId w:val="22"/>
  </w:num>
  <w:num w:numId="7">
    <w:abstractNumId w:val="20"/>
  </w:num>
  <w:num w:numId="8">
    <w:abstractNumId w:val="6"/>
  </w:num>
  <w:num w:numId="9">
    <w:abstractNumId w:val="23"/>
  </w:num>
  <w:num w:numId="10">
    <w:abstractNumId w:val="12"/>
  </w:num>
  <w:num w:numId="11">
    <w:abstractNumId w:val="25"/>
  </w:num>
  <w:num w:numId="12">
    <w:abstractNumId w:val="11"/>
  </w:num>
  <w:num w:numId="13">
    <w:abstractNumId w:val="26"/>
  </w:num>
  <w:num w:numId="14">
    <w:abstractNumId w:val="1"/>
  </w:num>
  <w:num w:numId="15">
    <w:abstractNumId w:val="21"/>
  </w:num>
  <w:num w:numId="16">
    <w:abstractNumId w:val="10"/>
  </w:num>
  <w:num w:numId="17">
    <w:abstractNumId w:val="16"/>
  </w:num>
  <w:num w:numId="18">
    <w:abstractNumId w:val="15"/>
  </w:num>
  <w:num w:numId="19">
    <w:abstractNumId w:val="2"/>
  </w:num>
  <w:num w:numId="20">
    <w:abstractNumId w:val="9"/>
  </w:num>
  <w:num w:numId="21">
    <w:abstractNumId w:val="24"/>
  </w:num>
  <w:num w:numId="22">
    <w:abstractNumId w:val="8"/>
  </w:num>
  <w:num w:numId="23">
    <w:abstractNumId w:val="17"/>
  </w:num>
  <w:num w:numId="24">
    <w:abstractNumId w:val="18"/>
  </w:num>
  <w:num w:numId="25">
    <w:abstractNumId w:val="19"/>
  </w:num>
  <w:num w:numId="26">
    <w:abstractNumId w:val="7"/>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823FE0"/>
    <w:rsid w:val="00024B51"/>
    <w:rsid w:val="000251FC"/>
    <w:rsid w:val="00026526"/>
    <w:rsid w:val="00035382"/>
    <w:rsid w:val="0006269D"/>
    <w:rsid w:val="000B3B98"/>
    <w:rsid w:val="000B7E12"/>
    <w:rsid w:val="000C5C14"/>
    <w:rsid w:val="000D4D3D"/>
    <w:rsid w:val="000F3F38"/>
    <w:rsid w:val="00122BEC"/>
    <w:rsid w:val="001459C0"/>
    <w:rsid w:val="001614FB"/>
    <w:rsid w:val="001668D2"/>
    <w:rsid w:val="00174F91"/>
    <w:rsid w:val="00177002"/>
    <w:rsid w:val="001801A2"/>
    <w:rsid w:val="00193BBF"/>
    <w:rsid w:val="001A1503"/>
    <w:rsid w:val="001C3649"/>
    <w:rsid w:val="001C42CD"/>
    <w:rsid w:val="001C6D11"/>
    <w:rsid w:val="001D1E46"/>
    <w:rsid w:val="001E180A"/>
    <w:rsid w:val="001F1150"/>
    <w:rsid w:val="00210F7A"/>
    <w:rsid w:val="00220F73"/>
    <w:rsid w:val="00264EC0"/>
    <w:rsid w:val="00276F59"/>
    <w:rsid w:val="00277B1F"/>
    <w:rsid w:val="00282120"/>
    <w:rsid w:val="00282D33"/>
    <w:rsid w:val="00294C92"/>
    <w:rsid w:val="002A36D2"/>
    <w:rsid w:val="002A5DB8"/>
    <w:rsid w:val="002C08E7"/>
    <w:rsid w:val="002D2941"/>
    <w:rsid w:val="002E2FAF"/>
    <w:rsid w:val="002E7CFB"/>
    <w:rsid w:val="002F4E05"/>
    <w:rsid w:val="00300C2D"/>
    <w:rsid w:val="003446FC"/>
    <w:rsid w:val="00352BFA"/>
    <w:rsid w:val="0035644C"/>
    <w:rsid w:val="00381606"/>
    <w:rsid w:val="00387FF7"/>
    <w:rsid w:val="0039172B"/>
    <w:rsid w:val="00396EDD"/>
    <w:rsid w:val="003B06BE"/>
    <w:rsid w:val="003D43F8"/>
    <w:rsid w:val="003E0B6C"/>
    <w:rsid w:val="003F6E69"/>
    <w:rsid w:val="00411E07"/>
    <w:rsid w:val="00427C90"/>
    <w:rsid w:val="00442281"/>
    <w:rsid w:val="00447624"/>
    <w:rsid w:val="00467799"/>
    <w:rsid w:val="00490BA6"/>
    <w:rsid w:val="004C1294"/>
    <w:rsid w:val="004C350A"/>
    <w:rsid w:val="004D41C4"/>
    <w:rsid w:val="004E1649"/>
    <w:rsid w:val="004E216F"/>
    <w:rsid w:val="004E5A53"/>
    <w:rsid w:val="00503ADE"/>
    <w:rsid w:val="00513394"/>
    <w:rsid w:val="00520533"/>
    <w:rsid w:val="00553C26"/>
    <w:rsid w:val="00566B79"/>
    <w:rsid w:val="00570155"/>
    <w:rsid w:val="005B2237"/>
    <w:rsid w:val="005D4FB5"/>
    <w:rsid w:val="0060158C"/>
    <w:rsid w:val="0060754A"/>
    <w:rsid w:val="006158AF"/>
    <w:rsid w:val="00642B1C"/>
    <w:rsid w:val="006603D2"/>
    <w:rsid w:val="006630C2"/>
    <w:rsid w:val="00664D9F"/>
    <w:rsid w:val="006A4639"/>
    <w:rsid w:val="006B6090"/>
    <w:rsid w:val="006D7257"/>
    <w:rsid w:val="006E04BB"/>
    <w:rsid w:val="007108D3"/>
    <w:rsid w:val="00727C5B"/>
    <w:rsid w:val="007320E4"/>
    <w:rsid w:val="00734802"/>
    <w:rsid w:val="0076471F"/>
    <w:rsid w:val="00777865"/>
    <w:rsid w:val="007907DD"/>
    <w:rsid w:val="007A73B9"/>
    <w:rsid w:val="007B1951"/>
    <w:rsid w:val="007B4123"/>
    <w:rsid w:val="007F3BCF"/>
    <w:rsid w:val="00823FE0"/>
    <w:rsid w:val="008255F1"/>
    <w:rsid w:val="00884474"/>
    <w:rsid w:val="008A3D6A"/>
    <w:rsid w:val="008C71EA"/>
    <w:rsid w:val="008D6D9F"/>
    <w:rsid w:val="009020FC"/>
    <w:rsid w:val="00904213"/>
    <w:rsid w:val="00905A70"/>
    <w:rsid w:val="00906138"/>
    <w:rsid w:val="00941DB8"/>
    <w:rsid w:val="00994A99"/>
    <w:rsid w:val="009969D8"/>
    <w:rsid w:val="009A18F4"/>
    <w:rsid w:val="009A7B24"/>
    <w:rsid w:val="009B0EE1"/>
    <w:rsid w:val="009C2B5F"/>
    <w:rsid w:val="009C50A1"/>
    <w:rsid w:val="009E7681"/>
    <w:rsid w:val="00A0373D"/>
    <w:rsid w:val="00A1303C"/>
    <w:rsid w:val="00A27B77"/>
    <w:rsid w:val="00A35DE0"/>
    <w:rsid w:val="00A41217"/>
    <w:rsid w:val="00A56BD9"/>
    <w:rsid w:val="00A94E8E"/>
    <w:rsid w:val="00A960FC"/>
    <w:rsid w:val="00A967FD"/>
    <w:rsid w:val="00AA4D85"/>
    <w:rsid w:val="00AB5041"/>
    <w:rsid w:val="00AC1CCE"/>
    <w:rsid w:val="00AD41ED"/>
    <w:rsid w:val="00AD6162"/>
    <w:rsid w:val="00AE7582"/>
    <w:rsid w:val="00B10D46"/>
    <w:rsid w:val="00B31223"/>
    <w:rsid w:val="00B745F9"/>
    <w:rsid w:val="00B772F1"/>
    <w:rsid w:val="00BB0AE5"/>
    <w:rsid w:val="00BC6888"/>
    <w:rsid w:val="00BD3693"/>
    <w:rsid w:val="00C05DA0"/>
    <w:rsid w:val="00C13522"/>
    <w:rsid w:val="00C17481"/>
    <w:rsid w:val="00C43ADC"/>
    <w:rsid w:val="00C86BE3"/>
    <w:rsid w:val="00CA5BAD"/>
    <w:rsid w:val="00CE60B0"/>
    <w:rsid w:val="00D1304F"/>
    <w:rsid w:val="00D32321"/>
    <w:rsid w:val="00D662D2"/>
    <w:rsid w:val="00D87934"/>
    <w:rsid w:val="00D93398"/>
    <w:rsid w:val="00D95928"/>
    <w:rsid w:val="00D96369"/>
    <w:rsid w:val="00DA1AFD"/>
    <w:rsid w:val="00DC3A28"/>
    <w:rsid w:val="00E01CD6"/>
    <w:rsid w:val="00E02D26"/>
    <w:rsid w:val="00E1103F"/>
    <w:rsid w:val="00E278CD"/>
    <w:rsid w:val="00E30ABD"/>
    <w:rsid w:val="00E3669A"/>
    <w:rsid w:val="00E431B0"/>
    <w:rsid w:val="00E4463B"/>
    <w:rsid w:val="00E92AE2"/>
    <w:rsid w:val="00EA5DA4"/>
    <w:rsid w:val="00EA6FE3"/>
    <w:rsid w:val="00EF3E39"/>
    <w:rsid w:val="00F108CA"/>
    <w:rsid w:val="00F13CFB"/>
    <w:rsid w:val="00F349D1"/>
    <w:rsid w:val="00F4269E"/>
    <w:rsid w:val="00F436B5"/>
    <w:rsid w:val="00F627BA"/>
    <w:rsid w:val="00F86F79"/>
    <w:rsid w:val="00FA569D"/>
    <w:rsid w:val="00FD2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E46"/>
  </w:style>
  <w:style w:type="paragraph" w:styleId="Heading1">
    <w:name w:val="heading 1"/>
    <w:basedOn w:val="Normal"/>
    <w:next w:val="Normal"/>
    <w:link w:val="Heading1Char"/>
    <w:uiPriority w:val="9"/>
    <w:qFormat/>
    <w:rsid w:val="00E1103F"/>
    <w:pPr>
      <w:keepNext/>
      <w:keepLines/>
      <w:numPr>
        <w:numId w:val="20"/>
      </w:numPr>
      <w:spacing w:before="120" w:after="12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11E07"/>
    <w:pPr>
      <w:keepNext/>
      <w:keepLines/>
      <w:numPr>
        <w:ilvl w:val="1"/>
        <w:numId w:val="20"/>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A73B9"/>
    <w:pPr>
      <w:keepNext/>
      <w:keepLines/>
      <w:numPr>
        <w:ilvl w:val="2"/>
        <w:numId w:val="20"/>
      </w:numPr>
      <w:spacing w:before="200"/>
      <w:outlineLvl w:val="2"/>
    </w:pPr>
    <w:rPr>
      <w:rFonts w:asciiTheme="majorHAnsi" w:eastAsiaTheme="majorEastAsia" w:hAnsiTheme="majorHAnsi" w:cstheme="majorBidi"/>
      <w:b/>
      <w:bCs/>
      <w:i/>
      <w:color w:val="4F81BD" w:themeColor="accent1"/>
    </w:rPr>
  </w:style>
  <w:style w:type="paragraph" w:styleId="Heading4">
    <w:name w:val="heading 4"/>
    <w:basedOn w:val="Normal"/>
    <w:next w:val="Normal"/>
    <w:link w:val="Heading4Char"/>
    <w:uiPriority w:val="9"/>
    <w:semiHidden/>
    <w:unhideWhenUsed/>
    <w:qFormat/>
    <w:rsid w:val="00FD293E"/>
    <w:pPr>
      <w:keepNext/>
      <w:keepLines/>
      <w:numPr>
        <w:ilvl w:val="3"/>
        <w:numId w:val="20"/>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D293E"/>
    <w:pPr>
      <w:keepNext/>
      <w:keepLines/>
      <w:numPr>
        <w:ilvl w:val="4"/>
        <w:numId w:val="20"/>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D293E"/>
    <w:pPr>
      <w:keepNext/>
      <w:keepLines/>
      <w:numPr>
        <w:ilvl w:val="5"/>
        <w:numId w:val="20"/>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D293E"/>
    <w:pPr>
      <w:keepNext/>
      <w:keepLines/>
      <w:numPr>
        <w:ilvl w:val="6"/>
        <w:numId w:val="2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93E"/>
    <w:pPr>
      <w:keepNext/>
      <w:keepLines/>
      <w:numPr>
        <w:ilvl w:val="7"/>
        <w:numId w:val="20"/>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D293E"/>
    <w:pPr>
      <w:keepNext/>
      <w:keepLines/>
      <w:numPr>
        <w:ilvl w:val="8"/>
        <w:numId w:val="2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B195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195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B195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B1951"/>
    <w:rPr>
      <w:rFonts w:asciiTheme="majorHAnsi" w:eastAsiaTheme="majorEastAsia" w:hAnsiTheme="majorHAnsi" w:cstheme="majorBidi"/>
      <w:i/>
      <w:iCs/>
      <w:color w:val="4F81BD" w:themeColor="accent1"/>
      <w:spacing w:val="15"/>
    </w:rPr>
  </w:style>
  <w:style w:type="character" w:customStyle="1" w:styleId="Heading1Char">
    <w:name w:val="Heading 1 Char"/>
    <w:basedOn w:val="DefaultParagraphFont"/>
    <w:link w:val="Heading1"/>
    <w:uiPriority w:val="9"/>
    <w:rsid w:val="00E1103F"/>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1F11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020FC"/>
    <w:pPr>
      <w:ind w:left="720"/>
      <w:contextualSpacing/>
    </w:pPr>
  </w:style>
  <w:style w:type="character" w:customStyle="1" w:styleId="Heading2Char">
    <w:name w:val="Heading 2 Char"/>
    <w:basedOn w:val="DefaultParagraphFont"/>
    <w:link w:val="Heading2"/>
    <w:uiPriority w:val="9"/>
    <w:rsid w:val="00411E0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A73B9"/>
    <w:rPr>
      <w:rFonts w:asciiTheme="majorHAnsi" w:eastAsiaTheme="majorEastAsia" w:hAnsiTheme="majorHAnsi" w:cstheme="majorBidi"/>
      <w:b/>
      <w:bCs/>
      <w:i/>
      <w:color w:val="4F81BD" w:themeColor="accent1"/>
    </w:rPr>
  </w:style>
  <w:style w:type="paragraph" w:styleId="Header">
    <w:name w:val="header"/>
    <w:basedOn w:val="Normal"/>
    <w:link w:val="HeaderChar"/>
    <w:uiPriority w:val="99"/>
    <w:unhideWhenUsed/>
    <w:rsid w:val="002A36D2"/>
    <w:pPr>
      <w:tabs>
        <w:tab w:val="center" w:pos="4513"/>
        <w:tab w:val="right" w:pos="9026"/>
      </w:tabs>
    </w:pPr>
  </w:style>
  <w:style w:type="character" w:customStyle="1" w:styleId="HeaderChar">
    <w:name w:val="Header Char"/>
    <w:basedOn w:val="DefaultParagraphFont"/>
    <w:link w:val="Header"/>
    <w:uiPriority w:val="99"/>
    <w:rsid w:val="002A36D2"/>
  </w:style>
  <w:style w:type="paragraph" w:styleId="Footer">
    <w:name w:val="footer"/>
    <w:basedOn w:val="Normal"/>
    <w:link w:val="FooterChar"/>
    <w:uiPriority w:val="99"/>
    <w:semiHidden/>
    <w:unhideWhenUsed/>
    <w:rsid w:val="002A36D2"/>
    <w:pPr>
      <w:tabs>
        <w:tab w:val="center" w:pos="4513"/>
        <w:tab w:val="right" w:pos="9026"/>
      </w:tabs>
    </w:pPr>
  </w:style>
  <w:style w:type="character" w:customStyle="1" w:styleId="FooterChar">
    <w:name w:val="Footer Char"/>
    <w:basedOn w:val="DefaultParagraphFont"/>
    <w:link w:val="Footer"/>
    <w:uiPriority w:val="99"/>
    <w:semiHidden/>
    <w:rsid w:val="002A36D2"/>
  </w:style>
  <w:style w:type="paragraph" w:styleId="DocumentMap">
    <w:name w:val="Document Map"/>
    <w:basedOn w:val="Normal"/>
    <w:link w:val="DocumentMapChar"/>
    <w:uiPriority w:val="99"/>
    <w:semiHidden/>
    <w:unhideWhenUsed/>
    <w:rsid w:val="00AD6162"/>
    <w:rPr>
      <w:rFonts w:ascii="Tahoma" w:hAnsi="Tahoma" w:cs="Tahoma"/>
      <w:sz w:val="16"/>
      <w:szCs w:val="16"/>
    </w:rPr>
  </w:style>
  <w:style w:type="character" w:customStyle="1" w:styleId="DocumentMapChar">
    <w:name w:val="Document Map Char"/>
    <w:basedOn w:val="DefaultParagraphFont"/>
    <w:link w:val="DocumentMap"/>
    <w:uiPriority w:val="99"/>
    <w:semiHidden/>
    <w:rsid w:val="00AD6162"/>
    <w:rPr>
      <w:rFonts w:ascii="Tahoma" w:hAnsi="Tahoma" w:cs="Tahoma"/>
      <w:sz w:val="16"/>
      <w:szCs w:val="16"/>
    </w:rPr>
  </w:style>
  <w:style w:type="character" w:customStyle="1" w:styleId="Heading4Char">
    <w:name w:val="Heading 4 Char"/>
    <w:basedOn w:val="DefaultParagraphFont"/>
    <w:link w:val="Heading4"/>
    <w:uiPriority w:val="9"/>
    <w:semiHidden/>
    <w:rsid w:val="00FD293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D293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D293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D293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D293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D293E"/>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C17481"/>
    <w:rPr>
      <w:rFonts w:ascii="Tahoma" w:hAnsi="Tahoma" w:cs="Tahoma"/>
      <w:sz w:val="16"/>
      <w:szCs w:val="16"/>
    </w:rPr>
  </w:style>
  <w:style w:type="character" w:customStyle="1" w:styleId="BalloonTextChar">
    <w:name w:val="Balloon Text Char"/>
    <w:basedOn w:val="DefaultParagraphFont"/>
    <w:link w:val="BalloonText"/>
    <w:uiPriority w:val="99"/>
    <w:semiHidden/>
    <w:rsid w:val="00C17481"/>
    <w:rPr>
      <w:rFonts w:ascii="Tahoma" w:hAnsi="Tahoma" w:cs="Tahoma"/>
      <w:sz w:val="16"/>
      <w:szCs w:val="16"/>
    </w:rPr>
  </w:style>
  <w:style w:type="character" w:styleId="Hyperlink">
    <w:name w:val="Hyperlink"/>
    <w:basedOn w:val="DefaultParagraphFont"/>
    <w:uiPriority w:val="99"/>
    <w:semiHidden/>
    <w:rsid w:val="00C86BE3"/>
    <w:rPr>
      <w:rFonts w:cs="Times New Roman"/>
      <w:color w:val="0000FF"/>
      <w:u w:val="single"/>
    </w:rPr>
  </w:style>
  <w:style w:type="paragraph" w:customStyle="1" w:styleId="Default">
    <w:name w:val="Default"/>
    <w:uiPriority w:val="99"/>
    <w:rsid w:val="00C86BE3"/>
    <w:pPr>
      <w:autoSpaceDE w:val="0"/>
      <w:autoSpaceDN w:val="0"/>
      <w:adjustRightInd w:val="0"/>
    </w:pPr>
    <w:rPr>
      <w:rFonts w:ascii="Times New Roman" w:eastAsia="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195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411E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A73B9"/>
    <w:pPr>
      <w:keepNext/>
      <w:keepLines/>
      <w:spacing w:before="200"/>
      <w:outlineLvl w:val="2"/>
    </w:pPr>
    <w:rPr>
      <w:rFonts w:asciiTheme="majorHAnsi" w:eastAsiaTheme="majorEastAsia" w:hAnsiTheme="majorHAnsi" w:cstheme="majorBidi"/>
      <w:b/>
      <w:bCs/>
      <w: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B195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195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B195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B1951"/>
    <w:rPr>
      <w:rFonts w:asciiTheme="majorHAnsi" w:eastAsiaTheme="majorEastAsia" w:hAnsiTheme="majorHAnsi" w:cstheme="majorBidi"/>
      <w:i/>
      <w:iCs/>
      <w:color w:val="4F81BD" w:themeColor="accent1"/>
      <w:spacing w:val="15"/>
    </w:rPr>
  </w:style>
  <w:style w:type="character" w:customStyle="1" w:styleId="Heading1Char">
    <w:name w:val="Heading 1 Char"/>
    <w:basedOn w:val="DefaultParagraphFont"/>
    <w:link w:val="Heading1"/>
    <w:uiPriority w:val="9"/>
    <w:rsid w:val="007B1951"/>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1F11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020FC"/>
    <w:pPr>
      <w:ind w:left="720"/>
      <w:contextualSpacing/>
    </w:pPr>
  </w:style>
  <w:style w:type="character" w:customStyle="1" w:styleId="Heading2Char">
    <w:name w:val="Heading 2 Char"/>
    <w:basedOn w:val="DefaultParagraphFont"/>
    <w:link w:val="Heading2"/>
    <w:uiPriority w:val="9"/>
    <w:rsid w:val="00411E0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A73B9"/>
    <w:rPr>
      <w:rFonts w:asciiTheme="majorHAnsi" w:eastAsiaTheme="majorEastAsia" w:hAnsiTheme="majorHAnsi" w:cstheme="majorBidi"/>
      <w:b/>
      <w:bCs/>
      <w:i/>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069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unfccc.int/files/meetings/cop_16/application/pdf/cop16_lca.pdf"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C43A3-CEBF-42CF-8F1E-5DF6BF8B6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2710</TotalTime>
  <Pages>7</Pages>
  <Words>2123</Words>
  <Characters>12106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14201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Ogle</dc:creator>
  <cp:lastModifiedBy>Akihito Kono</cp:lastModifiedBy>
  <cp:revision>37</cp:revision>
  <dcterms:created xsi:type="dcterms:W3CDTF">2012-08-14T09:59:00Z</dcterms:created>
  <dcterms:modified xsi:type="dcterms:W3CDTF">2012-09-17T05:16:00Z</dcterms:modified>
</cp:coreProperties>
</file>