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14A4D" w14:textId="77777777" w:rsidR="00D82734" w:rsidRDefault="00D82734" w:rsidP="00D82734">
      <w:pPr>
        <w:pStyle w:val="Heading1"/>
        <w:numPr>
          <w:ilvl w:val="0"/>
          <w:numId w:val="0"/>
        </w:numPr>
        <w:ind w:left="432"/>
        <w:jc w:val="center"/>
        <w:rPr>
          <w:sz w:val="28"/>
          <w:szCs w:val="28"/>
        </w:rPr>
      </w:pPr>
      <w:r w:rsidRPr="00D82734">
        <w:rPr>
          <w:sz w:val="28"/>
          <w:szCs w:val="28"/>
        </w:rPr>
        <w:t>Terms of Reference</w:t>
      </w:r>
    </w:p>
    <w:p w14:paraId="435C448A" w14:textId="77777777" w:rsidR="00D82734" w:rsidRPr="00D82734" w:rsidRDefault="00D82734" w:rsidP="00D82734"/>
    <w:p w14:paraId="45BE306F" w14:textId="77777777" w:rsidR="00A11FD7" w:rsidRPr="00D82734" w:rsidRDefault="00A11FD7" w:rsidP="00D82734">
      <w:pPr>
        <w:pStyle w:val="Heading1"/>
        <w:numPr>
          <w:ilvl w:val="0"/>
          <w:numId w:val="0"/>
        </w:numPr>
        <w:ind w:left="432"/>
        <w:jc w:val="center"/>
        <w:rPr>
          <w:sz w:val="28"/>
          <w:szCs w:val="28"/>
        </w:rPr>
      </w:pPr>
      <w:r w:rsidRPr="00D82734">
        <w:rPr>
          <w:sz w:val="28"/>
          <w:szCs w:val="28"/>
        </w:rPr>
        <w:t>Solomon Islands REDD+ Readiness Roadmap</w:t>
      </w:r>
    </w:p>
    <w:p w14:paraId="2C54E50C" w14:textId="77777777" w:rsidR="00D82734" w:rsidRDefault="00D82734" w:rsidP="00D82734">
      <w:pPr>
        <w:pStyle w:val="Heading1"/>
        <w:numPr>
          <w:ilvl w:val="0"/>
          <w:numId w:val="0"/>
        </w:numPr>
        <w:ind w:left="432"/>
        <w:jc w:val="center"/>
        <w:rPr>
          <w:sz w:val="28"/>
          <w:szCs w:val="28"/>
        </w:rPr>
      </w:pPr>
    </w:p>
    <w:p w14:paraId="4FE3C537" w14:textId="77777777" w:rsidR="00D82734" w:rsidRDefault="00A11FD7" w:rsidP="00D82734">
      <w:pPr>
        <w:pStyle w:val="Heading2"/>
        <w:numPr>
          <w:ilvl w:val="0"/>
          <w:numId w:val="0"/>
        </w:numPr>
        <w:ind w:left="576"/>
        <w:jc w:val="center"/>
      </w:pPr>
      <w:r w:rsidRPr="00D82734">
        <w:t>Working Group 1:</w:t>
      </w:r>
    </w:p>
    <w:p w14:paraId="7011B03C" w14:textId="77777777" w:rsidR="00823FE0" w:rsidRPr="00D82734" w:rsidRDefault="00A11FD7" w:rsidP="00D82734">
      <w:pPr>
        <w:pStyle w:val="Heading2"/>
        <w:numPr>
          <w:ilvl w:val="0"/>
          <w:numId w:val="0"/>
        </w:numPr>
        <w:ind w:left="576"/>
        <w:jc w:val="center"/>
      </w:pPr>
      <w:r w:rsidRPr="00D82734">
        <w:t>Drivers of Deforestation and Forest Degradation</w:t>
      </w:r>
      <w:r w:rsidR="00D82734" w:rsidRPr="00D82734">
        <w:t xml:space="preserve"> and </w:t>
      </w:r>
      <w:r w:rsidR="002911AA">
        <w:t>Strategies</w:t>
      </w:r>
      <w:r w:rsidRPr="00D82734">
        <w:t xml:space="preserve"> to Address </w:t>
      </w:r>
      <w:r w:rsidR="00D82734">
        <w:t>the Drivers</w:t>
      </w:r>
    </w:p>
    <w:p w14:paraId="71A2E528" w14:textId="77777777" w:rsidR="00656B4D" w:rsidRPr="00A11FD7" w:rsidRDefault="00656B4D" w:rsidP="00A11FD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4230"/>
      </w:tblGrid>
      <w:tr w:rsidR="00D82734" w14:paraId="6B68336F" w14:textId="77777777" w:rsidTr="00D82734">
        <w:trPr>
          <w:jc w:val="center"/>
        </w:trPr>
        <w:tc>
          <w:tcPr>
            <w:tcW w:w="1278" w:type="dxa"/>
          </w:tcPr>
          <w:p w14:paraId="113E1703" w14:textId="77777777" w:rsidR="00D82734" w:rsidRPr="004357E4" w:rsidRDefault="00D82734" w:rsidP="00543CDF">
            <w:r>
              <w:t>Co-Chairs:</w:t>
            </w:r>
            <w:r w:rsidRPr="004357E4">
              <w:t xml:space="preserve">            </w:t>
            </w:r>
          </w:p>
        </w:tc>
        <w:tc>
          <w:tcPr>
            <w:tcW w:w="4230" w:type="dxa"/>
          </w:tcPr>
          <w:p w14:paraId="16057BB9" w14:textId="77777777" w:rsidR="00D82734" w:rsidRPr="004357E4" w:rsidRDefault="00D82734" w:rsidP="00543CDF">
            <w:r w:rsidRPr="004357E4">
              <w:t>[To be appointed]</w:t>
            </w:r>
          </w:p>
        </w:tc>
      </w:tr>
      <w:tr w:rsidR="00D82734" w14:paraId="5F95AE2A" w14:textId="77777777" w:rsidTr="00D82734">
        <w:trPr>
          <w:jc w:val="center"/>
        </w:trPr>
        <w:tc>
          <w:tcPr>
            <w:tcW w:w="1278" w:type="dxa"/>
          </w:tcPr>
          <w:p w14:paraId="178A1141" w14:textId="77777777" w:rsidR="00D82734" w:rsidRPr="004357E4" w:rsidRDefault="00D82734" w:rsidP="00543CDF">
            <w:r>
              <w:t>Secretary:</w:t>
            </w:r>
          </w:p>
        </w:tc>
        <w:tc>
          <w:tcPr>
            <w:tcW w:w="4230" w:type="dxa"/>
          </w:tcPr>
          <w:p w14:paraId="26C49BB1" w14:textId="77777777" w:rsidR="00D82734" w:rsidRPr="004357E4" w:rsidRDefault="00D82734" w:rsidP="00543CDF">
            <w:r w:rsidRPr="004357E4">
              <w:t>UN-REDD PMU</w:t>
            </w:r>
          </w:p>
        </w:tc>
      </w:tr>
      <w:tr w:rsidR="00D82734" w14:paraId="04B9B4AC" w14:textId="77777777" w:rsidTr="00D82734">
        <w:trPr>
          <w:trHeight w:val="251"/>
          <w:jc w:val="center"/>
        </w:trPr>
        <w:tc>
          <w:tcPr>
            <w:tcW w:w="1278" w:type="dxa"/>
          </w:tcPr>
          <w:p w14:paraId="0C476B6F" w14:textId="77777777" w:rsidR="00D82734" w:rsidRPr="004357E4" w:rsidRDefault="00D82734" w:rsidP="00543CDF">
            <w:r>
              <w:t>UN-REDD Advisors:</w:t>
            </w:r>
          </w:p>
        </w:tc>
        <w:tc>
          <w:tcPr>
            <w:tcW w:w="4230" w:type="dxa"/>
          </w:tcPr>
          <w:p w14:paraId="2AF14390" w14:textId="77777777" w:rsidR="00D82734" w:rsidRPr="004357E4" w:rsidRDefault="00D82734" w:rsidP="00D82734">
            <w:r w:rsidRPr="00A11FD7">
              <w:t xml:space="preserve">Phil Cowling (Consultant –Policy Advisor), Aki Kono (UNDP), Joel </w:t>
            </w:r>
            <w:proofErr w:type="spellStart"/>
            <w:r w:rsidRPr="00A11FD7">
              <w:t>Scriven</w:t>
            </w:r>
            <w:proofErr w:type="spellEnd"/>
            <w:r w:rsidRPr="00A11FD7">
              <w:t xml:space="preserve"> (FAO), Ben Vickers (FAO)</w:t>
            </w:r>
            <w:r>
              <w:t xml:space="preserve"> </w:t>
            </w:r>
          </w:p>
        </w:tc>
      </w:tr>
    </w:tbl>
    <w:p w14:paraId="6354D74A" w14:textId="77777777" w:rsidR="00656B4D" w:rsidRDefault="00656B4D" w:rsidP="00A11FD7"/>
    <w:p w14:paraId="48D4238C" w14:textId="77777777" w:rsidR="002D2941" w:rsidRPr="00A11FD7" w:rsidRDefault="002D2941" w:rsidP="00A11FD7"/>
    <w:p w14:paraId="0D64A0C2" w14:textId="77777777" w:rsidR="00543CDF" w:rsidRDefault="009E7681" w:rsidP="00543CDF">
      <w:pPr>
        <w:pStyle w:val="Heading2"/>
        <w:numPr>
          <w:ilvl w:val="0"/>
          <w:numId w:val="0"/>
        </w:numPr>
      </w:pPr>
      <w:r w:rsidRPr="00D82734">
        <w:t>O</w:t>
      </w:r>
      <w:r w:rsidR="000D4D3D" w:rsidRPr="00D82734">
        <w:t xml:space="preserve">bjective: </w:t>
      </w:r>
    </w:p>
    <w:p w14:paraId="6877DF5B" w14:textId="77777777" w:rsidR="00463F13" w:rsidRDefault="000D4D3D" w:rsidP="00D4186D">
      <w:pPr>
        <w:jc w:val="both"/>
      </w:pPr>
      <w:proofErr w:type="gramStart"/>
      <w:r w:rsidRPr="00A11FD7">
        <w:t>to</w:t>
      </w:r>
      <w:proofErr w:type="gramEnd"/>
      <w:r w:rsidRPr="00A11FD7">
        <w:t xml:space="preserve"> identify</w:t>
      </w:r>
      <w:r w:rsidR="00463F13" w:rsidRPr="00A11FD7">
        <w:t xml:space="preserve"> and quantify</w:t>
      </w:r>
      <w:r w:rsidRPr="00A11FD7">
        <w:t xml:space="preserve"> the key drivers of deforestation an</w:t>
      </w:r>
      <w:r w:rsidR="008B6048" w:rsidRPr="00A11FD7">
        <w:t>d forest degradation in the Solomon Islands</w:t>
      </w:r>
      <w:r w:rsidRPr="00A11FD7">
        <w:t>,</w:t>
      </w:r>
      <w:r w:rsidR="00463F13" w:rsidRPr="00A11FD7">
        <w:t xml:space="preserve"> and their underlying causes,</w:t>
      </w:r>
      <w:r w:rsidRPr="00A11FD7">
        <w:t xml:space="preserve"> and to identify </w:t>
      </w:r>
      <w:r w:rsidR="00BD3693" w:rsidRPr="00A11FD7">
        <w:t xml:space="preserve">potential </w:t>
      </w:r>
      <w:r w:rsidRPr="00A11FD7">
        <w:t>strategies to address them</w:t>
      </w:r>
      <w:r w:rsidR="009020FC" w:rsidRPr="00A11FD7">
        <w:t>.</w:t>
      </w:r>
    </w:p>
    <w:p w14:paraId="59C09EB1" w14:textId="77777777" w:rsidR="00543CDF" w:rsidRDefault="00543CDF" w:rsidP="00D4186D">
      <w:pPr>
        <w:jc w:val="both"/>
      </w:pPr>
    </w:p>
    <w:p w14:paraId="4D94D713" w14:textId="77777777" w:rsidR="00543CDF" w:rsidRPr="00543CDF" w:rsidRDefault="00543CDF" w:rsidP="00543CDF">
      <w:pPr>
        <w:pStyle w:val="Heading2"/>
        <w:numPr>
          <w:ilvl w:val="0"/>
          <w:numId w:val="0"/>
        </w:numPr>
      </w:pPr>
      <w:r w:rsidRPr="00543CDF">
        <w:t xml:space="preserve">Outputs: </w:t>
      </w:r>
    </w:p>
    <w:p w14:paraId="620BC785" w14:textId="77777777" w:rsidR="00543CDF" w:rsidRDefault="00543CDF" w:rsidP="00D4186D">
      <w:pPr>
        <w:jc w:val="both"/>
      </w:pPr>
      <w:r w:rsidRPr="00A11FD7">
        <w:t>The Outputs of the Working Group will consist of compilations of background materials (studies, reports, legislation, etc.) and minutes, conclusions and recommendations of each Working Group meeting.  The conclusions should consist (wherever possible) of text that can be directly inserted into the emerging REDD+ Roadmap (this would also include current knowledge gaps).</w:t>
      </w:r>
    </w:p>
    <w:p w14:paraId="78F22E6D" w14:textId="77777777" w:rsidR="002911AA" w:rsidRDefault="002911AA" w:rsidP="00D4186D">
      <w:pPr>
        <w:jc w:val="both"/>
      </w:pPr>
      <w:r>
        <w:t xml:space="preserve">Further information on the nature of these outputs is provided in Annex 1. </w:t>
      </w:r>
    </w:p>
    <w:p w14:paraId="7DEC0820" w14:textId="77777777" w:rsidR="00543CDF" w:rsidRDefault="00543CDF" w:rsidP="00D4186D">
      <w:pPr>
        <w:jc w:val="both"/>
      </w:pPr>
    </w:p>
    <w:p w14:paraId="6300AFA1" w14:textId="77777777" w:rsidR="00543CDF" w:rsidRPr="00A11FD7" w:rsidRDefault="00543CDF" w:rsidP="00543CDF">
      <w:pPr>
        <w:pStyle w:val="Heading2"/>
        <w:numPr>
          <w:ilvl w:val="0"/>
          <w:numId w:val="0"/>
        </w:numPr>
        <w:ind w:left="576" w:hanging="576"/>
        <w:jc w:val="both"/>
      </w:pPr>
      <w:r w:rsidRPr="00A11FD7">
        <w:t>Methods of Working</w:t>
      </w:r>
    </w:p>
    <w:p w14:paraId="2C5EA502" w14:textId="77777777" w:rsidR="00543CDF" w:rsidRDefault="00543CDF" w:rsidP="00543CDF">
      <w:pPr>
        <w:jc w:val="both"/>
      </w:pPr>
      <w:r w:rsidRPr="00A11FD7">
        <w:t xml:space="preserve">The Working Group will meet </w:t>
      </w:r>
      <w:r>
        <w:t>regularly – nominally once every two</w:t>
      </w:r>
      <w:r w:rsidRPr="00A11FD7">
        <w:t xml:space="preserve"> month</w:t>
      </w:r>
      <w:r>
        <w:t>s</w:t>
      </w:r>
      <w:r w:rsidRPr="00A11FD7">
        <w:t xml:space="preserve"> – to develop the information required for the Roadmap, as described above</w:t>
      </w:r>
      <w:r>
        <w:t xml:space="preserve"> and in Annex 1</w:t>
      </w:r>
      <w:r w:rsidRPr="00A11FD7">
        <w:t xml:space="preserve">.  It is expected that most or all meetings will be in Honiara.  </w:t>
      </w:r>
    </w:p>
    <w:p w14:paraId="45ECF852" w14:textId="77777777" w:rsidR="002911AA" w:rsidRDefault="002911AA" w:rsidP="00543CDF">
      <w:pPr>
        <w:jc w:val="both"/>
      </w:pPr>
    </w:p>
    <w:p w14:paraId="2EFF3D47" w14:textId="77777777" w:rsidR="002911AA" w:rsidRDefault="002911AA" w:rsidP="00543CDF">
      <w:pPr>
        <w:jc w:val="both"/>
      </w:pPr>
      <w:r>
        <w:t xml:space="preserve">Membership of the TWG is provided in Annex 2. </w:t>
      </w:r>
    </w:p>
    <w:p w14:paraId="10DE9E51" w14:textId="77777777" w:rsidR="00543CDF" w:rsidRDefault="00543CDF" w:rsidP="00543CDF">
      <w:pPr>
        <w:jc w:val="both"/>
      </w:pPr>
    </w:p>
    <w:p w14:paraId="476C54E1" w14:textId="53098BB7" w:rsidR="00543CDF" w:rsidRPr="00A11FD7" w:rsidRDefault="00543CDF" w:rsidP="00543CDF">
      <w:pPr>
        <w:jc w:val="both"/>
      </w:pPr>
      <w:r w:rsidRPr="00A11FD7">
        <w:t xml:space="preserve">The costs of Working Group members </w:t>
      </w:r>
      <w:r w:rsidR="00927758">
        <w:t>to</w:t>
      </w:r>
      <w:r w:rsidR="007E1429">
        <w:t xml:space="preserve"> carry out their duties will be supported. </w:t>
      </w:r>
    </w:p>
    <w:p w14:paraId="22011235" w14:textId="77777777" w:rsidR="00543CDF" w:rsidRPr="00A11FD7" w:rsidRDefault="00543CDF" w:rsidP="00543CDF">
      <w:pPr>
        <w:jc w:val="both"/>
      </w:pPr>
    </w:p>
    <w:p w14:paraId="1E244642" w14:textId="77777777" w:rsidR="00543CDF" w:rsidRPr="00A11FD7" w:rsidRDefault="00543CDF" w:rsidP="00543CDF">
      <w:pPr>
        <w:jc w:val="both"/>
      </w:pPr>
      <w:r w:rsidRPr="00A11FD7">
        <w:t>The duration of the Working Group’s work will nominally be 1 year, but the actual duration will be determined by completion of its outputs.</w:t>
      </w:r>
    </w:p>
    <w:p w14:paraId="70A824FF" w14:textId="77777777" w:rsidR="00543CDF" w:rsidRPr="00A11FD7" w:rsidRDefault="00543CDF" w:rsidP="00543CDF">
      <w:pPr>
        <w:jc w:val="both"/>
      </w:pPr>
    </w:p>
    <w:p w14:paraId="7DA02E5D" w14:textId="77777777" w:rsidR="00543CDF" w:rsidRPr="00A11FD7" w:rsidRDefault="00543CDF" w:rsidP="00543CDF">
      <w:pPr>
        <w:jc w:val="both"/>
      </w:pPr>
      <w:r w:rsidRPr="00A11FD7">
        <w:t xml:space="preserve">Background information, consisting of existing reports on drivers and underlying causes, legislation and policies, and analyses of options for improved forest management will be compiled by the Forest Department, assisted by the UN-REDD PMU, although any member of the working group or </w:t>
      </w:r>
      <w:r w:rsidRPr="00A11FD7">
        <w:lastRenderedPageBreak/>
        <w:t>advisors may contribute materials.  All background materials will be shared with all working group members, electronically where possible.</w:t>
      </w:r>
    </w:p>
    <w:p w14:paraId="051F9D00" w14:textId="77777777" w:rsidR="00543CDF" w:rsidRPr="00A11FD7" w:rsidRDefault="00543CDF" w:rsidP="00543CDF">
      <w:pPr>
        <w:jc w:val="both"/>
      </w:pPr>
    </w:p>
    <w:p w14:paraId="28D6BC2E" w14:textId="620B0C16" w:rsidR="00543CDF" w:rsidRPr="00A11FD7" w:rsidRDefault="00543CDF" w:rsidP="00543CDF">
      <w:pPr>
        <w:jc w:val="both"/>
      </w:pPr>
      <w:r w:rsidRPr="00A11FD7">
        <w:t xml:space="preserve">For each meeting, the Co-chairs, assisted by </w:t>
      </w:r>
      <w:r>
        <w:t>the</w:t>
      </w:r>
      <w:r w:rsidRPr="00A11FD7">
        <w:t xml:space="preserve"> UN-R</w:t>
      </w:r>
      <w:r>
        <w:t xml:space="preserve">EDD </w:t>
      </w:r>
      <w:proofErr w:type="spellStart"/>
      <w:r>
        <w:t>P</w:t>
      </w:r>
      <w:r w:rsidR="00AF7BBE">
        <w:t>rogramme</w:t>
      </w:r>
      <w:proofErr w:type="spellEnd"/>
      <w:r w:rsidR="00AF7BBE">
        <w:t xml:space="preserve"> </w:t>
      </w:r>
      <w:r>
        <w:t>M</w:t>
      </w:r>
      <w:r w:rsidR="00AF7BBE">
        <w:t xml:space="preserve">anagement </w:t>
      </w:r>
      <w:r>
        <w:t>U</w:t>
      </w:r>
      <w:r w:rsidR="00AF7BBE">
        <w:t>nit (PMU)</w:t>
      </w:r>
      <w:r>
        <w:t xml:space="preserve"> will prepare a brief note</w:t>
      </w:r>
      <w:r w:rsidRPr="00A11FD7">
        <w:t>, defining the purpose of the meeting, the expected result of the meeting, and appending any materials required in preparation for the meeting.  This information will be shared with all Working Group members at least a week before the meeting.</w:t>
      </w:r>
    </w:p>
    <w:p w14:paraId="50FDE682" w14:textId="77777777" w:rsidR="00543CDF" w:rsidRPr="00A11FD7" w:rsidRDefault="00543CDF" w:rsidP="00543CDF">
      <w:pPr>
        <w:jc w:val="both"/>
      </w:pPr>
    </w:p>
    <w:p w14:paraId="3780F31A" w14:textId="77777777" w:rsidR="00543CDF" w:rsidRDefault="00543CDF" w:rsidP="00543CDF">
      <w:pPr>
        <w:jc w:val="both"/>
      </w:pPr>
      <w:r w:rsidRPr="004357E4">
        <w:t xml:space="preserve">At each meeting, a secretary will be nominated who will be responsible for recording minutes and conclusions of the meeting. This document will be shared with all members of the working group within one week of the meeting.  </w:t>
      </w:r>
      <w:proofErr w:type="gramStart"/>
      <w:r w:rsidRPr="004357E4">
        <w:t>Comments and corrections may be proposed by any working group member</w:t>
      </w:r>
      <w:proofErr w:type="gramEnd"/>
      <w:r w:rsidRPr="004357E4">
        <w:t xml:space="preserve"> within one additional week, after which the minutes and conclusions will be considered final. This document will be sent to the REDD+ national focal point and the UN-REDD PMU. While every effort will be made to select a meeting date that will allow all Working Group members to participate, it is inevitable that this will not always be possible.  In such cases, Working Group members who are not able to attend a meeting will be provided with all the pre-meeting information, as well as the minutes and conclusions and will be invited to make additional contributions to the conclusions within one additional week.</w:t>
      </w:r>
    </w:p>
    <w:p w14:paraId="68FAF92B" w14:textId="77777777" w:rsidR="00483E38" w:rsidRDefault="00483E38" w:rsidP="00543CDF">
      <w:pPr>
        <w:jc w:val="both"/>
      </w:pPr>
    </w:p>
    <w:p w14:paraId="7F35E6D2" w14:textId="5CDB8E58" w:rsidR="00483E38" w:rsidRDefault="00483E38" w:rsidP="00543CDF">
      <w:pPr>
        <w:jc w:val="both"/>
      </w:pPr>
      <w:r>
        <w:t xml:space="preserve">The </w:t>
      </w:r>
      <w:proofErr w:type="gramStart"/>
      <w:r>
        <w:t xml:space="preserve">working group will be supported by the UNREDD </w:t>
      </w:r>
      <w:r w:rsidR="00AF7BBE">
        <w:t>PMU</w:t>
      </w:r>
      <w:r>
        <w:t xml:space="preserve">, including the </w:t>
      </w:r>
      <w:r w:rsidR="00AF7BBE">
        <w:t xml:space="preserve">UN-REDD </w:t>
      </w:r>
      <w:r>
        <w:t>technical advisors there in</w:t>
      </w:r>
      <w:proofErr w:type="gramEnd"/>
      <w:r>
        <w:t xml:space="preserve">. </w:t>
      </w:r>
    </w:p>
    <w:p w14:paraId="51E4FE53" w14:textId="77777777" w:rsidR="00543CDF" w:rsidRDefault="00543CDF" w:rsidP="00D4186D">
      <w:pPr>
        <w:jc w:val="both"/>
      </w:pPr>
    </w:p>
    <w:p w14:paraId="58FD8FB1" w14:textId="77777777" w:rsidR="00543CDF" w:rsidRDefault="00543CDF" w:rsidP="00543CDF">
      <w:pPr>
        <w:pStyle w:val="Heading2"/>
        <w:numPr>
          <w:ilvl w:val="0"/>
          <w:numId w:val="0"/>
        </w:numPr>
      </w:pPr>
      <w:r>
        <w:t>Res</w:t>
      </w:r>
      <w:r w:rsidR="00483E38">
        <w:t xml:space="preserve">ponsibilities of members of </w:t>
      </w:r>
      <w:r>
        <w:t>Working Group</w:t>
      </w:r>
      <w:r w:rsidR="00483E38">
        <w:t xml:space="preserve"> Members</w:t>
      </w:r>
    </w:p>
    <w:p w14:paraId="127E5577" w14:textId="493C7E9F" w:rsidR="00543CDF" w:rsidRDefault="00543CDF" w:rsidP="00D4186D">
      <w:pPr>
        <w:jc w:val="both"/>
      </w:pPr>
      <w:r>
        <w:t xml:space="preserve">Working group members have been identified as representatives of key stakeholder groups or </w:t>
      </w:r>
      <w:proofErr w:type="spellStart"/>
      <w:r>
        <w:t>organisations</w:t>
      </w:r>
      <w:proofErr w:type="spellEnd"/>
      <w:r>
        <w:t xml:space="preserve"> and are responsible for representing those groups through their duties</w:t>
      </w:r>
      <w:r w:rsidR="00AF7BBE">
        <w:t>.</w:t>
      </w:r>
      <w:r>
        <w:t xml:space="preserve"> </w:t>
      </w:r>
      <w:r w:rsidR="00AF7BBE">
        <w:t xml:space="preserve">Their </w:t>
      </w:r>
      <w:r>
        <w:t xml:space="preserve">responsibility include: </w:t>
      </w:r>
    </w:p>
    <w:p w14:paraId="13A179BE" w14:textId="16673893" w:rsidR="00543CDF" w:rsidRDefault="00543CDF" w:rsidP="00483E38">
      <w:pPr>
        <w:pStyle w:val="ListParagraph"/>
        <w:numPr>
          <w:ilvl w:val="0"/>
          <w:numId w:val="38"/>
        </w:numPr>
        <w:jc w:val="both"/>
      </w:pPr>
      <w:r>
        <w:t>Shar</w:t>
      </w:r>
      <w:r w:rsidR="00AF7BBE">
        <w:t>ing information gained with mem</w:t>
      </w:r>
      <w:r>
        <w:t>bers of the constituency and/or organization to ensure that others are aware of key elements of REDD+ and decisions that are being taken</w:t>
      </w:r>
    </w:p>
    <w:p w14:paraId="34C83AC0" w14:textId="77777777" w:rsidR="00543CDF" w:rsidRDefault="00543CDF" w:rsidP="00483E38">
      <w:pPr>
        <w:pStyle w:val="ListParagraph"/>
        <w:numPr>
          <w:ilvl w:val="0"/>
          <w:numId w:val="38"/>
        </w:numPr>
        <w:jc w:val="both"/>
      </w:pPr>
      <w:r>
        <w:t>Acting as a focal point for information requests from th</w:t>
      </w:r>
      <w:r w:rsidR="00483E38">
        <w:t>eir constituency and / organization to facilitate the TWG in gaining access to information or sharing information</w:t>
      </w:r>
    </w:p>
    <w:p w14:paraId="0082B198" w14:textId="33BC5D0A" w:rsidR="00483E38" w:rsidRDefault="00AF7BBE" w:rsidP="00483E38">
      <w:pPr>
        <w:pStyle w:val="ListParagraph"/>
        <w:numPr>
          <w:ilvl w:val="0"/>
          <w:numId w:val="38"/>
        </w:numPr>
        <w:jc w:val="both"/>
      </w:pPr>
      <w:r>
        <w:t>Willingness</w:t>
      </w:r>
      <w:r w:rsidR="00483E38">
        <w:t xml:space="preserve"> to share information with others and provide updates on projects, </w:t>
      </w:r>
      <w:proofErr w:type="spellStart"/>
      <w:r w:rsidR="00483E38">
        <w:t>programmes</w:t>
      </w:r>
      <w:proofErr w:type="spellEnd"/>
      <w:r w:rsidR="00483E38">
        <w:t xml:space="preserve"> or other relevant activities that they are involved or aware of</w:t>
      </w:r>
    </w:p>
    <w:p w14:paraId="30E3BF87" w14:textId="77777777" w:rsidR="00483E38" w:rsidRDefault="00483E38" w:rsidP="00483E38">
      <w:pPr>
        <w:pStyle w:val="ListParagraph"/>
        <w:numPr>
          <w:ilvl w:val="0"/>
          <w:numId w:val="38"/>
        </w:numPr>
        <w:jc w:val="both"/>
      </w:pPr>
      <w:r>
        <w:t>Coordinating work with other TWG members to facilitate easy and effective working</w:t>
      </w:r>
    </w:p>
    <w:p w14:paraId="2C37776F" w14:textId="77777777" w:rsidR="00483E38" w:rsidRDefault="00483E38" w:rsidP="00D4186D">
      <w:pPr>
        <w:jc w:val="both"/>
      </w:pPr>
    </w:p>
    <w:p w14:paraId="66EDB70C" w14:textId="77777777" w:rsidR="00483E38" w:rsidRDefault="00483E38" w:rsidP="00483E38">
      <w:pPr>
        <w:pStyle w:val="Heading2"/>
        <w:numPr>
          <w:ilvl w:val="0"/>
          <w:numId w:val="0"/>
        </w:numPr>
        <w:ind w:left="576" w:hanging="576"/>
      </w:pPr>
      <w:r>
        <w:t>Reporting</w:t>
      </w:r>
    </w:p>
    <w:p w14:paraId="48944820" w14:textId="77777777" w:rsidR="00543CDF" w:rsidRDefault="00483E38" w:rsidP="00D4186D">
      <w:pPr>
        <w:jc w:val="both"/>
      </w:pPr>
      <w:r>
        <w:t xml:space="preserve">The TWG shall </w:t>
      </w:r>
      <w:bookmarkStart w:id="0" w:name="_GoBack"/>
      <w:bookmarkEnd w:id="0"/>
      <w:r>
        <w:t xml:space="preserve">report to the REDD+ Taskforce on progress made as well as key challenges and areas of concern. Reporting should occur through the Chairperson of the TWG or their deputy when absent. </w:t>
      </w:r>
    </w:p>
    <w:p w14:paraId="7B9FC00C" w14:textId="77777777" w:rsidR="00483E38" w:rsidRPr="00A11FD7" w:rsidRDefault="00483E38" w:rsidP="00D4186D">
      <w:pPr>
        <w:jc w:val="both"/>
      </w:pPr>
    </w:p>
    <w:p w14:paraId="3A97970D" w14:textId="77777777" w:rsidR="002911AA" w:rsidRDefault="002911AA">
      <w:pPr>
        <w:rPr>
          <w:rFonts w:asciiTheme="majorHAnsi" w:eastAsiaTheme="majorEastAsia" w:hAnsiTheme="majorHAnsi" w:cstheme="majorBidi"/>
          <w:b/>
          <w:bCs/>
          <w:color w:val="345A8A" w:themeColor="accent1" w:themeShade="B5"/>
          <w:sz w:val="32"/>
          <w:szCs w:val="32"/>
        </w:rPr>
      </w:pPr>
      <w:r>
        <w:br w:type="page"/>
      </w:r>
    </w:p>
    <w:p w14:paraId="648AAFF4" w14:textId="77777777" w:rsidR="00082E4A" w:rsidRDefault="00483E38" w:rsidP="00483E38">
      <w:pPr>
        <w:pStyle w:val="Heading1"/>
        <w:numPr>
          <w:ilvl w:val="0"/>
          <w:numId w:val="0"/>
        </w:numPr>
        <w:ind w:left="432" w:hanging="432"/>
      </w:pPr>
      <w:r>
        <w:lastRenderedPageBreak/>
        <w:t xml:space="preserve">Annex 1: </w:t>
      </w:r>
      <w:r w:rsidR="00AF749B" w:rsidRPr="00D82734">
        <w:t>Issues to be a</w:t>
      </w:r>
      <w:r w:rsidR="00463F13" w:rsidRPr="00D82734">
        <w:t>ddressed by the Working Group</w:t>
      </w:r>
    </w:p>
    <w:p w14:paraId="378D0280" w14:textId="77777777" w:rsidR="00D82734" w:rsidRPr="00D82734" w:rsidRDefault="00D82734" w:rsidP="00D4186D">
      <w:pPr>
        <w:jc w:val="both"/>
      </w:pPr>
    </w:p>
    <w:p w14:paraId="37A5C0B1" w14:textId="77777777" w:rsidR="00463F13" w:rsidRPr="00A11FD7" w:rsidRDefault="00463F13" w:rsidP="00D4186D">
      <w:pPr>
        <w:jc w:val="both"/>
      </w:pPr>
      <w:r w:rsidRPr="00A11FD7">
        <w:t>In the context of REDD+</w:t>
      </w:r>
      <w:r w:rsidR="00D4186D">
        <w:t>,</w:t>
      </w:r>
      <w:r w:rsidRPr="00A11FD7">
        <w:t xml:space="preserve"> the term ‘driver’ is used broadly</w:t>
      </w:r>
      <w:r w:rsidR="00D4186D">
        <w:t>,</w:t>
      </w:r>
      <w:r w:rsidRPr="00A11FD7">
        <w:t xml:space="preserve"> but for analysis and assessments</w:t>
      </w:r>
      <w:r w:rsidR="00D4186D">
        <w:t>,</w:t>
      </w:r>
      <w:r w:rsidRPr="00A11FD7">
        <w:t xml:space="preserve"> it is important to separate proximate/direct causes and underlying/indirect causes of deforestation and forest degradation.  </w:t>
      </w:r>
      <w:r w:rsidR="002E1DB0">
        <w:t>While c</w:t>
      </w:r>
      <w:r w:rsidRPr="00A11FD7">
        <w:t>ommercial agriculture is the most important proximate driver of deforestation in the majority of non-Annex I countries</w:t>
      </w:r>
      <w:r w:rsidR="002E1DB0">
        <w:t>, l</w:t>
      </w:r>
      <w:r w:rsidRPr="00A11FD7">
        <w:t>egal and illegal timber harvesting are the most important drive</w:t>
      </w:r>
      <w:r w:rsidR="00505B0C" w:rsidRPr="00A11FD7">
        <w:t>rs of forest degradation in the Pacific</w:t>
      </w:r>
      <w:r w:rsidRPr="00A11FD7">
        <w:t>.  However, both these drivers have complex underlying causes.</w:t>
      </w:r>
    </w:p>
    <w:p w14:paraId="6CDE181F" w14:textId="77777777" w:rsidR="00463F13" w:rsidRPr="00A11FD7" w:rsidRDefault="00463F13" w:rsidP="00D4186D">
      <w:pPr>
        <w:jc w:val="both"/>
      </w:pPr>
    </w:p>
    <w:p w14:paraId="1F504497" w14:textId="77777777" w:rsidR="00463F13" w:rsidRPr="00A11FD7" w:rsidRDefault="00463F13" w:rsidP="00D4186D">
      <w:pPr>
        <w:jc w:val="both"/>
      </w:pPr>
      <w:r w:rsidRPr="00A11FD7">
        <w:t>Many countries stress weak forestry sector governance and institutions, including conflicting policies and illegal activities (related to weak enforcement) as critical underlying drivers of deforestation and degradation.</w:t>
      </w:r>
    </w:p>
    <w:p w14:paraId="65641AE9" w14:textId="77777777" w:rsidR="00463F13" w:rsidRPr="00A11FD7" w:rsidRDefault="00463F13" w:rsidP="00D4186D">
      <w:pPr>
        <w:jc w:val="both"/>
      </w:pPr>
    </w:p>
    <w:p w14:paraId="4C69567A" w14:textId="77777777" w:rsidR="00463F13" w:rsidRPr="00A11FD7" w:rsidRDefault="00463F13" w:rsidP="00D4186D">
      <w:pPr>
        <w:jc w:val="both"/>
      </w:pPr>
      <w:r w:rsidRPr="00A11FD7">
        <w:t xml:space="preserve">The main indirect driving forces of forest change such as population and economic growth, national and international demand for agricultural products (food and biofuels), wood products and </w:t>
      </w:r>
      <w:r w:rsidR="002E1DB0">
        <w:t xml:space="preserve">particularly for the Solomon Islands, </w:t>
      </w:r>
      <w:r w:rsidRPr="00A11FD7">
        <w:t>minerals are all expected to increase in the coming years.</w:t>
      </w:r>
    </w:p>
    <w:p w14:paraId="00276D80" w14:textId="77777777" w:rsidR="00463F13" w:rsidRPr="00A11FD7" w:rsidRDefault="00463F13" w:rsidP="00D4186D">
      <w:pPr>
        <w:jc w:val="both"/>
      </w:pPr>
    </w:p>
    <w:p w14:paraId="03A07F8D" w14:textId="77777777" w:rsidR="00463F13" w:rsidRPr="00A11FD7" w:rsidRDefault="00463F13" w:rsidP="00D4186D">
      <w:pPr>
        <w:jc w:val="both"/>
      </w:pPr>
      <w:r w:rsidRPr="00A11FD7">
        <w:t xml:space="preserve">Historical patterns in deforestation and degradation drivers may not necessarily be repeated in the future, largely due to more rapid economic development and GDP growth among within developing countries.  </w:t>
      </w:r>
    </w:p>
    <w:p w14:paraId="3F49F29B" w14:textId="77777777" w:rsidR="00463F13" w:rsidRPr="00A11FD7" w:rsidRDefault="00463F13" w:rsidP="00D4186D">
      <w:pPr>
        <w:jc w:val="both"/>
      </w:pPr>
    </w:p>
    <w:p w14:paraId="12ECF6DE" w14:textId="77777777" w:rsidR="00463F13" w:rsidRPr="00A11FD7" w:rsidRDefault="00463F13" w:rsidP="00D4186D">
      <w:pPr>
        <w:jc w:val="both"/>
      </w:pPr>
      <w:r w:rsidRPr="00A11FD7">
        <w:t xml:space="preserve">Taking this into account, the task of this working group in identifying and quantifying key drivers and underlying causes of deforestation and degradation in the Solomon Islands can be broken down as follows: </w:t>
      </w:r>
    </w:p>
    <w:p w14:paraId="27C76C14" w14:textId="77777777" w:rsidR="003446FC" w:rsidRPr="00D82734" w:rsidRDefault="00483E38" w:rsidP="002911AA">
      <w:pPr>
        <w:pStyle w:val="Heading2"/>
        <w:numPr>
          <w:ilvl w:val="0"/>
          <w:numId w:val="43"/>
        </w:numPr>
      </w:pPr>
      <w:r>
        <w:t xml:space="preserve">Identifying </w:t>
      </w:r>
      <w:r w:rsidR="003446FC" w:rsidRPr="00D82734">
        <w:t>Drivers</w:t>
      </w:r>
    </w:p>
    <w:p w14:paraId="288A1568" w14:textId="77777777" w:rsidR="00570155" w:rsidRPr="00A11FD7" w:rsidRDefault="00513394" w:rsidP="00807017">
      <w:pPr>
        <w:pStyle w:val="Heading4"/>
        <w:numPr>
          <w:ilvl w:val="0"/>
          <w:numId w:val="0"/>
        </w:numPr>
        <w:ind w:left="864" w:hanging="864"/>
      </w:pPr>
      <w:r w:rsidRPr="00A11FD7">
        <w:t>Overview of l</w:t>
      </w:r>
      <w:r w:rsidR="00570155" w:rsidRPr="00A11FD7">
        <w:t>and use trends, forest policy and governance</w:t>
      </w:r>
      <w:r w:rsidRPr="00A11FD7">
        <w:t xml:space="preserve"> relevant to REDD+ </w:t>
      </w:r>
    </w:p>
    <w:p w14:paraId="5463FDF6" w14:textId="77777777" w:rsidR="004F6D61" w:rsidRPr="00A11FD7" w:rsidRDefault="006D7257" w:rsidP="00D4186D">
      <w:pPr>
        <w:pStyle w:val="ListParagraph"/>
        <w:numPr>
          <w:ilvl w:val="0"/>
          <w:numId w:val="33"/>
        </w:numPr>
        <w:jc w:val="both"/>
      </w:pPr>
      <w:r w:rsidRPr="00A11FD7">
        <w:t>Describe the m</w:t>
      </w:r>
      <w:r w:rsidR="00195D97" w:rsidRPr="00A11FD7">
        <w:t>ajor land use trends in the Solomon Islands</w:t>
      </w:r>
      <w:r w:rsidRPr="00A11FD7">
        <w:t>, e</w:t>
      </w:r>
      <w:r w:rsidR="00195D97" w:rsidRPr="00A11FD7">
        <w:t>.</w:t>
      </w:r>
      <w:r w:rsidRPr="00A11FD7">
        <w:t>g</w:t>
      </w:r>
      <w:r w:rsidR="00195D97" w:rsidRPr="00A11FD7">
        <w:t>.</w:t>
      </w:r>
      <w:r w:rsidRPr="00A11FD7">
        <w:t xml:space="preserve"> use of forests, </w:t>
      </w:r>
      <w:r w:rsidR="00195D97" w:rsidRPr="00A11FD7">
        <w:t>other land use sectors (mining, agriculture,</w:t>
      </w:r>
      <w:r w:rsidR="00807017">
        <w:t xml:space="preserve"> customary land management, </w:t>
      </w:r>
      <w:r w:rsidR="00807017" w:rsidRPr="00A11FD7">
        <w:t>tree</w:t>
      </w:r>
      <w:r w:rsidR="00195D97" w:rsidRPr="00A11FD7">
        <w:t xml:space="preserve"> crops e.g. oil palm, tourism, urban expansion)</w:t>
      </w:r>
      <w:r w:rsidRPr="00A11FD7">
        <w:t>.</w:t>
      </w:r>
    </w:p>
    <w:p w14:paraId="1B12B5A3" w14:textId="77777777" w:rsidR="006D7257" w:rsidRPr="00A11FD7" w:rsidRDefault="00570155" w:rsidP="00807017">
      <w:pPr>
        <w:pStyle w:val="ListParagraph"/>
        <w:numPr>
          <w:ilvl w:val="0"/>
          <w:numId w:val="33"/>
        </w:numPr>
        <w:jc w:val="both"/>
      </w:pPr>
      <w:r w:rsidRPr="00A11FD7">
        <w:t>Describe</w:t>
      </w:r>
      <w:r w:rsidR="00174F91" w:rsidRPr="00A11FD7">
        <w:t xml:space="preserve"> the </w:t>
      </w:r>
      <w:r w:rsidR="00195D97" w:rsidRPr="00A11FD7">
        <w:t xml:space="preserve">current and potential impacts of </w:t>
      </w:r>
      <w:r w:rsidR="00D01189" w:rsidRPr="00A11FD7">
        <w:t xml:space="preserve">the </w:t>
      </w:r>
      <w:r w:rsidR="00195D97" w:rsidRPr="00A11FD7">
        <w:t>1999</w:t>
      </w:r>
      <w:r w:rsidR="00D01189" w:rsidRPr="00A11FD7">
        <w:t xml:space="preserve"> </w:t>
      </w:r>
      <w:r w:rsidR="00195D97" w:rsidRPr="00A11FD7">
        <w:t>Forest Act</w:t>
      </w:r>
      <w:r w:rsidR="00AF749B" w:rsidRPr="00A11FD7">
        <w:t>, the</w:t>
      </w:r>
      <w:r w:rsidR="00195D97" w:rsidRPr="00A11FD7">
        <w:t xml:space="preserve"> Climate Change Policy 2012</w:t>
      </w:r>
      <w:r w:rsidR="00807017">
        <w:t>-2017, the Solomon Islands National Development Strategy 2011 -2020</w:t>
      </w:r>
      <w:r w:rsidR="00195D97" w:rsidRPr="00A11FD7">
        <w:t>, and other key pieces of legislation</w:t>
      </w:r>
      <w:r w:rsidR="00807017">
        <w:t xml:space="preserve"> </w:t>
      </w:r>
      <w:r w:rsidR="00195D97" w:rsidRPr="00A11FD7">
        <w:t xml:space="preserve">on </w:t>
      </w:r>
      <w:r w:rsidRPr="00A11FD7">
        <w:t>forest protection and sustainable forest management</w:t>
      </w:r>
      <w:r w:rsidR="00195D97" w:rsidRPr="00A11FD7">
        <w:t xml:space="preserve"> in the Solomon Islands</w:t>
      </w:r>
      <w:r w:rsidRPr="00A11FD7">
        <w:t>.</w:t>
      </w:r>
    </w:p>
    <w:p w14:paraId="37CEFDF0" w14:textId="77777777" w:rsidR="00570155" w:rsidRPr="00A11FD7" w:rsidRDefault="00570155" w:rsidP="00807017">
      <w:pPr>
        <w:pStyle w:val="ListParagraph"/>
        <w:numPr>
          <w:ilvl w:val="0"/>
          <w:numId w:val="33"/>
        </w:numPr>
        <w:jc w:val="both"/>
      </w:pPr>
      <w:r w:rsidRPr="00A11FD7">
        <w:t>Identify the main governance challenges</w:t>
      </w:r>
      <w:r w:rsidR="00807017">
        <w:t xml:space="preserve"> (both formal and customary)</w:t>
      </w:r>
      <w:r w:rsidRPr="00A11FD7">
        <w:t xml:space="preserve"> for the forest sector.</w:t>
      </w:r>
    </w:p>
    <w:p w14:paraId="1AF0C438" w14:textId="77777777" w:rsidR="00082E4A" w:rsidRPr="00A11FD7" w:rsidRDefault="00193E53" w:rsidP="00D4186D">
      <w:pPr>
        <w:pStyle w:val="ListParagraph"/>
        <w:numPr>
          <w:ilvl w:val="0"/>
          <w:numId w:val="33"/>
        </w:numPr>
        <w:jc w:val="both"/>
      </w:pPr>
      <w:r w:rsidRPr="00A11FD7">
        <w:t>Identify the main capacity</w:t>
      </w:r>
      <w:r w:rsidRPr="00807017">
        <w:rPr>
          <w:vertAlign w:val="superscript"/>
        </w:rPr>
        <w:footnoteReference w:id="1"/>
      </w:r>
      <w:r w:rsidR="00807017">
        <w:t xml:space="preserve"> </w:t>
      </w:r>
      <w:r w:rsidRPr="00A11FD7">
        <w:t>challenges in the forest sector.</w:t>
      </w:r>
    </w:p>
    <w:p w14:paraId="21A45EA1" w14:textId="77777777" w:rsidR="00F4269E" w:rsidRPr="00D82734" w:rsidRDefault="00AE7582" w:rsidP="00807017">
      <w:pPr>
        <w:pStyle w:val="Heading4"/>
        <w:numPr>
          <w:ilvl w:val="0"/>
          <w:numId w:val="0"/>
        </w:numPr>
      </w:pPr>
      <w:r w:rsidRPr="00D82734">
        <w:t>Identification of k</w:t>
      </w:r>
      <w:r w:rsidR="00570155" w:rsidRPr="00D82734">
        <w:t>ey drivers</w:t>
      </w:r>
    </w:p>
    <w:p w14:paraId="39CF0880" w14:textId="77777777" w:rsidR="00807017" w:rsidRDefault="00193E53" w:rsidP="00807017">
      <w:pPr>
        <w:pStyle w:val="ListParagraph"/>
        <w:numPr>
          <w:ilvl w:val="0"/>
          <w:numId w:val="34"/>
        </w:numPr>
        <w:jc w:val="both"/>
      </w:pPr>
      <w:r w:rsidRPr="00A11FD7">
        <w:t xml:space="preserve">Identify all drivers of deforestation and forest degradation in the Solomon Islands.  Looking beyond the forest sector in analyzing drivers is critical, particularly the role of subsistence agriculture and alternative land uses in driving deforestation.  It is also essential to consider international drivers – for example, timber demand in other countries. </w:t>
      </w:r>
    </w:p>
    <w:p w14:paraId="5685F150" w14:textId="77777777" w:rsidR="00807017" w:rsidRDefault="00193E53" w:rsidP="00D4186D">
      <w:pPr>
        <w:pStyle w:val="ListParagraph"/>
        <w:numPr>
          <w:ilvl w:val="0"/>
          <w:numId w:val="34"/>
        </w:numPr>
        <w:jc w:val="both"/>
      </w:pPr>
      <w:r w:rsidRPr="00A11FD7">
        <w:t>Distinguish, to the extent possible, in each case between deforestation and forest degradation.</w:t>
      </w:r>
    </w:p>
    <w:p w14:paraId="6B876998" w14:textId="77777777" w:rsidR="00082E4A" w:rsidRDefault="00193E53" w:rsidP="00D4186D">
      <w:pPr>
        <w:pStyle w:val="ListParagraph"/>
        <w:numPr>
          <w:ilvl w:val="0"/>
          <w:numId w:val="34"/>
        </w:numPr>
        <w:jc w:val="both"/>
      </w:pPr>
      <w:r w:rsidRPr="00A11FD7">
        <w:lastRenderedPageBreak/>
        <w:t>For each driver, derive the information indicated in the Table below</w:t>
      </w:r>
      <w:r w:rsidR="00807017">
        <w:t xml:space="preserve"> </w:t>
      </w:r>
      <w:r w:rsidR="00352F0F" w:rsidRPr="00A11FD7">
        <w:t xml:space="preserve">(Some examples of drivers are suggested. Add any drivers that are missing and delete any drivers that are not relevant.) </w:t>
      </w:r>
    </w:p>
    <w:p w14:paraId="44EADCC3" w14:textId="77777777" w:rsidR="002911AA" w:rsidRDefault="002911AA" w:rsidP="002911AA">
      <w:pPr>
        <w:pStyle w:val="ListParagraph"/>
        <w:jc w:val="both"/>
      </w:pPr>
    </w:p>
    <w:p w14:paraId="0123F817" w14:textId="77777777" w:rsidR="002911AA" w:rsidRDefault="002911AA" w:rsidP="002911AA">
      <w:pPr>
        <w:pStyle w:val="ListParagraph"/>
        <w:jc w:val="both"/>
      </w:pPr>
    </w:p>
    <w:p w14:paraId="5BF13643" w14:textId="77777777" w:rsidR="002911AA" w:rsidRPr="00A11FD7" w:rsidRDefault="002911AA" w:rsidP="002911AA">
      <w:pPr>
        <w:pStyle w:val="ListParagraph"/>
        <w:jc w:val="both"/>
      </w:pPr>
    </w:p>
    <w:tbl>
      <w:tblPr>
        <w:tblStyle w:val="TableGrid"/>
        <w:tblW w:w="10031" w:type="dxa"/>
        <w:tblLayout w:type="fixed"/>
        <w:tblLook w:val="04A0" w:firstRow="1" w:lastRow="0" w:firstColumn="1" w:lastColumn="0" w:noHBand="0" w:noVBand="1"/>
      </w:tblPr>
      <w:tblGrid>
        <w:gridCol w:w="1526"/>
        <w:gridCol w:w="850"/>
        <w:gridCol w:w="1276"/>
        <w:gridCol w:w="2126"/>
        <w:gridCol w:w="1701"/>
        <w:gridCol w:w="1418"/>
        <w:gridCol w:w="1134"/>
      </w:tblGrid>
      <w:tr w:rsidR="002911AA" w:rsidRPr="002911AA" w14:paraId="20FC4454" w14:textId="77777777" w:rsidTr="002911AA">
        <w:tc>
          <w:tcPr>
            <w:tcW w:w="1526" w:type="dxa"/>
            <w:shd w:val="clear" w:color="auto" w:fill="DAEEF3" w:themeFill="accent5" w:themeFillTint="33"/>
          </w:tcPr>
          <w:p w14:paraId="4FBB931D"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Driver</w:t>
            </w:r>
          </w:p>
        </w:tc>
        <w:tc>
          <w:tcPr>
            <w:tcW w:w="850" w:type="dxa"/>
            <w:shd w:val="clear" w:color="auto" w:fill="DAEEF3" w:themeFill="accent5" w:themeFillTint="33"/>
          </w:tcPr>
          <w:p w14:paraId="6A079E9E"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Direct (D) or Indirect (I)</w:t>
            </w:r>
          </w:p>
        </w:tc>
        <w:tc>
          <w:tcPr>
            <w:tcW w:w="1276" w:type="dxa"/>
            <w:shd w:val="clear" w:color="auto" w:fill="DAEEF3" w:themeFill="accent5" w:themeFillTint="33"/>
          </w:tcPr>
          <w:p w14:paraId="415D007F"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Recent trends (changes in extent and severity)</w:t>
            </w:r>
          </w:p>
        </w:tc>
        <w:tc>
          <w:tcPr>
            <w:tcW w:w="2126" w:type="dxa"/>
            <w:shd w:val="clear" w:color="auto" w:fill="DAEEF3" w:themeFill="accent5" w:themeFillTint="33"/>
          </w:tcPr>
          <w:p w14:paraId="27E8CD99"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Projected trends (likelihood)</w:t>
            </w:r>
          </w:p>
          <w:p w14:paraId="292428AC"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 xml:space="preserve">5 = significant increase </w:t>
            </w:r>
          </w:p>
          <w:p w14:paraId="6B3909E6"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-5 = significant decrease</w:t>
            </w:r>
          </w:p>
        </w:tc>
        <w:tc>
          <w:tcPr>
            <w:tcW w:w="1701" w:type="dxa"/>
            <w:shd w:val="clear" w:color="auto" w:fill="DAEEF3" w:themeFill="accent5" w:themeFillTint="33"/>
          </w:tcPr>
          <w:p w14:paraId="063DBE56"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Severity of impact</w:t>
            </w:r>
          </w:p>
          <w:p w14:paraId="09BB8D70"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 xml:space="preserve">5 = significant increase </w:t>
            </w:r>
          </w:p>
          <w:p w14:paraId="7B2DAAE5"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0 = no impact</w:t>
            </w:r>
          </w:p>
        </w:tc>
        <w:tc>
          <w:tcPr>
            <w:tcW w:w="1418" w:type="dxa"/>
            <w:shd w:val="clear" w:color="auto" w:fill="DAEEF3" w:themeFill="accent5" w:themeFillTint="33"/>
          </w:tcPr>
          <w:p w14:paraId="22020FA6"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 xml:space="preserve">Overall priority </w:t>
            </w:r>
          </w:p>
          <w:p w14:paraId="441F21E8"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w:t>
            </w:r>
            <w:proofErr w:type="gramStart"/>
            <w:r w:rsidRPr="002911AA">
              <w:rPr>
                <w:rFonts w:ascii="Calibri" w:hAnsi="Calibri" w:cstheme="minorHAnsi"/>
                <w:b/>
                <w:sz w:val="18"/>
                <w:szCs w:val="22"/>
              </w:rPr>
              <w:t>e</w:t>
            </w:r>
            <w:proofErr w:type="gramEnd"/>
            <w:r w:rsidRPr="002911AA">
              <w:rPr>
                <w:rFonts w:ascii="Calibri" w:hAnsi="Calibri" w:cstheme="minorHAnsi"/>
                <w:b/>
                <w:sz w:val="18"/>
                <w:szCs w:val="22"/>
              </w:rPr>
              <w:t>.g., likelihood x impact)</w:t>
            </w:r>
          </w:p>
        </w:tc>
        <w:tc>
          <w:tcPr>
            <w:tcW w:w="1134" w:type="dxa"/>
            <w:shd w:val="clear" w:color="auto" w:fill="DAEEF3" w:themeFill="accent5" w:themeFillTint="33"/>
          </w:tcPr>
          <w:p w14:paraId="79648982" w14:textId="77777777" w:rsidR="002911AA" w:rsidRPr="002911AA" w:rsidRDefault="002911AA" w:rsidP="002911AA">
            <w:pPr>
              <w:jc w:val="center"/>
              <w:rPr>
                <w:rFonts w:ascii="Calibri" w:hAnsi="Calibri" w:cstheme="minorHAnsi"/>
                <w:b/>
                <w:sz w:val="18"/>
                <w:szCs w:val="22"/>
              </w:rPr>
            </w:pPr>
            <w:r w:rsidRPr="002911AA">
              <w:rPr>
                <w:rFonts w:ascii="Calibri" w:hAnsi="Calibri" w:cstheme="minorHAnsi"/>
                <w:b/>
                <w:sz w:val="18"/>
                <w:szCs w:val="22"/>
              </w:rPr>
              <w:t>Comments</w:t>
            </w:r>
          </w:p>
        </w:tc>
      </w:tr>
      <w:tr w:rsidR="002911AA" w:rsidRPr="002911AA" w14:paraId="15D6BB6E" w14:textId="77777777" w:rsidTr="002911AA">
        <w:tc>
          <w:tcPr>
            <w:tcW w:w="10031" w:type="dxa"/>
            <w:gridSpan w:val="7"/>
            <w:shd w:val="clear" w:color="auto" w:fill="BFBFBF" w:themeFill="background1" w:themeFillShade="BF"/>
          </w:tcPr>
          <w:p w14:paraId="08D606FD" w14:textId="77777777" w:rsidR="002911AA" w:rsidRPr="002911AA" w:rsidRDefault="002911AA" w:rsidP="002911AA">
            <w:pPr>
              <w:rPr>
                <w:rFonts w:ascii="Calibri" w:hAnsi="Calibri"/>
                <w:b/>
                <w:sz w:val="18"/>
                <w:szCs w:val="22"/>
              </w:rPr>
            </w:pPr>
            <w:r w:rsidRPr="002911AA">
              <w:rPr>
                <w:rFonts w:ascii="Calibri" w:hAnsi="Calibri"/>
                <w:b/>
                <w:sz w:val="18"/>
                <w:szCs w:val="22"/>
              </w:rPr>
              <w:t>1. Inland forests</w:t>
            </w:r>
          </w:p>
        </w:tc>
      </w:tr>
      <w:tr w:rsidR="002911AA" w:rsidRPr="002911AA" w14:paraId="7CE939E4" w14:textId="77777777" w:rsidTr="002911AA">
        <w:tc>
          <w:tcPr>
            <w:tcW w:w="10031" w:type="dxa"/>
            <w:gridSpan w:val="7"/>
            <w:shd w:val="clear" w:color="auto" w:fill="BFBFBF" w:themeFill="background1" w:themeFillShade="BF"/>
          </w:tcPr>
          <w:p w14:paraId="69E1222E" w14:textId="77777777" w:rsidR="002911AA" w:rsidRPr="002911AA" w:rsidDel="003F70D4" w:rsidRDefault="002911AA" w:rsidP="002911AA">
            <w:pPr>
              <w:rPr>
                <w:rFonts w:ascii="Calibri" w:hAnsi="Calibri"/>
                <w:b/>
                <w:sz w:val="18"/>
                <w:szCs w:val="22"/>
              </w:rPr>
            </w:pPr>
            <w:r w:rsidRPr="002911AA">
              <w:rPr>
                <w:rFonts w:ascii="Calibri" w:hAnsi="Calibri"/>
                <w:b/>
                <w:sz w:val="18"/>
                <w:szCs w:val="22"/>
              </w:rPr>
              <w:t>a. Forest Degradation (examples)</w:t>
            </w:r>
          </w:p>
        </w:tc>
      </w:tr>
      <w:tr w:rsidR="002911AA" w:rsidRPr="002911AA" w14:paraId="1D3BB17E" w14:textId="77777777" w:rsidTr="002911AA">
        <w:tc>
          <w:tcPr>
            <w:tcW w:w="1526" w:type="dxa"/>
          </w:tcPr>
          <w:p w14:paraId="1A5ED159" w14:textId="77777777" w:rsidR="002911AA" w:rsidRPr="002911AA" w:rsidRDefault="002911AA" w:rsidP="002911AA">
            <w:pPr>
              <w:rPr>
                <w:rFonts w:ascii="Calibri" w:hAnsi="Calibri"/>
                <w:sz w:val="18"/>
                <w:szCs w:val="22"/>
              </w:rPr>
            </w:pPr>
            <w:r w:rsidRPr="002911AA">
              <w:rPr>
                <w:rFonts w:ascii="Calibri" w:hAnsi="Calibri"/>
                <w:sz w:val="18"/>
                <w:szCs w:val="22"/>
              </w:rPr>
              <w:t>Pests and disease</w:t>
            </w:r>
          </w:p>
        </w:tc>
        <w:tc>
          <w:tcPr>
            <w:tcW w:w="850" w:type="dxa"/>
          </w:tcPr>
          <w:p w14:paraId="4291FE00" w14:textId="77777777" w:rsidR="002911AA" w:rsidRPr="002911AA" w:rsidRDefault="002911AA" w:rsidP="002911AA">
            <w:pPr>
              <w:rPr>
                <w:rFonts w:ascii="Calibri" w:hAnsi="Calibri"/>
                <w:sz w:val="18"/>
                <w:szCs w:val="22"/>
              </w:rPr>
            </w:pPr>
          </w:p>
        </w:tc>
        <w:tc>
          <w:tcPr>
            <w:tcW w:w="1276" w:type="dxa"/>
          </w:tcPr>
          <w:p w14:paraId="75CA2874" w14:textId="77777777" w:rsidR="002911AA" w:rsidRPr="002911AA" w:rsidRDefault="002911AA" w:rsidP="002911AA">
            <w:pPr>
              <w:rPr>
                <w:rFonts w:ascii="Calibri" w:hAnsi="Calibri"/>
                <w:sz w:val="18"/>
                <w:szCs w:val="22"/>
              </w:rPr>
            </w:pPr>
          </w:p>
        </w:tc>
        <w:tc>
          <w:tcPr>
            <w:tcW w:w="2126" w:type="dxa"/>
          </w:tcPr>
          <w:p w14:paraId="677EDDE7" w14:textId="77777777" w:rsidR="002911AA" w:rsidRPr="002911AA" w:rsidRDefault="002911AA" w:rsidP="002911AA">
            <w:pPr>
              <w:rPr>
                <w:rFonts w:ascii="Calibri" w:hAnsi="Calibri"/>
                <w:sz w:val="18"/>
                <w:szCs w:val="22"/>
              </w:rPr>
            </w:pPr>
          </w:p>
        </w:tc>
        <w:tc>
          <w:tcPr>
            <w:tcW w:w="1701" w:type="dxa"/>
          </w:tcPr>
          <w:p w14:paraId="0913D930" w14:textId="77777777" w:rsidR="002911AA" w:rsidRPr="002911AA" w:rsidRDefault="002911AA" w:rsidP="002911AA">
            <w:pPr>
              <w:rPr>
                <w:rFonts w:ascii="Calibri" w:hAnsi="Calibri"/>
                <w:sz w:val="18"/>
                <w:szCs w:val="22"/>
              </w:rPr>
            </w:pPr>
          </w:p>
        </w:tc>
        <w:tc>
          <w:tcPr>
            <w:tcW w:w="1418" w:type="dxa"/>
          </w:tcPr>
          <w:p w14:paraId="597FB9FD" w14:textId="77777777" w:rsidR="002911AA" w:rsidRPr="002911AA" w:rsidRDefault="002911AA" w:rsidP="002911AA">
            <w:pPr>
              <w:rPr>
                <w:rFonts w:ascii="Calibri" w:hAnsi="Calibri"/>
                <w:sz w:val="18"/>
                <w:szCs w:val="22"/>
              </w:rPr>
            </w:pPr>
          </w:p>
        </w:tc>
        <w:tc>
          <w:tcPr>
            <w:tcW w:w="1134" w:type="dxa"/>
          </w:tcPr>
          <w:p w14:paraId="140EF78E" w14:textId="77777777" w:rsidR="002911AA" w:rsidRPr="002911AA" w:rsidRDefault="002911AA" w:rsidP="002911AA">
            <w:pPr>
              <w:rPr>
                <w:rFonts w:ascii="Calibri" w:hAnsi="Calibri"/>
                <w:sz w:val="18"/>
                <w:szCs w:val="22"/>
              </w:rPr>
            </w:pPr>
          </w:p>
        </w:tc>
      </w:tr>
      <w:tr w:rsidR="002911AA" w:rsidRPr="002911AA" w14:paraId="1FA302D2" w14:textId="77777777" w:rsidTr="002911AA">
        <w:tc>
          <w:tcPr>
            <w:tcW w:w="1526" w:type="dxa"/>
          </w:tcPr>
          <w:p w14:paraId="1614FD60" w14:textId="77777777" w:rsidR="002911AA" w:rsidRPr="002911AA" w:rsidRDefault="002911AA" w:rsidP="002911AA">
            <w:pPr>
              <w:rPr>
                <w:rFonts w:ascii="Calibri" w:hAnsi="Calibri"/>
                <w:sz w:val="18"/>
                <w:szCs w:val="22"/>
              </w:rPr>
            </w:pPr>
            <w:r w:rsidRPr="002911AA">
              <w:rPr>
                <w:rFonts w:ascii="Calibri" w:hAnsi="Calibri"/>
                <w:sz w:val="18"/>
                <w:szCs w:val="22"/>
              </w:rPr>
              <w:t>Fuel wood collection</w:t>
            </w:r>
          </w:p>
        </w:tc>
        <w:tc>
          <w:tcPr>
            <w:tcW w:w="850" w:type="dxa"/>
          </w:tcPr>
          <w:p w14:paraId="3E49141B" w14:textId="77777777" w:rsidR="002911AA" w:rsidRPr="002911AA" w:rsidRDefault="002911AA" w:rsidP="002911AA">
            <w:pPr>
              <w:rPr>
                <w:rFonts w:ascii="Calibri" w:hAnsi="Calibri"/>
                <w:sz w:val="18"/>
                <w:szCs w:val="22"/>
              </w:rPr>
            </w:pPr>
          </w:p>
        </w:tc>
        <w:tc>
          <w:tcPr>
            <w:tcW w:w="1276" w:type="dxa"/>
          </w:tcPr>
          <w:p w14:paraId="14952D8C" w14:textId="77777777" w:rsidR="002911AA" w:rsidRPr="002911AA" w:rsidRDefault="002911AA" w:rsidP="002911AA">
            <w:pPr>
              <w:rPr>
                <w:rFonts w:ascii="Calibri" w:hAnsi="Calibri"/>
                <w:sz w:val="18"/>
                <w:szCs w:val="22"/>
              </w:rPr>
            </w:pPr>
          </w:p>
        </w:tc>
        <w:tc>
          <w:tcPr>
            <w:tcW w:w="2126" w:type="dxa"/>
          </w:tcPr>
          <w:p w14:paraId="3A011041" w14:textId="77777777" w:rsidR="002911AA" w:rsidRPr="002911AA" w:rsidRDefault="002911AA" w:rsidP="002911AA">
            <w:pPr>
              <w:rPr>
                <w:rFonts w:ascii="Calibri" w:hAnsi="Calibri"/>
                <w:sz w:val="18"/>
                <w:szCs w:val="22"/>
              </w:rPr>
            </w:pPr>
          </w:p>
        </w:tc>
        <w:tc>
          <w:tcPr>
            <w:tcW w:w="1701" w:type="dxa"/>
          </w:tcPr>
          <w:p w14:paraId="55D95086" w14:textId="77777777" w:rsidR="002911AA" w:rsidRPr="002911AA" w:rsidRDefault="002911AA" w:rsidP="002911AA">
            <w:pPr>
              <w:rPr>
                <w:rFonts w:ascii="Calibri" w:hAnsi="Calibri"/>
                <w:sz w:val="18"/>
                <w:szCs w:val="22"/>
              </w:rPr>
            </w:pPr>
          </w:p>
        </w:tc>
        <w:tc>
          <w:tcPr>
            <w:tcW w:w="1418" w:type="dxa"/>
          </w:tcPr>
          <w:p w14:paraId="0CF30664" w14:textId="77777777" w:rsidR="002911AA" w:rsidRPr="002911AA" w:rsidRDefault="002911AA" w:rsidP="002911AA">
            <w:pPr>
              <w:rPr>
                <w:rFonts w:ascii="Calibri" w:hAnsi="Calibri"/>
                <w:sz w:val="18"/>
                <w:szCs w:val="22"/>
              </w:rPr>
            </w:pPr>
          </w:p>
        </w:tc>
        <w:tc>
          <w:tcPr>
            <w:tcW w:w="1134" w:type="dxa"/>
          </w:tcPr>
          <w:p w14:paraId="6248D868" w14:textId="77777777" w:rsidR="002911AA" w:rsidRPr="002911AA" w:rsidRDefault="002911AA" w:rsidP="002911AA">
            <w:pPr>
              <w:rPr>
                <w:rFonts w:ascii="Calibri" w:hAnsi="Calibri"/>
                <w:sz w:val="18"/>
                <w:szCs w:val="22"/>
              </w:rPr>
            </w:pPr>
          </w:p>
        </w:tc>
      </w:tr>
      <w:tr w:rsidR="002911AA" w:rsidRPr="002911AA" w14:paraId="19ED7009" w14:textId="77777777" w:rsidTr="002911AA">
        <w:trPr>
          <w:trHeight w:val="368"/>
        </w:trPr>
        <w:tc>
          <w:tcPr>
            <w:tcW w:w="1526" w:type="dxa"/>
          </w:tcPr>
          <w:p w14:paraId="4BB0017D" w14:textId="77777777" w:rsidR="002911AA" w:rsidRPr="002911AA" w:rsidRDefault="002911AA" w:rsidP="002911AA">
            <w:pPr>
              <w:rPr>
                <w:rFonts w:ascii="Calibri" w:hAnsi="Calibri"/>
                <w:sz w:val="18"/>
                <w:szCs w:val="22"/>
              </w:rPr>
            </w:pPr>
            <w:r w:rsidRPr="002911AA">
              <w:rPr>
                <w:rFonts w:ascii="Calibri" w:hAnsi="Calibri"/>
                <w:sz w:val="18"/>
                <w:szCs w:val="22"/>
              </w:rPr>
              <w:t>Illegal logging</w:t>
            </w:r>
          </w:p>
        </w:tc>
        <w:tc>
          <w:tcPr>
            <w:tcW w:w="850" w:type="dxa"/>
          </w:tcPr>
          <w:p w14:paraId="3A35F206" w14:textId="77777777" w:rsidR="002911AA" w:rsidRPr="002911AA" w:rsidRDefault="002911AA" w:rsidP="002911AA">
            <w:pPr>
              <w:rPr>
                <w:rFonts w:ascii="Calibri" w:hAnsi="Calibri"/>
                <w:sz w:val="18"/>
                <w:szCs w:val="22"/>
              </w:rPr>
            </w:pPr>
          </w:p>
        </w:tc>
        <w:tc>
          <w:tcPr>
            <w:tcW w:w="1276" w:type="dxa"/>
          </w:tcPr>
          <w:p w14:paraId="4292B34F" w14:textId="77777777" w:rsidR="002911AA" w:rsidRPr="002911AA" w:rsidRDefault="002911AA" w:rsidP="002911AA">
            <w:pPr>
              <w:rPr>
                <w:rFonts w:ascii="Calibri" w:hAnsi="Calibri"/>
                <w:sz w:val="18"/>
                <w:szCs w:val="22"/>
              </w:rPr>
            </w:pPr>
          </w:p>
        </w:tc>
        <w:tc>
          <w:tcPr>
            <w:tcW w:w="2126" w:type="dxa"/>
          </w:tcPr>
          <w:p w14:paraId="10F5C374" w14:textId="77777777" w:rsidR="002911AA" w:rsidRPr="002911AA" w:rsidRDefault="002911AA" w:rsidP="002911AA">
            <w:pPr>
              <w:rPr>
                <w:rFonts w:ascii="Calibri" w:hAnsi="Calibri"/>
                <w:sz w:val="18"/>
                <w:szCs w:val="22"/>
              </w:rPr>
            </w:pPr>
          </w:p>
        </w:tc>
        <w:tc>
          <w:tcPr>
            <w:tcW w:w="1701" w:type="dxa"/>
          </w:tcPr>
          <w:p w14:paraId="3F58063E" w14:textId="77777777" w:rsidR="002911AA" w:rsidRPr="002911AA" w:rsidRDefault="002911AA" w:rsidP="002911AA">
            <w:pPr>
              <w:rPr>
                <w:rFonts w:ascii="Calibri" w:hAnsi="Calibri"/>
                <w:sz w:val="18"/>
                <w:szCs w:val="22"/>
              </w:rPr>
            </w:pPr>
          </w:p>
        </w:tc>
        <w:tc>
          <w:tcPr>
            <w:tcW w:w="1418" w:type="dxa"/>
          </w:tcPr>
          <w:p w14:paraId="2EF44ED8" w14:textId="77777777" w:rsidR="002911AA" w:rsidRPr="002911AA" w:rsidRDefault="002911AA" w:rsidP="002911AA">
            <w:pPr>
              <w:rPr>
                <w:rFonts w:ascii="Calibri" w:hAnsi="Calibri"/>
                <w:sz w:val="18"/>
                <w:szCs w:val="22"/>
              </w:rPr>
            </w:pPr>
          </w:p>
        </w:tc>
        <w:tc>
          <w:tcPr>
            <w:tcW w:w="1134" w:type="dxa"/>
          </w:tcPr>
          <w:p w14:paraId="6D817188" w14:textId="77777777" w:rsidR="002911AA" w:rsidRPr="002911AA" w:rsidRDefault="002911AA" w:rsidP="002911AA">
            <w:pPr>
              <w:rPr>
                <w:rFonts w:ascii="Calibri" w:hAnsi="Calibri"/>
                <w:sz w:val="18"/>
                <w:szCs w:val="22"/>
              </w:rPr>
            </w:pPr>
          </w:p>
        </w:tc>
      </w:tr>
      <w:tr w:rsidR="002911AA" w:rsidRPr="002911AA" w14:paraId="4EF71C48" w14:textId="77777777" w:rsidTr="002911AA">
        <w:tc>
          <w:tcPr>
            <w:tcW w:w="1526" w:type="dxa"/>
          </w:tcPr>
          <w:p w14:paraId="44EFC609" w14:textId="77777777" w:rsidR="002911AA" w:rsidRPr="002911AA" w:rsidRDefault="002911AA" w:rsidP="002911AA">
            <w:pPr>
              <w:rPr>
                <w:rFonts w:ascii="Calibri" w:hAnsi="Calibri"/>
                <w:sz w:val="18"/>
                <w:szCs w:val="22"/>
              </w:rPr>
            </w:pPr>
            <w:r w:rsidRPr="002911AA">
              <w:rPr>
                <w:rFonts w:ascii="Calibri" w:hAnsi="Calibri"/>
                <w:sz w:val="18"/>
                <w:szCs w:val="22"/>
              </w:rPr>
              <w:t>Legal logging</w:t>
            </w:r>
          </w:p>
        </w:tc>
        <w:tc>
          <w:tcPr>
            <w:tcW w:w="850" w:type="dxa"/>
          </w:tcPr>
          <w:p w14:paraId="3D8D2D06" w14:textId="77777777" w:rsidR="002911AA" w:rsidRPr="002911AA" w:rsidRDefault="002911AA" w:rsidP="002911AA">
            <w:pPr>
              <w:rPr>
                <w:rFonts w:ascii="Calibri" w:hAnsi="Calibri"/>
                <w:sz w:val="18"/>
                <w:szCs w:val="22"/>
              </w:rPr>
            </w:pPr>
          </w:p>
        </w:tc>
        <w:tc>
          <w:tcPr>
            <w:tcW w:w="1276" w:type="dxa"/>
          </w:tcPr>
          <w:p w14:paraId="6C050C47" w14:textId="77777777" w:rsidR="002911AA" w:rsidRPr="002911AA" w:rsidRDefault="002911AA" w:rsidP="002911AA">
            <w:pPr>
              <w:rPr>
                <w:rFonts w:ascii="Calibri" w:hAnsi="Calibri"/>
                <w:sz w:val="18"/>
                <w:szCs w:val="22"/>
              </w:rPr>
            </w:pPr>
          </w:p>
        </w:tc>
        <w:tc>
          <w:tcPr>
            <w:tcW w:w="2126" w:type="dxa"/>
          </w:tcPr>
          <w:p w14:paraId="18B4FC7A" w14:textId="77777777" w:rsidR="002911AA" w:rsidRPr="002911AA" w:rsidRDefault="002911AA" w:rsidP="002911AA">
            <w:pPr>
              <w:rPr>
                <w:rFonts w:ascii="Calibri" w:hAnsi="Calibri"/>
                <w:sz w:val="18"/>
                <w:szCs w:val="22"/>
              </w:rPr>
            </w:pPr>
          </w:p>
        </w:tc>
        <w:tc>
          <w:tcPr>
            <w:tcW w:w="1701" w:type="dxa"/>
          </w:tcPr>
          <w:p w14:paraId="72469162" w14:textId="77777777" w:rsidR="002911AA" w:rsidRPr="002911AA" w:rsidRDefault="002911AA" w:rsidP="002911AA">
            <w:pPr>
              <w:rPr>
                <w:rFonts w:ascii="Calibri" w:hAnsi="Calibri"/>
                <w:sz w:val="18"/>
                <w:szCs w:val="22"/>
              </w:rPr>
            </w:pPr>
          </w:p>
        </w:tc>
        <w:tc>
          <w:tcPr>
            <w:tcW w:w="1418" w:type="dxa"/>
          </w:tcPr>
          <w:p w14:paraId="18445E3B" w14:textId="77777777" w:rsidR="002911AA" w:rsidRPr="002911AA" w:rsidRDefault="002911AA" w:rsidP="002911AA">
            <w:pPr>
              <w:rPr>
                <w:rFonts w:ascii="Calibri" w:hAnsi="Calibri"/>
                <w:sz w:val="18"/>
                <w:szCs w:val="22"/>
              </w:rPr>
            </w:pPr>
          </w:p>
        </w:tc>
        <w:tc>
          <w:tcPr>
            <w:tcW w:w="1134" w:type="dxa"/>
          </w:tcPr>
          <w:p w14:paraId="11DFBA34" w14:textId="77777777" w:rsidR="002911AA" w:rsidRPr="002911AA" w:rsidRDefault="002911AA" w:rsidP="002911AA">
            <w:pPr>
              <w:rPr>
                <w:rFonts w:ascii="Calibri" w:hAnsi="Calibri"/>
                <w:sz w:val="18"/>
                <w:szCs w:val="22"/>
              </w:rPr>
            </w:pPr>
          </w:p>
        </w:tc>
      </w:tr>
      <w:tr w:rsidR="002911AA" w:rsidRPr="002911AA" w14:paraId="419C1979" w14:textId="77777777" w:rsidTr="002911AA">
        <w:tc>
          <w:tcPr>
            <w:tcW w:w="1526" w:type="dxa"/>
          </w:tcPr>
          <w:p w14:paraId="7904C341" w14:textId="77777777" w:rsidR="002911AA" w:rsidRPr="002911AA" w:rsidRDefault="002911AA" w:rsidP="002911AA">
            <w:pPr>
              <w:rPr>
                <w:rFonts w:ascii="Calibri" w:hAnsi="Calibri"/>
                <w:sz w:val="18"/>
                <w:szCs w:val="22"/>
              </w:rPr>
            </w:pPr>
            <w:r w:rsidRPr="002911AA">
              <w:rPr>
                <w:rFonts w:ascii="Calibri" w:hAnsi="Calibri"/>
                <w:sz w:val="18"/>
                <w:szCs w:val="22"/>
              </w:rPr>
              <w:t>Other forest product extraction (legal/illegal)</w:t>
            </w:r>
          </w:p>
        </w:tc>
        <w:tc>
          <w:tcPr>
            <w:tcW w:w="850" w:type="dxa"/>
          </w:tcPr>
          <w:p w14:paraId="46C3914B" w14:textId="77777777" w:rsidR="002911AA" w:rsidRPr="002911AA" w:rsidRDefault="002911AA" w:rsidP="002911AA">
            <w:pPr>
              <w:jc w:val="both"/>
              <w:rPr>
                <w:rFonts w:ascii="Calibri" w:hAnsi="Calibri"/>
                <w:sz w:val="18"/>
                <w:szCs w:val="22"/>
              </w:rPr>
            </w:pPr>
          </w:p>
        </w:tc>
        <w:tc>
          <w:tcPr>
            <w:tcW w:w="1276" w:type="dxa"/>
          </w:tcPr>
          <w:p w14:paraId="57A9CDAD" w14:textId="77777777" w:rsidR="002911AA" w:rsidRPr="002911AA" w:rsidRDefault="002911AA" w:rsidP="002911AA">
            <w:pPr>
              <w:jc w:val="both"/>
              <w:rPr>
                <w:rFonts w:ascii="Calibri" w:hAnsi="Calibri"/>
                <w:sz w:val="18"/>
                <w:szCs w:val="22"/>
              </w:rPr>
            </w:pPr>
          </w:p>
        </w:tc>
        <w:tc>
          <w:tcPr>
            <w:tcW w:w="2126" w:type="dxa"/>
          </w:tcPr>
          <w:p w14:paraId="2844411D" w14:textId="77777777" w:rsidR="002911AA" w:rsidRPr="002911AA" w:rsidRDefault="002911AA" w:rsidP="002911AA">
            <w:pPr>
              <w:jc w:val="both"/>
              <w:rPr>
                <w:rFonts w:ascii="Calibri" w:hAnsi="Calibri"/>
                <w:sz w:val="18"/>
                <w:szCs w:val="22"/>
              </w:rPr>
            </w:pPr>
          </w:p>
        </w:tc>
        <w:tc>
          <w:tcPr>
            <w:tcW w:w="1701" w:type="dxa"/>
          </w:tcPr>
          <w:p w14:paraId="5D82B227" w14:textId="77777777" w:rsidR="002911AA" w:rsidRPr="002911AA" w:rsidRDefault="002911AA" w:rsidP="002911AA">
            <w:pPr>
              <w:jc w:val="both"/>
              <w:rPr>
                <w:rFonts w:ascii="Calibri" w:hAnsi="Calibri"/>
                <w:sz w:val="18"/>
                <w:szCs w:val="22"/>
              </w:rPr>
            </w:pPr>
          </w:p>
        </w:tc>
        <w:tc>
          <w:tcPr>
            <w:tcW w:w="1418" w:type="dxa"/>
          </w:tcPr>
          <w:p w14:paraId="79F959FB" w14:textId="77777777" w:rsidR="002911AA" w:rsidRPr="002911AA" w:rsidRDefault="002911AA" w:rsidP="002911AA">
            <w:pPr>
              <w:jc w:val="both"/>
              <w:rPr>
                <w:rFonts w:ascii="Calibri" w:hAnsi="Calibri"/>
                <w:sz w:val="18"/>
                <w:szCs w:val="22"/>
              </w:rPr>
            </w:pPr>
          </w:p>
        </w:tc>
        <w:tc>
          <w:tcPr>
            <w:tcW w:w="1134" w:type="dxa"/>
          </w:tcPr>
          <w:p w14:paraId="6DFDEDE3" w14:textId="77777777" w:rsidR="002911AA" w:rsidRPr="002911AA" w:rsidRDefault="002911AA" w:rsidP="002911AA">
            <w:pPr>
              <w:jc w:val="both"/>
              <w:rPr>
                <w:rFonts w:ascii="Calibri" w:hAnsi="Calibri"/>
                <w:sz w:val="18"/>
                <w:szCs w:val="22"/>
              </w:rPr>
            </w:pPr>
          </w:p>
        </w:tc>
      </w:tr>
      <w:tr w:rsidR="002911AA" w:rsidRPr="002911AA" w14:paraId="6D12F494" w14:textId="77777777" w:rsidTr="002911AA">
        <w:tc>
          <w:tcPr>
            <w:tcW w:w="1526" w:type="dxa"/>
          </w:tcPr>
          <w:p w14:paraId="1C8A021D" w14:textId="77777777" w:rsidR="002911AA" w:rsidRPr="002911AA" w:rsidRDefault="002911AA" w:rsidP="002911AA">
            <w:pPr>
              <w:rPr>
                <w:rFonts w:ascii="Calibri" w:hAnsi="Calibri"/>
                <w:sz w:val="18"/>
                <w:szCs w:val="22"/>
              </w:rPr>
            </w:pPr>
            <w:r w:rsidRPr="002911AA">
              <w:rPr>
                <w:rFonts w:ascii="Calibri" w:hAnsi="Calibri"/>
                <w:sz w:val="18"/>
                <w:szCs w:val="22"/>
              </w:rPr>
              <w:t>Invasive species</w:t>
            </w:r>
          </w:p>
        </w:tc>
        <w:tc>
          <w:tcPr>
            <w:tcW w:w="850" w:type="dxa"/>
          </w:tcPr>
          <w:p w14:paraId="757FCD20" w14:textId="77777777" w:rsidR="002911AA" w:rsidRPr="002911AA" w:rsidRDefault="002911AA" w:rsidP="002911AA">
            <w:pPr>
              <w:jc w:val="both"/>
              <w:rPr>
                <w:rFonts w:ascii="Calibri" w:hAnsi="Calibri"/>
                <w:sz w:val="18"/>
                <w:szCs w:val="22"/>
              </w:rPr>
            </w:pPr>
          </w:p>
        </w:tc>
        <w:tc>
          <w:tcPr>
            <w:tcW w:w="1276" w:type="dxa"/>
          </w:tcPr>
          <w:p w14:paraId="42ED467A" w14:textId="77777777" w:rsidR="002911AA" w:rsidRPr="002911AA" w:rsidRDefault="002911AA" w:rsidP="002911AA">
            <w:pPr>
              <w:jc w:val="both"/>
              <w:rPr>
                <w:rFonts w:ascii="Calibri" w:hAnsi="Calibri"/>
                <w:sz w:val="18"/>
                <w:szCs w:val="22"/>
              </w:rPr>
            </w:pPr>
          </w:p>
        </w:tc>
        <w:tc>
          <w:tcPr>
            <w:tcW w:w="2126" w:type="dxa"/>
          </w:tcPr>
          <w:p w14:paraId="23B587EB" w14:textId="77777777" w:rsidR="002911AA" w:rsidRPr="002911AA" w:rsidRDefault="002911AA" w:rsidP="002911AA">
            <w:pPr>
              <w:jc w:val="both"/>
              <w:rPr>
                <w:rFonts w:ascii="Calibri" w:hAnsi="Calibri"/>
                <w:sz w:val="18"/>
                <w:szCs w:val="22"/>
              </w:rPr>
            </w:pPr>
          </w:p>
        </w:tc>
        <w:tc>
          <w:tcPr>
            <w:tcW w:w="1701" w:type="dxa"/>
          </w:tcPr>
          <w:p w14:paraId="062C14CC" w14:textId="77777777" w:rsidR="002911AA" w:rsidRPr="002911AA" w:rsidRDefault="002911AA" w:rsidP="002911AA">
            <w:pPr>
              <w:jc w:val="both"/>
              <w:rPr>
                <w:rFonts w:ascii="Calibri" w:hAnsi="Calibri"/>
                <w:sz w:val="18"/>
                <w:szCs w:val="22"/>
              </w:rPr>
            </w:pPr>
          </w:p>
        </w:tc>
        <w:tc>
          <w:tcPr>
            <w:tcW w:w="1418" w:type="dxa"/>
          </w:tcPr>
          <w:p w14:paraId="64268217" w14:textId="77777777" w:rsidR="002911AA" w:rsidRPr="002911AA" w:rsidRDefault="002911AA" w:rsidP="002911AA">
            <w:pPr>
              <w:jc w:val="both"/>
              <w:rPr>
                <w:rFonts w:ascii="Calibri" w:hAnsi="Calibri"/>
                <w:sz w:val="18"/>
                <w:szCs w:val="22"/>
              </w:rPr>
            </w:pPr>
          </w:p>
        </w:tc>
        <w:tc>
          <w:tcPr>
            <w:tcW w:w="1134" w:type="dxa"/>
          </w:tcPr>
          <w:p w14:paraId="34599E19" w14:textId="77777777" w:rsidR="002911AA" w:rsidRPr="002911AA" w:rsidRDefault="002911AA" w:rsidP="002911AA">
            <w:pPr>
              <w:jc w:val="both"/>
              <w:rPr>
                <w:rFonts w:ascii="Calibri" w:hAnsi="Calibri"/>
                <w:sz w:val="18"/>
                <w:szCs w:val="22"/>
              </w:rPr>
            </w:pPr>
          </w:p>
        </w:tc>
      </w:tr>
      <w:tr w:rsidR="002911AA" w:rsidRPr="002911AA" w14:paraId="5C11DB42" w14:textId="77777777" w:rsidTr="002911AA">
        <w:tc>
          <w:tcPr>
            <w:tcW w:w="10031" w:type="dxa"/>
            <w:gridSpan w:val="7"/>
            <w:shd w:val="clear" w:color="auto" w:fill="BFBFBF" w:themeFill="background1" w:themeFillShade="BF"/>
          </w:tcPr>
          <w:p w14:paraId="0B3DC742" w14:textId="77777777" w:rsidR="002911AA" w:rsidRPr="002911AA" w:rsidRDefault="002911AA" w:rsidP="002911AA">
            <w:pPr>
              <w:rPr>
                <w:rFonts w:ascii="Calibri" w:hAnsi="Calibri"/>
                <w:b/>
                <w:sz w:val="18"/>
                <w:szCs w:val="22"/>
              </w:rPr>
            </w:pPr>
            <w:r w:rsidRPr="002911AA">
              <w:rPr>
                <w:rFonts w:ascii="Calibri" w:hAnsi="Calibri"/>
                <w:b/>
                <w:sz w:val="18"/>
                <w:szCs w:val="22"/>
              </w:rPr>
              <w:t>b. Deforestation (examples)</w:t>
            </w:r>
          </w:p>
        </w:tc>
      </w:tr>
      <w:tr w:rsidR="002911AA" w:rsidRPr="002911AA" w14:paraId="132BF2BC" w14:textId="77777777" w:rsidTr="002911AA">
        <w:tc>
          <w:tcPr>
            <w:tcW w:w="1526" w:type="dxa"/>
          </w:tcPr>
          <w:p w14:paraId="34155A3B" w14:textId="77777777" w:rsidR="002911AA" w:rsidRPr="002911AA" w:rsidRDefault="002911AA" w:rsidP="002911AA">
            <w:pPr>
              <w:rPr>
                <w:rFonts w:ascii="Calibri" w:hAnsi="Calibri"/>
                <w:sz w:val="18"/>
                <w:szCs w:val="22"/>
              </w:rPr>
            </w:pPr>
            <w:r w:rsidRPr="002911AA">
              <w:rPr>
                <w:rFonts w:ascii="Calibri" w:hAnsi="Calibri"/>
                <w:sz w:val="18"/>
                <w:szCs w:val="22"/>
              </w:rPr>
              <w:t>Urban expansion</w:t>
            </w:r>
          </w:p>
        </w:tc>
        <w:tc>
          <w:tcPr>
            <w:tcW w:w="850" w:type="dxa"/>
          </w:tcPr>
          <w:p w14:paraId="32334873" w14:textId="77777777" w:rsidR="002911AA" w:rsidRPr="002911AA" w:rsidRDefault="002911AA" w:rsidP="002911AA">
            <w:pPr>
              <w:jc w:val="both"/>
              <w:rPr>
                <w:rFonts w:ascii="Calibri" w:hAnsi="Calibri"/>
                <w:sz w:val="18"/>
                <w:szCs w:val="22"/>
              </w:rPr>
            </w:pPr>
          </w:p>
        </w:tc>
        <w:tc>
          <w:tcPr>
            <w:tcW w:w="1276" w:type="dxa"/>
          </w:tcPr>
          <w:p w14:paraId="746F3466" w14:textId="77777777" w:rsidR="002911AA" w:rsidRPr="002911AA" w:rsidRDefault="002911AA" w:rsidP="002911AA">
            <w:pPr>
              <w:jc w:val="both"/>
              <w:rPr>
                <w:rFonts w:ascii="Calibri" w:hAnsi="Calibri"/>
                <w:sz w:val="18"/>
                <w:szCs w:val="22"/>
              </w:rPr>
            </w:pPr>
          </w:p>
        </w:tc>
        <w:tc>
          <w:tcPr>
            <w:tcW w:w="2126" w:type="dxa"/>
          </w:tcPr>
          <w:p w14:paraId="693A17FA" w14:textId="77777777" w:rsidR="002911AA" w:rsidRPr="002911AA" w:rsidRDefault="002911AA" w:rsidP="002911AA">
            <w:pPr>
              <w:jc w:val="both"/>
              <w:rPr>
                <w:rFonts w:ascii="Calibri" w:hAnsi="Calibri"/>
                <w:sz w:val="18"/>
                <w:szCs w:val="22"/>
              </w:rPr>
            </w:pPr>
          </w:p>
        </w:tc>
        <w:tc>
          <w:tcPr>
            <w:tcW w:w="1701" w:type="dxa"/>
          </w:tcPr>
          <w:p w14:paraId="74B6B373" w14:textId="77777777" w:rsidR="002911AA" w:rsidRPr="002911AA" w:rsidRDefault="002911AA" w:rsidP="002911AA">
            <w:pPr>
              <w:jc w:val="both"/>
              <w:rPr>
                <w:rFonts w:ascii="Calibri" w:hAnsi="Calibri"/>
                <w:sz w:val="18"/>
                <w:szCs w:val="22"/>
              </w:rPr>
            </w:pPr>
          </w:p>
        </w:tc>
        <w:tc>
          <w:tcPr>
            <w:tcW w:w="1418" w:type="dxa"/>
          </w:tcPr>
          <w:p w14:paraId="200F369E" w14:textId="77777777" w:rsidR="002911AA" w:rsidRPr="002911AA" w:rsidRDefault="002911AA" w:rsidP="002911AA">
            <w:pPr>
              <w:jc w:val="both"/>
              <w:rPr>
                <w:rFonts w:ascii="Calibri" w:hAnsi="Calibri"/>
                <w:sz w:val="18"/>
                <w:szCs w:val="22"/>
              </w:rPr>
            </w:pPr>
          </w:p>
        </w:tc>
        <w:tc>
          <w:tcPr>
            <w:tcW w:w="1134" w:type="dxa"/>
          </w:tcPr>
          <w:p w14:paraId="02AF1E59" w14:textId="77777777" w:rsidR="002911AA" w:rsidRPr="002911AA" w:rsidRDefault="002911AA" w:rsidP="002911AA">
            <w:pPr>
              <w:jc w:val="both"/>
              <w:rPr>
                <w:rFonts w:ascii="Calibri" w:hAnsi="Calibri"/>
                <w:sz w:val="18"/>
                <w:szCs w:val="22"/>
              </w:rPr>
            </w:pPr>
          </w:p>
        </w:tc>
      </w:tr>
      <w:tr w:rsidR="002911AA" w:rsidRPr="002911AA" w14:paraId="4F068F16" w14:textId="77777777" w:rsidTr="002911AA">
        <w:tc>
          <w:tcPr>
            <w:tcW w:w="1526" w:type="dxa"/>
          </w:tcPr>
          <w:p w14:paraId="180BC4D5" w14:textId="77777777" w:rsidR="002911AA" w:rsidRPr="002911AA" w:rsidRDefault="002911AA" w:rsidP="002911AA">
            <w:pPr>
              <w:rPr>
                <w:rFonts w:ascii="Calibri" w:hAnsi="Calibri"/>
                <w:sz w:val="18"/>
                <w:szCs w:val="22"/>
              </w:rPr>
            </w:pPr>
            <w:r w:rsidRPr="002911AA">
              <w:rPr>
                <w:rFonts w:ascii="Calibri" w:hAnsi="Calibri"/>
                <w:sz w:val="18"/>
                <w:szCs w:val="22"/>
              </w:rPr>
              <w:t xml:space="preserve">Infrastructure </w:t>
            </w:r>
          </w:p>
        </w:tc>
        <w:tc>
          <w:tcPr>
            <w:tcW w:w="850" w:type="dxa"/>
          </w:tcPr>
          <w:p w14:paraId="168AE225" w14:textId="77777777" w:rsidR="002911AA" w:rsidRPr="002911AA" w:rsidRDefault="002911AA" w:rsidP="002911AA">
            <w:pPr>
              <w:jc w:val="both"/>
              <w:rPr>
                <w:rFonts w:ascii="Calibri" w:hAnsi="Calibri"/>
                <w:sz w:val="18"/>
                <w:szCs w:val="22"/>
              </w:rPr>
            </w:pPr>
          </w:p>
        </w:tc>
        <w:tc>
          <w:tcPr>
            <w:tcW w:w="1276" w:type="dxa"/>
          </w:tcPr>
          <w:p w14:paraId="691252D9" w14:textId="77777777" w:rsidR="002911AA" w:rsidRPr="002911AA" w:rsidRDefault="002911AA" w:rsidP="002911AA">
            <w:pPr>
              <w:jc w:val="both"/>
              <w:rPr>
                <w:rFonts w:ascii="Calibri" w:hAnsi="Calibri"/>
                <w:sz w:val="18"/>
                <w:szCs w:val="22"/>
              </w:rPr>
            </w:pPr>
          </w:p>
        </w:tc>
        <w:tc>
          <w:tcPr>
            <w:tcW w:w="2126" w:type="dxa"/>
          </w:tcPr>
          <w:p w14:paraId="7F012B84" w14:textId="77777777" w:rsidR="002911AA" w:rsidRPr="002911AA" w:rsidRDefault="002911AA" w:rsidP="002911AA">
            <w:pPr>
              <w:jc w:val="both"/>
              <w:rPr>
                <w:rFonts w:ascii="Calibri" w:hAnsi="Calibri"/>
                <w:sz w:val="18"/>
                <w:szCs w:val="22"/>
              </w:rPr>
            </w:pPr>
          </w:p>
        </w:tc>
        <w:tc>
          <w:tcPr>
            <w:tcW w:w="1701" w:type="dxa"/>
          </w:tcPr>
          <w:p w14:paraId="6AEF5B3D" w14:textId="77777777" w:rsidR="002911AA" w:rsidRPr="002911AA" w:rsidRDefault="002911AA" w:rsidP="002911AA">
            <w:pPr>
              <w:jc w:val="both"/>
              <w:rPr>
                <w:rFonts w:ascii="Calibri" w:hAnsi="Calibri"/>
                <w:sz w:val="18"/>
                <w:szCs w:val="22"/>
              </w:rPr>
            </w:pPr>
          </w:p>
        </w:tc>
        <w:tc>
          <w:tcPr>
            <w:tcW w:w="1418" w:type="dxa"/>
          </w:tcPr>
          <w:p w14:paraId="7B8C2FC3" w14:textId="77777777" w:rsidR="002911AA" w:rsidRPr="002911AA" w:rsidRDefault="002911AA" w:rsidP="002911AA">
            <w:pPr>
              <w:jc w:val="both"/>
              <w:rPr>
                <w:rFonts w:ascii="Calibri" w:hAnsi="Calibri"/>
                <w:sz w:val="18"/>
                <w:szCs w:val="22"/>
              </w:rPr>
            </w:pPr>
          </w:p>
        </w:tc>
        <w:tc>
          <w:tcPr>
            <w:tcW w:w="1134" w:type="dxa"/>
          </w:tcPr>
          <w:p w14:paraId="4C114EBD" w14:textId="77777777" w:rsidR="002911AA" w:rsidRPr="002911AA" w:rsidRDefault="002911AA" w:rsidP="002911AA">
            <w:pPr>
              <w:jc w:val="both"/>
              <w:rPr>
                <w:rFonts w:ascii="Calibri" w:hAnsi="Calibri"/>
                <w:sz w:val="18"/>
                <w:szCs w:val="22"/>
              </w:rPr>
            </w:pPr>
          </w:p>
        </w:tc>
      </w:tr>
      <w:tr w:rsidR="002911AA" w:rsidRPr="002911AA" w14:paraId="7AB5A4F5" w14:textId="77777777" w:rsidTr="002911AA">
        <w:tc>
          <w:tcPr>
            <w:tcW w:w="1526" w:type="dxa"/>
          </w:tcPr>
          <w:p w14:paraId="49AC2472" w14:textId="77777777" w:rsidR="002911AA" w:rsidRPr="002911AA" w:rsidRDefault="002911AA" w:rsidP="002911AA">
            <w:pPr>
              <w:rPr>
                <w:rFonts w:ascii="Calibri" w:hAnsi="Calibri"/>
                <w:sz w:val="18"/>
                <w:szCs w:val="22"/>
              </w:rPr>
            </w:pPr>
            <w:r w:rsidRPr="002911AA">
              <w:rPr>
                <w:rFonts w:ascii="Calibri" w:hAnsi="Calibri"/>
                <w:sz w:val="18"/>
                <w:szCs w:val="22"/>
              </w:rPr>
              <w:t>Plantation establishment</w:t>
            </w:r>
          </w:p>
        </w:tc>
        <w:tc>
          <w:tcPr>
            <w:tcW w:w="850" w:type="dxa"/>
          </w:tcPr>
          <w:p w14:paraId="6BFF0101" w14:textId="77777777" w:rsidR="002911AA" w:rsidRPr="002911AA" w:rsidRDefault="002911AA" w:rsidP="002911AA">
            <w:pPr>
              <w:jc w:val="both"/>
              <w:rPr>
                <w:rFonts w:ascii="Calibri" w:hAnsi="Calibri"/>
                <w:sz w:val="18"/>
                <w:szCs w:val="22"/>
              </w:rPr>
            </w:pPr>
          </w:p>
        </w:tc>
        <w:tc>
          <w:tcPr>
            <w:tcW w:w="1276" w:type="dxa"/>
          </w:tcPr>
          <w:p w14:paraId="30D66A2B" w14:textId="77777777" w:rsidR="002911AA" w:rsidRPr="002911AA" w:rsidRDefault="002911AA" w:rsidP="002911AA">
            <w:pPr>
              <w:jc w:val="both"/>
              <w:rPr>
                <w:rFonts w:ascii="Calibri" w:hAnsi="Calibri"/>
                <w:sz w:val="18"/>
                <w:szCs w:val="22"/>
              </w:rPr>
            </w:pPr>
          </w:p>
        </w:tc>
        <w:tc>
          <w:tcPr>
            <w:tcW w:w="2126" w:type="dxa"/>
          </w:tcPr>
          <w:p w14:paraId="2CB3AF31" w14:textId="77777777" w:rsidR="002911AA" w:rsidRPr="002911AA" w:rsidRDefault="002911AA" w:rsidP="002911AA">
            <w:pPr>
              <w:jc w:val="both"/>
              <w:rPr>
                <w:rFonts w:ascii="Calibri" w:hAnsi="Calibri"/>
                <w:sz w:val="18"/>
                <w:szCs w:val="22"/>
              </w:rPr>
            </w:pPr>
          </w:p>
        </w:tc>
        <w:tc>
          <w:tcPr>
            <w:tcW w:w="1701" w:type="dxa"/>
          </w:tcPr>
          <w:p w14:paraId="0454ADCA" w14:textId="77777777" w:rsidR="002911AA" w:rsidRPr="002911AA" w:rsidRDefault="002911AA" w:rsidP="002911AA">
            <w:pPr>
              <w:jc w:val="both"/>
              <w:rPr>
                <w:rFonts w:ascii="Calibri" w:hAnsi="Calibri"/>
                <w:sz w:val="18"/>
                <w:szCs w:val="22"/>
              </w:rPr>
            </w:pPr>
          </w:p>
        </w:tc>
        <w:tc>
          <w:tcPr>
            <w:tcW w:w="1418" w:type="dxa"/>
          </w:tcPr>
          <w:p w14:paraId="3F9BE0B2" w14:textId="77777777" w:rsidR="002911AA" w:rsidRPr="002911AA" w:rsidRDefault="002911AA" w:rsidP="002911AA">
            <w:pPr>
              <w:jc w:val="both"/>
              <w:rPr>
                <w:rFonts w:ascii="Calibri" w:hAnsi="Calibri"/>
                <w:sz w:val="18"/>
                <w:szCs w:val="22"/>
              </w:rPr>
            </w:pPr>
          </w:p>
        </w:tc>
        <w:tc>
          <w:tcPr>
            <w:tcW w:w="1134" w:type="dxa"/>
          </w:tcPr>
          <w:p w14:paraId="5A07DCFC" w14:textId="77777777" w:rsidR="002911AA" w:rsidRPr="002911AA" w:rsidRDefault="002911AA" w:rsidP="002911AA">
            <w:pPr>
              <w:jc w:val="both"/>
              <w:rPr>
                <w:rFonts w:ascii="Calibri" w:hAnsi="Calibri"/>
                <w:sz w:val="18"/>
                <w:szCs w:val="22"/>
              </w:rPr>
            </w:pPr>
          </w:p>
        </w:tc>
      </w:tr>
      <w:tr w:rsidR="002911AA" w:rsidRPr="002911AA" w14:paraId="0240899A" w14:textId="77777777" w:rsidTr="002911AA">
        <w:tc>
          <w:tcPr>
            <w:tcW w:w="1526" w:type="dxa"/>
          </w:tcPr>
          <w:p w14:paraId="25863D0C" w14:textId="77777777" w:rsidR="002911AA" w:rsidRPr="002911AA" w:rsidRDefault="002911AA" w:rsidP="002911AA">
            <w:pPr>
              <w:rPr>
                <w:rFonts w:ascii="Calibri" w:hAnsi="Calibri"/>
                <w:sz w:val="18"/>
                <w:szCs w:val="22"/>
              </w:rPr>
            </w:pPr>
            <w:r w:rsidRPr="002911AA">
              <w:rPr>
                <w:rFonts w:ascii="Calibri" w:hAnsi="Calibri"/>
                <w:sz w:val="18"/>
                <w:szCs w:val="22"/>
              </w:rPr>
              <w:t>Agricultural expansion</w:t>
            </w:r>
          </w:p>
        </w:tc>
        <w:tc>
          <w:tcPr>
            <w:tcW w:w="850" w:type="dxa"/>
          </w:tcPr>
          <w:p w14:paraId="29E0BA85" w14:textId="77777777" w:rsidR="002911AA" w:rsidRPr="002911AA" w:rsidRDefault="002911AA" w:rsidP="002911AA">
            <w:pPr>
              <w:jc w:val="both"/>
              <w:rPr>
                <w:rFonts w:ascii="Calibri" w:hAnsi="Calibri"/>
                <w:sz w:val="18"/>
                <w:szCs w:val="22"/>
              </w:rPr>
            </w:pPr>
          </w:p>
        </w:tc>
        <w:tc>
          <w:tcPr>
            <w:tcW w:w="1276" w:type="dxa"/>
          </w:tcPr>
          <w:p w14:paraId="2D604CE5" w14:textId="77777777" w:rsidR="002911AA" w:rsidRPr="002911AA" w:rsidRDefault="002911AA" w:rsidP="002911AA">
            <w:pPr>
              <w:jc w:val="both"/>
              <w:rPr>
                <w:rFonts w:ascii="Calibri" w:hAnsi="Calibri"/>
                <w:sz w:val="18"/>
                <w:szCs w:val="22"/>
              </w:rPr>
            </w:pPr>
          </w:p>
        </w:tc>
        <w:tc>
          <w:tcPr>
            <w:tcW w:w="2126" w:type="dxa"/>
          </w:tcPr>
          <w:p w14:paraId="6272B918" w14:textId="77777777" w:rsidR="002911AA" w:rsidRPr="002911AA" w:rsidRDefault="002911AA" w:rsidP="002911AA">
            <w:pPr>
              <w:jc w:val="both"/>
              <w:rPr>
                <w:rFonts w:ascii="Calibri" w:hAnsi="Calibri"/>
                <w:sz w:val="18"/>
                <w:szCs w:val="22"/>
              </w:rPr>
            </w:pPr>
          </w:p>
        </w:tc>
        <w:tc>
          <w:tcPr>
            <w:tcW w:w="1701" w:type="dxa"/>
          </w:tcPr>
          <w:p w14:paraId="6633A7A1" w14:textId="77777777" w:rsidR="002911AA" w:rsidRPr="002911AA" w:rsidRDefault="002911AA" w:rsidP="002911AA">
            <w:pPr>
              <w:jc w:val="both"/>
              <w:rPr>
                <w:rFonts w:ascii="Calibri" w:hAnsi="Calibri"/>
                <w:sz w:val="18"/>
                <w:szCs w:val="22"/>
              </w:rPr>
            </w:pPr>
          </w:p>
        </w:tc>
        <w:tc>
          <w:tcPr>
            <w:tcW w:w="1418" w:type="dxa"/>
          </w:tcPr>
          <w:p w14:paraId="66B2CA7D" w14:textId="77777777" w:rsidR="002911AA" w:rsidRPr="002911AA" w:rsidRDefault="002911AA" w:rsidP="002911AA">
            <w:pPr>
              <w:jc w:val="both"/>
              <w:rPr>
                <w:rFonts w:ascii="Calibri" w:hAnsi="Calibri"/>
                <w:sz w:val="18"/>
                <w:szCs w:val="22"/>
              </w:rPr>
            </w:pPr>
          </w:p>
        </w:tc>
        <w:tc>
          <w:tcPr>
            <w:tcW w:w="1134" w:type="dxa"/>
          </w:tcPr>
          <w:p w14:paraId="740F190A" w14:textId="77777777" w:rsidR="002911AA" w:rsidRPr="002911AA" w:rsidRDefault="002911AA" w:rsidP="002911AA">
            <w:pPr>
              <w:jc w:val="both"/>
              <w:rPr>
                <w:rFonts w:ascii="Calibri" w:hAnsi="Calibri"/>
                <w:sz w:val="18"/>
                <w:szCs w:val="22"/>
              </w:rPr>
            </w:pPr>
          </w:p>
        </w:tc>
      </w:tr>
      <w:tr w:rsidR="002911AA" w:rsidRPr="002911AA" w14:paraId="64D63B2B" w14:textId="77777777" w:rsidTr="002911AA">
        <w:tc>
          <w:tcPr>
            <w:tcW w:w="10031" w:type="dxa"/>
            <w:gridSpan w:val="7"/>
            <w:shd w:val="clear" w:color="auto" w:fill="BFBFBF" w:themeFill="background1" w:themeFillShade="BF"/>
          </w:tcPr>
          <w:p w14:paraId="00EB7AE4" w14:textId="77777777" w:rsidR="002911AA" w:rsidRPr="002911AA" w:rsidRDefault="002911AA" w:rsidP="002911AA">
            <w:pPr>
              <w:rPr>
                <w:rFonts w:ascii="Calibri" w:hAnsi="Calibri"/>
                <w:b/>
                <w:sz w:val="18"/>
                <w:szCs w:val="22"/>
              </w:rPr>
            </w:pPr>
            <w:r w:rsidRPr="002911AA">
              <w:rPr>
                <w:rFonts w:ascii="Calibri" w:hAnsi="Calibri"/>
                <w:b/>
                <w:sz w:val="18"/>
                <w:szCs w:val="22"/>
              </w:rPr>
              <w:t>2. Coastal/Mangrove forests</w:t>
            </w:r>
          </w:p>
        </w:tc>
      </w:tr>
      <w:tr w:rsidR="002911AA" w:rsidRPr="002911AA" w14:paraId="2D304917" w14:textId="77777777" w:rsidTr="002911AA">
        <w:tc>
          <w:tcPr>
            <w:tcW w:w="10031" w:type="dxa"/>
            <w:gridSpan w:val="7"/>
            <w:shd w:val="clear" w:color="auto" w:fill="BFBFBF" w:themeFill="background1" w:themeFillShade="BF"/>
          </w:tcPr>
          <w:p w14:paraId="09A8D642" w14:textId="77777777" w:rsidR="002911AA" w:rsidRPr="002911AA" w:rsidRDefault="002911AA" w:rsidP="002911AA">
            <w:pPr>
              <w:rPr>
                <w:rFonts w:ascii="Calibri" w:hAnsi="Calibri"/>
                <w:b/>
                <w:sz w:val="18"/>
                <w:szCs w:val="22"/>
              </w:rPr>
            </w:pPr>
            <w:r w:rsidRPr="002911AA">
              <w:rPr>
                <w:rFonts w:ascii="Calibri" w:hAnsi="Calibri"/>
                <w:b/>
                <w:sz w:val="18"/>
                <w:szCs w:val="22"/>
              </w:rPr>
              <w:t>a. Degradation (examples)</w:t>
            </w:r>
          </w:p>
        </w:tc>
      </w:tr>
      <w:tr w:rsidR="002911AA" w:rsidRPr="002911AA" w14:paraId="122BF0E4" w14:textId="77777777" w:rsidTr="002911AA">
        <w:tc>
          <w:tcPr>
            <w:tcW w:w="1526" w:type="dxa"/>
          </w:tcPr>
          <w:p w14:paraId="3070CA27" w14:textId="77777777" w:rsidR="002911AA" w:rsidRPr="002911AA" w:rsidRDefault="002911AA" w:rsidP="002911AA">
            <w:pPr>
              <w:rPr>
                <w:rFonts w:ascii="Calibri" w:hAnsi="Calibri"/>
                <w:sz w:val="18"/>
                <w:szCs w:val="22"/>
              </w:rPr>
            </w:pPr>
            <w:proofErr w:type="spellStart"/>
            <w:r w:rsidRPr="002911AA">
              <w:rPr>
                <w:rFonts w:ascii="Calibri" w:hAnsi="Calibri"/>
                <w:sz w:val="18"/>
                <w:szCs w:val="22"/>
              </w:rPr>
              <w:t>Fuelwood</w:t>
            </w:r>
            <w:proofErr w:type="spellEnd"/>
            <w:r w:rsidRPr="002911AA">
              <w:rPr>
                <w:rFonts w:ascii="Calibri" w:hAnsi="Calibri"/>
                <w:sz w:val="18"/>
                <w:szCs w:val="22"/>
              </w:rPr>
              <w:t xml:space="preserve"> collection</w:t>
            </w:r>
          </w:p>
        </w:tc>
        <w:tc>
          <w:tcPr>
            <w:tcW w:w="850" w:type="dxa"/>
          </w:tcPr>
          <w:p w14:paraId="720808FD" w14:textId="77777777" w:rsidR="002911AA" w:rsidRPr="002911AA" w:rsidDel="003F70D4" w:rsidRDefault="002911AA" w:rsidP="002911AA">
            <w:pPr>
              <w:jc w:val="both"/>
              <w:rPr>
                <w:rFonts w:ascii="Calibri" w:hAnsi="Calibri"/>
                <w:sz w:val="18"/>
                <w:szCs w:val="22"/>
              </w:rPr>
            </w:pPr>
          </w:p>
        </w:tc>
        <w:tc>
          <w:tcPr>
            <w:tcW w:w="1276" w:type="dxa"/>
          </w:tcPr>
          <w:p w14:paraId="394DD569" w14:textId="77777777" w:rsidR="002911AA" w:rsidRPr="002911AA" w:rsidDel="003F70D4" w:rsidRDefault="002911AA" w:rsidP="002911AA">
            <w:pPr>
              <w:jc w:val="both"/>
              <w:rPr>
                <w:rFonts w:ascii="Calibri" w:hAnsi="Calibri"/>
                <w:sz w:val="18"/>
                <w:szCs w:val="22"/>
              </w:rPr>
            </w:pPr>
          </w:p>
        </w:tc>
        <w:tc>
          <w:tcPr>
            <w:tcW w:w="2126" w:type="dxa"/>
          </w:tcPr>
          <w:p w14:paraId="7A00EE97" w14:textId="77777777" w:rsidR="002911AA" w:rsidRPr="002911AA" w:rsidRDefault="002911AA" w:rsidP="002911AA">
            <w:pPr>
              <w:jc w:val="both"/>
              <w:rPr>
                <w:rFonts w:ascii="Calibri" w:hAnsi="Calibri"/>
                <w:sz w:val="18"/>
                <w:szCs w:val="22"/>
              </w:rPr>
            </w:pPr>
          </w:p>
        </w:tc>
        <w:tc>
          <w:tcPr>
            <w:tcW w:w="1701" w:type="dxa"/>
          </w:tcPr>
          <w:p w14:paraId="10CE01B5" w14:textId="77777777" w:rsidR="002911AA" w:rsidRPr="002911AA" w:rsidRDefault="002911AA" w:rsidP="002911AA">
            <w:pPr>
              <w:jc w:val="both"/>
              <w:rPr>
                <w:rFonts w:ascii="Calibri" w:hAnsi="Calibri"/>
                <w:sz w:val="18"/>
                <w:szCs w:val="22"/>
              </w:rPr>
            </w:pPr>
          </w:p>
        </w:tc>
        <w:tc>
          <w:tcPr>
            <w:tcW w:w="1418" w:type="dxa"/>
          </w:tcPr>
          <w:p w14:paraId="4A243121" w14:textId="77777777" w:rsidR="002911AA" w:rsidRPr="002911AA" w:rsidRDefault="002911AA" w:rsidP="002911AA">
            <w:pPr>
              <w:jc w:val="both"/>
              <w:rPr>
                <w:rFonts w:ascii="Calibri" w:hAnsi="Calibri"/>
                <w:sz w:val="18"/>
                <w:szCs w:val="22"/>
              </w:rPr>
            </w:pPr>
          </w:p>
        </w:tc>
        <w:tc>
          <w:tcPr>
            <w:tcW w:w="1134" w:type="dxa"/>
          </w:tcPr>
          <w:p w14:paraId="697D978D" w14:textId="77777777" w:rsidR="002911AA" w:rsidRPr="002911AA" w:rsidRDefault="002911AA" w:rsidP="002911AA">
            <w:pPr>
              <w:jc w:val="both"/>
              <w:rPr>
                <w:rFonts w:ascii="Calibri" w:hAnsi="Calibri"/>
                <w:sz w:val="18"/>
                <w:szCs w:val="22"/>
              </w:rPr>
            </w:pPr>
          </w:p>
        </w:tc>
      </w:tr>
      <w:tr w:rsidR="002911AA" w:rsidRPr="002911AA" w14:paraId="45B3401C" w14:textId="77777777" w:rsidTr="002911AA">
        <w:tc>
          <w:tcPr>
            <w:tcW w:w="1526" w:type="dxa"/>
          </w:tcPr>
          <w:p w14:paraId="3AC50730" w14:textId="77777777" w:rsidR="002911AA" w:rsidRPr="002911AA" w:rsidRDefault="002911AA" w:rsidP="002911AA">
            <w:pPr>
              <w:rPr>
                <w:rFonts w:ascii="Calibri" w:hAnsi="Calibri"/>
                <w:sz w:val="18"/>
                <w:szCs w:val="22"/>
              </w:rPr>
            </w:pPr>
            <w:r w:rsidRPr="002911AA">
              <w:rPr>
                <w:rFonts w:ascii="Calibri" w:hAnsi="Calibri"/>
                <w:sz w:val="18"/>
                <w:szCs w:val="22"/>
              </w:rPr>
              <w:t xml:space="preserve">Pollution (oil spills, </w:t>
            </w:r>
            <w:proofErr w:type="spellStart"/>
            <w:r w:rsidRPr="002911AA">
              <w:rPr>
                <w:rFonts w:ascii="Calibri" w:hAnsi="Calibri"/>
                <w:sz w:val="18"/>
                <w:szCs w:val="22"/>
              </w:rPr>
              <w:t>etc</w:t>
            </w:r>
            <w:proofErr w:type="spellEnd"/>
            <w:r w:rsidRPr="002911AA">
              <w:rPr>
                <w:rFonts w:ascii="Calibri" w:hAnsi="Calibri"/>
                <w:sz w:val="18"/>
                <w:szCs w:val="22"/>
              </w:rPr>
              <w:t>)</w:t>
            </w:r>
          </w:p>
        </w:tc>
        <w:tc>
          <w:tcPr>
            <w:tcW w:w="850" w:type="dxa"/>
          </w:tcPr>
          <w:p w14:paraId="33B1844B" w14:textId="77777777" w:rsidR="002911AA" w:rsidRPr="002911AA" w:rsidDel="003F70D4" w:rsidRDefault="002911AA" w:rsidP="002911AA">
            <w:pPr>
              <w:jc w:val="both"/>
              <w:rPr>
                <w:rFonts w:ascii="Calibri" w:hAnsi="Calibri"/>
                <w:sz w:val="18"/>
                <w:szCs w:val="22"/>
              </w:rPr>
            </w:pPr>
          </w:p>
        </w:tc>
        <w:tc>
          <w:tcPr>
            <w:tcW w:w="1276" w:type="dxa"/>
          </w:tcPr>
          <w:p w14:paraId="3C2D1281" w14:textId="77777777" w:rsidR="002911AA" w:rsidRPr="002911AA" w:rsidDel="003F70D4" w:rsidRDefault="002911AA" w:rsidP="002911AA">
            <w:pPr>
              <w:jc w:val="both"/>
              <w:rPr>
                <w:rFonts w:ascii="Calibri" w:hAnsi="Calibri"/>
                <w:sz w:val="18"/>
                <w:szCs w:val="22"/>
              </w:rPr>
            </w:pPr>
          </w:p>
        </w:tc>
        <w:tc>
          <w:tcPr>
            <w:tcW w:w="2126" w:type="dxa"/>
          </w:tcPr>
          <w:p w14:paraId="282BAFDD" w14:textId="77777777" w:rsidR="002911AA" w:rsidRPr="002911AA" w:rsidRDefault="002911AA" w:rsidP="002911AA">
            <w:pPr>
              <w:jc w:val="both"/>
              <w:rPr>
                <w:rFonts w:ascii="Calibri" w:hAnsi="Calibri"/>
                <w:sz w:val="18"/>
                <w:szCs w:val="22"/>
              </w:rPr>
            </w:pPr>
          </w:p>
        </w:tc>
        <w:tc>
          <w:tcPr>
            <w:tcW w:w="1701" w:type="dxa"/>
          </w:tcPr>
          <w:p w14:paraId="2F067253" w14:textId="77777777" w:rsidR="002911AA" w:rsidRPr="002911AA" w:rsidRDefault="002911AA" w:rsidP="002911AA">
            <w:pPr>
              <w:jc w:val="both"/>
              <w:rPr>
                <w:rFonts w:ascii="Calibri" w:hAnsi="Calibri"/>
                <w:sz w:val="18"/>
                <w:szCs w:val="22"/>
              </w:rPr>
            </w:pPr>
          </w:p>
        </w:tc>
        <w:tc>
          <w:tcPr>
            <w:tcW w:w="1418" w:type="dxa"/>
          </w:tcPr>
          <w:p w14:paraId="255CA71B" w14:textId="77777777" w:rsidR="002911AA" w:rsidRPr="002911AA" w:rsidRDefault="002911AA" w:rsidP="002911AA">
            <w:pPr>
              <w:jc w:val="both"/>
              <w:rPr>
                <w:rFonts w:ascii="Calibri" w:hAnsi="Calibri"/>
                <w:sz w:val="18"/>
                <w:szCs w:val="22"/>
              </w:rPr>
            </w:pPr>
          </w:p>
        </w:tc>
        <w:tc>
          <w:tcPr>
            <w:tcW w:w="1134" w:type="dxa"/>
          </w:tcPr>
          <w:p w14:paraId="6E837F30" w14:textId="77777777" w:rsidR="002911AA" w:rsidRPr="002911AA" w:rsidRDefault="002911AA" w:rsidP="002911AA">
            <w:pPr>
              <w:jc w:val="both"/>
              <w:rPr>
                <w:rFonts w:ascii="Calibri" w:hAnsi="Calibri"/>
                <w:sz w:val="18"/>
                <w:szCs w:val="22"/>
              </w:rPr>
            </w:pPr>
          </w:p>
        </w:tc>
      </w:tr>
      <w:tr w:rsidR="002911AA" w:rsidRPr="002911AA" w14:paraId="13E317E3" w14:textId="77777777" w:rsidTr="002911AA">
        <w:tc>
          <w:tcPr>
            <w:tcW w:w="1526" w:type="dxa"/>
          </w:tcPr>
          <w:p w14:paraId="08AF4CC4" w14:textId="77777777" w:rsidR="002911AA" w:rsidRPr="002911AA" w:rsidRDefault="002911AA" w:rsidP="002911AA">
            <w:pPr>
              <w:rPr>
                <w:rFonts w:ascii="Calibri" w:hAnsi="Calibri"/>
                <w:sz w:val="18"/>
                <w:szCs w:val="22"/>
              </w:rPr>
            </w:pPr>
            <w:r w:rsidRPr="002911AA">
              <w:rPr>
                <w:rFonts w:ascii="Calibri" w:hAnsi="Calibri"/>
                <w:sz w:val="18"/>
                <w:szCs w:val="22"/>
              </w:rPr>
              <w:t>Other mangrove product collection</w:t>
            </w:r>
          </w:p>
        </w:tc>
        <w:tc>
          <w:tcPr>
            <w:tcW w:w="850" w:type="dxa"/>
          </w:tcPr>
          <w:p w14:paraId="48209F78" w14:textId="77777777" w:rsidR="002911AA" w:rsidRPr="002911AA" w:rsidDel="003F70D4" w:rsidRDefault="002911AA" w:rsidP="002911AA">
            <w:pPr>
              <w:jc w:val="both"/>
              <w:rPr>
                <w:rFonts w:ascii="Calibri" w:hAnsi="Calibri"/>
                <w:sz w:val="18"/>
                <w:szCs w:val="22"/>
              </w:rPr>
            </w:pPr>
          </w:p>
        </w:tc>
        <w:tc>
          <w:tcPr>
            <w:tcW w:w="1276" w:type="dxa"/>
          </w:tcPr>
          <w:p w14:paraId="26929523" w14:textId="77777777" w:rsidR="002911AA" w:rsidRPr="002911AA" w:rsidDel="003F70D4" w:rsidRDefault="002911AA" w:rsidP="002911AA">
            <w:pPr>
              <w:jc w:val="both"/>
              <w:rPr>
                <w:rFonts w:ascii="Calibri" w:hAnsi="Calibri"/>
                <w:sz w:val="18"/>
                <w:szCs w:val="22"/>
              </w:rPr>
            </w:pPr>
          </w:p>
        </w:tc>
        <w:tc>
          <w:tcPr>
            <w:tcW w:w="2126" w:type="dxa"/>
          </w:tcPr>
          <w:p w14:paraId="607031AF" w14:textId="77777777" w:rsidR="002911AA" w:rsidRPr="002911AA" w:rsidRDefault="002911AA" w:rsidP="002911AA">
            <w:pPr>
              <w:jc w:val="both"/>
              <w:rPr>
                <w:rFonts w:ascii="Calibri" w:hAnsi="Calibri"/>
                <w:sz w:val="18"/>
                <w:szCs w:val="22"/>
              </w:rPr>
            </w:pPr>
          </w:p>
        </w:tc>
        <w:tc>
          <w:tcPr>
            <w:tcW w:w="1701" w:type="dxa"/>
          </w:tcPr>
          <w:p w14:paraId="4B2EFBD6" w14:textId="77777777" w:rsidR="002911AA" w:rsidRPr="002911AA" w:rsidRDefault="002911AA" w:rsidP="002911AA">
            <w:pPr>
              <w:jc w:val="both"/>
              <w:rPr>
                <w:rFonts w:ascii="Calibri" w:hAnsi="Calibri"/>
                <w:sz w:val="18"/>
                <w:szCs w:val="22"/>
              </w:rPr>
            </w:pPr>
          </w:p>
        </w:tc>
        <w:tc>
          <w:tcPr>
            <w:tcW w:w="1418" w:type="dxa"/>
          </w:tcPr>
          <w:p w14:paraId="648024D8" w14:textId="77777777" w:rsidR="002911AA" w:rsidRPr="002911AA" w:rsidRDefault="002911AA" w:rsidP="002911AA">
            <w:pPr>
              <w:jc w:val="both"/>
              <w:rPr>
                <w:rFonts w:ascii="Calibri" w:hAnsi="Calibri"/>
                <w:sz w:val="18"/>
                <w:szCs w:val="22"/>
              </w:rPr>
            </w:pPr>
          </w:p>
        </w:tc>
        <w:tc>
          <w:tcPr>
            <w:tcW w:w="1134" w:type="dxa"/>
          </w:tcPr>
          <w:p w14:paraId="23126616" w14:textId="77777777" w:rsidR="002911AA" w:rsidRPr="002911AA" w:rsidRDefault="002911AA" w:rsidP="002911AA">
            <w:pPr>
              <w:jc w:val="both"/>
              <w:rPr>
                <w:rFonts w:ascii="Calibri" w:hAnsi="Calibri"/>
                <w:sz w:val="18"/>
                <w:szCs w:val="22"/>
              </w:rPr>
            </w:pPr>
          </w:p>
        </w:tc>
      </w:tr>
      <w:tr w:rsidR="002911AA" w:rsidRPr="002911AA" w14:paraId="58CF36E5" w14:textId="77777777" w:rsidTr="002911AA">
        <w:tc>
          <w:tcPr>
            <w:tcW w:w="10031" w:type="dxa"/>
            <w:gridSpan w:val="7"/>
            <w:shd w:val="clear" w:color="auto" w:fill="BFBFBF" w:themeFill="background1" w:themeFillShade="BF"/>
          </w:tcPr>
          <w:p w14:paraId="0A18144B" w14:textId="77777777" w:rsidR="002911AA" w:rsidRPr="002911AA" w:rsidRDefault="002911AA" w:rsidP="002911AA">
            <w:pPr>
              <w:rPr>
                <w:rFonts w:ascii="Calibri" w:hAnsi="Calibri"/>
                <w:b/>
                <w:sz w:val="18"/>
                <w:szCs w:val="22"/>
              </w:rPr>
            </w:pPr>
            <w:r w:rsidRPr="002911AA">
              <w:rPr>
                <w:rFonts w:ascii="Calibri" w:hAnsi="Calibri"/>
                <w:b/>
                <w:sz w:val="18"/>
                <w:szCs w:val="22"/>
              </w:rPr>
              <w:t>b. Deforestation (examples)</w:t>
            </w:r>
          </w:p>
        </w:tc>
      </w:tr>
      <w:tr w:rsidR="002911AA" w:rsidRPr="002911AA" w14:paraId="249B347C" w14:textId="77777777" w:rsidTr="002911AA">
        <w:tc>
          <w:tcPr>
            <w:tcW w:w="1526" w:type="dxa"/>
          </w:tcPr>
          <w:p w14:paraId="2079CB21" w14:textId="77777777" w:rsidR="002911AA" w:rsidRPr="002911AA" w:rsidRDefault="002911AA" w:rsidP="002911AA">
            <w:pPr>
              <w:rPr>
                <w:rFonts w:ascii="Calibri" w:hAnsi="Calibri"/>
                <w:sz w:val="18"/>
                <w:szCs w:val="22"/>
              </w:rPr>
            </w:pPr>
            <w:r w:rsidRPr="002911AA">
              <w:rPr>
                <w:rFonts w:ascii="Calibri" w:hAnsi="Calibri"/>
                <w:sz w:val="18"/>
                <w:szCs w:val="22"/>
              </w:rPr>
              <w:t>Agriculture</w:t>
            </w:r>
          </w:p>
        </w:tc>
        <w:tc>
          <w:tcPr>
            <w:tcW w:w="850" w:type="dxa"/>
          </w:tcPr>
          <w:p w14:paraId="7B7285F4" w14:textId="77777777" w:rsidR="002911AA" w:rsidRPr="002911AA" w:rsidDel="003F70D4" w:rsidRDefault="002911AA" w:rsidP="002911AA">
            <w:pPr>
              <w:jc w:val="both"/>
              <w:rPr>
                <w:rFonts w:ascii="Calibri" w:hAnsi="Calibri"/>
                <w:sz w:val="18"/>
                <w:szCs w:val="22"/>
              </w:rPr>
            </w:pPr>
          </w:p>
        </w:tc>
        <w:tc>
          <w:tcPr>
            <w:tcW w:w="1276" w:type="dxa"/>
          </w:tcPr>
          <w:p w14:paraId="7389E117" w14:textId="77777777" w:rsidR="002911AA" w:rsidRPr="002911AA" w:rsidDel="003F70D4" w:rsidRDefault="002911AA" w:rsidP="002911AA">
            <w:pPr>
              <w:jc w:val="both"/>
              <w:rPr>
                <w:rFonts w:ascii="Calibri" w:hAnsi="Calibri"/>
                <w:sz w:val="18"/>
                <w:szCs w:val="22"/>
              </w:rPr>
            </w:pPr>
          </w:p>
        </w:tc>
        <w:tc>
          <w:tcPr>
            <w:tcW w:w="2126" w:type="dxa"/>
          </w:tcPr>
          <w:p w14:paraId="0B8D2E83" w14:textId="77777777" w:rsidR="002911AA" w:rsidRPr="002911AA" w:rsidRDefault="002911AA" w:rsidP="002911AA">
            <w:pPr>
              <w:jc w:val="both"/>
              <w:rPr>
                <w:rFonts w:ascii="Calibri" w:hAnsi="Calibri"/>
                <w:sz w:val="18"/>
                <w:szCs w:val="22"/>
              </w:rPr>
            </w:pPr>
          </w:p>
        </w:tc>
        <w:tc>
          <w:tcPr>
            <w:tcW w:w="1701" w:type="dxa"/>
          </w:tcPr>
          <w:p w14:paraId="423E1482" w14:textId="77777777" w:rsidR="002911AA" w:rsidRPr="002911AA" w:rsidRDefault="002911AA" w:rsidP="002911AA">
            <w:pPr>
              <w:jc w:val="both"/>
              <w:rPr>
                <w:rFonts w:ascii="Calibri" w:hAnsi="Calibri"/>
                <w:sz w:val="18"/>
                <w:szCs w:val="22"/>
              </w:rPr>
            </w:pPr>
          </w:p>
        </w:tc>
        <w:tc>
          <w:tcPr>
            <w:tcW w:w="1418" w:type="dxa"/>
          </w:tcPr>
          <w:p w14:paraId="62A58C8D" w14:textId="77777777" w:rsidR="002911AA" w:rsidRPr="002911AA" w:rsidRDefault="002911AA" w:rsidP="002911AA">
            <w:pPr>
              <w:jc w:val="both"/>
              <w:rPr>
                <w:rFonts w:ascii="Calibri" w:hAnsi="Calibri"/>
                <w:sz w:val="18"/>
                <w:szCs w:val="22"/>
              </w:rPr>
            </w:pPr>
          </w:p>
        </w:tc>
        <w:tc>
          <w:tcPr>
            <w:tcW w:w="1134" w:type="dxa"/>
          </w:tcPr>
          <w:p w14:paraId="040DE873" w14:textId="77777777" w:rsidR="002911AA" w:rsidRPr="002911AA" w:rsidRDefault="002911AA" w:rsidP="002911AA">
            <w:pPr>
              <w:jc w:val="both"/>
              <w:rPr>
                <w:rFonts w:ascii="Calibri" w:hAnsi="Calibri"/>
                <w:sz w:val="18"/>
                <w:szCs w:val="22"/>
              </w:rPr>
            </w:pPr>
          </w:p>
        </w:tc>
      </w:tr>
      <w:tr w:rsidR="002911AA" w:rsidRPr="002911AA" w14:paraId="000BC631" w14:textId="77777777" w:rsidTr="002911AA">
        <w:tc>
          <w:tcPr>
            <w:tcW w:w="1526" w:type="dxa"/>
          </w:tcPr>
          <w:p w14:paraId="71392F11" w14:textId="77777777" w:rsidR="002911AA" w:rsidRPr="002911AA" w:rsidRDefault="002911AA" w:rsidP="002911AA">
            <w:pPr>
              <w:rPr>
                <w:rFonts w:ascii="Calibri" w:hAnsi="Calibri"/>
                <w:sz w:val="18"/>
                <w:szCs w:val="22"/>
              </w:rPr>
            </w:pPr>
            <w:r w:rsidRPr="002911AA">
              <w:rPr>
                <w:rFonts w:ascii="Calibri" w:hAnsi="Calibri"/>
                <w:sz w:val="18"/>
                <w:szCs w:val="22"/>
              </w:rPr>
              <w:t>Aquaculture</w:t>
            </w:r>
          </w:p>
        </w:tc>
        <w:tc>
          <w:tcPr>
            <w:tcW w:w="850" w:type="dxa"/>
          </w:tcPr>
          <w:p w14:paraId="39CF9DF5" w14:textId="77777777" w:rsidR="002911AA" w:rsidRPr="002911AA" w:rsidDel="003F70D4" w:rsidRDefault="002911AA" w:rsidP="002911AA">
            <w:pPr>
              <w:jc w:val="both"/>
              <w:rPr>
                <w:rFonts w:ascii="Calibri" w:hAnsi="Calibri"/>
                <w:sz w:val="18"/>
                <w:szCs w:val="22"/>
              </w:rPr>
            </w:pPr>
          </w:p>
        </w:tc>
        <w:tc>
          <w:tcPr>
            <w:tcW w:w="1276" w:type="dxa"/>
          </w:tcPr>
          <w:p w14:paraId="6CEB805D" w14:textId="77777777" w:rsidR="002911AA" w:rsidRPr="002911AA" w:rsidDel="003F70D4" w:rsidRDefault="002911AA" w:rsidP="002911AA">
            <w:pPr>
              <w:jc w:val="both"/>
              <w:rPr>
                <w:rFonts w:ascii="Calibri" w:hAnsi="Calibri"/>
                <w:sz w:val="18"/>
                <w:szCs w:val="22"/>
              </w:rPr>
            </w:pPr>
          </w:p>
        </w:tc>
        <w:tc>
          <w:tcPr>
            <w:tcW w:w="2126" w:type="dxa"/>
          </w:tcPr>
          <w:p w14:paraId="21A8711D" w14:textId="77777777" w:rsidR="002911AA" w:rsidRPr="002911AA" w:rsidRDefault="002911AA" w:rsidP="002911AA">
            <w:pPr>
              <w:jc w:val="both"/>
              <w:rPr>
                <w:rFonts w:ascii="Calibri" w:hAnsi="Calibri"/>
                <w:sz w:val="18"/>
                <w:szCs w:val="22"/>
              </w:rPr>
            </w:pPr>
          </w:p>
        </w:tc>
        <w:tc>
          <w:tcPr>
            <w:tcW w:w="1701" w:type="dxa"/>
          </w:tcPr>
          <w:p w14:paraId="56082CCA" w14:textId="77777777" w:rsidR="002911AA" w:rsidRPr="002911AA" w:rsidRDefault="002911AA" w:rsidP="002911AA">
            <w:pPr>
              <w:jc w:val="both"/>
              <w:rPr>
                <w:rFonts w:ascii="Calibri" w:hAnsi="Calibri"/>
                <w:sz w:val="18"/>
                <w:szCs w:val="22"/>
              </w:rPr>
            </w:pPr>
          </w:p>
        </w:tc>
        <w:tc>
          <w:tcPr>
            <w:tcW w:w="1418" w:type="dxa"/>
          </w:tcPr>
          <w:p w14:paraId="12AB379F" w14:textId="77777777" w:rsidR="002911AA" w:rsidRPr="002911AA" w:rsidRDefault="002911AA" w:rsidP="002911AA">
            <w:pPr>
              <w:jc w:val="both"/>
              <w:rPr>
                <w:rFonts w:ascii="Calibri" w:hAnsi="Calibri"/>
                <w:sz w:val="18"/>
                <w:szCs w:val="22"/>
              </w:rPr>
            </w:pPr>
          </w:p>
        </w:tc>
        <w:tc>
          <w:tcPr>
            <w:tcW w:w="1134" w:type="dxa"/>
          </w:tcPr>
          <w:p w14:paraId="4D819A5D" w14:textId="77777777" w:rsidR="002911AA" w:rsidRPr="002911AA" w:rsidRDefault="002911AA" w:rsidP="002911AA">
            <w:pPr>
              <w:jc w:val="both"/>
              <w:rPr>
                <w:rFonts w:ascii="Calibri" w:hAnsi="Calibri"/>
                <w:sz w:val="18"/>
                <w:szCs w:val="22"/>
              </w:rPr>
            </w:pPr>
          </w:p>
        </w:tc>
      </w:tr>
      <w:tr w:rsidR="002911AA" w:rsidRPr="002911AA" w14:paraId="60D746A9" w14:textId="77777777" w:rsidTr="002911AA">
        <w:tc>
          <w:tcPr>
            <w:tcW w:w="1526" w:type="dxa"/>
          </w:tcPr>
          <w:p w14:paraId="5EBF088F" w14:textId="77777777" w:rsidR="002911AA" w:rsidRPr="002911AA" w:rsidRDefault="002911AA" w:rsidP="002911AA">
            <w:pPr>
              <w:rPr>
                <w:rFonts w:ascii="Calibri" w:hAnsi="Calibri"/>
                <w:sz w:val="18"/>
                <w:szCs w:val="22"/>
              </w:rPr>
            </w:pPr>
            <w:r w:rsidRPr="002911AA">
              <w:rPr>
                <w:rFonts w:ascii="Calibri" w:hAnsi="Calibri"/>
                <w:sz w:val="18"/>
                <w:szCs w:val="22"/>
              </w:rPr>
              <w:t>Urban expansion</w:t>
            </w:r>
          </w:p>
        </w:tc>
        <w:tc>
          <w:tcPr>
            <w:tcW w:w="850" w:type="dxa"/>
          </w:tcPr>
          <w:p w14:paraId="61B85015" w14:textId="77777777" w:rsidR="002911AA" w:rsidRPr="002911AA" w:rsidDel="003F70D4" w:rsidRDefault="002911AA" w:rsidP="002911AA">
            <w:pPr>
              <w:jc w:val="both"/>
              <w:rPr>
                <w:rFonts w:ascii="Calibri" w:hAnsi="Calibri"/>
                <w:sz w:val="18"/>
                <w:szCs w:val="22"/>
              </w:rPr>
            </w:pPr>
          </w:p>
        </w:tc>
        <w:tc>
          <w:tcPr>
            <w:tcW w:w="1276" w:type="dxa"/>
          </w:tcPr>
          <w:p w14:paraId="76E51FF3" w14:textId="77777777" w:rsidR="002911AA" w:rsidRPr="002911AA" w:rsidDel="003F70D4" w:rsidRDefault="002911AA" w:rsidP="002911AA">
            <w:pPr>
              <w:jc w:val="both"/>
              <w:rPr>
                <w:rFonts w:ascii="Calibri" w:hAnsi="Calibri"/>
                <w:sz w:val="18"/>
                <w:szCs w:val="22"/>
              </w:rPr>
            </w:pPr>
          </w:p>
        </w:tc>
        <w:tc>
          <w:tcPr>
            <w:tcW w:w="2126" w:type="dxa"/>
          </w:tcPr>
          <w:p w14:paraId="4F07A3D0" w14:textId="77777777" w:rsidR="002911AA" w:rsidRPr="002911AA" w:rsidRDefault="002911AA" w:rsidP="002911AA">
            <w:pPr>
              <w:jc w:val="both"/>
              <w:rPr>
                <w:rFonts w:ascii="Calibri" w:hAnsi="Calibri"/>
                <w:sz w:val="18"/>
                <w:szCs w:val="22"/>
              </w:rPr>
            </w:pPr>
          </w:p>
        </w:tc>
        <w:tc>
          <w:tcPr>
            <w:tcW w:w="1701" w:type="dxa"/>
          </w:tcPr>
          <w:p w14:paraId="73244A2F" w14:textId="77777777" w:rsidR="002911AA" w:rsidRPr="002911AA" w:rsidRDefault="002911AA" w:rsidP="002911AA">
            <w:pPr>
              <w:jc w:val="both"/>
              <w:rPr>
                <w:rFonts w:ascii="Calibri" w:hAnsi="Calibri"/>
                <w:sz w:val="18"/>
                <w:szCs w:val="22"/>
              </w:rPr>
            </w:pPr>
          </w:p>
        </w:tc>
        <w:tc>
          <w:tcPr>
            <w:tcW w:w="1418" w:type="dxa"/>
          </w:tcPr>
          <w:p w14:paraId="523EF54B" w14:textId="77777777" w:rsidR="002911AA" w:rsidRPr="002911AA" w:rsidRDefault="002911AA" w:rsidP="002911AA">
            <w:pPr>
              <w:jc w:val="both"/>
              <w:rPr>
                <w:rFonts w:ascii="Calibri" w:hAnsi="Calibri"/>
                <w:sz w:val="18"/>
                <w:szCs w:val="22"/>
              </w:rPr>
            </w:pPr>
          </w:p>
        </w:tc>
        <w:tc>
          <w:tcPr>
            <w:tcW w:w="1134" w:type="dxa"/>
          </w:tcPr>
          <w:p w14:paraId="545520C7" w14:textId="77777777" w:rsidR="002911AA" w:rsidRPr="002911AA" w:rsidRDefault="002911AA" w:rsidP="002911AA">
            <w:pPr>
              <w:jc w:val="both"/>
              <w:rPr>
                <w:rFonts w:ascii="Calibri" w:hAnsi="Calibri"/>
                <w:sz w:val="18"/>
                <w:szCs w:val="22"/>
              </w:rPr>
            </w:pPr>
          </w:p>
        </w:tc>
      </w:tr>
      <w:tr w:rsidR="002911AA" w:rsidRPr="002911AA" w14:paraId="2102CE91" w14:textId="77777777" w:rsidTr="002911AA">
        <w:tc>
          <w:tcPr>
            <w:tcW w:w="1526" w:type="dxa"/>
          </w:tcPr>
          <w:p w14:paraId="3DBEAF77" w14:textId="77777777" w:rsidR="002911AA" w:rsidRPr="002911AA" w:rsidRDefault="002911AA" w:rsidP="002911AA">
            <w:pPr>
              <w:rPr>
                <w:rFonts w:ascii="Calibri" w:hAnsi="Calibri"/>
                <w:sz w:val="18"/>
                <w:szCs w:val="22"/>
              </w:rPr>
            </w:pPr>
            <w:r w:rsidRPr="002911AA">
              <w:rPr>
                <w:rFonts w:ascii="Calibri" w:hAnsi="Calibri"/>
                <w:sz w:val="18"/>
                <w:szCs w:val="22"/>
              </w:rPr>
              <w:t xml:space="preserve">Infrastructure </w:t>
            </w:r>
          </w:p>
        </w:tc>
        <w:tc>
          <w:tcPr>
            <w:tcW w:w="850" w:type="dxa"/>
          </w:tcPr>
          <w:p w14:paraId="575E3B8D" w14:textId="77777777" w:rsidR="002911AA" w:rsidRPr="002911AA" w:rsidDel="003F70D4" w:rsidRDefault="002911AA" w:rsidP="002911AA">
            <w:pPr>
              <w:jc w:val="both"/>
              <w:rPr>
                <w:rFonts w:ascii="Calibri" w:hAnsi="Calibri"/>
                <w:sz w:val="18"/>
                <w:szCs w:val="22"/>
              </w:rPr>
            </w:pPr>
          </w:p>
        </w:tc>
        <w:tc>
          <w:tcPr>
            <w:tcW w:w="1276" w:type="dxa"/>
          </w:tcPr>
          <w:p w14:paraId="551F6976" w14:textId="77777777" w:rsidR="002911AA" w:rsidRPr="002911AA" w:rsidDel="003F70D4" w:rsidRDefault="002911AA" w:rsidP="002911AA">
            <w:pPr>
              <w:jc w:val="both"/>
              <w:rPr>
                <w:rFonts w:ascii="Calibri" w:hAnsi="Calibri"/>
                <w:sz w:val="18"/>
                <w:szCs w:val="22"/>
              </w:rPr>
            </w:pPr>
          </w:p>
        </w:tc>
        <w:tc>
          <w:tcPr>
            <w:tcW w:w="2126" w:type="dxa"/>
          </w:tcPr>
          <w:p w14:paraId="311DBA85" w14:textId="77777777" w:rsidR="002911AA" w:rsidRPr="002911AA" w:rsidRDefault="002911AA" w:rsidP="002911AA">
            <w:pPr>
              <w:jc w:val="both"/>
              <w:rPr>
                <w:rFonts w:ascii="Calibri" w:hAnsi="Calibri"/>
                <w:sz w:val="18"/>
                <w:szCs w:val="22"/>
              </w:rPr>
            </w:pPr>
          </w:p>
        </w:tc>
        <w:tc>
          <w:tcPr>
            <w:tcW w:w="1701" w:type="dxa"/>
          </w:tcPr>
          <w:p w14:paraId="5C89544F" w14:textId="77777777" w:rsidR="002911AA" w:rsidRPr="002911AA" w:rsidRDefault="002911AA" w:rsidP="002911AA">
            <w:pPr>
              <w:jc w:val="both"/>
              <w:rPr>
                <w:rFonts w:ascii="Calibri" w:hAnsi="Calibri"/>
                <w:sz w:val="18"/>
                <w:szCs w:val="22"/>
              </w:rPr>
            </w:pPr>
          </w:p>
        </w:tc>
        <w:tc>
          <w:tcPr>
            <w:tcW w:w="1418" w:type="dxa"/>
          </w:tcPr>
          <w:p w14:paraId="1B744C4B" w14:textId="77777777" w:rsidR="002911AA" w:rsidRPr="002911AA" w:rsidRDefault="002911AA" w:rsidP="002911AA">
            <w:pPr>
              <w:jc w:val="both"/>
              <w:rPr>
                <w:rFonts w:ascii="Calibri" w:hAnsi="Calibri"/>
                <w:sz w:val="18"/>
                <w:szCs w:val="22"/>
              </w:rPr>
            </w:pPr>
          </w:p>
        </w:tc>
        <w:tc>
          <w:tcPr>
            <w:tcW w:w="1134" w:type="dxa"/>
          </w:tcPr>
          <w:p w14:paraId="579F9ACF" w14:textId="77777777" w:rsidR="002911AA" w:rsidRPr="002911AA" w:rsidRDefault="002911AA" w:rsidP="002911AA">
            <w:pPr>
              <w:jc w:val="both"/>
              <w:rPr>
                <w:rFonts w:ascii="Calibri" w:hAnsi="Calibri"/>
                <w:sz w:val="18"/>
                <w:szCs w:val="22"/>
              </w:rPr>
            </w:pPr>
          </w:p>
        </w:tc>
      </w:tr>
    </w:tbl>
    <w:p w14:paraId="03BB6294" w14:textId="77777777" w:rsidR="009E7681" w:rsidRPr="00A11FD7" w:rsidRDefault="009E7681" w:rsidP="00D4186D">
      <w:pPr>
        <w:jc w:val="both"/>
      </w:pPr>
    </w:p>
    <w:p w14:paraId="46C16955" w14:textId="77777777" w:rsidR="00D01189" w:rsidRPr="00172CB8" w:rsidRDefault="00D01189" w:rsidP="002911AA">
      <w:pPr>
        <w:pStyle w:val="Heading2"/>
        <w:numPr>
          <w:ilvl w:val="0"/>
          <w:numId w:val="43"/>
        </w:numPr>
      </w:pPr>
      <w:r w:rsidRPr="00172CB8">
        <w:t xml:space="preserve">Review </w:t>
      </w:r>
      <w:r w:rsidR="00483E38">
        <w:t>Current S</w:t>
      </w:r>
      <w:r w:rsidRPr="00172CB8">
        <w:t xml:space="preserve">trategies </w:t>
      </w:r>
    </w:p>
    <w:p w14:paraId="04F2CA1C" w14:textId="77777777" w:rsidR="00D01189" w:rsidRPr="00A11FD7" w:rsidRDefault="00D01189" w:rsidP="00D4186D">
      <w:pPr>
        <w:jc w:val="both"/>
      </w:pPr>
      <w:r w:rsidRPr="00A11FD7">
        <w:t>Identify existing strategies that are being used to address deforestation and forest degradation</w:t>
      </w:r>
      <w:r w:rsidR="003F70D4" w:rsidRPr="00A11FD7">
        <w:t xml:space="preserve"> and the functional </w:t>
      </w:r>
      <w:r w:rsidR="00743D7C">
        <w:t xml:space="preserve">as well as technical </w:t>
      </w:r>
      <w:r w:rsidR="003F70D4" w:rsidRPr="00A11FD7">
        <w:t>capacities required to implement these strategies</w:t>
      </w:r>
      <w:r w:rsidRPr="00A11FD7">
        <w:t>.  Identify:</w:t>
      </w:r>
    </w:p>
    <w:p w14:paraId="71403AAF" w14:textId="77777777" w:rsidR="003F70D4" w:rsidRPr="00A11FD7" w:rsidRDefault="003F70D4" w:rsidP="00172CB8">
      <w:pPr>
        <w:pStyle w:val="ListParagraph"/>
        <w:numPr>
          <w:ilvl w:val="0"/>
          <w:numId w:val="35"/>
        </w:numPr>
        <w:jc w:val="both"/>
      </w:pPr>
      <w:r w:rsidRPr="00A11FD7">
        <w:t xml:space="preserve">When the existing strategy was </w:t>
      </w:r>
      <w:r w:rsidR="00291BF6" w:rsidRPr="00A11FD7">
        <w:t>initiated</w:t>
      </w:r>
      <w:r w:rsidRPr="00A11FD7">
        <w:t>, and under which legal/policy guidelines</w:t>
      </w:r>
    </w:p>
    <w:p w14:paraId="4818335A" w14:textId="77777777" w:rsidR="003F70D4" w:rsidRPr="00A11FD7" w:rsidRDefault="003F70D4" w:rsidP="00172CB8">
      <w:pPr>
        <w:pStyle w:val="ListParagraph"/>
        <w:numPr>
          <w:ilvl w:val="0"/>
          <w:numId w:val="35"/>
        </w:numPr>
        <w:jc w:val="both"/>
      </w:pPr>
      <w:r w:rsidRPr="00A11FD7">
        <w:t>How each strategy is funded</w:t>
      </w:r>
    </w:p>
    <w:p w14:paraId="6376CD33" w14:textId="77777777" w:rsidR="003F70D4" w:rsidRPr="00A11FD7" w:rsidRDefault="003F70D4" w:rsidP="00172CB8">
      <w:pPr>
        <w:pStyle w:val="ListParagraph"/>
        <w:numPr>
          <w:ilvl w:val="0"/>
          <w:numId w:val="35"/>
        </w:numPr>
        <w:jc w:val="both"/>
      </w:pPr>
      <w:r w:rsidRPr="00A11FD7">
        <w:t>Results obtained to date</w:t>
      </w:r>
    </w:p>
    <w:p w14:paraId="5FAAFEA2" w14:textId="77777777" w:rsidR="00172CB8" w:rsidRDefault="003F70D4" w:rsidP="00172CB8">
      <w:pPr>
        <w:pStyle w:val="ListParagraph"/>
        <w:numPr>
          <w:ilvl w:val="0"/>
          <w:numId w:val="35"/>
        </w:numPr>
        <w:jc w:val="both"/>
      </w:pPr>
      <w:r w:rsidRPr="00A11FD7">
        <w:t>Constraints which may be limiting effectiveness of each current strategy</w:t>
      </w:r>
    </w:p>
    <w:p w14:paraId="3DF77647" w14:textId="77777777" w:rsidR="00483E38" w:rsidRDefault="00483E38" w:rsidP="00172CB8">
      <w:pPr>
        <w:pStyle w:val="Heading4"/>
        <w:numPr>
          <w:ilvl w:val="0"/>
          <w:numId w:val="0"/>
        </w:numPr>
        <w:ind w:left="864" w:hanging="864"/>
      </w:pPr>
    </w:p>
    <w:p w14:paraId="59814B12" w14:textId="77777777" w:rsidR="00291BF6" w:rsidRPr="00A11FD7" w:rsidRDefault="00483E38" w:rsidP="002911AA">
      <w:pPr>
        <w:pStyle w:val="Heading2"/>
        <w:numPr>
          <w:ilvl w:val="0"/>
          <w:numId w:val="43"/>
        </w:numPr>
      </w:pPr>
      <w:r>
        <w:t>Identify</w:t>
      </w:r>
      <w:r w:rsidR="001002C2" w:rsidRPr="00A11FD7">
        <w:t xml:space="preserve"> potential REDD+ strategies, policies and measures </w:t>
      </w:r>
    </w:p>
    <w:p w14:paraId="5029E41B" w14:textId="77777777" w:rsidR="001002C2" w:rsidRPr="00A11FD7" w:rsidRDefault="001002C2" w:rsidP="00D4186D">
      <w:pPr>
        <w:jc w:val="both"/>
      </w:pPr>
      <w:r w:rsidRPr="00A11FD7">
        <w:t>In identifying potential REDD+ strategies, policies and measures, the following points should be considered:</w:t>
      </w:r>
    </w:p>
    <w:p w14:paraId="7220AF3B" w14:textId="77777777" w:rsidR="001002C2" w:rsidRPr="00A11FD7" w:rsidRDefault="001002C2" w:rsidP="00D4186D">
      <w:pPr>
        <w:jc w:val="both"/>
      </w:pPr>
    </w:p>
    <w:p w14:paraId="6AEF58F3" w14:textId="77777777" w:rsidR="001002C2" w:rsidRPr="00A11FD7" w:rsidRDefault="001002C2" w:rsidP="00172CB8">
      <w:pPr>
        <w:pStyle w:val="ListParagraph"/>
        <w:numPr>
          <w:ilvl w:val="0"/>
          <w:numId w:val="36"/>
        </w:numPr>
        <w:jc w:val="both"/>
      </w:pPr>
      <w:r w:rsidRPr="00A11FD7">
        <w:t>A mix of incentives, disincentives and enabling measures, under a holistic REDD+ driver intervention package, aimed at drivers and underlying causes, will provide greatest leverage to affect drivers.</w:t>
      </w:r>
    </w:p>
    <w:p w14:paraId="7B345F7B" w14:textId="77777777" w:rsidR="001002C2" w:rsidRPr="00A11FD7" w:rsidRDefault="001002C2" w:rsidP="00172CB8">
      <w:pPr>
        <w:pStyle w:val="ListParagraph"/>
        <w:numPr>
          <w:ilvl w:val="0"/>
          <w:numId w:val="36"/>
        </w:numPr>
        <w:jc w:val="both"/>
      </w:pPr>
      <w:r w:rsidRPr="00A11FD7">
        <w:t>In order for REDD+ to be successful, incentives, disincentives and enabling measures will need to reach the actors responsible for causing and/or addressing the drivers of deforestation and at the appropriate scale.</w:t>
      </w:r>
    </w:p>
    <w:p w14:paraId="233FDF9B" w14:textId="77777777" w:rsidR="001002C2" w:rsidRPr="00A11FD7" w:rsidRDefault="001002C2" w:rsidP="00172CB8">
      <w:pPr>
        <w:pStyle w:val="ListParagraph"/>
        <w:numPr>
          <w:ilvl w:val="0"/>
          <w:numId w:val="36"/>
        </w:numPr>
        <w:jc w:val="both"/>
      </w:pPr>
      <w:r w:rsidRPr="00A11FD7">
        <w:t>When demand- and supply-side interventions are mutually reinforcing, there may be greater chance to affect driver activity.</w:t>
      </w:r>
    </w:p>
    <w:p w14:paraId="647202C4" w14:textId="77777777" w:rsidR="001002C2" w:rsidRPr="00A11FD7" w:rsidRDefault="001002C2" w:rsidP="00172CB8">
      <w:pPr>
        <w:pStyle w:val="ListParagraph"/>
        <w:numPr>
          <w:ilvl w:val="0"/>
          <w:numId w:val="36"/>
        </w:numPr>
        <w:jc w:val="both"/>
      </w:pPr>
      <w:r w:rsidRPr="00A11FD7">
        <w:t>Coordinated efforts within entire sectors, spanning multiple scales and engaging key actors, aided by supportive government policies and financial incentives, hold most promise in reducing deforestation and degradation pressures.</w:t>
      </w:r>
    </w:p>
    <w:p w14:paraId="04E101A8" w14:textId="77777777" w:rsidR="001002C2" w:rsidRPr="00A11FD7" w:rsidRDefault="001002C2" w:rsidP="00D4186D">
      <w:pPr>
        <w:jc w:val="both"/>
      </w:pPr>
    </w:p>
    <w:p w14:paraId="47094573" w14:textId="77777777" w:rsidR="000528DE" w:rsidRPr="00A11FD7" w:rsidRDefault="001002C2" w:rsidP="00D4186D">
      <w:pPr>
        <w:jc w:val="both"/>
      </w:pPr>
      <w:r w:rsidRPr="00A11FD7">
        <w:t xml:space="preserve">Ultimately, the National REDD+ </w:t>
      </w:r>
      <w:r w:rsidR="000528DE">
        <w:t xml:space="preserve">Strategy/Policy </w:t>
      </w:r>
      <w:r w:rsidRPr="00A11FD7">
        <w:t>will define specific policies and measures to be applied to address each driver and underlying cause.  For the purpose of the REDD+ Readiness Roadmap, the Working Group needs to identify activities to be undertaken to elaborate those policies and measures; it is therefore critical that the Working Group also think through, specifically, any capacity development activities which would need to be undertaken in order to elaborate the policies and measures, taking care to consider not only individual level capacity development needs (e.g. trainings and workshops; individual skills building and learning activities) but also capacity needs within and between organizations/institutions th</w:t>
      </w:r>
      <w:r w:rsidR="00AF749B" w:rsidRPr="00A11FD7">
        <w:t>at will have a role in REDD+ in Sol</w:t>
      </w:r>
      <w:r w:rsidR="000528DE">
        <w:t>omon Island.</w:t>
      </w:r>
    </w:p>
    <w:p w14:paraId="49BA2831" w14:textId="77777777" w:rsidR="001002C2" w:rsidRPr="00A11FD7" w:rsidRDefault="001002C2" w:rsidP="00D4186D">
      <w:pPr>
        <w:jc w:val="both"/>
      </w:pPr>
    </w:p>
    <w:p w14:paraId="05A4AA5C" w14:textId="77777777" w:rsidR="001002C2" w:rsidRPr="00A11FD7" w:rsidRDefault="001002C2" w:rsidP="00D4186D">
      <w:pPr>
        <w:jc w:val="both"/>
      </w:pPr>
      <w:r w:rsidRPr="00A11FD7">
        <w:t xml:space="preserve">Therefore, the Working Group should prepare a Table similar to that shown below. </w:t>
      </w:r>
    </w:p>
    <w:p w14:paraId="192834A3" w14:textId="77777777" w:rsidR="000528DE" w:rsidRDefault="000528DE" w:rsidP="000528DE">
      <w:pPr>
        <w:jc w:val="both"/>
      </w:pPr>
    </w:p>
    <w:p w14:paraId="367800F2" w14:textId="77777777" w:rsidR="000528DE" w:rsidRPr="00A11FD7" w:rsidRDefault="000528DE" w:rsidP="000528DE">
      <w:pPr>
        <w:jc w:val="both"/>
      </w:pPr>
      <w:r w:rsidRPr="00743D7C">
        <w:t xml:space="preserve">Consider, especially, land tenure security, customary </w:t>
      </w:r>
      <w:r>
        <w:t>land</w:t>
      </w:r>
      <w:r w:rsidRPr="00743D7C">
        <w:t xml:space="preserve"> coordination and collaboration, adequate information systems for decision-making, integration of forest and land-use planning with socio-economic development planning, the value of good governance, agricultural intensification</w:t>
      </w:r>
      <w:r>
        <w:t>,</w:t>
      </w:r>
      <w:r w:rsidRPr="00743D7C">
        <w:t xml:space="preserve">  cross-</w:t>
      </w:r>
      <w:proofErr w:type="spellStart"/>
      <w:r w:rsidRPr="00743D7C">
        <w:t>sectoral</w:t>
      </w:r>
      <w:proofErr w:type="spellEnd"/>
      <w:r w:rsidRPr="00743D7C">
        <w:t xml:space="preserve"> commitments</w:t>
      </w:r>
      <w:r>
        <w:t>,</w:t>
      </w:r>
      <w:r w:rsidRPr="00743D7C">
        <w:t xml:space="preserve"> indirect land-use change and foreign direct investment as </w:t>
      </w:r>
      <w:r>
        <w:t>potential strategies</w:t>
      </w:r>
      <w:r w:rsidRPr="00743D7C">
        <w:t>, and challenges of leakage</w:t>
      </w:r>
      <w:r>
        <w:t>.</w:t>
      </w:r>
    </w:p>
    <w:p w14:paraId="34C91271" w14:textId="77777777" w:rsidR="00F4269E" w:rsidRPr="00A11FD7" w:rsidRDefault="00F4269E" w:rsidP="00D4186D">
      <w:pPr>
        <w:jc w:val="both"/>
      </w:pPr>
    </w:p>
    <w:tbl>
      <w:tblPr>
        <w:tblStyle w:val="TableGrid"/>
        <w:tblW w:w="9889" w:type="dxa"/>
        <w:tblLayout w:type="fixed"/>
        <w:tblLook w:val="04A0" w:firstRow="1" w:lastRow="0" w:firstColumn="1" w:lastColumn="0" w:noHBand="0" w:noVBand="1"/>
      </w:tblPr>
      <w:tblGrid>
        <w:gridCol w:w="1298"/>
        <w:gridCol w:w="1504"/>
        <w:gridCol w:w="1559"/>
        <w:gridCol w:w="1417"/>
        <w:gridCol w:w="4111"/>
      </w:tblGrid>
      <w:tr w:rsidR="001002C2" w:rsidRPr="002911AA" w14:paraId="63AB68D8" w14:textId="77777777" w:rsidTr="002911AA">
        <w:tc>
          <w:tcPr>
            <w:tcW w:w="1298" w:type="dxa"/>
            <w:shd w:val="clear" w:color="auto" w:fill="DAEEF3" w:themeFill="accent5" w:themeFillTint="33"/>
          </w:tcPr>
          <w:p w14:paraId="20D53A51" w14:textId="77777777" w:rsidR="001002C2" w:rsidRPr="002911AA" w:rsidRDefault="001002C2" w:rsidP="000528DE">
            <w:pPr>
              <w:jc w:val="center"/>
              <w:rPr>
                <w:b/>
                <w:sz w:val="20"/>
              </w:rPr>
            </w:pPr>
            <w:r w:rsidRPr="002911AA">
              <w:rPr>
                <w:b/>
                <w:sz w:val="20"/>
              </w:rPr>
              <w:t>Driver</w:t>
            </w:r>
          </w:p>
        </w:tc>
        <w:tc>
          <w:tcPr>
            <w:tcW w:w="1504" w:type="dxa"/>
            <w:shd w:val="clear" w:color="auto" w:fill="DAEEF3" w:themeFill="accent5" w:themeFillTint="33"/>
          </w:tcPr>
          <w:p w14:paraId="2F2AF0EC" w14:textId="77777777" w:rsidR="001002C2" w:rsidRPr="002911AA" w:rsidRDefault="001002C2" w:rsidP="000528DE">
            <w:pPr>
              <w:jc w:val="center"/>
              <w:rPr>
                <w:b/>
                <w:sz w:val="20"/>
              </w:rPr>
            </w:pPr>
            <w:r w:rsidRPr="002911AA">
              <w:rPr>
                <w:b/>
                <w:sz w:val="20"/>
              </w:rPr>
              <w:t>Direct cause</w:t>
            </w:r>
          </w:p>
        </w:tc>
        <w:tc>
          <w:tcPr>
            <w:tcW w:w="1559" w:type="dxa"/>
            <w:shd w:val="clear" w:color="auto" w:fill="DAEEF3" w:themeFill="accent5" w:themeFillTint="33"/>
          </w:tcPr>
          <w:p w14:paraId="1D6949C1" w14:textId="77777777" w:rsidR="001002C2" w:rsidRPr="002911AA" w:rsidRDefault="001002C2" w:rsidP="000528DE">
            <w:pPr>
              <w:jc w:val="center"/>
              <w:rPr>
                <w:b/>
                <w:sz w:val="20"/>
              </w:rPr>
            </w:pPr>
            <w:r w:rsidRPr="002911AA">
              <w:rPr>
                <w:b/>
                <w:sz w:val="20"/>
              </w:rPr>
              <w:t>Underlying cause</w:t>
            </w:r>
          </w:p>
        </w:tc>
        <w:tc>
          <w:tcPr>
            <w:tcW w:w="1417" w:type="dxa"/>
            <w:shd w:val="clear" w:color="auto" w:fill="DAEEF3" w:themeFill="accent5" w:themeFillTint="33"/>
          </w:tcPr>
          <w:p w14:paraId="6B3F378B" w14:textId="77777777" w:rsidR="001002C2" w:rsidRPr="002911AA" w:rsidRDefault="001002C2" w:rsidP="000528DE">
            <w:pPr>
              <w:jc w:val="center"/>
              <w:rPr>
                <w:b/>
                <w:sz w:val="20"/>
              </w:rPr>
            </w:pPr>
            <w:r w:rsidRPr="002911AA">
              <w:rPr>
                <w:b/>
                <w:sz w:val="20"/>
              </w:rPr>
              <w:t>Possible REDD+ strategy</w:t>
            </w:r>
          </w:p>
        </w:tc>
        <w:tc>
          <w:tcPr>
            <w:tcW w:w="4111" w:type="dxa"/>
            <w:shd w:val="clear" w:color="auto" w:fill="DAEEF3" w:themeFill="accent5" w:themeFillTint="33"/>
          </w:tcPr>
          <w:p w14:paraId="7342C5CE" w14:textId="77777777" w:rsidR="001002C2" w:rsidRPr="002911AA" w:rsidRDefault="001002C2" w:rsidP="000528DE">
            <w:pPr>
              <w:jc w:val="center"/>
              <w:rPr>
                <w:b/>
                <w:sz w:val="20"/>
              </w:rPr>
            </w:pPr>
            <w:r w:rsidRPr="002911AA">
              <w:rPr>
                <w:b/>
                <w:sz w:val="20"/>
              </w:rPr>
              <w:t>Action needed to elaborate policies and measures to implement strategy</w:t>
            </w:r>
          </w:p>
        </w:tc>
      </w:tr>
      <w:tr w:rsidR="001002C2" w:rsidRPr="00A11FD7" w14:paraId="00694D61" w14:textId="77777777" w:rsidTr="002911AA">
        <w:tc>
          <w:tcPr>
            <w:tcW w:w="1298" w:type="dxa"/>
          </w:tcPr>
          <w:p w14:paraId="41E20DCC" w14:textId="77777777" w:rsidR="001002C2" w:rsidRPr="00A11FD7" w:rsidRDefault="001002C2" w:rsidP="00D4186D">
            <w:pPr>
              <w:jc w:val="both"/>
            </w:pPr>
          </w:p>
        </w:tc>
        <w:tc>
          <w:tcPr>
            <w:tcW w:w="1504" w:type="dxa"/>
          </w:tcPr>
          <w:p w14:paraId="18381118" w14:textId="77777777" w:rsidR="001002C2" w:rsidRPr="00A11FD7" w:rsidRDefault="001002C2" w:rsidP="00D4186D">
            <w:pPr>
              <w:jc w:val="both"/>
            </w:pPr>
          </w:p>
        </w:tc>
        <w:tc>
          <w:tcPr>
            <w:tcW w:w="1559" w:type="dxa"/>
          </w:tcPr>
          <w:p w14:paraId="39F49239" w14:textId="77777777" w:rsidR="001002C2" w:rsidRPr="00A11FD7" w:rsidRDefault="001002C2" w:rsidP="00D4186D">
            <w:pPr>
              <w:jc w:val="both"/>
            </w:pPr>
          </w:p>
        </w:tc>
        <w:tc>
          <w:tcPr>
            <w:tcW w:w="1417" w:type="dxa"/>
          </w:tcPr>
          <w:p w14:paraId="769A59A3" w14:textId="77777777" w:rsidR="001002C2" w:rsidRPr="00A11FD7" w:rsidRDefault="001002C2" w:rsidP="00D4186D">
            <w:pPr>
              <w:jc w:val="both"/>
            </w:pPr>
          </w:p>
        </w:tc>
        <w:tc>
          <w:tcPr>
            <w:tcW w:w="4111" w:type="dxa"/>
          </w:tcPr>
          <w:p w14:paraId="1A6DC69E" w14:textId="77777777" w:rsidR="001002C2" w:rsidRPr="00A11FD7" w:rsidRDefault="001002C2" w:rsidP="00D4186D">
            <w:pPr>
              <w:jc w:val="both"/>
            </w:pPr>
          </w:p>
        </w:tc>
      </w:tr>
      <w:tr w:rsidR="001002C2" w:rsidRPr="00A11FD7" w14:paraId="1C2EDFF7" w14:textId="77777777" w:rsidTr="002911AA">
        <w:tc>
          <w:tcPr>
            <w:tcW w:w="1298" w:type="dxa"/>
          </w:tcPr>
          <w:p w14:paraId="62CA3BA2" w14:textId="77777777" w:rsidR="001002C2" w:rsidRPr="00A11FD7" w:rsidRDefault="001002C2" w:rsidP="00D4186D">
            <w:pPr>
              <w:jc w:val="both"/>
            </w:pPr>
          </w:p>
        </w:tc>
        <w:tc>
          <w:tcPr>
            <w:tcW w:w="1504" w:type="dxa"/>
          </w:tcPr>
          <w:p w14:paraId="035E94F1" w14:textId="77777777" w:rsidR="001002C2" w:rsidRPr="00A11FD7" w:rsidRDefault="001002C2" w:rsidP="00D4186D">
            <w:pPr>
              <w:jc w:val="both"/>
            </w:pPr>
          </w:p>
        </w:tc>
        <w:tc>
          <w:tcPr>
            <w:tcW w:w="1559" w:type="dxa"/>
          </w:tcPr>
          <w:p w14:paraId="5E84904E" w14:textId="77777777" w:rsidR="001002C2" w:rsidRPr="00A11FD7" w:rsidRDefault="001002C2" w:rsidP="00D4186D">
            <w:pPr>
              <w:jc w:val="both"/>
            </w:pPr>
          </w:p>
        </w:tc>
        <w:tc>
          <w:tcPr>
            <w:tcW w:w="1417" w:type="dxa"/>
          </w:tcPr>
          <w:p w14:paraId="1EA0E75D" w14:textId="77777777" w:rsidR="001002C2" w:rsidRPr="00A11FD7" w:rsidRDefault="001002C2" w:rsidP="00D4186D">
            <w:pPr>
              <w:jc w:val="both"/>
            </w:pPr>
          </w:p>
        </w:tc>
        <w:tc>
          <w:tcPr>
            <w:tcW w:w="4111" w:type="dxa"/>
          </w:tcPr>
          <w:p w14:paraId="1DD8AB43" w14:textId="77777777" w:rsidR="001002C2" w:rsidRPr="00A11FD7" w:rsidRDefault="001002C2" w:rsidP="00D4186D">
            <w:pPr>
              <w:jc w:val="both"/>
            </w:pPr>
          </w:p>
        </w:tc>
      </w:tr>
      <w:tr w:rsidR="001002C2" w:rsidRPr="00A11FD7" w14:paraId="5259C2EC" w14:textId="77777777" w:rsidTr="002911AA">
        <w:tc>
          <w:tcPr>
            <w:tcW w:w="1298" w:type="dxa"/>
          </w:tcPr>
          <w:p w14:paraId="4D52CA2A" w14:textId="77777777" w:rsidR="001002C2" w:rsidRPr="00A11FD7" w:rsidRDefault="001002C2" w:rsidP="00D4186D">
            <w:pPr>
              <w:jc w:val="both"/>
            </w:pPr>
          </w:p>
        </w:tc>
        <w:tc>
          <w:tcPr>
            <w:tcW w:w="1504" w:type="dxa"/>
          </w:tcPr>
          <w:p w14:paraId="7C229960" w14:textId="77777777" w:rsidR="001002C2" w:rsidRPr="00A11FD7" w:rsidRDefault="001002C2" w:rsidP="00D4186D">
            <w:pPr>
              <w:jc w:val="both"/>
            </w:pPr>
          </w:p>
        </w:tc>
        <w:tc>
          <w:tcPr>
            <w:tcW w:w="1559" w:type="dxa"/>
          </w:tcPr>
          <w:p w14:paraId="5662FC33" w14:textId="77777777" w:rsidR="001002C2" w:rsidRPr="00A11FD7" w:rsidRDefault="001002C2" w:rsidP="00D4186D">
            <w:pPr>
              <w:jc w:val="both"/>
            </w:pPr>
          </w:p>
        </w:tc>
        <w:tc>
          <w:tcPr>
            <w:tcW w:w="1417" w:type="dxa"/>
          </w:tcPr>
          <w:p w14:paraId="2E7201FA" w14:textId="77777777" w:rsidR="001002C2" w:rsidRPr="00A11FD7" w:rsidRDefault="001002C2" w:rsidP="00D4186D">
            <w:pPr>
              <w:jc w:val="both"/>
            </w:pPr>
          </w:p>
        </w:tc>
        <w:tc>
          <w:tcPr>
            <w:tcW w:w="4111" w:type="dxa"/>
          </w:tcPr>
          <w:p w14:paraId="66C2984D" w14:textId="77777777" w:rsidR="001002C2" w:rsidRPr="00A11FD7" w:rsidRDefault="001002C2" w:rsidP="00D4186D">
            <w:pPr>
              <w:jc w:val="both"/>
            </w:pPr>
          </w:p>
        </w:tc>
      </w:tr>
      <w:tr w:rsidR="001002C2" w:rsidRPr="00A11FD7" w14:paraId="308C1030" w14:textId="77777777" w:rsidTr="002911AA">
        <w:tc>
          <w:tcPr>
            <w:tcW w:w="1298" w:type="dxa"/>
          </w:tcPr>
          <w:p w14:paraId="5897C8BA" w14:textId="77777777" w:rsidR="001002C2" w:rsidRPr="00A11FD7" w:rsidRDefault="001002C2" w:rsidP="00D4186D">
            <w:pPr>
              <w:jc w:val="both"/>
            </w:pPr>
          </w:p>
        </w:tc>
        <w:tc>
          <w:tcPr>
            <w:tcW w:w="1504" w:type="dxa"/>
          </w:tcPr>
          <w:p w14:paraId="51FC5E1D" w14:textId="77777777" w:rsidR="001002C2" w:rsidRPr="00A11FD7" w:rsidRDefault="001002C2" w:rsidP="00D4186D">
            <w:pPr>
              <w:jc w:val="both"/>
            </w:pPr>
          </w:p>
        </w:tc>
        <w:tc>
          <w:tcPr>
            <w:tcW w:w="1559" w:type="dxa"/>
          </w:tcPr>
          <w:p w14:paraId="59B35081" w14:textId="77777777" w:rsidR="001002C2" w:rsidRPr="00A11FD7" w:rsidRDefault="001002C2" w:rsidP="00D4186D">
            <w:pPr>
              <w:jc w:val="both"/>
            </w:pPr>
          </w:p>
        </w:tc>
        <w:tc>
          <w:tcPr>
            <w:tcW w:w="1417" w:type="dxa"/>
          </w:tcPr>
          <w:p w14:paraId="4F245A20" w14:textId="77777777" w:rsidR="001002C2" w:rsidRPr="00A11FD7" w:rsidRDefault="001002C2" w:rsidP="00D4186D">
            <w:pPr>
              <w:jc w:val="both"/>
            </w:pPr>
          </w:p>
        </w:tc>
        <w:tc>
          <w:tcPr>
            <w:tcW w:w="4111" w:type="dxa"/>
          </w:tcPr>
          <w:p w14:paraId="40A261BB" w14:textId="77777777" w:rsidR="001002C2" w:rsidRPr="00A11FD7" w:rsidRDefault="001002C2" w:rsidP="00D4186D">
            <w:pPr>
              <w:jc w:val="both"/>
            </w:pPr>
          </w:p>
        </w:tc>
      </w:tr>
    </w:tbl>
    <w:p w14:paraId="0855BF55" w14:textId="77777777" w:rsidR="005B2237" w:rsidRDefault="005B2237" w:rsidP="00D4186D">
      <w:pPr>
        <w:jc w:val="both"/>
      </w:pPr>
    </w:p>
    <w:p w14:paraId="5C99D4B4" w14:textId="77777777" w:rsidR="007D7373" w:rsidRDefault="007D7373" w:rsidP="00D4186D">
      <w:pPr>
        <w:jc w:val="both"/>
      </w:pPr>
    </w:p>
    <w:p w14:paraId="1481D968" w14:textId="77777777" w:rsidR="007D7373" w:rsidRPr="00A11FD7" w:rsidRDefault="007D7373" w:rsidP="00D4186D">
      <w:pPr>
        <w:jc w:val="both"/>
      </w:pPr>
    </w:p>
    <w:p w14:paraId="547E205B" w14:textId="77777777" w:rsidR="00D01189" w:rsidRPr="003327CB" w:rsidRDefault="00D01189" w:rsidP="00D4186D">
      <w:pPr>
        <w:pStyle w:val="Heading3"/>
        <w:numPr>
          <w:ilvl w:val="0"/>
          <w:numId w:val="31"/>
        </w:numPr>
        <w:jc w:val="both"/>
        <w:rPr>
          <w:i w:val="0"/>
        </w:rPr>
      </w:pPr>
      <w:r w:rsidRPr="003327CB">
        <w:rPr>
          <w:i w:val="0"/>
        </w:rPr>
        <w:lastRenderedPageBreak/>
        <w:t>Implications of climate change</w:t>
      </w:r>
    </w:p>
    <w:p w14:paraId="05AC1808" w14:textId="77777777" w:rsidR="00291BF6" w:rsidRPr="00A11FD7" w:rsidRDefault="00291BF6" w:rsidP="00D4186D">
      <w:pPr>
        <w:jc w:val="both"/>
      </w:pPr>
    </w:p>
    <w:p w14:paraId="36229DA2" w14:textId="77777777" w:rsidR="00172CB8" w:rsidRDefault="005B2237" w:rsidP="00D4186D">
      <w:pPr>
        <w:jc w:val="both"/>
      </w:pPr>
      <w:r w:rsidRPr="00A11FD7">
        <w:t xml:space="preserve">Review the current climate models for </w:t>
      </w:r>
      <w:r w:rsidR="00797389" w:rsidRPr="00A11FD7">
        <w:t>the Solomon Islands</w:t>
      </w:r>
      <w:r w:rsidRPr="00A11FD7">
        <w:t xml:space="preserve"> and i</w:t>
      </w:r>
      <w:r w:rsidR="00CE60B0" w:rsidRPr="00A11FD7">
        <w:t xml:space="preserve">dentify the </w:t>
      </w:r>
      <w:r w:rsidR="001614FB" w:rsidRPr="00A11FD7">
        <w:t>implications of climate change for</w:t>
      </w:r>
      <w:r w:rsidR="00CE60B0" w:rsidRPr="00A11FD7">
        <w:t xml:space="preserve"> the forest sector </w:t>
      </w:r>
    </w:p>
    <w:p w14:paraId="69062891" w14:textId="77777777" w:rsidR="00553C26" w:rsidRPr="00A11FD7" w:rsidRDefault="00553C26" w:rsidP="00172CB8">
      <w:pPr>
        <w:pStyle w:val="Heading4"/>
        <w:numPr>
          <w:ilvl w:val="0"/>
          <w:numId w:val="0"/>
        </w:numPr>
        <w:ind w:left="864" w:hanging="864"/>
      </w:pPr>
      <w:r w:rsidRPr="00A11FD7">
        <w:t xml:space="preserve">Enhancing </w:t>
      </w:r>
      <w:r w:rsidR="001C48F2" w:rsidRPr="00A11FD7">
        <w:t>forest biomass (</w:t>
      </w:r>
      <w:r w:rsidRPr="00A11FD7">
        <w:t>forest carbon stocks</w:t>
      </w:r>
      <w:r w:rsidR="001C48F2" w:rsidRPr="00A11FD7">
        <w:t>)</w:t>
      </w:r>
    </w:p>
    <w:p w14:paraId="2C4F1EEA" w14:textId="77777777" w:rsidR="00411E07" w:rsidRPr="00A11FD7" w:rsidRDefault="00AF749B" w:rsidP="00172CB8">
      <w:pPr>
        <w:pStyle w:val="ListParagraph"/>
        <w:numPr>
          <w:ilvl w:val="0"/>
          <w:numId w:val="37"/>
        </w:numPr>
        <w:jc w:val="both"/>
      </w:pPr>
      <w:r w:rsidRPr="00A11FD7">
        <w:t>Analyze</w:t>
      </w:r>
      <w:r w:rsidR="00411E07" w:rsidRPr="00A11FD7">
        <w:t xml:space="preserve"> the importance of enhancing </w:t>
      </w:r>
      <w:r w:rsidR="001C48F2" w:rsidRPr="00A11FD7">
        <w:t>biomass</w:t>
      </w:r>
      <w:r w:rsidR="00411E07" w:rsidRPr="00A11FD7">
        <w:t xml:space="preserve"> </w:t>
      </w:r>
      <w:r w:rsidR="001C48F2" w:rsidRPr="00A11FD7">
        <w:t xml:space="preserve">(forest carbon stocks) </w:t>
      </w:r>
      <w:r w:rsidR="00797389" w:rsidRPr="00A11FD7">
        <w:t>in the Solomon Islands</w:t>
      </w:r>
      <w:r w:rsidR="00411E07" w:rsidRPr="00A11FD7">
        <w:t xml:space="preserve">.  </w:t>
      </w:r>
    </w:p>
    <w:p w14:paraId="7261C17C" w14:textId="77777777" w:rsidR="00411E07" w:rsidRPr="00A11FD7" w:rsidRDefault="00411E07" w:rsidP="00172CB8">
      <w:pPr>
        <w:pStyle w:val="ListParagraph"/>
        <w:numPr>
          <w:ilvl w:val="0"/>
          <w:numId w:val="37"/>
        </w:numPr>
        <w:jc w:val="both"/>
      </w:pPr>
      <w:r w:rsidRPr="00A11FD7">
        <w:t xml:space="preserve">Review </w:t>
      </w:r>
      <w:r w:rsidR="00797389" w:rsidRPr="00A11FD7">
        <w:t>Solomon Islands’</w:t>
      </w:r>
      <w:r w:rsidRPr="00A11FD7">
        <w:t xml:space="preserve"> past experience with enhancing forest </w:t>
      </w:r>
      <w:r w:rsidR="001C48F2" w:rsidRPr="00A11FD7">
        <w:t xml:space="preserve">biomass </w:t>
      </w:r>
      <w:r w:rsidRPr="00A11FD7">
        <w:t xml:space="preserve">in </w:t>
      </w:r>
      <w:r w:rsidR="00797389" w:rsidRPr="00A11FD7">
        <w:t>inland and mangrove</w:t>
      </w:r>
      <w:r w:rsidRPr="00A11FD7">
        <w:t xml:space="preserve"> forests.  Identify current </w:t>
      </w:r>
      <w:proofErr w:type="spellStart"/>
      <w:r w:rsidRPr="00A11FD7">
        <w:t>programmes</w:t>
      </w:r>
      <w:proofErr w:type="spellEnd"/>
      <w:r w:rsidRPr="00A11FD7">
        <w:t xml:space="preserve"> to </w:t>
      </w:r>
      <w:r w:rsidR="001C42CD" w:rsidRPr="00A11FD7">
        <w:t xml:space="preserve">enhance </w:t>
      </w:r>
      <w:r w:rsidR="001C48F2" w:rsidRPr="00A11FD7">
        <w:t>biomass</w:t>
      </w:r>
      <w:r w:rsidR="001C42CD" w:rsidRPr="00A11FD7">
        <w:t xml:space="preserve">, including their cost.  </w:t>
      </w:r>
    </w:p>
    <w:p w14:paraId="2B48A104" w14:textId="77777777" w:rsidR="001C42CD" w:rsidRPr="00A11FD7" w:rsidRDefault="001C42CD" w:rsidP="00172CB8">
      <w:pPr>
        <w:pStyle w:val="ListParagraph"/>
        <w:numPr>
          <w:ilvl w:val="0"/>
          <w:numId w:val="37"/>
        </w:numPr>
        <w:jc w:val="both"/>
      </w:pPr>
      <w:r w:rsidRPr="00A11FD7">
        <w:t xml:space="preserve">Identify future </w:t>
      </w:r>
      <w:r w:rsidR="00553C26" w:rsidRPr="00A11FD7">
        <w:t xml:space="preserve">opportunities for </w:t>
      </w:r>
      <w:r w:rsidR="00411E07" w:rsidRPr="00A11FD7">
        <w:t xml:space="preserve">enhancing </w:t>
      </w:r>
      <w:r w:rsidR="001C48F2" w:rsidRPr="00A11FD7">
        <w:t>biomass</w:t>
      </w:r>
      <w:r w:rsidR="00797389" w:rsidRPr="00A11FD7">
        <w:t xml:space="preserve"> in both inland and mangrove</w:t>
      </w:r>
      <w:r w:rsidRPr="00A11FD7">
        <w:t xml:space="preserve"> forests. </w:t>
      </w:r>
    </w:p>
    <w:p w14:paraId="1C55F0BF" w14:textId="77777777" w:rsidR="00483E38" w:rsidRDefault="001C42CD" w:rsidP="002911AA">
      <w:pPr>
        <w:pStyle w:val="ListParagraph"/>
        <w:numPr>
          <w:ilvl w:val="0"/>
          <w:numId w:val="37"/>
        </w:numPr>
        <w:jc w:val="both"/>
      </w:pPr>
      <w:r w:rsidRPr="00A11FD7">
        <w:t xml:space="preserve">Consider the </w:t>
      </w:r>
      <w:r w:rsidR="00D01189" w:rsidRPr="00A11FD7">
        <w:t>implications of</w:t>
      </w:r>
      <w:r w:rsidRPr="00A11FD7">
        <w:t xml:space="preserve"> climate change may have on any proposals to increase forest </w:t>
      </w:r>
      <w:r w:rsidR="001C48F2" w:rsidRPr="00A11FD7">
        <w:t>biomass</w:t>
      </w:r>
      <w:r w:rsidRPr="00A11FD7">
        <w:t>.</w:t>
      </w:r>
      <w:r w:rsidR="00483E38">
        <w:br w:type="page"/>
      </w:r>
    </w:p>
    <w:p w14:paraId="28017E25" w14:textId="77777777" w:rsidR="001002C2" w:rsidRPr="00A11FD7" w:rsidRDefault="00483E38" w:rsidP="002911AA">
      <w:pPr>
        <w:pStyle w:val="Heading1"/>
        <w:numPr>
          <w:ilvl w:val="0"/>
          <w:numId w:val="0"/>
        </w:numPr>
        <w:ind w:left="432" w:hanging="432"/>
      </w:pPr>
      <w:r>
        <w:lastRenderedPageBreak/>
        <w:t xml:space="preserve">Annex 2: Membership </w:t>
      </w:r>
    </w:p>
    <w:p w14:paraId="5C51121A" w14:textId="77777777" w:rsidR="008E5F7E" w:rsidRDefault="008E5F7E" w:rsidP="00D4186D">
      <w:pPr>
        <w:pStyle w:val="Heading1"/>
        <w:numPr>
          <w:ilvl w:val="0"/>
          <w:numId w:val="0"/>
        </w:numPr>
        <w:ind w:left="432"/>
        <w:jc w:val="both"/>
        <w:rPr>
          <w:rFonts w:ascii="Calibri" w:hAnsi="Calibri" w:cs="Calibri"/>
        </w:rPr>
      </w:pPr>
    </w:p>
    <w:p w14:paraId="2D306648" w14:textId="77777777" w:rsidR="002911AA" w:rsidRPr="002911AA" w:rsidRDefault="002911AA" w:rsidP="002911AA">
      <w:r w:rsidRPr="002911AA">
        <w:rPr>
          <w:highlight w:val="yellow"/>
        </w:rPr>
        <w:t>Fred we need to ass this</w:t>
      </w:r>
    </w:p>
    <w:p w14:paraId="34D0B525" w14:textId="77777777" w:rsidR="00D4186D" w:rsidRPr="00A11FD7" w:rsidRDefault="00D4186D">
      <w:pPr>
        <w:pStyle w:val="Heading1"/>
        <w:numPr>
          <w:ilvl w:val="0"/>
          <w:numId w:val="0"/>
        </w:numPr>
        <w:ind w:left="432"/>
        <w:jc w:val="both"/>
        <w:rPr>
          <w:rFonts w:ascii="Calibri" w:hAnsi="Calibri" w:cs="Calibri"/>
        </w:rPr>
      </w:pPr>
    </w:p>
    <w:sectPr w:rsidR="00D4186D" w:rsidRPr="00A11FD7" w:rsidSect="002911AA">
      <w:headerReference w:type="default" r:id="rId9"/>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0FC27" w14:textId="77777777" w:rsidR="007D7373" w:rsidRDefault="007D7373" w:rsidP="00656B4D">
      <w:r>
        <w:separator/>
      </w:r>
    </w:p>
  </w:endnote>
  <w:endnote w:type="continuationSeparator" w:id="0">
    <w:p w14:paraId="3D0ED718" w14:textId="77777777" w:rsidR="007D7373" w:rsidRDefault="007D7373" w:rsidP="0065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20FE0" w14:textId="77777777" w:rsidR="007D7373" w:rsidRDefault="007D7373" w:rsidP="00656B4D">
      <w:r>
        <w:separator/>
      </w:r>
    </w:p>
  </w:footnote>
  <w:footnote w:type="continuationSeparator" w:id="0">
    <w:p w14:paraId="1D021619" w14:textId="77777777" w:rsidR="007D7373" w:rsidRDefault="007D7373" w:rsidP="00656B4D">
      <w:r>
        <w:continuationSeparator/>
      </w:r>
    </w:p>
  </w:footnote>
  <w:footnote w:id="1">
    <w:p w14:paraId="57CE5540" w14:textId="77777777" w:rsidR="007D7373" w:rsidRPr="00ED1F9A" w:rsidRDefault="007D7373" w:rsidP="00193E53">
      <w:pPr>
        <w:pStyle w:val="FootnoteText"/>
        <w:rPr>
          <w:lang w:val="en-US"/>
        </w:rPr>
      </w:pPr>
      <w:r>
        <w:rPr>
          <w:rStyle w:val="FootnoteReference"/>
        </w:rPr>
        <w:footnoteRef/>
      </w:r>
      <w:r>
        <w:t xml:space="preserve"> This overview of </w:t>
      </w:r>
      <w:r>
        <w:rPr>
          <w:lang w:val="en-US"/>
        </w:rPr>
        <w:t>capacity challenges should take into account and appropriately distinguish between capacity at the individual, organizational/institutional, and enabling environment (policies, legal framework) levels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93228" w14:textId="77777777" w:rsidR="007D7373" w:rsidRDefault="007D7373">
    <w:pPr>
      <w:pStyle w:val="Header"/>
    </w:pPr>
    <w:r>
      <w:rPr>
        <w:noProof/>
      </w:rPr>
      <mc:AlternateContent>
        <mc:Choice Requires="wps">
          <w:drawing>
            <wp:anchor distT="0" distB="0" distL="114300" distR="114300" simplePos="0" relativeHeight="251661312" behindDoc="0" locked="0" layoutInCell="0" allowOverlap="1" wp14:anchorId="324479E5" wp14:editId="080517B8">
              <wp:simplePos x="0" y="0"/>
              <wp:positionH relativeFrom="margin">
                <wp:align>left</wp:align>
              </wp:positionH>
              <wp:positionV relativeFrom="topMargin">
                <wp:align>center</wp:align>
              </wp:positionV>
              <wp:extent cx="6184900" cy="186055"/>
              <wp:effectExtent l="0" t="0" r="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979CB" w14:textId="77777777" w:rsidR="007D7373" w:rsidRDefault="007D7373">
                          <w:pPr>
                            <w:jc w:val="right"/>
                          </w:pPr>
                          <w:r>
                            <w:t>Working Group 1: Drivers and Strategies, Terms of Reference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0;width:487pt;height:14.6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" o:allowincell="f" filled="f" stroked="f">
              <v:textbox style="mso-fit-shape-to-text:t" inset=",0,,0">
                <w:txbxContent>
                  <w:p w14:paraId="76B979CB" w14:textId="77777777" w:rsidR="007D7373" w:rsidRDefault="007D7373">
                    <w:pPr>
                      <w:jc w:val="right"/>
                    </w:pPr>
                    <w:r>
                      <w:t>Working Group 1: Drivers and Strategies, Terms of Reference</w:t>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0" allowOverlap="1" wp14:anchorId="466B92EF" wp14:editId="27F0B14B">
              <wp:simplePos x="0" y="0"/>
              <wp:positionH relativeFrom="page">
                <wp:align>right</wp:align>
              </wp:positionH>
              <wp:positionV relativeFrom="topMargin">
                <wp:align>center</wp:align>
              </wp:positionV>
              <wp:extent cx="685800" cy="1860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8605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24BBF" w14:textId="77777777" w:rsidR="007D7373" w:rsidRDefault="007D7373">
                          <w:pPr>
                            <w:rPr>
                              <w:color w:val="FFFFFF" w:themeColor="background1"/>
                            </w:rPr>
                          </w:pPr>
                          <w:r>
                            <w:fldChar w:fldCharType="begin"/>
                          </w:r>
                          <w:r>
                            <w:instrText xml:space="preserve"> PAGE   \* MERGEFORMAT </w:instrText>
                          </w:r>
                          <w:r>
                            <w:fldChar w:fldCharType="separate"/>
                          </w:r>
                          <w:r w:rsidR="00AF7BBE" w:rsidRPr="00AF7BBE">
                            <w:rPr>
                              <w:noProof/>
                              <w:color w:val="FFFFFF" w:themeColor="background1"/>
                            </w:rPr>
                            <w:t>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1" o:spid="_x0000_s1027" type="#_x0000_t202" style="position:absolute;margin-left:2.8pt;margin-top:0;width:54pt;height:14.65pt;z-index:25166028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" o:allowincell="f" fillcolor="#4f81bd [3204]" stroked="f">
              <v:textbox style="mso-fit-shape-to-text:t" inset=",0,,0">
                <w:txbxContent>
                  <w:p w14:paraId="57724BBF" w14:textId="77777777" w:rsidR="007D7373" w:rsidRDefault="007D7373">
                    <w:pPr>
                      <w:rPr>
                        <w:color w:val="FFFFFF" w:themeColor="background1"/>
                      </w:rPr>
                    </w:pPr>
                    <w:r>
                      <w:fldChar w:fldCharType="begin"/>
                    </w:r>
                    <w:r>
                      <w:instrText xml:space="preserve"> PAGE   \* MERGEFORMAT </w:instrText>
                    </w:r>
                    <w:r>
                      <w:fldChar w:fldCharType="separate"/>
                    </w:r>
                    <w:r w:rsidR="0011481D" w:rsidRPr="0011481D">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E4E"/>
    <w:multiLevelType w:val="hybridMultilevel"/>
    <w:tmpl w:val="015215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66155D1"/>
    <w:multiLevelType w:val="hybridMultilevel"/>
    <w:tmpl w:val="180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0F24"/>
    <w:multiLevelType w:val="hybridMultilevel"/>
    <w:tmpl w:val="AA62F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72880"/>
    <w:multiLevelType w:val="hybridMultilevel"/>
    <w:tmpl w:val="D9B4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00B0E"/>
    <w:multiLevelType w:val="hybridMultilevel"/>
    <w:tmpl w:val="D8C23C4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3101B0"/>
    <w:multiLevelType w:val="hybridMultilevel"/>
    <w:tmpl w:val="FD9A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74459"/>
    <w:multiLevelType w:val="hybridMultilevel"/>
    <w:tmpl w:val="6990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942FBB"/>
    <w:multiLevelType w:val="multilevel"/>
    <w:tmpl w:val="A7BA2B86"/>
    <w:lvl w:ilvl="0">
      <w:start w:val="1"/>
      <w:numFmt w:val="decimal"/>
      <w:lvlText w:val="%1"/>
      <w:lvlJc w:val="left"/>
      <w:pPr>
        <w:ind w:left="432" w:hanging="432"/>
      </w:pPr>
    </w:lvl>
    <w:lvl w:ilvl="1">
      <w:start w:val="1"/>
      <w:numFmt w:val="upperRoman"/>
      <w:lvlText w:val="%2."/>
      <w:lvlJc w:val="righ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BE728BB"/>
    <w:multiLevelType w:val="hybridMultilevel"/>
    <w:tmpl w:val="7A9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E093B"/>
    <w:multiLevelType w:val="hybridMultilevel"/>
    <w:tmpl w:val="577CC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22B66"/>
    <w:multiLevelType w:val="hybridMultilevel"/>
    <w:tmpl w:val="25E0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0E2E70"/>
    <w:multiLevelType w:val="hybridMultilevel"/>
    <w:tmpl w:val="75F82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CF6FA6"/>
    <w:multiLevelType w:val="hybridMultilevel"/>
    <w:tmpl w:val="166C84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EB504C"/>
    <w:multiLevelType w:val="hybridMultilevel"/>
    <w:tmpl w:val="656C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134DB"/>
    <w:multiLevelType w:val="multilevel"/>
    <w:tmpl w:val="45BA74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33E80A71"/>
    <w:multiLevelType w:val="hybridMultilevel"/>
    <w:tmpl w:val="70E6B0A0"/>
    <w:lvl w:ilvl="0" w:tplc="51B05CF0">
      <w:start w:val="1"/>
      <w:numFmt w:val="lowerRoman"/>
      <w:lvlText w:val="%1)"/>
      <w:lvlJc w:val="righ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92E49B5"/>
    <w:multiLevelType w:val="hybridMultilevel"/>
    <w:tmpl w:val="ACAA7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E78AD"/>
    <w:multiLevelType w:val="hybridMultilevel"/>
    <w:tmpl w:val="ADAAC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723A3D"/>
    <w:multiLevelType w:val="hybridMultilevel"/>
    <w:tmpl w:val="F3CA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B5046C"/>
    <w:multiLevelType w:val="hybridMultilevel"/>
    <w:tmpl w:val="661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C66338"/>
    <w:multiLevelType w:val="hybridMultilevel"/>
    <w:tmpl w:val="D5A6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AE7C01"/>
    <w:multiLevelType w:val="hybridMultilevel"/>
    <w:tmpl w:val="FB1A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F4FF6"/>
    <w:multiLevelType w:val="hybridMultilevel"/>
    <w:tmpl w:val="AAC498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71523"/>
    <w:multiLevelType w:val="hybridMultilevel"/>
    <w:tmpl w:val="0CC684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25EB9"/>
    <w:multiLevelType w:val="hybridMultilevel"/>
    <w:tmpl w:val="4D2E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8D1DC6"/>
    <w:multiLevelType w:val="multilevel"/>
    <w:tmpl w:val="A7BA2B86"/>
    <w:lvl w:ilvl="0">
      <w:start w:val="1"/>
      <w:numFmt w:val="decimal"/>
      <w:lvlText w:val="%1"/>
      <w:lvlJc w:val="left"/>
      <w:pPr>
        <w:ind w:left="432" w:hanging="432"/>
      </w:pPr>
    </w:lvl>
    <w:lvl w:ilvl="1">
      <w:start w:val="1"/>
      <w:numFmt w:val="upperRoman"/>
      <w:lvlText w:val="%2."/>
      <w:lvlJc w:val="righ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4ED868C7"/>
    <w:multiLevelType w:val="hybridMultilevel"/>
    <w:tmpl w:val="E470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B587E"/>
    <w:multiLevelType w:val="multilevel"/>
    <w:tmpl w:val="387AF5D0"/>
    <w:lvl w:ilvl="0">
      <w:start w:val="1"/>
      <w:numFmt w:val="decimal"/>
      <w:lvlText w:val="%1"/>
      <w:lvlJc w:val="left"/>
      <w:pPr>
        <w:ind w:left="432" w:hanging="432"/>
      </w:pPr>
    </w:lvl>
    <w:lvl w:ilvl="1">
      <w:start w:val="1"/>
      <w:numFmt w:val="upperRoman"/>
      <w:lvlText w:val="%2."/>
      <w:lvlJc w:val="righ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54352E78"/>
    <w:multiLevelType w:val="multilevel"/>
    <w:tmpl w:val="090A45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5511280E"/>
    <w:multiLevelType w:val="hybridMultilevel"/>
    <w:tmpl w:val="AB44D6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183EFB"/>
    <w:multiLevelType w:val="hybridMultilevel"/>
    <w:tmpl w:val="DB141A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9132B3"/>
    <w:multiLevelType w:val="hybridMultilevel"/>
    <w:tmpl w:val="1CD0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5231D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9DA402E"/>
    <w:multiLevelType w:val="hybridMultilevel"/>
    <w:tmpl w:val="F1E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1640FF"/>
    <w:multiLevelType w:val="hybridMultilevel"/>
    <w:tmpl w:val="86BED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D128C4"/>
    <w:multiLevelType w:val="hybridMultilevel"/>
    <w:tmpl w:val="2BC0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93227C"/>
    <w:multiLevelType w:val="hybridMultilevel"/>
    <w:tmpl w:val="530E9E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75027B"/>
    <w:multiLevelType w:val="hybridMultilevel"/>
    <w:tmpl w:val="1C2C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F52CAC"/>
    <w:multiLevelType w:val="multilevel"/>
    <w:tmpl w:val="D6B467FE"/>
    <w:lvl w:ilvl="0">
      <w:start w:val="1"/>
      <w:numFmt w:val="decimal"/>
      <w:lvlText w:val="%1"/>
      <w:lvlJc w:val="left"/>
      <w:pPr>
        <w:ind w:left="432" w:hanging="432"/>
      </w:pPr>
    </w:lvl>
    <w:lvl w:ilvl="1">
      <w:start w:val="1"/>
      <w:numFmt w:val="upperRoman"/>
      <w:lvlText w:val="%2."/>
      <w:lvlJc w:val="righ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6DFD5E5E"/>
    <w:multiLevelType w:val="hybridMultilevel"/>
    <w:tmpl w:val="27B0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1003AC"/>
    <w:multiLevelType w:val="hybridMultilevel"/>
    <w:tmpl w:val="0E3A2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900417F"/>
    <w:multiLevelType w:val="hybridMultilevel"/>
    <w:tmpl w:val="BBBA8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35A32"/>
    <w:multiLevelType w:val="hybridMultilevel"/>
    <w:tmpl w:val="38B6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0"/>
  </w:num>
  <w:num w:numId="4">
    <w:abstractNumId w:val="3"/>
  </w:num>
  <w:num w:numId="5">
    <w:abstractNumId w:val="9"/>
  </w:num>
  <w:num w:numId="6">
    <w:abstractNumId w:val="35"/>
  </w:num>
  <w:num w:numId="7">
    <w:abstractNumId w:val="31"/>
  </w:num>
  <w:num w:numId="8">
    <w:abstractNumId w:val="11"/>
  </w:num>
  <w:num w:numId="9">
    <w:abstractNumId w:val="37"/>
  </w:num>
  <w:num w:numId="10">
    <w:abstractNumId w:val="19"/>
  </w:num>
  <w:num w:numId="11">
    <w:abstractNumId w:val="39"/>
  </w:num>
  <w:num w:numId="12">
    <w:abstractNumId w:val="17"/>
  </w:num>
  <w:num w:numId="13">
    <w:abstractNumId w:val="40"/>
  </w:num>
  <w:num w:numId="14">
    <w:abstractNumId w:val="1"/>
  </w:num>
  <w:num w:numId="15">
    <w:abstractNumId w:val="33"/>
  </w:num>
  <w:num w:numId="16">
    <w:abstractNumId w:val="16"/>
  </w:num>
  <w:num w:numId="17">
    <w:abstractNumId w:val="24"/>
  </w:num>
  <w:num w:numId="18">
    <w:abstractNumId w:val="21"/>
  </w:num>
  <w:num w:numId="19">
    <w:abstractNumId w:val="10"/>
  </w:num>
  <w:num w:numId="20">
    <w:abstractNumId w:val="28"/>
  </w:num>
  <w:num w:numId="21">
    <w:abstractNumId w:val="26"/>
  </w:num>
  <w:num w:numId="22">
    <w:abstractNumId w:val="8"/>
  </w:num>
  <w:num w:numId="23">
    <w:abstractNumId w:val="15"/>
  </w:num>
  <w:num w:numId="24">
    <w:abstractNumId w:val="27"/>
  </w:num>
  <w:num w:numId="25">
    <w:abstractNumId w:val="38"/>
  </w:num>
  <w:num w:numId="26">
    <w:abstractNumId w:val="36"/>
  </w:num>
  <w:num w:numId="27">
    <w:abstractNumId w:val="23"/>
  </w:num>
  <w:num w:numId="28">
    <w:abstractNumId w:val="7"/>
  </w:num>
  <w:num w:numId="29">
    <w:abstractNumId w:val="25"/>
  </w:num>
  <w:num w:numId="30">
    <w:abstractNumId w:val="29"/>
  </w:num>
  <w:num w:numId="31">
    <w:abstractNumId w:val="4"/>
  </w:num>
  <w:num w:numId="32">
    <w:abstractNumId w:val="22"/>
  </w:num>
  <w:num w:numId="33">
    <w:abstractNumId w:val="18"/>
  </w:num>
  <w:num w:numId="34">
    <w:abstractNumId w:val="5"/>
  </w:num>
  <w:num w:numId="35">
    <w:abstractNumId w:val="42"/>
  </w:num>
  <w:num w:numId="36">
    <w:abstractNumId w:val="30"/>
  </w:num>
  <w:num w:numId="37">
    <w:abstractNumId w:val="13"/>
  </w:num>
  <w:num w:numId="38">
    <w:abstractNumId w:val="12"/>
  </w:num>
  <w:num w:numId="39">
    <w:abstractNumId w:val="41"/>
  </w:num>
  <w:num w:numId="40">
    <w:abstractNumId w:val="2"/>
  </w:num>
  <w:num w:numId="41">
    <w:abstractNumId w:val="32"/>
  </w:num>
  <w:num w:numId="42">
    <w:abstractNumId w:val="14"/>
  </w:num>
  <w:num w:numId="43">
    <w:abstractNumId w:val="34"/>
  </w:num>
  <w:num w:numId="44">
    <w:abstractNumId w:val="1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E0"/>
    <w:rsid w:val="00017E95"/>
    <w:rsid w:val="000251FC"/>
    <w:rsid w:val="00026526"/>
    <w:rsid w:val="00035382"/>
    <w:rsid w:val="000528DE"/>
    <w:rsid w:val="00082E4A"/>
    <w:rsid w:val="000D4D3D"/>
    <w:rsid w:val="000F78B3"/>
    <w:rsid w:val="001002C2"/>
    <w:rsid w:val="0011481D"/>
    <w:rsid w:val="00122BEC"/>
    <w:rsid w:val="001614FB"/>
    <w:rsid w:val="001668D2"/>
    <w:rsid w:val="00170A40"/>
    <w:rsid w:val="00171027"/>
    <w:rsid w:val="00171999"/>
    <w:rsid w:val="00172CB8"/>
    <w:rsid w:val="00174F91"/>
    <w:rsid w:val="00177002"/>
    <w:rsid w:val="001801A2"/>
    <w:rsid w:val="00193BBF"/>
    <w:rsid w:val="00193E53"/>
    <w:rsid w:val="00195D97"/>
    <w:rsid w:val="001C42CD"/>
    <w:rsid w:val="001C48F2"/>
    <w:rsid w:val="001D1E46"/>
    <w:rsid w:val="001F1150"/>
    <w:rsid w:val="00210F7A"/>
    <w:rsid w:val="00264EC0"/>
    <w:rsid w:val="00277B1F"/>
    <w:rsid w:val="00282120"/>
    <w:rsid w:val="00282D33"/>
    <w:rsid w:val="002911AA"/>
    <w:rsid w:val="00291BF6"/>
    <w:rsid w:val="00294C92"/>
    <w:rsid w:val="002A5DB8"/>
    <w:rsid w:val="002D2941"/>
    <w:rsid w:val="002E1DB0"/>
    <w:rsid w:val="002E7CFB"/>
    <w:rsid w:val="002F4E05"/>
    <w:rsid w:val="002F6CE5"/>
    <w:rsid w:val="00300C2D"/>
    <w:rsid w:val="003327CB"/>
    <w:rsid w:val="003446FC"/>
    <w:rsid w:val="00352F0F"/>
    <w:rsid w:val="00353370"/>
    <w:rsid w:val="00396EDD"/>
    <w:rsid w:val="003B06BE"/>
    <w:rsid w:val="003D43F8"/>
    <w:rsid w:val="003E0B6C"/>
    <w:rsid w:val="003F6E69"/>
    <w:rsid w:val="003F70D4"/>
    <w:rsid w:val="00411E07"/>
    <w:rsid w:val="00442281"/>
    <w:rsid w:val="00447624"/>
    <w:rsid w:val="00463F13"/>
    <w:rsid w:val="00467799"/>
    <w:rsid w:val="00470EC7"/>
    <w:rsid w:val="00477282"/>
    <w:rsid w:val="00483E38"/>
    <w:rsid w:val="00490BA6"/>
    <w:rsid w:val="004C1294"/>
    <w:rsid w:val="004D41C4"/>
    <w:rsid w:val="004F6D61"/>
    <w:rsid w:val="00505B0C"/>
    <w:rsid w:val="00513394"/>
    <w:rsid w:val="005371CF"/>
    <w:rsid w:val="00543CDF"/>
    <w:rsid w:val="00553C26"/>
    <w:rsid w:val="00566B79"/>
    <w:rsid w:val="00570155"/>
    <w:rsid w:val="005A34D0"/>
    <w:rsid w:val="005B2237"/>
    <w:rsid w:val="005D4FB5"/>
    <w:rsid w:val="0060158C"/>
    <w:rsid w:val="006158AF"/>
    <w:rsid w:val="006220E4"/>
    <w:rsid w:val="00656B4D"/>
    <w:rsid w:val="006603D2"/>
    <w:rsid w:val="00664D9F"/>
    <w:rsid w:val="006D7257"/>
    <w:rsid w:val="006E04BB"/>
    <w:rsid w:val="007108D3"/>
    <w:rsid w:val="007320E4"/>
    <w:rsid w:val="00743D7C"/>
    <w:rsid w:val="0076471F"/>
    <w:rsid w:val="00797389"/>
    <w:rsid w:val="007A73B9"/>
    <w:rsid w:val="007B1951"/>
    <w:rsid w:val="007B4123"/>
    <w:rsid w:val="007D7373"/>
    <w:rsid w:val="007E1429"/>
    <w:rsid w:val="007E2703"/>
    <w:rsid w:val="00807017"/>
    <w:rsid w:val="00823FE0"/>
    <w:rsid w:val="008255F1"/>
    <w:rsid w:val="008B6048"/>
    <w:rsid w:val="008C71EA"/>
    <w:rsid w:val="008E5F7E"/>
    <w:rsid w:val="009020FC"/>
    <w:rsid w:val="00905A70"/>
    <w:rsid w:val="00924E71"/>
    <w:rsid w:val="00927758"/>
    <w:rsid w:val="00941DB8"/>
    <w:rsid w:val="009969D8"/>
    <w:rsid w:val="009A7B24"/>
    <w:rsid w:val="009B0EE1"/>
    <w:rsid w:val="009B5A93"/>
    <w:rsid w:val="009C50A1"/>
    <w:rsid w:val="009E7681"/>
    <w:rsid w:val="00A0373D"/>
    <w:rsid w:val="00A11FD7"/>
    <w:rsid w:val="00A1303C"/>
    <w:rsid w:val="00A35DE0"/>
    <w:rsid w:val="00A56BD9"/>
    <w:rsid w:val="00A94E8E"/>
    <w:rsid w:val="00AA2C6D"/>
    <w:rsid w:val="00AB15E5"/>
    <w:rsid w:val="00AB5041"/>
    <w:rsid w:val="00AC1CCE"/>
    <w:rsid w:val="00AD41ED"/>
    <w:rsid w:val="00AE7582"/>
    <w:rsid w:val="00AF749B"/>
    <w:rsid w:val="00AF7BBE"/>
    <w:rsid w:val="00B14D41"/>
    <w:rsid w:val="00B32BDB"/>
    <w:rsid w:val="00BB0AE5"/>
    <w:rsid w:val="00BD3693"/>
    <w:rsid w:val="00C13522"/>
    <w:rsid w:val="00C3116F"/>
    <w:rsid w:val="00CE60B0"/>
    <w:rsid w:val="00D01189"/>
    <w:rsid w:val="00D4186D"/>
    <w:rsid w:val="00D6371C"/>
    <w:rsid w:val="00D662D2"/>
    <w:rsid w:val="00D82734"/>
    <w:rsid w:val="00D87934"/>
    <w:rsid w:val="00D93398"/>
    <w:rsid w:val="00D96369"/>
    <w:rsid w:val="00DC3A28"/>
    <w:rsid w:val="00E01CD6"/>
    <w:rsid w:val="00E06BC0"/>
    <w:rsid w:val="00E278CD"/>
    <w:rsid w:val="00E431B0"/>
    <w:rsid w:val="00ED023E"/>
    <w:rsid w:val="00F108CA"/>
    <w:rsid w:val="00F349D1"/>
    <w:rsid w:val="00F4269E"/>
    <w:rsid w:val="00F86F79"/>
    <w:rsid w:val="00FA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58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46"/>
  </w:style>
  <w:style w:type="paragraph" w:styleId="Heading1">
    <w:name w:val="heading 1"/>
    <w:basedOn w:val="Normal"/>
    <w:next w:val="Normal"/>
    <w:link w:val="Heading1Char"/>
    <w:uiPriority w:val="99"/>
    <w:qFormat/>
    <w:rsid w:val="00D01189"/>
    <w:pPr>
      <w:keepNext/>
      <w:keepLines/>
      <w:numPr>
        <w:numId w:val="42"/>
      </w:numPr>
      <w:spacing w:before="120" w:after="120"/>
      <w:contextualSpacing/>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9"/>
    <w:unhideWhenUsed/>
    <w:qFormat/>
    <w:rsid w:val="00411E07"/>
    <w:pPr>
      <w:keepNext/>
      <w:keepLines/>
      <w:numPr>
        <w:ilvl w:val="1"/>
        <w:numId w:val="4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7A73B9"/>
    <w:pPr>
      <w:keepNext/>
      <w:keepLines/>
      <w:numPr>
        <w:ilvl w:val="2"/>
        <w:numId w:val="42"/>
      </w:numPr>
      <w:spacing w:before="20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9"/>
    <w:unhideWhenUsed/>
    <w:qFormat/>
    <w:rsid w:val="00D01189"/>
    <w:pPr>
      <w:keepNext/>
      <w:keepLines/>
      <w:numPr>
        <w:ilvl w:val="3"/>
        <w:numId w:val="4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D01189"/>
    <w:pPr>
      <w:keepNext/>
      <w:keepLines/>
      <w:numPr>
        <w:ilvl w:val="4"/>
        <w:numId w:val="4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D01189"/>
    <w:pPr>
      <w:keepNext/>
      <w:keepLines/>
      <w:numPr>
        <w:ilvl w:val="5"/>
        <w:numId w:val="4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D01189"/>
    <w:pPr>
      <w:keepNext/>
      <w:keepLines/>
      <w:numPr>
        <w:ilvl w:val="6"/>
        <w:numId w:val="4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D01189"/>
    <w:pPr>
      <w:keepNext/>
      <w:keepLines/>
      <w:numPr>
        <w:ilvl w:val="7"/>
        <w:numId w:val="4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D01189"/>
    <w:pPr>
      <w:keepNext/>
      <w:keepLines/>
      <w:numPr>
        <w:ilvl w:val="8"/>
        <w:numId w:val="4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9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9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B1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B1951"/>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9"/>
    <w:rsid w:val="00D0118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1F1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20FC"/>
    <w:pPr>
      <w:ind w:left="720"/>
      <w:contextualSpacing/>
    </w:pPr>
  </w:style>
  <w:style w:type="character" w:customStyle="1" w:styleId="Heading2Char">
    <w:name w:val="Heading 2 Char"/>
    <w:basedOn w:val="DefaultParagraphFont"/>
    <w:link w:val="Heading2"/>
    <w:uiPriority w:val="99"/>
    <w:rsid w:val="00411E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7A73B9"/>
    <w:rPr>
      <w:rFonts w:asciiTheme="majorHAnsi" w:eastAsiaTheme="majorEastAsia" w:hAnsiTheme="majorHAnsi" w:cstheme="majorBidi"/>
      <w:b/>
      <w:bCs/>
      <w:i/>
      <w:color w:val="4F81BD" w:themeColor="accent1"/>
    </w:rPr>
  </w:style>
  <w:style w:type="paragraph" w:styleId="Header">
    <w:name w:val="header"/>
    <w:basedOn w:val="Normal"/>
    <w:link w:val="HeaderChar"/>
    <w:uiPriority w:val="99"/>
    <w:unhideWhenUsed/>
    <w:rsid w:val="00656B4D"/>
    <w:pPr>
      <w:tabs>
        <w:tab w:val="center" w:pos="4513"/>
        <w:tab w:val="right" w:pos="9026"/>
      </w:tabs>
    </w:pPr>
  </w:style>
  <w:style w:type="character" w:customStyle="1" w:styleId="HeaderChar">
    <w:name w:val="Header Char"/>
    <w:basedOn w:val="DefaultParagraphFont"/>
    <w:link w:val="Header"/>
    <w:uiPriority w:val="99"/>
    <w:rsid w:val="00656B4D"/>
  </w:style>
  <w:style w:type="paragraph" w:styleId="Footer">
    <w:name w:val="footer"/>
    <w:basedOn w:val="Normal"/>
    <w:link w:val="FooterChar"/>
    <w:uiPriority w:val="99"/>
    <w:unhideWhenUsed/>
    <w:rsid w:val="00656B4D"/>
    <w:pPr>
      <w:tabs>
        <w:tab w:val="center" w:pos="4513"/>
        <w:tab w:val="right" w:pos="9026"/>
      </w:tabs>
    </w:pPr>
  </w:style>
  <w:style w:type="character" w:customStyle="1" w:styleId="FooterChar">
    <w:name w:val="Footer Char"/>
    <w:basedOn w:val="DefaultParagraphFont"/>
    <w:link w:val="Footer"/>
    <w:uiPriority w:val="99"/>
    <w:rsid w:val="00656B4D"/>
  </w:style>
  <w:style w:type="paragraph" w:styleId="DocumentMap">
    <w:name w:val="Document Map"/>
    <w:basedOn w:val="Normal"/>
    <w:link w:val="DocumentMapChar"/>
    <w:uiPriority w:val="99"/>
    <w:semiHidden/>
    <w:unhideWhenUsed/>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rsid w:val="00D01189"/>
    <w:rPr>
      <w:rFonts w:ascii="Tahoma" w:hAnsi="Tahoma" w:cs="Tahoma"/>
      <w:sz w:val="16"/>
      <w:szCs w:val="16"/>
    </w:rPr>
  </w:style>
  <w:style w:type="character" w:customStyle="1" w:styleId="Heading4Char">
    <w:name w:val="Heading 4 Char"/>
    <w:basedOn w:val="DefaultParagraphFont"/>
    <w:link w:val="Heading4"/>
    <w:uiPriority w:val="99"/>
    <w:rsid w:val="00D011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rsid w:val="00D011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rsid w:val="00D011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rsid w:val="00D011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rsid w:val="00D0118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D01189"/>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63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3F13"/>
    <w:rPr>
      <w:rFonts w:ascii="Lucida Grande" w:hAnsi="Lucida Grande" w:cs="Lucida Grande"/>
      <w:sz w:val="18"/>
      <w:szCs w:val="18"/>
    </w:rPr>
  </w:style>
  <w:style w:type="paragraph" w:styleId="FootnoteText">
    <w:name w:val="footnote text"/>
    <w:basedOn w:val="Normal"/>
    <w:link w:val="FootnoteTextChar"/>
    <w:uiPriority w:val="99"/>
    <w:rsid w:val="00193E53"/>
    <w:rPr>
      <w:rFonts w:ascii="Cambria" w:eastAsia="Times New Roman" w:hAnsi="Cambria" w:cs="Times New Roman"/>
      <w:sz w:val="20"/>
      <w:szCs w:val="20"/>
      <w:lang w:val="en-GB"/>
    </w:rPr>
  </w:style>
  <w:style w:type="character" w:customStyle="1" w:styleId="FootnoteTextChar">
    <w:name w:val="Footnote Text Char"/>
    <w:basedOn w:val="DefaultParagraphFont"/>
    <w:link w:val="FootnoteText"/>
    <w:uiPriority w:val="99"/>
    <w:rsid w:val="00193E53"/>
    <w:rPr>
      <w:rFonts w:ascii="Cambria" w:eastAsia="Times New Roman" w:hAnsi="Cambria" w:cs="Times New Roman"/>
      <w:sz w:val="20"/>
      <w:szCs w:val="20"/>
      <w:lang w:val="en-GB"/>
    </w:rPr>
  </w:style>
  <w:style w:type="character" w:styleId="FootnoteReference">
    <w:name w:val="footnote reference"/>
    <w:basedOn w:val="DefaultParagraphFont"/>
    <w:uiPriority w:val="99"/>
    <w:semiHidden/>
    <w:rsid w:val="00193E53"/>
    <w:rPr>
      <w:rFonts w:cs="Times New Roman"/>
      <w:vertAlign w:val="superscript"/>
    </w:rPr>
  </w:style>
  <w:style w:type="character" w:styleId="IntenseReference">
    <w:name w:val="Intense Reference"/>
    <w:basedOn w:val="DefaultParagraphFont"/>
    <w:uiPriority w:val="32"/>
    <w:qFormat/>
    <w:rsid w:val="00A11FD7"/>
    <w:rPr>
      <w:b/>
      <w:bCs/>
      <w:smallCaps/>
      <w:color w:val="C0504D" w:themeColor="accent2"/>
      <w:spacing w:val="5"/>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46"/>
  </w:style>
  <w:style w:type="paragraph" w:styleId="Heading1">
    <w:name w:val="heading 1"/>
    <w:basedOn w:val="Normal"/>
    <w:next w:val="Normal"/>
    <w:link w:val="Heading1Char"/>
    <w:uiPriority w:val="99"/>
    <w:qFormat/>
    <w:rsid w:val="00D01189"/>
    <w:pPr>
      <w:keepNext/>
      <w:keepLines/>
      <w:numPr>
        <w:numId w:val="42"/>
      </w:numPr>
      <w:spacing w:before="120" w:after="120"/>
      <w:contextualSpacing/>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9"/>
    <w:unhideWhenUsed/>
    <w:qFormat/>
    <w:rsid w:val="00411E07"/>
    <w:pPr>
      <w:keepNext/>
      <w:keepLines/>
      <w:numPr>
        <w:ilvl w:val="1"/>
        <w:numId w:val="4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7A73B9"/>
    <w:pPr>
      <w:keepNext/>
      <w:keepLines/>
      <w:numPr>
        <w:ilvl w:val="2"/>
        <w:numId w:val="42"/>
      </w:numPr>
      <w:spacing w:before="20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9"/>
    <w:unhideWhenUsed/>
    <w:qFormat/>
    <w:rsid w:val="00D01189"/>
    <w:pPr>
      <w:keepNext/>
      <w:keepLines/>
      <w:numPr>
        <w:ilvl w:val="3"/>
        <w:numId w:val="4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D01189"/>
    <w:pPr>
      <w:keepNext/>
      <w:keepLines/>
      <w:numPr>
        <w:ilvl w:val="4"/>
        <w:numId w:val="4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D01189"/>
    <w:pPr>
      <w:keepNext/>
      <w:keepLines/>
      <w:numPr>
        <w:ilvl w:val="5"/>
        <w:numId w:val="4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D01189"/>
    <w:pPr>
      <w:keepNext/>
      <w:keepLines/>
      <w:numPr>
        <w:ilvl w:val="6"/>
        <w:numId w:val="4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D01189"/>
    <w:pPr>
      <w:keepNext/>
      <w:keepLines/>
      <w:numPr>
        <w:ilvl w:val="7"/>
        <w:numId w:val="4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D01189"/>
    <w:pPr>
      <w:keepNext/>
      <w:keepLines/>
      <w:numPr>
        <w:ilvl w:val="8"/>
        <w:numId w:val="4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9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9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B1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B1951"/>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9"/>
    <w:rsid w:val="00D0118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1F1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20FC"/>
    <w:pPr>
      <w:ind w:left="720"/>
      <w:contextualSpacing/>
    </w:pPr>
  </w:style>
  <w:style w:type="character" w:customStyle="1" w:styleId="Heading2Char">
    <w:name w:val="Heading 2 Char"/>
    <w:basedOn w:val="DefaultParagraphFont"/>
    <w:link w:val="Heading2"/>
    <w:uiPriority w:val="99"/>
    <w:rsid w:val="00411E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7A73B9"/>
    <w:rPr>
      <w:rFonts w:asciiTheme="majorHAnsi" w:eastAsiaTheme="majorEastAsia" w:hAnsiTheme="majorHAnsi" w:cstheme="majorBidi"/>
      <w:b/>
      <w:bCs/>
      <w:i/>
      <w:color w:val="4F81BD" w:themeColor="accent1"/>
    </w:rPr>
  </w:style>
  <w:style w:type="paragraph" w:styleId="Header">
    <w:name w:val="header"/>
    <w:basedOn w:val="Normal"/>
    <w:link w:val="HeaderChar"/>
    <w:uiPriority w:val="99"/>
    <w:unhideWhenUsed/>
    <w:rsid w:val="00656B4D"/>
    <w:pPr>
      <w:tabs>
        <w:tab w:val="center" w:pos="4513"/>
        <w:tab w:val="right" w:pos="9026"/>
      </w:tabs>
    </w:pPr>
  </w:style>
  <w:style w:type="character" w:customStyle="1" w:styleId="HeaderChar">
    <w:name w:val="Header Char"/>
    <w:basedOn w:val="DefaultParagraphFont"/>
    <w:link w:val="Header"/>
    <w:uiPriority w:val="99"/>
    <w:rsid w:val="00656B4D"/>
  </w:style>
  <w:style w:type="paragraph" w:styleId="Footer">
    <w:name w:val="footer"/>
    <w:basedOn w:val="Normal"/>
    <w:link w:val="FooterChar"/>
    <w:uiPriority w:val="99"/>
    <w:unhideWhenUsed/>
    <w:rsid w:val="00656B4D"/>
    <w:pPr>
      <w:tabs>
        <w:tab w:val="center" w:pos="4513"/>
        <w:tab w:val="right" w:pos="9026"/>
      </w:tabs>
    </w:pPr>
  </w:style>
  <w:style w:type="character" w:customStyle="1" w:styleId="FooterChar">
    <w:name w:val="Footer Char"/>
    <w:basedOn w:val="DefaultParagraphFont"/>
    <w:link w:val="Footer"/>
    <w:uiPriority w:val="99"/>
    <w:rsid w:val="00656B4D"/>
  </w:style>
  <w:style w:type="paragraph" w:styleId="DocumentMap">
    <w:name w:val="Document Map"/>
    <w:basedOn w:val="Normal"/>
    <w:link w:val="DocumentMapChar"/>
    <w:uiPriority w:val="99"/>
    <w:semiHidden/>
    <w:unhideWhenUsed/>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rsid w:val="00D01189"/>
    <w:rPr>
      <w:rFonts w:ascii="Tahoma" w:hAnsi="Tahoma" w:cs="Tahoma"/>
      <w:sz w:val="16"/>
      <w:szCs w:val="16"/>
    </w:rPr>
  </w:style>
  <w:style w:type="character" w:customStyle="1" w:styleId="Heading4Char">
    <w:name w:val="Heading 4 Char"/>
    <w:basedOn w:val="DefaultParagraphFont"/>
    <w:link w:val="Heading4"/>
    <w:uiPriority w:val="99"/>
    <w:rsid w:val="00D011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rsid w:val="00D011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rsid w:val="00D011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rsid w:val="00D011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rsid w:val="00D0118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D01189"/>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63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3F13"/>
    <w:rPr>
      <w:rFonts w:ascii="Lucida Grande" w:hAnsi="Lucida Grande" w:cs="Lucida Grande"/>
      <w:sz w:val="18"/>
      <w:szCs w:val="18"/>
    </w:rPr>
  </w:style>
  <w:style w:type="paragraph" w:styleId="FootnoteText">
    <w:name w:val="footnote text"/>
    <w:basedOn w:val="Normal"/>
    <w:link w:val="FootnoteTextChar"/>
    <w:uiPriority w:val="99"/>
    <w:rsid w:val="00193E53"/>
    <w:rPr>
      <w:rFonts w:ascii="Cambria" w:eastAsia="Times New Roman" w:hAnsi="Cambria" w:cs="Times New Roman"/>
      <w:sz w:val="20"/>
      <w:szCs w:val="20"/>
      <w:lang w:val="en-GB"/>
    </w:rPr>
  </w:style>
  <w:style w:type="character" w:customStyle="1" w:styleId="FootnoteTextChar">
    <w:name w:val="Footnote Text Char"/>
    <w:basedOn w:val="DefaultParagraphFont"/>
    <w:link w:val="FootnoteText"/>
    <w:uiPriority w:val="99"/>
    <w:rsid w:val="00193E53"/>
    <w:rPr>
      <w:rFonts w:ascii="Cambria" w:eastAsia="Times New Roman" w:hAnsi="Cambria" w:cs="Times New Roman"/>
      <w:sz w:val="20"/>
      <w:szCs w:val="20"/>
      <w:lang w:val="en-GB"/>
    </w:rPr>
  </w:style>
  <w:style w:type="character" w:styleId="FootnoteReference">
    <w:name w:val="footnote reference"/>
    <w:basedOn w:val="DefaultParagraphFont"/>
    <w:uiPriority w:val="99"/>
    <w:semiHidden/>
    <w:rsid w:val="00193E53"/>
    <w:rPr>
      <w:rFonts w:cs="Times New Roman"/>
      <w:vertAlign w:val="superscript"/>
    </w:rPr>
  </w:style>
  <w:style w:type="character" w:styleId="IntenseReference">
    <w:name w:val="Intense Reference"/>
    <w:basedOn w:val="DefaultParagraphFont"/>
    <w:uiPriority w:val="32"/>
    <w:qFormat/>
    <w:rsid w:val="00A11FD7"/>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B6B0-52D0-0F47-8CE2-6BA25E5C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1753</Words>
  <Characters>9997</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Ogle</dc:creator>
  <cp:lastModifiedBy>Phil Cowling</cp:lastModifiedBy>
  <cp:revision>6</cp:revision>
  <dcterms:created xsi:type="dcterms:W3CDTF">2013-02-11T07:04:00Z</dcterms:created>
  <dcterms:modified xsi:type="dcterms:W3CDTF">2013-02-13T00:17:00Z</dcterms:modified>
</cp:coreProperties>
</file>