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34" w:rsidRDefault="00D82734" w:rsidP="00D82734">
      <w:pPr>
        <w:pStyle w:val="Heading1"/>
        <w:numPr>
          <w:ilvl w:val="0"/>
          <w:numId w:val="0"/>
        </w:numPr>
        <w:ind w:left="432"/>
        <w:jc w:val="center"/>
        <w:rPr>
          <w:sz w:val="28"/>
          <w:szCs w:val="28"/>
        </w:rPr>
      </w:pPr>
      <w:r w:rsidRPr="00D82734">
        <w:rPr>
          <w:sz w:val="28"/>
          <w:szCs w:val="28"/>
        </w:rPr>
        <w:t>Terms of Reference</w:t>
      </w:r>
    </w:p>
    <w:p w:rsidR="00D82734" w:rsidRPr="00D82734" w:rsidRDefault="00D82734" w:rsidP="00D82734"/>
    <w:p w:rsidR="00A11FD7" w:rsidRPr="00D82734" w:rsidRDefault="00A11FD7" w:rsidP="00D82734">
      <w:pPr>
        <w:pStyle w:val="Heading1"/>
        <w:numPr>
          <w:ilvl w:val="0"/>
          <w:numId w:val="0"/>
        </w:numPr>
        <w:ind w:left="432"/>
        <w:jc w:val="center"/>
        <w:rPr>
          <w:sz w:val="28"/>
          <w:szCs w:val="28"/>
        </w:rPr>
      </w:pPr>
      <w:r w:rsidRPr="00D82734">
        <w:rPr>
          <w:sz w:val="28"/>
          <w:szCs w:val="28"/>
        </w:rPr>
        <w:t xml:space="preserve">Solomon Islands </w:t>
      </w:r>
      <w:proofErr w:type="spellStart"/>
      <w:r w:rsidRPr="00D82734">
        <w:rPr>
          <w:sz w:val="28"/>
          <w:szCs w:val="28"/>
        </w:rPr>
        <w:t>REDD</w:t>
      </w:r>
      <w:proofErr w:type="spellEnd"/>
      <w:r w:rsidRPr="00D82734">
        <w:rPr>
          <w:sz w:val="28"/>
          <w:szCs w:val="28"/>
        </w:rPr>
        <w:t>+ Readiness Roadmap</w:t>
      </w:r>
    </w:p>
    <w:p w:rsidR="00D82734" w:rsidRDefault="00D82734" w:rsidP="00D82734">
      <w:pPr>
        <w:pStyle w:val="Heading1"/>
        <w:numPr>
          <w:ilvl w:val="0"/>
          <w:numId w:val="0"/>
        </w:numPr>
        <w:ind w:left="432"/>
        <w:jc w:val="center"/>
        <w:rPr>
          <w:sz w:val="28"/>
          <w:szCs w:val="28"/>
        </w:rPr>
      </w:pPr>
    </w:p>
    <w:p w:rsidR="00D82734" w:rsidRDefault="00A11FD7" w:rsidP="00D82734">
      <w:pPr>
        <w:pStyle w:val="Heading2"/>
        <w:numPr>
          <w:ilvl w:val="0"/>
          <w:numId w:val="0"/>
        </w:numPr>
        <w:ind w:left="576"/>
        <w:jc w:val="center"/>
      </w:pPr>
      <w:r w:rsidRPr="00D82734">
        <w:t>Working Group 1:</w:t>
      </w:r>
    </w:p>
    <w:p w:rsidR="00823FE0" w:rsidRPr="00D82734" w:rsidRDefault="00A11FD7" w:rsidP="00D82734">
      <w:pPr>
        <w:pStyle w:val="Heading2"/>
        <w:numPr>
          <w:ilvl w:val="0"/>
          <w:numId w:val="0"/>
        </w:numPr>
        <w:ind w:left="576"/>
        <w:jc w:val="center"/>
      </w:pPr>
      <w:r w:rsidRPr="00D82734">
        <w:t>Drivers of Deforestation and Forest Degradation</w:t>
      </w:r>
      <w:r w:rsidR="00D82734" w:rsidRPr="00D82734">
        <w:t xml:space="preserve"> and </w:t>
      </w:r>
      <w:r w:rsidRPr="00D82734">
        <w:t xml:space="preserve">Policies and Measure to Address </w:t>
      </w:r>
      <w:r w:rsidR="00D82734">
        <w:t>the Drivers</w:t>
      </w:r>
    </w:p>
    <w:p w:rsidR="00656B4D" w:rsidRPr="00A11FD7" w:rsidRDefault="00656B4D" w:rsidP="00A11FD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230"/>
      </w:tblGrid>
      <w:tr w:rsidR="00D82734" w:rsidTr="00D82734">
        <w:trPr>
          <w:jc w:val="center"/>
        </w:trPr>
        <w:tc>
          <w:tcPr>
            <w:tcW w:w="1278" w:type="dxa"/>
          </w:tcPr>
          <w:p w:rsidR="00D82734" w:rsidRPr="004357E4" w:rsidRDefault="00D82734" w:rsidP="002C0DA8">
            <w:r>
              <w:t>Co-Chairs:</w:t>
            </w:r>
            <w:r w:rsidRPr="004357E4">
              <w:t xml:space="preserve">            </w:t>
            </w:r>
          </w:p>
        </w:tc>
        <w:tc>
          <w:tcPr>
            <w:tcW w:w="4230" w:type="dxa"/>
          </w:tcPr>
          <w:p w:rsidR="00D82734" w:rsidRPr="004357E4" w:rsidRDefault="00D82734" w:rsidP="002C0DA8">
            <w:r w:rsidRPr="004357E4">
              <w:t>[To be appointed]</w:t>
            </w:r>
          </w:p>
        </w:tc>
      </w:tr>
      <w:tr w:rsidR="00D82734" w:rsidTr="00D82734">
        <w:trPr>
          <w:jc w:val="center"/>
        </w:trPr>
        <w:tc>
          <w:tcPr>
            <w:tcW w:w="1278" w:type="dxa"/>
          </w:tcPr>
          <w:p w:rsidR="00D82734" w:rsidRPr="004357E4" w:rsidRDefault="00D82734" w:rsidP="002C0DA8">
            <w:r>
              <w:t>Secretary:</w:t>
            </w:r>
          </w:p>
        </w:tc>
        <w:tc>
          <w:tcPr>
            <w:tcW w:w="4230" w:type="dxa"/>
          </w:tcPr>
          <w:p w:rsidR="00D82734" w:rsidRPr="004357E4" w:rsidRDefault="00D82734" w:rsidP="002C0DA8">
            <w:r w:rsidRPr="004357E4">
              <w:t xml:space="preserve">UN-REDD </w:t>
            </w:r>
            <w:proofErr w:type="spellStart"/>
            <w:r w:rsidRPr="004357E4">
              <w:t>PMU</w:t>
            </w:r>
            <w:proofErr w:type="spellEnd"/>
          </w:p>
        </w:tc>
      </w:tr>
      <w:tr w:rsidR="00D82734" w:rsidTr="00D82734">
        <w:trPr>
          <w:trHeight w:val="251"/>
          <w:jc w:val="center"/>
        </w:trPr>
        <w:tc>
          <w:tcPr>
            <w:tcW w:w="1278" w:type="dxa"/>
          </w:tcPr>
          <w:p w:rsidR="00D82734" w:rsidRPr="004357E4" w:rsidRDefault="00D82734" w:rsidP="002C0DA8">
            <w:r>
              <w:t>UN-REDD Advisors:</w:t>
            </w:r>
          </w:p>
        </w:tc>
        <w:tc>
          <w:tcPr>
            <w:tcW w:w="4230" w:type="dxa"/>
          </w:tcPr>
          <w:p w:rsidR="00D82734" w:rsidRPr="004357E4" w:rsidRDefault="00D82734" w:rsidP="00D82734">
            <w:r w:rsidRPr="00A11FD7">
              <w:t xml:space="preserve">Phil Cowling (Consultant –Policy Advisor), Aki Kono (UNDP), Joel </w:t>
            </w:r>
            <w:proofErr w:type="spellStart"/>
            <w:r w:rsidRPr="00A11FD7">
              <w:t>Scriven</w:t>
            </w:r>
            <w:proofErr w:type="spellEnd"/>
            <w:r w:rsidRPr="00A11FD7">
              <w:t xml:space="preserve"> (</w:t>
            </w:r>
            <w:proofErr w:type="spellStart"/>
            <w:r w:rsidRPr="00A11FD7">
              <w:t>FAO</w:t>
            </w:r>
            <w:proofErr w:type="spellEnd"/>
            <w:r w:rsidRPr="00A11FD7">
              <w:t>), Ben Vickers (</w:t>
            </w:r>
            <w:proofErr w:type="spellStart"/>
            <w:r w:rsidRPr="00A11FD7">
              <w:t>FAO</w:t>
            </w:r>
            <w:proofErr w:type="spellEnd"/>
            <w:r w:rsidRPr="00A11FD7">
              <w:t>)</w:t>
            </w:r>
            <w:r>
              <w:t xml:space="preserve"> </w:t>
            </w:r>
          </w:p>
        </w:tc>
      </w:tr>
    </w:tbl>
    <w:p w:rsidR="00656B4D" w:rsidRDefault="00656B4D" w:rsidP="00A11FD7"/>
    <w:p w:rsidR="002D2941" w:rsidRPr="00A11FD7" w:rsidRDefault="002D2941" w:rsidP="00A11FD7"/>
    <w:p w:rsidR="00463F13" w:rsidRPr="00A11FD7" w:rsidRDefault="009E7681" w:rsidP="00D4186D">
      <w:pPr>
        <w:jc w:val="both"/>
      </w:pPr>
      <w:r w:rsidRPr="00D82734">
        <w:rPr>
          <w:b/>
        </w:rPr>
        <w:t>O</w:t>
      </w:r>
      <w:r w:rsidR="000D4D3D" w:rsidRPr="00D82734">
        <w:rPr>
          <w:b/>
        </w:rPr>
        <w:t xml:space="preserve">bjective: </w:t>
      </w:r>
      <w:r w:rsidR="000D4D3D" w:rsidRPr="00A11FD7">
        <w:t>to identify</w:t>
      </w:r>
      <w:r w:rsidR="00463F13" w:rsidRPr="00A11FD7">
        <w:t xml:space="preserve"> and quantify</w:t>
      </w:r>
      <w:r w:rsidR="000D4D3D" w:rsidRPr="00A11FD7">
        <w:t xml:space="preserve"> the key drivers of deforestation an</w:t>
      </w:r>
      <w:r w:rsidR="008B6048" w:rsidRPr="00A11FD7">
        <w:t>d forest degradation in the Solomon Islands</w:t>
      </w:r>
      <w:r w:rsidR="000D4D3D" w:rsidRPr="00A11FD7">
        <w:t>,</w:t>
      </w:r>
      <w:r w:rsidR="00463F13" w:rsidRPr="00A11FD7">
        <w:t xml:space="preserve"> and their underlying causes,</w:t>
      </w:r>
      <w:r w:rsidR="000D4D3D" w:rsidRPr="00A11FD7">
        <w:t xml:space="preserve"> and to identify </w:t>
      </w:r>
      <w:r w:rsidR="00BD3693" w:rsidRPr="00A11FD7">
        <w:t xml:space="preserve">potential </w:t>
      </w:r>
      <w:r w:rsidR="000D4D3D" w:rsidRPr="00A11FD7">
        <w:t>strategies to address them</w:t>
      </w:r>
      <w:r w:rsidR="009020FC" w:rsidRPr="00A11FD7">
        <w:t>.</w:t>
      </w:r>
    </w:p>
    <w:p w:rsidR="00082E4A" w:rsidRDefault="00AF749B" w:rsidP="00D4186D">
      <w:pPr>
        <w:pStyle w:val="Heading3"/>
        <w:numPr>
          <w:ilvl w:val="0"/>
          <w:numId w:val="0"/>
        </w:numPr>
        <w:ind w:left="720" w:hanging="720"/>
        <w:jc w:val="both"/>
        <w:rPr>
          <w:i w:val="0"/>
          <w:sz w:val="22"/>
          <w:szCs w:val="22"/>
        </w:rPr>
      </w:pPr>
      <w:r w:rsidRPr="00D82734">
        <w:rPr>
          <w:i w:val="0"/>
          <w:sz w:val="22"/>
          <w:szCs w:val="22"/>
        </w:rPr>
        <w:t>Issues to be a</w:t>
      </w:r>
      <w:r w:rsidR="00463F13" w:rsidRPr="00D82734">
        <w:rPr>
          <w:i w:val="0"/>
          <w:sz w:val="22"/>
          <w:szCs w:val="22"/>
        </w:rPr>
        <w:t>ddressed by the Working Group</w:t>
      </w:r>
    </w:p>
    <w:p w:rsidR="00D82734" w:rsidRPr="00D82734" w:rsidRDefault="00D82734" w:rsidP="00D4186D">
      <w:pPr>
        <w:jc w:val="both"/>
      </w:pPr>
    </w:p>
    <w:p w:rsidR="00463F13" w:rsidRPr="00A11FD7" w:rsidRDefault="00463F13" w:rsidP="00D4186D">
      <w:pPr>
        <w:jc w:val="both"/>
      </w:pPr>
      <w:r w:rsidRPr="00A11FD7">
        <w:t xml:space="preserve">In the context of </w:t>
      </w:r>
      <w:proofErr w:type="spellStart"/>
      <w:r w:rsidRPr="00A11FD7">
        <w:t>REDD</w:t>
      </w:r>
      <w:proofErr w:type="spellEnd"/>
      <w:r w:rsidRPr="00A11FD7">
        <w:t>+</w:t>
      </w:r>
      <w:r w:rsidR="00D4186D">
        <w:t>,</w:t>
      </w:r>
      <w:r w:rsidRPr="00A11FD7">
        <w:t xml:space="preserve"> the</w:t>
      </w:r>
      <w:bookmarkStart w:id="0" w:name="_GoBack"/>
      <w:bookmarkEnd w:id="0"/>
      <w:r w:rsidRPr="00A11FD7">
        <w:t xml:space="preserve"> term ‘driver’ is used broadly</w:t>
      </w:r>
      <w:r w:rsidR="00D4186D">
        <w:t>,</w:t>
      </w:r>
      <w:r w:rsidRPr="00A11FD7">
        <w:t xml:space="preserve"> but for analysis and assessments</w:t>
      </w:r>
      <w:r w:rsidR="00D4186D">
        <w:t>,</w:t>
      </w:r>
      <w:r w:rsidRPr="00A11FD7">
        <w:t xml:space="preserve"> it is important to separate proximate/direct causes and underlying/indirect causes of deforestation and forest degradation.  </w:t>
      </w:r>
      <w:r w:rsidR="002E1DB0">
        <w:t>While c</w:t>
      </w:r>
      <w:r w:rsidRPr="00A11FD7">
        <w:t>ommercial agriculture is the most important proximate driver of deforestation in the majority of non-Annex I countries</w:t>
      </w:r>
      <w:r w:rsidR="002E1DB0">
        <w:t>, l</w:t>
      </w:r>
      <w:r w:rsidRPr="00A11FD7">
        <w:t>egal and illegal timber harvesting are the most important drive</w:t>
      </w:r>
      <w:r w:rsidR="00505B0C" w:rsidRPr="00A11FD7">
        <w:t>rs of forest degradation in the Pacific</w:t>
      </w:r>
      <w:r w:rsidRPr="00A11FD7">
        <w:t>.  However, both these drivers have complex underlying causes.</w:t>
      </w:r>
    </w:p>
    <w:p w:rsidR="00463F13" w:rsidRPr="00A11FD7" w:rsidRDefault="00463F13" w:rsidP="00D4186D">
      <w:pPr>
        <w:jc w:val="both"/>
      </w:pPr>
    </w:p>
    <w:p w:rsidR="00463F13" w:rsidRPr="00A11FD7" w:rsidRDefault="00463F13" w:rsidP="00D4186D">
      <w:pPr>
        <w:jc w:val="both"/>
      </w:pPr>
      <w:r w:rsidRPr="00A11FD7">
        <w:t>Many countries stress weak forestry sector governance and institutions, including conflicting policies and illegal activities (related to weak enforcement) as critical underlying drivers of deforestation and degradation.</w:t>
      </w:r>
    </w:p>
    <w:p w:rsidR="00463F13" w:rsidRPr="00A11FD7" w:rsidRDefault="00463F13" w:rsidP="00D4186D">
      <w:pPr>
        <w:jc w:val="both"/>
      </w:pPr>
    </w:p>
    <w:p w:rsidR="00463F13" w:rsidRPr="00A11FD7" w:rsidRDefault="00463F13" w:rsidP="00D4186D">
      <w:pPr>
        <w:jc w:val="both"/>
      </w:pPr>
      <w:r w:rsidRPr="00A11FD7">
        <w:t xml:space="preserve">The main indirect driving forces of forest change such as population and economic growth, national and international demand for agricultural products (food and biofuels), </w:t>
      </w:r>
      <w:proofErr w:type="gramStart"/>
      <w:r w:rsidRPr="00A11FD7">
        <w:t>wood</w:t>
      </w:r>
      <w:proofErr w:type="gramEnd"/>
      <w:r w:rsidRPr="00A11FD7">
        <w:t xml:space="preserve"> products and </w:t>
      </w:r>
      <w:r w:rsidR="002E1DB0">
        <w:t xml:space="preserve">particularly for the Solomon Islands, </w:t>
      </w:r>
      <w:r w:rsidRPr="00A11FD7">
        <w:t>minerals are all expected to increase in the coming years.</w:t>
      </w:r>
    </w:p>
    <w:p w:rsidR="00463F13" w:rsidRPr="00A11FD7" w:rsidRDefault="00463F13" w:rsidP="00D4186D">
      <w:pPr>
        <w:jc w:val="both"/>
      </w:pPr>
    </w:p>
    <w:p w:rsidR="00463F13" w:rsidRPr="00A11FD7" w:rsidRDefault="00463F13" w:rsidP="00D4186D">
      <w:pPr>
        <w:jc w:val="both"/>
      </w:pPr>
      <w:r w:rsidRPr="00A11FD7">
        <w:t xml:space="preserve">Historical patterns in deforestation and degradation drivers may not necessarily be repeated in the future, largely due to more rapid economic development and GDP growth among within developing countries.  </w:t>
      </w:r>
    </w:p>
    <w:p w:rsidR="00463F13" w:rsidRPr="00A11FD7" w:rsidRDefault="00463F13" w:rsidP="00D4186D">
      <w:pPr>
        <w:jc w:val="both"/>
      </w:pPr>
    </w:p>
    <w:p w:rsidR="00463F13" w:rsidRPr="00A11FD7" w:rsidRDefault="00463F13" w:rsidP="00D4186D">
      <w:pPr>
        <w:jc w:val="both"/>
      </w:pPr>
      <w:r w:rsidRPr="00A11FD7">
        <w:t xml:space="preserve">Taking this into account, the task of this working group in identifying and quantifying key drivers and underlying causes of deforestation and degradation in the Solomon Islands can be broken down as follows: </w:t>
      </w:r>
    </w:p>
    <w:p w:rsidR="003446FC" w:rsidRPr="00D82734" w:rsidRDefault="003446FC" w:rsidP="00D4186D">
      <w:pPr>
        <w:pStyle w:val="Heading3"/>
        <w:numPr>
          <w:ilvl w:val="0"/>
          <w:numId w:val="31"/>
        </w:numPr>
        <w:jc w:val="both"/>
        <w:rPr>
          <w:i w:val="0"/>
        </w:rPr>
      </w:pPr>
      <w:r w:rsidRPr="00D82734">
        <w:rPr>
          <w:i w:val="0"/>
        </w:rPr>
        <w:lastRenderedPageBreak/>
        <w:t>Drivers</w:t>
      </w:r>
    </w:p>
    <w:p w:rsidR="00570155" w:rsidRPr="00A11FD7" w:rsidRDefault="00513394" w:rsidP="00807017">
      <w:pPr>
        <w:pStyle w:val="Heading4"/>
        <w:numPr>
          <w:ilvl w:val="0"/>
          <w:numId w:val="0"/>
        </w:numPr>
        <w:ind w:left="864" w:hanging="864"/>
      </w:pPr>
      <w:r w:rsidRPr="00A11FD7">
        <w:t>Overview of l</w:t>
      </w:r>
      <w:r w:rsidR="00570155" w:rsidRPr="00A11FD7">
        <w:t>and use trends, forest policy and governance</w:t>
      </w:r>
      <w:r w:rsidRPr="00A11FD7">
        <w:t xml:space="preserve"> relevant to </w:t>
      </w:r>
      <w:proofErr w:type="spellStart"/>
      <w:r w:rsidRPr="00A11FD7">
        <w:t>REDD</w:t>
      </w:r>
      <w:proofErr w:type="spellEnd"/>
      <w:r w:rsidRPr="00A11FD7">
        <w:t xml:space="preserve">+ </w:t>
      </w:r>
    </w:p>
    <w:p w:rsidR="004F6D61" w:rsidRPr="00A11FD7" w:rsidRDefault="006D7257" w:rsidP="00D4186D">
      <w:pPr>
        <w:pStyle w:val="ListParagraph"/>
        <w:numPr>
          <w:ilvl w:val="0"/>
          <w:numId w:val="33"/>
        </w:numPr>
        <w:jc w:val="both"/>
      </w:pPr>
      <w:r w:rsidRPr="00A11FD7">
        <w:t>Describe the m</w:t>
      </w:r>
      <w:r w:rsidR="00195D97" w:rsidRPr="00A11FD7">
        <w:t>ajor land use trends in the Solomon Islands</w:t>
      </w:r>
      <w:r w:rsidRPr="00A11FD7">
        <w:t>, e</w:t>
      </w:r>
      <w:r w:rsidR="00195D97" w:rsidRPr="00A11FD7">
        <w:t>.</w:t>
      </w:r>
      <w:r w:rsidRPr="00A11FD7">
        <w:t>g</w:t>
      </w:r>
      <w:r w:rsidR="00195D97" w:rsidRPr="00A11FD7">
        <w:t>.</w:t>
      </w:r>
      <w:r w:rsidRPr="00A11FD7">
        <w:t xml:space="preserve"> use of forests, </w:t>
      </w:r>
      <w:r w:rsidR="00195D97" w:rsidRPr="00A11FD7">
        <w:t>other land use sectors (mining, agriculture,</w:t>
      </w:r>
      <w:r w:rsidR="00807017">
        <w:t xml:space="preserve"> customary land management, </w:t>
      </w:r>
      <w:r w:rsidR="00807017" w:rsidRPr="00A11FD7">
        <w:t>tree</w:t>
      </w:r>
      <w:r w:rsidR="00195D97" w:rsidRPr="00A11FD7">
        <w:t xml:space="preserve"> crops e.g. oil palm, tourism, urban expansion)</w:t>
      </w:r>
      <w:r w:rsidRPr="00A11FD7">
        <w:t>.</w:t>
      </w:r>
    </w:p>
    <w:p w:rsidR="006D7257" w:rsidRPr="00A11FD7" w:rsidRDefault="00570155" w:rsidP="00807017">
      <w:pPr>
        <w:pStyle w:val="ListParagraph"/>
        <w:numPr>
          <w:ilvl w:val="0"/>
          <w:numId w:val="33"/>
        </w:numPr>
        <w:jc w:val="both"/>
      </w:pPr>
      <w:r w:rsidRPr="00A11FD7">
        <w:t>Describe</w:t>
      </w:r>
      <w:r w:rsidR="00174F91" w:rsidRPr="00A11FD7">
        <w:t xml:space="preserve"> the </w:t>
      </w:r>
      <w:r w:rsidR="00195D97" w:rsidRPr="00A11FD7">
        <w:t xml:space="preserve">current and potential impacts of </w:t>
      </w:r>
      <w:r w:rsidR="00D01189" w:rsidRPr="00A11FD7">
        <w:t xml:space="preserve">the </w:t>
      </w:r>
      <w:r w:rsidR="00195D97" w:rsidRPr="00A11FD7">
        <w:t>1999</w:t>
      </w:r>
      <w:r w:rsidR="00D01189" w:rsidRPr="00A11FD7">
        <w:t xml:space="preserve"> </w:t>
      </w:r>
      <w:r w:rsidR="00195D97" w:rsidRPr="00A11FD7">
        <w:t>Forest Act</w:t>
      </w:r>
      <w:r w:rsidR="00AF749B" w:rsidRPr="00A11FD7">
        <w:t>, the</w:t>
      </w:r>
      <w:r w:rsidR="00195D97" w:rsidRPr="00A11FD7">
        <w:t xml:space="preserve"> Climate Change Policy 2012</w:t>
      </w:r>
      <w:r w:rsidR="00807017">
        <w:t xml:space="preserve">-2017, </w:t>
      </w:r>
      <w:r w:rsidR="00807017">
        <w:t>the Solomon Islands National Development Strategy 2011 -2020</w:t>
      </w:r>
      <w:r w:rsidR="00195D97" w:rsidRPr="00A11FD7">
        <w:t>, and other key pieces of legislation</w:t>
      </w:r>
      <w:r w:rsidR="00807017">
        <w:t xml:space="preserve"> </w:t>
      </w:r>
      <w:r w:rsidR="00195D97" w:rsidRPr="00A11FD7">
        <w:t xml:space="preserve">on </w:t>
      </w:r>
      <w:r w:rsidRPr="00A11FD7">
        <w:t>forest protection and sustainable forest management</w:t>
      </w:r>
      <w:r w:rsidR="00195D97" w:rsidRPr="00A11FD7">
        <w:t xml:space="preserve"> in the Solomon Islands</w:t>
      </w:r>
      <w:r w:rsidRPr="00A11FD7">
        <w:t>.</w:t>
      </w:r>
    </w:p>
    <w:p w:rsidR="00570155" w:rsidRPr="00A11FD7" w:rsidRDefault="00570155" w:rsidP="00807017">
      <w:pPr>
        <w:pStyle w:val="ListParagraph"/>
        <w:numPr>
          <w:ilvl w:val="0"/>
          <w:numId w:val="33"/>
        </w:numPr>
        <w:jc w:val="both"/>
      </w:pPr>
      <w:r w:rsidRPr="00A11FD7">
        <w:t>Identify the main governance challenges</w:t>
      </w:r>
      <w:r w:rsidR="00807017">
        <w:t xml:space="preserve"> (both formal and customary)</w:t>
      </w:r>
      <w:r w:rsidRPr="00A11FD7">
        <w:t xml:space="preserve"> for the forest sector.</w:t>
      </w:r>
    </w:p>
    <w:p w:rsidR="00082E4A" w:rsidRPr="00A11FD7" w:rsidRDefault="00193E53" w:rsidP="00D4186D">
      <w:pPr>
        <w:pStyle w:val="ListParagraph"/>
        <w:numPr>
          <w:ilvl w:val="0"/>
          <w:numId w:val="33"/>
        </w:numPr>
        <w:jc w:val="both"/>
      </w:pPr>
      <w:r w:rsidRPr="00A11FD7">
        <w:t>Identify the main capacity</w:t>
      </w:r>
      <w:r w:rsidRPr="00807017">
        <w:rPr>
          <w:vertAlign w:val="superscript"/>
        </w:rPr>
        <w:footnoteReference w:id="1"/>
      </w:r>
      <w:r w:rsidR="00807017">
        <w:t xml:space="preserve"> </w:t>
      </w:r>
      <w:r w:rsidRPr="00A11FD7">
        <w:t>challenges in the forest sector.</w:t>
      </w:r>
    </w:p>
    <w:p w:rsidR="00F4269E" w:rsidRPr="00D82734" w:rsidRDefault="00AE7582" w:rsidP="00807017">
      <w:pPr>
        <w:pStyle w:val="Heading4"/>
        <w:numPr>
          <w:ilvl w:val="0"/>
          <w:numId w:val="0"/>
        </w:numPr>
      </w:pPr>
      <w:r w:rsidRPr="00D82734">
        <w:t>Identification of k</w:t>
      </w:r>
      <w:r w:rsidR="00570155" w:rsidRPr="00D82734">
        <w:t>ey drivers</w:t>
      </w:r>
    </w:p>
    <w:p w:rsidR="00807017" w:rsidRDefault="00193E53" w:rsidP="00807017">
      <w:pPr>
        <w:pStyle w:val="ListParagraph"/>
        <w:numPr>
          <w:ilvl w:val="0"/>
          <w:numId w:val="34"/>
        </w:numPr>
        <w:jc w:val="both"/>
      </w:pPr>
      <w:r w:rsidRPr="00A11FD7">
        <w:t xml:space="preserve">Identify all drivers of deforestation and forest degradation in the Solomon Islands.  Looking beyond the forest sector in analyzing drivers is critical, particularly the role of subsistence agriculture and alternative land uses in driving deforestation.  It is also essential to consider international drivers – for example, timber demand in other countries. </w:t>
      </w:r>
    </w:p>
    <w:p w:rsidR="00807017" w:rsidRDefault="00193E53" w:rsidP="00D4186D">
      <w:pPr>
        <w:pStyle w:val="ListParagraph"/>
        <w:numPr>
          <w:ilvl w:val="0"/>
          <w:numId w:val="34"/>
        </w:numPr>
        <w:jc w:val="both"/>
      </w:pPr>
      <w:r w:rsidRPr="00A11FD7">
        <w:t>Distinguish, to the extent possible, in each case between deforestation and forest degradation.</w:t>
      </w:r>
    </w:p>
    <w:p w:rsidR="00082E4A" w:rsidRPr="00A11FD7" w:rsidRDefault="00193E53" w:rsidP="00D4186D">
      <w:pPr>
        <w:pStyle w:val="ListParagraph"/>
        <w:numPr>
          <w:ilvl w:val="0"/>
          <w:numId w:val="34"/>
        </w:numPr>
        <w:jc w:val="both"/>
      </w:pPr>
      <w:r w:rsidRPr="00A11FD7">
        <w:t>For each driver, derive the information indicated in the Table below</w:t>
      </w:r>
      <w:r w:rsidR="00807017">
        <w:t xml:space="preserve"> </w:t>
      </w:r>
      <w:r w:rsidR="00352F0F" w:rsidRPr="00A11FD7">
        <w:t xml:space="preserve">(Some examples of drivers are suggested. Add any drivers that are missing and delete any drivers that are not relevant.) </w:t>
      </w:r>
    </w:p>
    <w:p w:rsidR="009E7681" w:rsidRPr="00A11FD7" w:rsidRDefault="009E7681" w:rsidP="00D4186D">
      <w:pPr>
        <w:jc w:val="both"/>
      </w:pPr>
    </w:p>
    <w:tbl>
      <w:tblPr>
        <w:tblStyle w:val="TableGrid"/>
        <w:tblW w:w="0" w:type="auto"/>
        <w:jc w:val="center"/>
        <w:tblInd w:w="108" w:type="dxa"/>
        <w:tblLook w:val="04A0" w:firstRow="1" w:lastRow="0" w:firstColumn="1" w:lastColumn="0" w:noHBand="0" w:noVBand="1"/>
      </w:tblPr>
      <w:tblGrid>
        <w:gridCol w:w="2017"/>
        <w:gridCol w:w="1931"/>
        <w:gridCol w:w="1353"/>
        <w:gridCol w:w="1144"/>
        <w:gridCol w:w="1963"/>
      </w:tblGrid>
      <w:tr w:rsidR="003F70D4" w:rsidRPr="00A11FD7" w:rsidTr="00172CB8">
        <w:trPr>
          <w:jc w:val="center"/>
        </w:trPr>
        <w:tc>
          <w:tcPr>
            <w:tcW w:w="2020" w:type="dxa"/>
            <w:shd w:val="clear" w:color="auto" w:fill="DAEEF3" w:themeFill="accent5" w:themeFillTint="33"/>
          </w:tcPr>
          <w:p w:rsidR="003F70D4" w:rsidRPr="000F78B3" w:rsidRDefault="00352F0F" w:rsidP="000F78B3">
            <w:pPr>
              <w:jc w:val="center"/>
              <w:rPr>
                <w:rFonts w:cstheme="minorHAnsi"/>
                <w:b/>
              </w:rPr>
            </w:pPr>
            <w:r w:rsidRPr="000F78B3">
              <w:rPr>
                <w:rFonts w:cstheme="minorHAnsi"/>
                <w:b/>
              </w:rPr>
              <w:t>Driver</w:t>
            </w:r>
          </w:p>
        </w:tc>
        <w:tc>
          <w:tcPr>
            <w:tcW w:w="1937" w:type="dxa"/>
            <w:shd w:val="clear" w:color="auto" w:fill="DAEEF3" w:themeFill="accent5" w:themeFillTint="33"/>
          </w:tcPr>
          <w:p w:rsidR="003F70D4" w:rsidRPr="000F78B3" w:rsidRDefault="00352F0F" w:rsidP="000F78B3">
            <w:pPr>
              <w:jc w:val="center"/>
              <w:rPr>
                <w:rFonts w:cstheme="minorHAnsi"/>
                <w:b/>
              </w:rPr>
            </w:pPr>
            <w:r w:rsidRPr="000F78B3">
              <w:rPr>
                <w:rFonts w:cstheme="minorHAnsi"/>
                <w:b/>
              </w:rPr>
              <w:t>Recent trends (changes in extent and severity)</w:t>
            </w:r>
          </w:p>
        </w:tc>
        <w:tc>
          <w:tcPr>
            <w:tcW w:w="1338" w:type="dxa"/>
            <w:shd w:val="clear" w:color="auto" w:fill="DAEEF3" w:themeFill="accent5" w:themeFillTint="33"/>
          </w:tcPr>
          <w:p w:rsidR="003F70D4" w:rsidRPr="000F78B3" w:rsidRDefault="00352F0F" w:rsidP="000F78B3">
            <w:pPr>
              <w:jc w:val="center"/>
              <w:rPr>
                <w:rFonts w:cstheme="minorHAnsi"/>
                <w:b/>
              </w:rPr>
            </w:pPr>
            <w:r w:rsidRPr="000F78B3">
              <w:rPr>
                <w:rFonts w:cstheme="minorHAnsi"/>
                <w:b/>
              </w:rPr>
              <w:t>Projected trends</w:t>
            </w:r>
            <w:r w:rsidR="00743D7C">
              <w:rPr>
                <w:rFonts w:cstheme="minorHAnsi"/>
                <w:b/>
              </w:rPr>
              <w:t xml:space="preserve"> (likelihood)</w:t>
            </w:r>
          </w:p>
        </w:tc>
        <w:tc>
          <w:tcPr>
            <w:tcW w:w="1145" w:type="dxa"/>
            <w:shd w:val="clear" w:color="auto" w:fill="DAEEF3" w:themeFill="accent5" w:themeFillTint="33"/>
          </w:tcPr>
          <w:p w:rsidR="003F70D4" w:rsidRPr="000F78B3" w:rsidRDefault="00352F0F" w:rsidP="000F78B3">
            <w:pPr>
              <w:jc w:val="center"/>
              <w:rPr>
                <w:rFonts w:cstheme="minorHAnsi"/>
                <w:b/>
              </w:rPr>
            </w:pPr>
            <w:r w:rsidRPr="000F78B3">
              <w:rPr>
                <w:rFonts w:cstheme="minorHAnsi"/>
                <w:b/>
              </w:rPr>
              <w:t>Severity of impact</w:t>
            </w:r>
          </w:p>
        </w:tc>
        <w:tc>
          <w:tcPr>
            <w:tcW w:w="1968" w:type="dxa"/>
            <w:shd w:val="clear" w:color="auto" w:fill="DAEEF3" w:themeFill="accent5" w:themeFillTint="33"/>
          </w:tcPr>
          <w:p w:rsidR="003F70D4" w:rsidRDefault="00352F0F" w:rsidP="000F78B3">
            <w:pPr>
              <w:jc w:val="center"/>
              <w:rPr>
                <w:rFonts w:cstheme="minorHAnsi"/>
                <w:b/>
              </w:rPr>
            </w:pPr>
            <w:r w:rsidRPr="000F78B3">
              <w:rPr>
                <w:rFonts w:cstheme="minorHAnsi"/>
                <w:b/>
              </w:rPr>
              <w:t>Overall priority</w:t>
            </w:r>
            <w:r w:rsidR="00743D7C">
              <w:rPr>
                <w:rFonts w:cstheme="minorHAnsi"/>
                <w:b/>
              </w:rPr>
              <w:t xml:space="preserve"> </w:t>
            </w:r>
          </w:p>
          <w:p w:rsidR="00743D7C" w:rsidRPr="000F78B3" w:rsidRDefault="00743D7C" w:rsidP="000F78B3">
            <w:pPr>
              <w:jc w:val="center"/>
              <w:rPr>
                <w:rFonts w:cstheme="minorHAnsi"/>
                <w:b/>
              </w:rPr>
            </w:pPr>
            <w:r>
              <w:rPr>
                <w:rFonts w:cstheme="minorHAnsi"/>
                <w:b/>
              </w:rPr>
              <w:t>(e.g., likelihood x impact)</w:t>
            </w:r>
          </w:p>
        </w:tc>
      </w:tr>
      <w:tr w:rsidR="003F70D4" w:rsidRPr="00A11FD7" w:rsidTr="00172CB8">
        <w:trPr>
          <w:jc w:val="center"/>
        </w:trPr>
        <w:tc>
          <w:tcPr>
            <w:tcW w:w="8408" w:type="dxa"/>
            <w:gridSpan w:val="5"/>
            <w:shd w:val="clear" w:color="auto" w:fill="BFBFBF" w:themeFill="background1" w:themeFillShade="BF"/>
          </w:tcPr>
          <w:p w:rsidR="003F70D4" w:rsidRPr="000F78B3" w:rsidRDefault="00352F0F" w:rsidP="000F78B3">
            <w:pPr>
              <w:rPr>
                <w:b/>
              </w:rPr>
            </w:pPr>
            <w:r w:rsidRPr="000F78B3">
              <w:rPr>
                <w:b/>
              </w:rPr>
              <w:t>1. Inland forests</w:t>
            </w:r>
          </w:p>
        </w:tc>
      </w:tr>
      <w:tr w:rsidR="003F70D4" w:rsidRPr="00A11FD7" w:rsidTr="00172CB8">
        <w:trPr>
          <w:jc w:val="center"/>
        </w:trPr>
        <w:tc>
          <w:tcPr>
            <w:tcW w:w="8408" w:type="dxa"/>
            <w:gridSpan w:val="5"/>
            <w:shd w:val="clear" w:color="auto" w:fill="BFBFBF" w:themeFill="background1" w:themeFillShade="BF"/>
          </w:tcPr>
          <w:p w:rsidR="003F70D4" w:rsidRPr="000F78B3" w:rsidDel="003F70D4" w:rsidRDefault="003F70D4" w:rsidP="000F78B3">
            <w:pPr>
              <w:rPr>
                <w:b/>
              </w:rPr>
            </w:pPr>
            <w:r w:rsidRPr="000F78B3">
              <w:rPr>
                <w:b/>
              </w:rPr>
              <w:t xml:space="preserve">a. </w:t>
            </w:r>
            <w:r w:rsidR="000F78B3" w:rsidRPr="000F78B3">
              <w:rPr>
                <w:b/>
              </w:rPr>
              <w:t xml:space="preserve">Forest </w:t>
            </w:r>
            <w:r w:rsidRPr="000F78B3">
              <w:rPr>
                <w:b/>
              </w:rPr>
              <w:t>Degradation</w:t>
            </w:r>
          </w:p>
        </w:tc>
      </w:tr>
      <w:tr w:rsidR="003F70D4" w:rsidRPr="00A11FD7" w:rsidTr="00172CB8">
        <w:trPr>
          <w:jc w:val="center"/>
        </w:trPr>
        <w:tc>
          <w:tcPr>
            <w:tcW w:w="2020" w:type="dxa"/>
          </w:tcPr>
          <w:p w:rsidR="003F70D4" w:rsidRPr="00A11FD7" w:rsidRDefault="003F70D4" w:rsidP="000F78B3">
            <w:r w:rsidRPr="00A11FD7">
              <w:t>Pests and disease</w:t>
            </w:r>
          </w:p>
        </w:tc>
        <w:tc>
          <w:tcPr>
            <w:tcW w:w="1937" w:type="dxa"/>
          </w:tcPr>
          <w:p w:rsidR="003F70D4" w:rsidRPr="00A11FD7" w:rsidRDefault="003F70D4" w:rsidP="00807017"/>
        </w:tc>
        <w:tc>
          <w:tcPr>
            <w:tcW w:w="1338" w:type="dxa"/>
          </w:tcPr>
          <w:p w:rsidR="003F70D4" w:rsidRPr="00A11FD7" w:rsidRDefault="003F70D4" w:rsidP="00807017"/>
        </w:tc>
        <w:tc>
          <w:tcPr>
            <w:tcW w:w="1145" w:type="dxa"/>
          </w:tcPr>
          <w:p w:rsidR="003F70D4" w:rsidRPr="00A11FD7" w:rsidRDefault="003F70D4" w:rsidP="00807017"/>
        </w:tc>
        <w:tc>
          <w:tcPr>
            <w:tcW w:w="1968" w:type="dxa"/>
          </w:tcPr>
          <w:p w:rsidR="003F70D4" w:rsidRPr="00A11FD7" w:rsidRDefault="003F70D4" w:rsidP="00807017"/>
        </w:tc>
      </w:tr>
      <w:tr w:rsidR="003F70D4" w:rsidRPr="00A11FD7" w:rsidTr="00172CB8">
        <w:trPr>
          <w:jc w:val="center"/>
        </w:trPr>
        <w:tc>
          <w:tcPr>
            <w:tcW w:w="2020" w:type="dxa"/>
          </w:tcPr>
          <w:p w:rsidR="003F70D4" w:rsidRPr="00A11FD7" w:rsidRDefault="003F70D4" w:rsidP="000F78B3">
            <w:r w:rsidRPr="00A11FD7">
              <w:t>Fuel wood collection</w:t>
            </w:r>
          </w:p>
        </w:tc>
        <w:tc>
          <w:tcPr>
            <w:tcW w:w="1937" w:type="dxa"/>
          </w:tcPr>
          <w:p w:rsidR="003F70D4" w:rsidRPr="00A11FD7" w:rsidRDefault="003F70D4" w:rsidP="00807017"/>
        </w:tc>
        <w:tc>
          <w:tcPr>
            <w:tcW w:w="1338" w:type="dxa"/>
          </w:tcPr>
          <w:p w:rsidR="003F70D4" w:rsidRPr="00A11FD7" w:rsidRDefault="003F70D4" w:rsidP="00807017"/>
        </w:tc>
        <w:tc>
          <w:tcPr>
            <w:tcW w:w="1145" w:type="dxa"/>
          </w:tcPr>
          <w:p w:rsidR="003F70D4" w:rsidRPr="00A11FD7" w:rsidRDefault="003F70D4" w:rsidP="00807017"/>
        </w:tc>
        <w:tc>
          <w:tcPr>
            <w:tcW w:w="1968" w:type="dxa"/>
          </w:tcPr>
          <w:p w:rsidR="003F70D4" w:rsidRPr="00A11FD7" w:rsidRDefault="003F70D4" w:rsidP="00807017"/>
        </w:tc>
      </w:tr>
      <w:tr w:rsidR="003F70D4" w:rsidRPr="00A11FD7" w:rsidTr="00172CB8">
        <w:trPr>
          <w:trHeight w:val="368"/>
          <w:jc w:val="center"/>
        </w:trPr>
        <w:tc>
          <w:tcPr>
            <w:tcW w:w="2020" w:type="dxa"/>
          </w:tcPr>
          <w:p w:rsidR="003F70D4" w:rsidRPr="00A11FD7" w:rsidRDefault="003F70D4" w:rsidP="000F78B3">
            <w:r w:rsidRPr="00A11FD7">
              <w:t>Illegal logging</w:t>
            </w:r>
          </w:p>
        </w:tc>
        <w:tc>
          <w:tcPr>
            <w:tcW w:w="1937" w:type="dxa"/>
          </w:tcPr>
          <w:p w:rsidR="003F70D4" w:rsidRPr="00A11FD7" w:rsidRDefault="003F70D4" w:rsidP="00807017"/>
        </w:tc>
        <w:tc>
          <w:tcPr>
            <w:tcW w:w="1338" w:type="dxa"/>
          </w:tcPr>
          <w:p w:rsidR="003F70D4" w:rsidRPr="00A11FD7" w:rsidRDefault="003F70D4" w:rsidP="00807017"/>
        </w:tc>
        <w:tc>
          <w:tcPr>
            <w:tcW w:w="1145" w:type="dxa"/>
          </w:tcPr>
          <w:p w:rsidR="003F70D4" w:rsidRPr="00A11FD7" w:rsidRDefault="003F70D4" w:rsidP="00807017"/>
        </w:tc>
        <w:tc>
          <w:tcPr>
            <w:tcW w:w="1968" w:type="dxa"/>
          </w:tcPr>
          <w:p w:rsidR="003F70D4" w:rsidRPr="00A11FD7" w:rsidRDefault="003F70D4" w:rsidP="00807017"/>
        </w:tc>
      </w:tr>
      <w:tr w:rsidR="003F70D4" w:rsidRPr="00A11FD7" w:rsidTr="00172CB8">
        <w:trPr>
          <w:jc w:val="center"/>
        </w:trPr>
        <w:tc>
          <w:tcPr>
            <w:tcW w:w="2020" w:type="dxa"/>
          </w:tcPr>
          <w:p w:rsidR="003F70D4" w:rsidRPr="00A11FD7" w:rsidRDefault="003F70D4" w:rsidP="000F78B3">
            <w:r w:rsidRPr="00A11FD7">
              <w:t>Legal logging</w:t>
            </w:r>
          </w:p>
        </w:tc>
        <w:tc>
          <w:tcPr>
            <w:tcW w:w="1937" w:type="dxa"/>
          </w:tcPr>
          <w:p w:rsidR="003F70D4" w:rsidRPr="00A11FD7" w:rsidRDefault="003F70D4" w:rsidP="00807017"/>
        </w:tc>
        <w:tc>
          <w:tcPr>
            <w:tcW w:w="1338" w:type="dxa"/>
          </w:tcPr>
          <w:p w:rsidR="003F70D4" w:rsidRPr="00A11FD7" w:rsidRDefault="003F70D4" w:rsidP="00807017"/>
        </w:tc>
        <w:tc>
          <w:tcPr>
            <w:tcW w:w="1145" w:type="dxa"/>
          </w:tcPr>
          <w:p w:rsidR="003F70D4" w:rsidRPr="00A11FD7" w:rsidRDefault="003F70D4" w:rsidP="00807017"/>
        </w:tc>
        <w:tc>
          <w:tcPr>
            <w:tcW w:w="1968" w:type="dxa"/>
          </w:tcPr>
          <w:p w:rsidR="003F70D4" w:rsidRPr="00A11FD7" w:rsidRDefault="003F70D4" w:rsidP="00807017"/>
        </w:tc>
      </w:tr>
      <w:tr w:rsidR="003F70D4" w:rsidRPr="00A11FD7" w:rsidTr="00172CB8">
        <w:trPr>
          <w:jc w:val="center"/>
        </w:trPr>
        <w:tc>
          <w:tcPr>
            <w:tcW w:w="2020" w:type="dxa"/>
          </w:tcPr>
          <w:p w:rsidR="003F70D4" w:rsidRPr="00A11FD7" w:rsidRDefault="003F70D4" w:rsidP="000F78B3">
            <w:r w:rsidRPr="00A11FD7">
              <w:t>Other forest product extraction (legal/illegal)</w:t>
            </w:r>
          </w:p>
        </w:tc>
        <w:tc>
          <w:tcPr>
            <w:tcW w:w="1937" w:type="dxa"/>
          </w:tcPr>
          <w:p w:rsidR="003F70D4" w:rsidRPr="00A11FD7"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2020" w:type="dxa"/>
          </w:tcPr>
          <w:p w:rsidR="003F70D4" w:rsidRPr="00A11FD7" w:rsidRDefault="003F70D4" w:rsidP="000F78B3">
            <w:r w:rsidRPr="00A11FD7">
              <w:t>Invasive species</w:t>
            </w:r>
          </w:p>
        </w:tc>
        <w:tc>
          <w:tcPr>
            <w:tcW w:w="1937" w:type="dxa"/>
          </w:tcPr>
          <w:p w:rsidR="003F70D4" w:rsidRPr="00A11FD7"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8408" w:type="dxa"/>
            <w:gridSpan w:val="5"/>
            <w:shd w:val="clear" w:color="auto" w:fill="BFBFBF" w:themeFill="background1" w:themeFillShade="BF"/>
          </w:tcPr>
          <w:p w:rsidR="003F70D4" w:rsidRPr="000F78B3" w:rsidRDefault="003F70D4" w:rsidP="000F78B3">
            <w:pPr>
              <w:rPr>
                <w:b/>
              </w:rPr>
            </w:pPr>
            <w:r w:rsidRPr="000F78B3">
              <w:rPr>
                <w:b/>
              </w:rPr>
              <w:t>b. Deforestation</w:t>
            </w:r>
          </w:p>
        </w:tc>
      </w:tr>
      <w:tr w:rsidR="003F70D4" w:rsidRPr="00A11FD7" w:rsidTr="00172CB8">
        <w:trPr>
          <w:jc w:val="center"/>
        </w:trPr>
        <w:tc>
          <w:tcPr>
            <w:tcW w:w="2020" w:type="dxa"/>
          </w:tcPr>
          <w:p w:rsidR="003F70D4" w:rsidRPr="00A11FD7" w:rsidRDefault="003F70D4" w:rsidP="000F78B3">
            <w:r w:rsidRPr="00A11FD7">
              <w:t>Urban expansion</w:t>
            </w:r>
          </w:p>
        </w:tc>
        <w:tc>
          <w:tcPr>
            <w:tcW w:w="1937" w:type="dxa"/>
          </w:tcPr>
          <w:p w:rsidR="003F70D4" w:rsidRPr="00A11FD7"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0F78B3" w:rsidRPr="00A11FD7" w:rsidTr="00172CB8">
        <w:trPr>
          <w:jc w:val="center"/>
        </w:trPr>
        <w:tc>
          <w:tcPr>
            <w:tcW w:w="2020" w:type="dxa"/>
          </w:tcPr>
          <w:p w:rsidR="000F78B3" w:rsidRPr="00A11FD7" w:rsidRDefault="000F78B3" w:rsidP="000F78B3">
            <w:r>
              <w:lastRenderedPageBreak/>
              <w:t xml:space="preserve">Infrastructure </w:t>
            </w:r>
          </w:p>
        </w:tc>
        <w:tc>
          <w:tcPr>
            <w:tcW w:w="1937" w:type="dxa"/>
          </w:tcPr>
          <w:p w:rsidR="000F78B3" w:rsidRPr="00A11FD7" w:rsidRDefault="000F78B3" w:rsidP="00D4186D">
            <w:pPr>
              <w:jc w:val="both"/>
            </w:pPr>
          </w:p>
        </w:tc>
        <w:tc>
          <w:tcPr>
            <w:tcW w:w="1338" w:type="dxa"/>
          </w:tcPr>
          <w:p w:rsidR="000F78B3" w:rsidRPr="00A11FD7" w:rsidRDefault="000F78B3" w:rsidP="00D4186D">
            <w:pPr>
              <w:jc w:val="both"/>
            </w:pPr>
          </w:p>
        </w:tc>
        <w:tc>
          <w:tcPr>
            <w:tcW w:w="1145" w:type="dxa"/>
          </w:tcPr>
          <w:p w:rsidR="000F78B3" w:rsidRPr="00A11FD7" w:rsidRDefault="000F78B3" w:rsidP="00D4186D">
            <w:pPr>
              <w:jc w:val="both"/>
            </w:pPr>
          </w:p>
        </w:tc>
        <w:tc>
          <w:tcPr>
            <w:tcW w:w="1968" w:type="dxa"/>
          </w:tcPr>
          <w:p w:rsidR="000F78B3" w:rsidRPr="00A11FD7" w:rsidRDefault="000F78B3" w:rsidP="00D4186D">
            <w:pPr>
              <w:jc w:val="both"/>
            </w:pPr>
          </w:p>
        </w:tc>
      </w:tr>
      <w:tr w:rsidR="003F70D4" w:rsidRPr="00A11FD7" w:rsidTr="00172CB8">
        <w:trPr>
          <w:jc w:val="center"/>
        </w:trPr>
        <w:tc>
          <w:tcPr>
            <w:tcW w:w="2020" w:type="dxa"/>
          </w:tcPr>
          <w:p w:rsidR="003F70D4" w:rsidRPr="00A11FD7" w:rsidRDefault="003F70D4" w:rsidP="000F78B3">
            <w:r w:rsidRPr="00A11FD7">
              <w:t>Plantation establishment</w:t>
            </w:r>
          </w:p>
        </w:tc>
        <w:tc>
          <w:tcPr>
            <w:tcW w:w="1937" w:type="dxa"/>
          </w:tcPr>
          <w:p w:rsidR="003F70D4" w:rsidRPr="00A11FD7"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2020" w:type="dxa"/>
          </w:tcPr>
          <w:p w:rsidR="003F70D4" w:rsidRPr="00A11FD7" w:rsidRDefault="003F70D4" w:rsidP="000F78B3">
            <w:r w:rsidRPr="00A11FD7">
              <w:t>Agricultural expansion</w:t>
            </w:r>
          </w:p>
        </w:tc>
        <w:tc>
          <w:tcPr>
            <w:tcW w:w="1937" w:type="dxa"/>
          </w:tcPr>
          <w:p w:rsidR="003F70D4" w:rsidRPr="00A11FD7"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8408" w:type="dxa"/>
            <w:gridSpan w:val="5"/>
            <w:shd w:val="clear" w:color="auto" w:fill="BFBFBF" w:themeFill="background1" w:themeFillShade="BF"/>
          </w:tcPr>
          <w:p w:rsidR="003F70D4" w:rsidRPr="000F78B3" w:rsidRDefault="00352F0F" w:rsidP="000F78B3">
            <w:pPr>
              <w:rPr>
                <w:b/>
              </w:rPr>
            </w:pPr>
            <w:r w:rsidRPr="000F78B3">
              <w:rPr>
                <w:b/>
              </w:rPr>
              <w:t>2. Coastal/Mangrove forests</w:t>
            </w:r>
          </w:p>
        </w:tc>
      </w:tr>
      <w:tr w:rsidR="003F70D4" w:rsidRPr="00A11FD7" w:rsidTr="00172CB8">
        <w:trPr>
          <w:jc w:val="center"/>
        </w:trPr>
        <w:tc>
          <w:tcPr>
            <w:tcW w:w="8408" w:type="dxa"/>
            <w:gridSpan w:val="5"/>
            <w:shd w:val="clear" w:color="auto" w:fill="BFBFBF" w:themeFill="background1" w:themeFillShade="BF"/>
          </w:tcPr>
          <w:p w:rsidR="003F70D4" w:rsidRPr="000F78B3" w:rsidRDefault="003F70D4" w:rsidP="000F78B3">
            <w:pPr>
              <w:rPr>
                <w:b/>
              </w:rPr>
            </w:pPr>
            <w:r w:rsidRPr="000F78B3">
              <w:rPr>
                <w:b/>
              </w:rPr>
              <w:t>a. Degradation</w:t>
            </w:r>
          </w:p>
        </w:tc>
      </w:tr>
      <w:tr w:rsidR="003F70D4" w:rsidRPr="00A11FD7" w:rsidTr="00172CB8">
        <w:trPr>
          <w:jc w:val="center"/>
        </w:trPr>
        <w:tc>
          <w:tcPr>
            <w:tcW w:w="2020" w:type="dxa"/>
          </w:tcPr>
          <w:p w:rsidR="003F70D4" w:rsidRPr="00A11FD7" w:rsidRDefault="003F70D4" w:rsidP="000F78B3">
            <w:proofErr w:type="spellStart"/>
            <w:r w:rsidRPr="00A11FD7">
              <w:t>Fuelwood</w:t>
            </w:r>
            <w:proofErr w:type="spellEnd"/>
            <w:r w:rsidRPr="00A11FD7">
              <w:t xml:space="preserve"> collection</w:t>
            </w:r>
          </w:p>
        </w:tc>
        <w:tc>
          <w:tcPr>
            <w:tcW w:w="1937" w:type="dxa"/>
          </w:tcPr>
          <w:p w:rsidR="003F70D4" w:rsidRPr="00A11FD7" w:rsidDel="003F70D4"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0F78B3" w:rsidRPr="00A11FD7" w:rsidTr="00172CB8">
        <w:trPr>
          <w:jc w:val="center"/>
        </w:trPr>
        <w:tc>
          <w:tcPr>
            <w:tcW w:w="2020" w:type="dxa"/>
          </w:tcPr>
          <w:p w:rsidR="000F78B3" w:rsidRPr="00A11FD7" w:rsidRDefault="000F78B3" w:rsidP="000F78B3">
            <w:r>
              <w:t xml:space="preserve">Pollution (oil spills, </w:t>
            </w:r>
            <w:proofErr w:type="spellStart"/>
            <w:r>
              <w:t>etc</w:t>
            </w:r>
            <w:proofErr w:type="spellEnd"/>
            <w:r>
              <w:t>)</w:t>
            </w:r>
          </w:p>
        </w:tc>
        <w:tc>
          <w:tcPr>
            <w:tcW w:w="1937" w:type="dxa"/>
          </w:tcPr>
          <w:p w:rsidR="000F78B3" w:rsidRPr="00A11FD7" w:rsidDel="003F70D4" w:rsidRDefault="000F78B3" w:rsidP="00D4186D">
            <w:pPr>
              <w:jc w:val="both"/>
            </w:pPr>
          </w:p>
        </w:tc>
        <w:tc>
          <w:tcPr>
            <w:tcW w:w="1338" w:type="dxa"/>
          </w:tcPr>
          <w:p w:rsidR="000F78B3" w:rsidRPr="00A11FD7" w:rsidRDefault="000F78B3" w:rsidP="00D4186D">
            <w:pPr>
              <w:jc w:val="both"/>
            </w:pPr>
          </w:p>
        </w:tc>
        <w:tc>
          <w:tcPr>
            <w:tcW w:w="1145" w:type="dxa"/>
          </w:tcPr>
          <w:p w:rsidR="000F78B3" w:rsidRPr="00A11FD7" w:rsidRDefault="000F78B3" w:rsidP="00D4186D">
            <w:pPr>
              <w:jc w:val="both"/>
            </w:pPr>
          </w:p>
        </w:tc>
        <w:tc>
          <w:tcPr>
            <w:tcW w:w="1968" w:type="dxa"/>
          </w:tcPr>
          <w:p w:rsidR="000F78B3" w:rsidRPr="00A11FD7" w:rsidRDefault="000F78B3" w:rsidP="00D4186D">
            <w:pPr>
              <w:jc w:val="both"/>
            </w:pPr>
          </w:p>
        </w:tc>
      </w:tr>
      <w:tr w:rsidR="003F70D4" w:rsidRPr="00A11FD7" w:rsidTr="00172CB8">
        <w:trPr>
          <w:jc w:val="center"/>
        </w:trPr>
        <w:tc>
          <w:tcPr>
            <w:tcW w:w="2020" w:type="dxa"/>
          </w:tcPr>
          <w:p w:rsidR="003F70D4" w:rsidRPr="00A11FD7" w:rsidRDefault="003F70D4" w:rsidP="000F78B3">
            <w:r w:rsidRPr="00A11FD7">
              <w:t>Other mangrove product collection</w:t>
            </w:r>
          </w:p>
        </w:tc>
        <w:tc>
          <w:tcPr>
            <w:tcW w:w="1937" w:type="dxa"/>
          </w:tcPr>
          <w:p w:rsidR="003F70D4" w:rsidRPr="00A11FD7" w:rsidDel="003F70D4"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8408" w:type="dxa"/>
            <w:gridSpan w:val="5"/>
            <w:shd w:val="clear" w:color="auto" w:fill="BFBFBF" w:themeFill="background1" w:themeFillShade="BF"/>
          </w:tcPr>
          <w:p w:rsidR="003F70D4" w:rsidRPr="000F78B3" w:rsidRDefault="003F70D4" w:rsidP="000F78B3">
            <w:pPr>
              <w:rPr>
                <w:b/>
              </w:rPr>
            </w:pPr>
            <w:r w:rsidRPr="000F78B3">
              <w:rPr>
                <w:b/>
              </w:rPr>
              <w:t>b. Deforestation</w:t>
            </w:r>
          </w:p>
        </w:tc>
      </w:tr>
      <w:tr w:rsidR="003F70D4" w:rsidRPr="00A11FD7" w:rsidTr="00172CB8">
        <w:trPr>
          <w:jc w:val="center"/>
        </w:trPr>
        <w:tc>
          <w:tcPr>
            <w:tcW w:w="2020" w:type="dxa"/>
          </w:tcPr>
          <w:p w:rsidR="003F70D4" w:rsidRPr="00A11FD7" w:rsidRDefault="003F70D4" w:rsidP="000F78B3">
            <w:r w:rsidRPr="00A11FD7">
              <w:t>Agriculture</w:t>
            </w:r>
          </w:p>
        </w:tc>
        <w:tc>
          <w:tcPr>
            <w:tcW w:w="1937" w:type="dxa"/>
          </w:tcPr>
          <w:p w:rsidR="003F70D4" w:rsidRPr="00A11FD7" w:rsidDel="003F70D4"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3F70D4" w:rsidRPr="00A11FD7" w:rsidTr="00172CB8">
        <w:trPr>
          <w:jc w:val="center"/>
        </w:trPr>
        <w:tc>
          <w:tcPr>
            <w:tcW w:w="2020" w:type="dxa"/>
          </w:tcPr>
          <w:p w:rsidR="003F70D4" w:rsidRPr="00A11FD7" w:rsidRDefault="003F70D4" w:rsidP="000F78B3">
            <w:r w:rsidRPr="00A11FD7">
              <w:t>Aquaculture</w:t>
            </w:r>
          </w:p>
        </w:tc>
        <w:tc>
          <w:tcPr>
            <w:tcW w:w="1937" w:type="dxa"/>
          </w:tcPr>
          <w:p w:rsidR="003F70D4" w:rsidRPr="00A11FD7" w:rsidDel="003F70D4"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r w:rsidR="00ED023E" w:rsidRPr="00A11FD7" w:rsidTr="00172CB8">
        <w:trPr>
          <w:jc w:val="center"/>
        </w:trPr>
        <w:tc>
          <w:tcPr>
            <w:tcW w:w="2020" w:type="dxa"/>
          </w:tcPr>
          <w:p w:rsidR="00ED023E" w:rsidRDefault="00ED023E" w:rsidP="000F78B3">
            <w:r w:rsidRPr="00A11FD7">
              <w:t>Urban expansion</w:t>
            </w:r>
          </w:p>
        </w:tc>
        <w:tc>
          <w:tcPr>
            <w:tcW w:w="1937" w:type="dxa"/>
          </w:tcPr>
          <w:p w:rsidR="00ED023E" w:rsidRPr="00A11FD7" w:rsidDel="003F70D4" w:rsidRDefault="00ED023E" w:rsidP="00D4186D">
            <w:pPr>
              <w:jc w:val="both"/>
            </w:pPr>
          </w:p>
        </w:tc>
        <w:tc>
          <w:tcPr>
            <w:tcW w:w="1338" w:type="dxa"/>
          </w:tcPr>
          <w:p w:rsidR="00ED023E" w:rsidRPr="00A11FD7" w:rsidRDefault="00ED023E" w:rsidP="00D4186D">
            <w:pPr>
              <w:jc w:val="both"/>
            </w:pPr>
          </w:p>
        </w:tc>
        <w:tc>
          <w:tcPr>
            <w:tcW w:w="1145" w:type="dxa"/>
          </w:tcPr>
          <w:p w:rsidR="00ED023E" w:rsidRPr="00A11FD7" w:rsidRDefault="00ED023E" w:rsidP="00D4186D">
            <w:pPr>
              <w:jc w:val="both"/>
            </w:pPr>
          </w:p>
        </w:tc>
        <w:tc>
          <w:tcPr>
            <w:tcW w:w="1968" w:type="dxa"/>
          </w:tcPr>
          <w:p w:rsidR="00ED023E" w:rsidRPr="00A11FD7" w:rsidRDefault="00ED023E" w:rsidP="00D4186D">
            <w:pPr>
              <w:jc w:val="both"/>
            </w:pPr>
          </w:p>
        </w:tc>
      </w:tr>
      <w:tr w:rsidR="003F70D4" w:rsidRPr="00A11FD7" w:rsidTr="00172CB8">
        <w:trPr>
          <w:jc w:val="center"/>
        </w:trPr>
        <w:tc>
          <w:tcPr>
            <w:tcW w:w="2020" w:type="dxa"/>
          </w:tcPr>
          <w:p w:rsidR="003F70D4" w:rsidRPr="00A11FD7" w:rsidRDefault="000F78B3" w:rsidP="000F78B3">
            <w:r>
              <w:t xml:space="preserve">Infrastructure </w:t>
            </w:r>
          </w:p>
        </w:tc>
        <w:tc>
          <w:tcPr>
            <w:tcW w:w="1937" w:type="dxa"/>
          </w:tcPr>
          <w:p w:rsidR="003F70D4" w:rsidRPr="00A11FD7" w:rsidDel="003F70D4" w:rsidRDefault="003F70D4" w:rsidP="00D4186D">
            <w:pPr>
              <w:jc w:val="both"/>
            </w:pPr>
          </w:p>
        </w:tc>
        <w:tc>
          <w:tcPr>
            <w:tcW w:w="1338" w:type="dxa"/>
          </w:tcPr>
          <w:p w:rsidR="003F70D4" w:rsidRPr="00A11FD7" w:rsidRDefault="003F70D4" w:rsidP="00D4186D">
            <w:pPr>
              <w:jc w:val="both"/>
            </w:pPr>
          </w:p>
        </w:tc>
        <w:tc>
          <w:tcPr>
            <w:tcW w:w="1145" w:type="dxa"/>
          </w:tcPr>
          <w:p w:rsidR="003F70D4" w:rsidRPr="00A11FD7" w:rsidRDefault="003F70D4" w:rsidP="00D4186D">
            <w:pPr>
              <w:jc w:val="both"/>
            </w:pPr>
          </w:p>
        </w:tc>
        <w:tc>
          <w:tcPr>
            <w:tcW w:w="1968" w:type="dxa"/>
          </w:tcPr>
          <w:p w:rsidR="003F70D4" w:rsidRPr="00A11FD7" w:rsidRDefault="003F70D4" w:rsidP="00D4186D">
            <w:pPr>
              <w:jc w:val="both"/>
            </w:pPr>
          </w:p>
        </w:tc>
      </w:tr>
    </w:tbl>
    <w:p w:rsidR="009E7681" w:rsidRPr="00A11FD7" w:rsidRDefault="009E7681" w:rsidP="00D4186D">
      <w:pPr>
        <w:jc w:val="both"/>
      </w:pPr>
    </w:p>
    <w:p w:rsidR="00D01189" w:rsidRPr="00172CB8" w:rsidRDefault="00D01189" w:rsidP="00924E71">
      <w:pPr>
        <w:pStyle w:val="Heading4"/>
        <w:numPr>
          <w:ilvl w:val="0"/>
          <w:numId w:val="0"/>
        </w:numPr>
        <w:ind w:left="864" w:hanging="864"/>
      </w:pPr>
      <w:r w:rsidRPr="00172CB8">
        <w:t xml:space="preserve">Review of current strategies </w:t>
      </w:r>
    </w:p>
    <w:p w:rsidR="00D01189" w:rsidRPr="00A11FD7" w:rsidRDefault="00D01189" w:rsidP="00D4186D">
      <w:pPr>
        <w:jc w:val="both"/>
      </w:pPr>
      <w:r w:rsidRPr="00A11FD7">
        <w:t>Identify existing strategies that are being used to address deforestation and forest degradation</w:t>
      </w:r>
      <w:r w:rsidR="003F70D4" w:rsidRPr="00A11FD7">
        <w:t xml:space="preserve"> and the functional </w:t>
      </w:r>
      <w:r w:rsidR="00743D7C">
        <w:t xml:space="preserve">as well as technical </w:t>
      </w:r>
      <w:r w:rsidR="003F70D4" w:rsidRPr="00A11FD7">
        <w:t>capacities required to implement these strategies</w:t>
      </w:r>
      <w:r w:rsidRPr="00A11FD7">
        <w:t>.  Identify:</w:t>
      </w:r>
    </w:p>
    <w:p w:rsidR="003F70D4" w:rsidRPr="00A11FD7" w:rsidRDefault="003F70D4" w:rsidP="00172CB8">
      <w:pPr>
        <w:pStyle w:val="ListParagraph"/>
        <w:numPr>
          <w:ilvl w:val="0"/>
          <w:numId w:val="35"/>
        </w:numPr>
        <w:jc w:val="both"/>
      </w:pPr>
      <w:r w:rsidRPr="00A11FD7">
        <w:t xml:space="preserve">When the existing strategy was </w:t>
      </w:r>
      <w:r w:rsidR="00291BF6" w:rsidRPr="00A11FD7">
        <w:t>initiated</w:t>
      </w:r>
      <w:r w:rsidRPr="00A11FD7">
        <w:t>, and under which legal/policy guidelines</w:t>
      </w:r>
    </w:p>
    <w:p w:rsidR="003F70D4" w:rsidRPr="00A11FD7" w:rsidRDefault="003F70D4" w:rsidP="00172CB8">
      <w:pPr>
        <w:pStyle w:val="ListParagraph"/>
        <w:numPr>
          <w:ilvl w:val="0"/>
          <w:numId w:val="35"/>
        </w:numPr>
        <w:jc w:val="both"/>
      </w:pPr>
      <w:r w:rsidRPr="00A11FD7">
        <w:t>How each strategy is funded</w:t>
      </w:r>
    </w:p>
    <w:p w:rsidR="003F70D4" w:rsidRPr="00A11FD7" w:rsidRDefault="003F70D4" w:rsidP="00172CB8">
      <w:pPr>
        <w:pStyle w:val="ListParagraph"/>
        <w:numPr>
          <w:ilvl w:val="0"/>
          <w:numId w:val="35"/>
        </w:numPr>
        <w:jc w:val="both"/>
      </w:pPr>
      <w:r w:rsidRPr="00A11FD7">
        <w:t>Results obtained to date</w:t>
      </w:r>
    </w:p>
    <w:p w:rsidR="00172CB8" w:rsidRDefault="003F70D4" w:rsidP="00172CB8">
      <w:pPr>
        <w:pStyle w:val="ListParagraph"/>
        <w:numPr>
          <w:ilvl w:val="0"/>
          <w:numId w:val="35"/>
        </w:numPr>
        <w:jc w:val="both"/>
      </w:pPr>
      <w:r w:rsidRPr="00A11FD7">
        <w:t>Constraints which may be limiting effectiveness of each current strategy</w:t>
      </w:r>
    </w:p>
    <w:p w:rsidR="001002C2" w:rsidRPr="00A11FD7" w:rsidRDefault="001002C2" w:rsidP="00172CB8">
      <w:pPr>
        <w:pStyle w:val="Heading4"/>
        <w:numPr>
          <w:ilvl w:val="0"/>
          <w:numId w:val="0"/>
        </w:numPr>
        <w:ind w:left="864" w:hanging="864"/>
      </w:pPr>
      <w:r w:rsidRPr="00A11FD7">
        <w:t xml:space="preserve">Identification of potential </w:t>
      </w:r>
      <w:proofErr w:type="spellStart"/>
      <w:r w:rsidRPr="00A11FD7">
        <w:t>REDD</w:t>
      </w:r>
      <w:proofErr w:type="spellEnd"/>
      <w:r w:rsidRPr="00A11FD7">
        <w:t xml:space="preserve">+ strategies, policies and measures </w:t>
      </w:r>
    </w:p>
    <w:p w:rsidR="00291BF6" w:rsidRPr="00A11FD7" w:rsidRDefault="00291BF6" w:rsidP="00D4186D">
      <w:pPr>
        <w:jc w:val="both"/>
      </w:pPr>
    </w:p>
    <w:p w:rsidR="001002C2" w:rsidRPr="00A11FD7" w:rsidRDefault="001002C2" w:rsidP="00D4186D">
      <w:pPr>
        <w:jc w:val="both"/>
      </w:pPr>
      <w:r w:rsidRPr="00A11FD7">
        <w:t xml:space="preserve">In identifying potential </w:t>
      </w:r>
      <w:proofErr w:type="spellStart"/>
      <w:r w:rsidRPr="00A11FD7">
        <w:t>REDD</w:t>
      </w:r>
      <w:proofErr w:type="spellEnd"/>
      <w:r w:rsidRPr="00A11FD7">
        <w:t>+ strategies, policies and measures, the following points should be considered:</w:t>
      </w:r>
    </w:p>
    <w:p w:rsidR="001002C2" w:rsidRPr="00A11FD7" w:rsidRDefault="001002C2" w:rsidP="00D4186D">
      <w:pPr>
        <w:jc w:val="both"/>
      </w:pPr>
    </w:p>
    <w:p w:rsidR="001002C2" w:rsidRPr="00A11FD7" w:rsidRDefault="001002C2" w:rsidP="00172CB8">
      <w:pPr>
        <w:pStyle w:val="ListParagraph"/>
        <w:numPr>
          <w:ilvl w:val="0"/>
          <w:numId w:val="36"/>
        </w:numPr>
        <w:jc w:val="both"/>
      </w:pPr>
      <w:r w:rsidRPr="00A11FD7">
        <w:t xml:space="preserve">A mix of incentives, disincentives and enabling measures, under a holistic </w:t>
      </w:r>
      <w:proofErr w:type="spellStart"/>
      <w:r w:rsidRPr="00A11FD7">
        <w:t>REDD</w:t>
      </w:r>
      <w:proofErr w:type="spellEnd"/>
      <w:r w:rsidRPr="00A11FD7">
        <w:t>+ driver intervention package, aimed at drivers and underlying causes, will provide greatest leverage to affect drivers.</w:t>
      </w:r>
    </w:p>
    <w:p w:rsidR="001002C2" w:rsidRPr="00A11FD7" w:rsidRDefault="001002C2" w:rsidP="00172CB8">
      <w:pPr>
        <w:pStyle w:val="ListParagraph"/>
        <w:numPr>
          <w:ilvl w:val="0"/>
          <w:numId w:val="36"/>
        </w:numPr>
        <w:jc w:val="both"/>
      </w:pPr>
      <w:r w:rsidRPr="00A11FD7">
        <w:t xml:space="preserve">In order for </w:t>
      </w:r>
      <w:proofErr w:type="spellStart"/>
      <w:r w:rsidRPr="00A11FD7">
        <w:t>REDD</w:t>
      </w:r>
      <w:proofErr w:type="spellEnd"/>
      <w:r w:rsidRPr="00A11FD7">
        <w:t>+ to be successful, incentives, disincentives and enabling measures will need to reach the actors responsible for causing and/or addressing the drivers of deforestation and at the appropriate scale.</w:t>
      </w:r>
    </w:p>
    <w:p w:rsidR="001002C2" w:rsidRPr="00A11FD7" w:rsidRDefault="001002C2" w:rsidP="00172CB8">
      <w:pPr>
        <w:pStyle w:val="ListParagraph"/>
        <w:numPr>
          <w:ilvl w:val="0"/>
          <w:numId w:val="36"/>
        </w:numPr>
        <w:jc w:val="both"/>
      </w:pPr>
      <w:r w:rsidRPr="00A11FD7">
        <w:t>When demand- and supply-side interventions are mutually reinforcing, there may be greater chance to affect driver activity.</w:t>
      </w:r>
    </w:p>
    <w:p w:rsidR="001002C2" w:rsidRPr="00A11FD7" w:rsidRDefault="001002C2" w:rsidP="00172CB8">
      <w:pPr>
        <w:pStyle w:val="ListParagraph"/>
        <w:numPr>
          <w:ilvl w:val="0"/>
          <w:numId w:val="36"/>
        </w:numPr>
        <w:jc w:val="both"/>
      </w:pPr>
      <w:r w:rsidRPr="00A11FD7">
        <w:t>Coordinated efforts within entire sectors, spanning multiple scales and engaging key actors, aided by supportive government policies and financial incentives, hold most promise in reducing deforestation and degradation pressures.</w:t>
      </w:r>
    </w:p>
    <w:p w:rsidR="001002C2" w:rsidRPr="00A11FD7" w:rsidRDefault="001002C2" w:rsidP="00D4186D">
      <w:pPr>
        <w:jc w:val="both"/>
      </w:pPr>
    </w:p>
    <w:p w:rsidR="000528DE" w:rsidRPr="00A11FD7" w:rsidRDefault="001002C2" w:rsidP="00D4186D">
      <w:pPr>
        <w:jc w:val="both"/>
      </w:pPr>
      <w:r w:rsidRPr="00A11FD7">
        <w:t xml:space="preserve">Ultimately, the National </w:t>
      </w:r>
      <w:proofErr w:type="spellStart"/>
      <w:r w:rsidRPr="00A11FD7">
        <w:t>REDD</w:t>
      </w:r>
      <w:proofErr w:type="spellEnd"/>
      <w:r w:rsidRPr="00A11FD7">
        <w:t xml:space="preserve">+ </w:t>
      </w:r>
      <w:r w:rsidR="000528DE">
        <w:t xml:space="preserve">Strategy/Policy </w:t>
      </w:r>
      <w:r w:rsidRPr="00A11FD7">
        <w:t xml:space="preserve">will define specific policies and measures to be applied to address each driver and underlying cause.  For the purpose of the </w:t>
      </w:r>
      <w:proofErr w:type="spellStart"/>
      <w:r w:rsidRPr="00A11FD7">
        <w:t>REDD</w:t>
      </w:r>
      <w:proofErr w:type="spellEnd"/>
      <w:r w:rsidRPr="00A11FD7">
        <w:t>+ Readiness Roadmap, the Working Group needs to identify activities to be undertaken to elaborate those policies and measures; it is therefore critical that the Working Group also think through, specifically, any capacity development activities which would need to be undertaken in order to elaborate the policies and measures, taking care to consider not only individual level capacity development needs (e.g. trainings and workshops; individual skills building and learning activities) but also capacity needs within and between organizations/institutions th</w:t>
      </w:r>
      <w:r w:rsidR="00AF749B" w:rsidRPr="00A11FD7">
        <w:t xml:space="preserve">at will have a role in </w:t>
      </w:r>
      <w:proofErr w:type="spellStart"/>
      <w:r w:rsidR="00AF749B" w:rsidRPr="00A11FD7">
        <w:t>REDD</w:t>
      </w:r>
      <w:proofErr w:type="spellEnd"/>
      <w:r w:rsidR="00AF749B" w:rsidRPr="00A11FD7">
        <w:t>+ in Sol</w:t>
      </w:r>
      <w:r w:rsidR="000528DE">
        <w:t>omon Island.</w:t>
      </w:r>
    </w:p>
    <w:p w:rsidR="001002C2" w:rsidRPr="00A11FD7" w:rsidRDefault="001002C2" w:rsidP="00D4186D">
      <w:pPr>
        <w:jc w:val="both"/>
      </w:pPr>
    </w:p>
    <w:p w:rsidR="001002C2" w:rsidRPr="00A11FD7" w:rsidRDefault="001002C2" w:rsidP="00D4186D">
      <w:pPr>
        <w:jc w:val="both"/>
      </w:pPr>
      <w:r w:rsidRPr="00A11FD7">
        <w:t xml:space="preserve">Therefore, the Working Group should prepare a Table similar to that shown below. </w:t>
      </w:r>
    </w:p>
    <w:p w:rsidR="000528DE" w:rsidRDefault="000528DE" w:rsidP="000528DE">
      <w:pPr>
        <w:jc w:val="both"/>
      </w:pPr>
    </w:p>
    <w:p w:rsidR="000528DE" w:rsidRPr="00A11FD7" w:rsidRDefault="000528DE" w:rsidP="000528DE">
      <w:pPr>
        <w:jc w:val="both"/>
      </w:pPr>
      <w:r w:rsidRPr="00743D7C">
        <w:t xml:space="preserve">Consider, especially, land tenure security, customary </w:t>
      </w:r>
      <w:r>
        <w:t>land</w:t>
      </w:r>
      <w:r w:rsidRPr="00743D7C">
        <w:t xml:space="preserve"> coordination and collaboration, adequate information systems for decision-making, integration of forest and land-use planning with socio-economic development planning, the value of good governance, agricultural intensification</w:t>
      </w:r>
      <w:r>
        <w:t>,</w:t>
      </w:r>
      <w:r w:rsidRPr="00743D7C">
        <w:t xml:space="preserve">  cross-</w:t>
      </w:r>
      <w:proofErr w:type="spellStart"/>
      <w:r w:rsidRPr="00743D7C">
        <w:t>sectoral</w:t>
      </w:r>
      <w:proofErr w:type="spellEnd"/>
      <w:r w:rsidRPr="00743D7C">
        <w:t xml:space="preserve"> commitments</w:t>
      </w:r>
      <w:r>
        <w:t>,</w:t>
      </w:r>
      <w:r w:rsidRPr="00743D7C">
        <w:t xml:space="preserve"> indirect land-use change and foreign direct investment as </w:t>
      </w:r>
      <w:r>
        <w:t>potential strategies</w:t>
      </w:r>
      <w:r w:rsidRPr="00743D7C">
        <w:t>, and challenges of leakage</w:t>
      </w:r>
      <w:r>
        <w:t>.</w:t>
      </w:r>
    </w:p>
    <w:p w:rsidR="00F4269E" w:rsidRPr="00A11FD7" w:rsidRDefault="00F4269E" w:rsidP="00D4186D">
      <w:pPr>
        <w:jc w:val="both"/>
      </w:pPr>
    </w:p>
    <w:tbl>
      <w:tblPr>
        <w:tblStyle w:val="TableGrid"/>
        <w:tblW w:w="8515" w:type="dxa"/>
        <w:tblLayout w:type="fixed"/>
        <w:tblLook w:val="04A0" w:firstRow="1" w:lastRow="0" w:firstColumn="1" w:lastColumn="0" w:noHBand="0" w:noVBand="1"/>
      </w:tblPr>
      <w:tblGrid>
        <w:gridCol w:w="1298"/>
        <w:gridCol w:w="1504"/>
        <w:gridCol w:w="1559"/>
        <w:gridCol w:w="1417"/>
        <w:gridCol w:w="2737"/>
      </w:tblGrid>
      <w:tr w:rsidR="001002C2" w:rsidRPr="00A11FD7" w:rsidTr="001002C2">
        <w:tc>
          <w:tcPr>
            <w:tcW w:w="1298" w:type="dxa"/>
            <w:shd w:val="clear" w:color="auto" w:fill="DAEEF3" w:themeFill="accent5" w:themeFillTint="33"/>
          </w:tcPr>
          <w:p w:rsidR="001002C2" w:rsidRPr="000528DE" w:rsidRDefault="001002C2" w:rsidP="000528DE">
            <w:pPr>
              <w:jc w:val="center"/>
              <w:rPr>
                <w:b/>
              </w:rPr>
            </w:pPr>
            <w:r w:rsidRPr="000528DE">
              <w:rPr>
                <w:b/>
              </w:rPr>
              <w:t>Driver</w:t>
            </w:r>
          </w:p>
        </w:tc>
        <w:tc>
          <w:tcPr>
            <w:tcW w:w="1504" w:type="dxa"/>
            <w:shd w:val="clear" w:color="auto" w:fill="DAEEF3" w:themeFill="accent5" w:themeFillTint="33"/>
          </w:tcPr>
          <w:p w:rsidR="001002C2" w:rsidRPr="000528DE" w:rsidRDefault="001002C2" w:rsidP="000528DE">
            <w:pPr>
              <w:jc w:val="center"/>
              <w:rPr>
                <w:b/>
              </w:rPr>
            </w:pPr>
            <w:r w:rsidRPr="000528DE">
              <w:rPr>
                <w:b/>
              </w:rPr>
              <w:t>Direct cause</w:t>
            </w:r>
          </w:p>
        </w:tc>
        <w:tc>
          <w:tcPr>
            <w:tcW w:w="1559" w:type="dxa"/>
            <w:shd w:val="clear" w:color="auto" w:fill="DAEEF3" w:themeFill="accent5" w:themeFillTint="33"/>
          </w:tcPr>
          <w:p w:rsidR="001002C2" w:rsidRPr="000528DE" w:rsidRDefault="001002C2" w:rsidP="000528DE">
            <w:pPr>
              <w:jc w:val="center"/>
              <w:rPr>
                <w:b/>
              </w:rPr>
            </w:pPr>
            <w:r w:rsidRPr="000528DE">
              <w:rPr>
                <w:b/>
              </w:rPr>
              <w:t>Underlying cause</w:t>
            </w:r>
          </w:p>
        </w:tc>
        <w:tc>
          <w:tcPr>
            <w:tcW w:w="1417" w:type="dxa"/>
            <w:shd w:val="clear" w:color="auto" w:fill="DAEEF3" w:themeFill="accent5" w:themeFillTint="33"/>
          </w:tcPr>
          <w:p w:rsidR="001002C2" w:rsidRPr="000528DE" w:rsidRDefault="001002C2" w:rsidP="000528DE">
            <w:pPr>
              <w:jc w:val="center"/>
              <w:rPr>
                <w:b/>
              </w:rPr>
            </w:pPr>
            <w:r w:rsidRPr="000528DE">
              <w:rPr>
                <w:b/>
              </w:rPr>
              <w:t xml:space="preserve">Possible </w:t>
            </w:r>
            <w:proofErr w:type="spellStart"/>
            <w:r w:rsidRPr="000528DE">
              <w:rPr>
                <w:b/>
              </w:rPr>
              <w:t>REDD</w:t>
            </w:r>
            <w:proofErr w:type="spellEnd"/>
            <w:r w:rsidRPr="000528DE">
              <w:rPr>
                <w:b/>
              </w:rPr>
              <w:t>+ strategy</w:t>
            </w:r>
          </w:p>
        </w:tc>
        <w:tc>
          <w:tcPr>
            <w:tcW w:w="2737" w:type="dxa"/>
            <w:shd w:val="clear" w:color="auto" w:fill="DAEEF3" w:themeFill="accent5" w:themeFillTint="33"/>
          </w:tcPr>
          <w:p w:rsidR="001002C2" w:rsidRPr="000528DE" w:rsidRDefault="001002C2" w:rsidP="000528DE">
            <w:pPr>
              <w:jc w:val="center"/>
              <w:rPr>
                <w:b/>
              </w:rPr>
            </w:pPr>
            <w:r w:rsidRPr="000528DE">
              <w:rPr>
                <w:b/>
              </w:rPr>
              <w:t>Action needed to elaborate policies and measures to implement strategy</w:t>
            </w:r>
          </w:p>
        </w:tc>
      </w:tr>
      <w:tr w:rsidR="001002C2" w:rsidRPr="00A11FD7" w:rsidTr="001002C2">
        <w:tc>
          <w:tcPr>
            <w:tcW w:w="1298" w:type="dxa"/>
          </w:tcPr>
          <w:p w:rsidR="001002C2" w:rsidRPr="00A11FD7" w:rsidRDefault="001002C2" w:rsidP="00D4186D">
            <w:pPr>
              <w:jc w:val="both"/>
            </w:pPr>
          </w:p>
        </w:tc>
        <w:tc>
          <w:tcPr>
            <w:tcW w:w="1504" w:type="dxa"/>
          </w:tcPr>
          <w:p w:rsidR="001002C2" w:rsidRPr="00A11FD7" w:rsidRDefault="001002C2" w:rsidP="00D4186D">
            <w:pPr>
              <w:jc w:val="both"/>
            </w:pPr>
          </w:p>
        </w:tc>
        <w:tc>
          <w:tcPr>
            <w:tcW w:w="1559" w:type="dxa"/>
          </w:tcPr>
          <w:p w:rsidR="001002C2" w:rsidRPr="00A11FD7" w:rsidRDefault="001002C2" w:rsidP="00D4186D">
            <w:pPr>
              <w:jc w:val="both"/>
            </w:pPr>
          </w:p>
        </w:tc>
        <w:tc>
          <w:tcPr>
            <w:tcW w:w="1417" w:type="dxa"/>
          </w:tcPr>
          <w:p w:rsidR="001002C2" w:rsidRPr="00A11FD7" w:rsidRDefault="001002C2" w:rsidP="00D4186D">
            <w:pPr>
              <w:jc w:val="both"/>
            </w:pPr>
          </w:p>
        </w:tc>
        <w:tc>
          <w:tcPr>
            <w:tcW w:w="2737" w:type="dxa"/>
          </w:tcPr>
          <w:p w:rsidR="001002C2" w:rsidRPr="00A11FD7" w:rsidRDefault="001002C2" w:rsidP="00D4186D">
            <w:pPr>
              <w:jc w:val="both"/>
            </w:pPr>
          </w:p>
        </w:tc>
      </w:tr>
      <w:tr w:rsidR="001002C2" w:rsidRPr="00A11FD7" w:rsidTr="001002C2">
        <w:tc>
          <w:tcPr>
            <w:tcW w:w="1298" w:type="dxa"/>
          </w:tcPr>
          <w:p w:rsidR="001002C2" w:rsidRPr="00A11FD7" w:rsidRDefault="001002C2" w:rsidP="00D4186D">
            <w:pPr>
              <w:jc w:val="both"/>
            </w:pPr>
          </w:p>
        </w:tc>
        <w:tc>
          <w:tcPr>
            <w:tcW w:w="1504" w:type="dxa"/>
          </w:tcPr>
          <w:p w:rsidR="001002C2" w:rsidRPr="00A11FD7" w:rsidRDefault="001002C2" w:rsidP="00D4186D">
            <w:pPr>
              <w:jc w:val="both"/>
            </w:pPr>
          </w:p>
        </w:tc>
        <w:tc>
          <w:tcPr>
            <w:tcW w:w="1559" w:type="dxa"/>
          </w:tcPr>
          <w:p w:rsidR="001002C2" w:rsidRPr="00A11FD7" w:rsidRDefault="001002C2" w:rsidP="00D4186D">
            <w:pPr>
              <w:jc w:val="both"/>
            </w:pPr>
          </w:p>
        </w:tc>
        <w:tc>
          <w:tcPr>
            <w:tcW w:w="1417" w:type="dxa"/>
          </w:tcPr>
          <w:p w:rsidR="001002C2" w:rsidRPr="00A11FD7" w:rsidRDefault="001002C2" w:rsidP="00D4186D">
            <w:pPr>
              <w:jc w:val="both"/>
            </w:pPr>
          </w:p>
        </w:tc>
        <w:tc>
          <w:tcPr>
            <w:tcW w:w="2737" w:type="dxa"/>
          </w:tcPr>
          <w:p w:rsidR="001002C2" w:rsidRPr="00A11FD7" w:rsidRDefault="001002C2" w:rsidP="00D4186D">
            <w:pPr>
              <w:jc w:val="both"/>
            </w:pPr>
          </w:p>
        </w:tc>
      </w:tr>
      <w:tr w:rsidR="001002C2" w:rsidRPr="00A11FD7" w:rsidTr="001002C2">
        <w:tc>
          <w:tcPr>
            <w:tcW w:w="1298" w:type="dxa"/>
          </w:tcPr>
          <w:p w:rsidR="001002C2" w:rsidRPr="00A11FD7" w:rsidRDefault="001002C2" w:rsidP="00D4186D">
            <w:pPr>
              <w:jc w:val="both"/>
            </w:pPr>
          </w:p>
        </w:tc>
        <w:tc>
          <w:tcPr>
            <w:tcW w:w="1504" w:type="dxa"/>
          </w:tcPr>
          <w:p w:rsidR="001002C2" w:rsidRPr="00A11FD7" w:rsidRDefault="001002C2" w:rsidP="00D4186D">
            <w:pPr>
              <w:jc w:val="both"/>
            </w:pPr>
          </w:p>
        </w:tc>
        <w:tc>
          <w:tcPr>
            <w:tcW w:w="1559" w:type="dxa"/>
          </w:tcPr>
          <w:p w:rsidR="001002C2" w:rsidRPr="00A11FD7" w:rsidRDefault="001002C2" w:rsidP="00D4186D">
            <w:pPr>
              <w:jc w:val="both"/>
            </w:pPr>
          </w:p>
        </w:tc>
        <w:tc>
          <w:tcPr>
            <w:tcW w:w="1417" w:type="dxa"/>
          </w:tcPr>
          <w:p w:rsidR="001002C2" w:rsidRPr="00A11FD7" w:rsidRDefault="001002C2" w:rsidP="00D4186D">
            <w:pPr>
              <w:jc w:val="both"/>
            </w:pPr>
          </w:p>
        </w:tc>
        <w:tc>
          <w:tcPr>
            <w:tcW w:w="2737" w:type="dxa"/>
          </w:tcPr>
          <w:p w:rsidR="001002C2" w:rsidRPr="00A11FD7" w:rsidRDefault="001002C2" w:rsidP="00D4186D">
            <w:pPr>
              <w:jc w:val="both"/>
            </w:pPr>
          </w:p>
        </w:tc>
      </w:tr>
      <w:tr w:rsidR="001002C2" w:rsidRPr="00A11FD7" w:rsidTr="001002C2">
        <w:tc>
          <w:tcPr>
            <w:tcW w:w="1298" w:type="dxa"/>
          </w:tcPr>
          <w:p w:rsidR="001002C2" w:rsidRPr="00A11FD7" w:rsidRDefault="001002C2" w:rsidP="00D4186D">
            <w:pPr>
              <w:jc w:val="both"/>
            </w:pPr>
          </w:p>
        </w:tc>
        <w:tc>
          <w:tcPr>
            <w:tcW w:w="1504" w:type="dxa"/>
          </w:tcPr>
          <w:p w:rsidR="001002C2" w:rsidRPr="00A11FD7" w:rsidRDefault="001002C2" w:rsidP="00D4186D">
            <w:pPr>
              <w:jc w:val="both"/>
            </w:pPr>
          </w:p>
        </w:tc>
        <w:tc>
          <w:tcPr>
            <w:tcW w:w="1559" w:type="dxa"/>
          </w:tcPr>
          <w:p w:rsidR="001002C2" w:rsidRPr="00A11FD7" w:rsidRDefault="001002C2" w:rsidP="00D4186D">
            <w:pPr>
              <w:jc w:val="both"/>
            </w:pPr>
          </w:p>
        </w:tc>
        <w:tc>
          <w:tcPr>
            <w:tcW w:w="1417" w:type="dxa"/>
          </w:tcPr>
          <w:p w:rsidR="001002C2" w:rsidRPr="00A11FD7" w:rsidRDefault="001002C2" w:rsidP="00D4186D">
            <w:pPr>
              <w:jc w:val="both"/>
            </w:pPr>
          </w:p>
        </w:tc>
        <w:tc>
          <w:tcPr>
            <w:tcW w:w="2737" w:type="dxa"/>
          </w:tcPr>
          <w:p w:rsidR="001002C2" w:rsidRPr="00A11FD7" w:rsidRDefault="001002C2" w:rsidP="00D4186D">
            <w:pPr>
              <w:jc w:val="both"/>
            </w:pPr>
          </w:p>
        </w:tc>
      </w:tr>
    </w:tbl>
    <w:p w:rsidR="005B2237" w:rsidRPr="00A11FD7" w:rsidRDefault="005B2237" w:rsidP="00D4186D">
      <w:pPr>
        <w:jc w:val="both"/>
      </w:pPr>
    </w:p>
    <w:p w:rsidR="00D01189" w:rsidRPr="003327CB" w:rsidRDefault="00D01189" w:rsidP="00D4186D">
      <w:pPr>
        <w:pStyle w:val="Heading3"/>
        <w:numPr>
          <w:ilvl w:val="0"/>
          <w:numId w:val="31"/>
        </w:numPr>
        <w:jc w:val="both"/>
        <w:rPr>
          <w:i w:val="0"/>
        </w:rPr>
      </w:pPr>
      <w:r w:rsidRPr="003327CB">
        <w:rPr>
          <w:i w:val="0"/>
        </w:rPr>
        <w:t>Implications of climate change</w:t>
      </w:r>
    </w:p>
    <w:p w:rsidR="00291BF6" w:rsidRPr="00A11FD7" w:rsidRDefault="00291BF6" w:rsidP="00D4186D">
      <w:pPr>
        <w:jc w:val="both"/>
      </w:pPr>
    </w:p>
    <w:p w:rsidR="00172CB8" w:rsidRDefault="005B2237" w:rsidP="00D4186D">
      <w:pPr>
        <w:jc w:val="both"/>
      </w:pPr>
      <w:r w:rsidRPr="00A11FD7">
        <w:t xml:space="preserve">Review the current climate models for </w:t>
      </w:r>
      <w:r w:rsidR="00797389" w:rsidRPr="00A11FD7">
        <w:t>the Solomon Islands</w:t>
      </w:r>
      <w:r w:rsidRPr="00A11FD7">
        <w:t xml:space="preserve"> and i</w:t>
      </w:r>
      <w:r w:rsidR="00CE60B0" w:rsidRPr="00A11FD7">
        <w:t xml:space="preserve">dentify the </w:t>
      </w:r>
      <w:r w:rsidR="001614FB" w:rsidRPr="00A11FD7">
        <w:t>implications of climate change for</w:t>
      </w:r>
      <w:r w:rsidR="00CE60B0" w:rsidRPr="00A11FD7">
        <w:t xml:space="preserve"> the forest sector </w:t>
      </w:r>
    </w:p>
    <w:p w:rsidR="00553C26" w:rsidRPr="00A11FD7" w:rsidRDefault="00553C26" w:rsidP="00172CB8">
      <w:pPr>
        <w:pStyle w:val="Heading4"/>
        <w:numPr>
          <w:ilvl w:val="0"/>
          <w:numId w:val="0"/>
        </w:numPr>
        <w:ind w:left="864" w:hanging="864"/>
      </w:pPr>
      <w:r w:rsidRPr="00A11FD7">
        <w:t xml:space="preserve">Enhancing </w:t>
      </w:r>
      <w:r w:rsidR="001C48F2" w:rsidRPr="00A11FD7">
        <w:t>forest biomass (</w:t>
      </w:r>
      <w:r w:rsidRPr="00A11FD7">
        <w:t>forest carbon stocks</w:t>
      </w:r>
      <w:r w:rsidR="001C48F2" w:rsidRPr="00A11FD7">
        <w:t>)</w:t>
      </w:r>
    </w:p>
    <w:p w:rsidR="00411E07" w:rsidRPr="00A11FD7" w:rsidRDefault="00AF749B" w:rsidP="00172CB8">
      <w:pPr>
        <w:pStyle w:val="ListParagraph"/>
        <w:numPr>
          <w:ilvl w:val="0"/>
          <w:numId w:val="37"/>
        </w:numPr>
        <w:jc w:val="both"/>
      </w:pPr>
      <w:r w:rsidRPr="00A11FD7">
        <w:t>Analyze</w:t>
      </w:r>
      <w:r w:rsidR="00411E07" w:rsidRPr="00A11FD7">
        <w:t xml:space="preserve"> the importance of enhancing </w:t>
      </w:r>
      <w:r w:rsidR="001C48F2" w:rsidRPr="00A11FD7">
        <w:t>biomass</w:t>
      </w:r>
      <w:r w:rsidR="00411E07" w:rsidRPr="00A11FD7">
        <w:t xml:space="preserve"> </w:t>
      </w:r>
      <w:r w:rsidR="001C48F2" w:rsidRPr="00A11FD7">
        <w:t xml:space="preserve">(forest carbon stocks) </w:t>
      </w:r>
      <w:r w:rsidR="00797389" w:rsidRPr="00A11FD7">
        <w:t>in the Solomon Islands</w:t>
      </w:r>
      <w:r w:rsidR="00411E07" w:rsidRPr="00A11FD7">
        <w:t xml:space="preserve">.  </w:t>
      </w:r>
    </w:p>
    <w:p w:rsidR="00411E07" w:rsidRPr="00A11FD7" w:rsidRDefault="00411E07" w:rsidP="00172CB8">
      <w:pPr>
        <w:pStyle w:val="ListParagraph"/>
        <w:numPr>
          <w:ilvl w:val="0"/>
          <w:numId w:val="37"/>
        </w:numPr>
        <w:jc w:val="both"/>
      </w:pPr>
      <w:r w:rsidRPr="00A11FD7">
        <w:t xml:space="preserve">Review </w:t>
      </w:r>
      <w:r w:rsidR="00797389" w:rsidRPr="00A11FD7">
        <w:t>Solomon Islands’</w:t>
      </w:r>
      <w:r w:rsidRPr="00A11FD7">
        <w:t xml:space="preserve"> past experience with enhancing forest </w:t>
      </w:r>
      <w:r w:rsidR="001C48F2" w:rsidRPr="00A11FD7">
        <w:t xml:space="preserve">biomass </w:t>
      </w:r>
      <w:r w:rsidRPr="00A11FD7">
        <w:t xml:space="preserve">in </w:t>
      </w:r>
      <w:r w:rsidR="00797389" w:rsidRPr="00A11FD7">
        <w:t>inland and mangrove</w:t>
      </w:r>
      <w:r w:rsidRPr="00A11FD7">
        <w:t xml:space="preserve"> forests.  Identify current </w:t>
      </w:r>
      <w:proofErr w:type="spellStart"/>
      <w:r w:rsidRPr="00A11FD7">
        <w:t>programmes</w:t>
      </w:r>
      <w:proofErr w:type="spellEnd"/>
      <w:r w:rsidRPr="00A11FD7">
        <w:t xml:space="preserve"> to </w:t>
      </w:r>
      <w:r w:rsidR="001C42CD" w:rsidRPr="00A11FD7">
        <w:t xml:space="preserve">enhance </w:t>
      </w:r>
      <w:r w:rsidR="001C48F2" w:rsidRPr="00A11FD7">
        <w:t>biomass</w:t>
      </w:r>
      <w:r w:rsidR="001C42CD" w:rsidRPr="00A11FD7">
        <w:t xml:space="preserve">, including their cost.  </w:t>
      </w:r>
    </w:p>
    <w:p w:rsidR="001C42CD" w:rsidRPr="00A11FD7" w:rsidRDefault="001C42CD" w:rsidP="00172CB8">
      <w:pPr>
        <w:pStyle w:val="ListParagraph"/>
        <w:numPr>
          <w:ilvl w:val="0"/>
          <w:numId w:val="37"/>
        </w:numPr>
        <w:jc w:val="both"/>
      </w:pPr>
      <w:r w:rsidRPr="00A11FD7">
        <w:t xml:space="preserve">Identify future </w:t>
      </w:r>
      <w:r w:rsidR="00553C26" w:rsidRPr="00A11FD7">
        <w:t xml:space="preserve">opportunities for </w:t>
      </w:r>
      <w:r w:rsidR="00411E07" w:rsidRPr="00A11FD7">
        <w:t xml:space="preserve">enhancing </w:t>
      </w:r>
      <w:r w:rsidR="001C48F2" w:rsidRPr="00A11FD7">
        <w:t>biomass</w:t>
      </w:r>
      <w:r w:rsidR="00797389" w:rsidRPr="00A11FD7">
        <w:t xml:space="preserve"> in both inland and mangrove</w:t>
      </w:r>
      <w:r w:rsidRPr="00A11FD7">
        <w:t xml:space="preserve"> forests. </w:t>
      </w:r>
    </w:p>
    <w:p w:rsidR="00A1303C" w:rsidRPr="00A11FD7" w:rsidRDefault="001C42CD" w:rsidP="00D4186D">
      <w:pPr>
        <w:pStyle w:val="ListParagraph"/>
        <w:numPr>
          <w:ilvl w:val="0"/>
          <w:numId w:val="37"/>
        </w:numPr>
        <w:jc w:val="both"/>
      </w:pPr>
      <w:r w:rsidRPr="00A11FD7">
        <w:t xml:space="preserve">Consider the </w:t>
      </w:r>
      <w:r w:rsidR="00D01189" w:rsidRPr="00A11FD7">
        <w:t>implications of</w:t>
      </w:r>
      <w:r w:rsidRPr="00A11FD7">
        <w:t xml:space="preserve"> climate change may have on any proposals to increase forest </w:t>
      </w:r>
      <w:r w:rsidR="001C48F2" w:rsidRPr="00A11FD7">
        <w:t>biomass</w:t>
      </w:r>
      <w:r w:rsidRPr="00A11FD7">
        <w:t>.</w:t>
      </w:r>
    </w:p>
    <w:p w:rsidR="001002C2" w:rsidRPr="00A11FD7" w:rsidRDefault="001002C2" w:rsidP="00D4186D">
      <w:pPr>
        <w:pStyle w:val="Heading2"/>
        <w:numPr>
          <w:ilvl w:val="0"/>
          <w:numId w:val="0"/>
        </w:numPr>
        <w:ind w:left="576" w:hanging="576"/>
        <w:jc w:val="both"/>
      </w:pPr>
      <w:r w:rsidRPr="00A11FD7">
        <w:lastRenderedPageBreak/>
        <w:t>Outputs</w:t>
      </w:r>
    </w:p>
    <w:p w:rsidR="001002C2" w:rsidRPr="00A11FD7" w:rsidRDefault="001002C2" w:rsidP="00D4186D">
      <w:pPr>
        <w:jc w:val="both"/>
      </w:pPr>
      <w:r w:rsidRPr="00A11FD7">
        <w:t xml:space="preserve">The Outputs of the Working Group will consist of compilations of background materials (studies, reports, legislation, etc.) and minutes, conclusions and recommendations of each Working Group meeting.  The conclusions should consist (wherever possible) of text that can be directly inserted into the emerging </w:t>
      </w:r>
      <w:proofErr w:type="spellStart"/>
      <w:r w:rsidRPr="00A11FD7">
        <w:t>REDD</w:t>
      </w:r>
      <w:proofErr w:type="spellEnd"/>
      <w:r w:rsidRPr="00A11FD7">
        <w:t>+ Roadmap (this would also include current knowledge gaps).</w:t>
      </w:r>
    </w:p>
    <w:p w:rsidR="001002C2" w:rsidRPr="00A11FD7" w:rsidRDefault="001002C2" w:rsidP="00D4186D">
      <w:pPr>
        <w:jc w:val="both"/>
      </w:pPr>
    </w:p>
    <w:p w:rsidR="001002C2" w:rsidRPr="00A11FD7" w:rsidRDefault="001002C2" w:rsidP="00D4186D">
      <w:pPr>
        <w:pStyle w:val="Heading2"/>
        <w:numPr>
          <w:ilvl w:val="0"/>
          <w:numId w:val="0"/>
        </w:numPr>
        <w:ind w:left="576" w:hanging="576"/>
        <w:jc w:val="both"/>
      </w:pPr>
      <w:r w:rsidRPr="00A11FD7">
        <w:t>Methods of Working</w:t>
      </w:r>
    </w:p>
    <w:p w:rsidR="001002C2" w:rsidRPr="00A11FD7" w:rsidRDefault="001002C2" w:rsidP="00D4186D">
      <w:pPr>
        <w:jc w:val="both"/>
      </w:pPr>
      <w:r w:rsidRPr="00A11FD7">
        <w:t>The Working Group will meet regularly – nominally once a month – to develop the information required for the Roadmap, as described above.  It is expected that most or all meetings will be in Honiara.  The costs of Working Group members located outside Honiara to attend the meetings will have to be covered.</w:t>
      </w:r>
    </w:p>
    <w:p w:rsidR="001002C2" w:rsidRPr="00A11FD7" w:rsidRDefault="001002C2" w:rsidP="00D4186D">
      <w:pPr>
        <w:jc w:val="both"/>
      </w:pPr>
    </w:p>
    <w:p w:rsidR="001002C2" w:rsidRPr="00A11FD7" w:rsidRDefault="001002C2" w:rsidP="00D4186D">
      <w:pPr>
        <w:jc w:val="both"/>
      </w:pPr>
      <w:r w:rsidRPr="00A11FD7">
        <w:t>The duration of the Working Group’s work will nominally be 1 year, but the actual duration will be determined by completion of its outputs.</w:t>
      </w:r>
    </w:p>
    <w:p w:rsidR="001002C2" w:rsidRPr="00A11FD7" w:rsidRDefault="001002C2" w:rsidP="00D4186D">
      <w:pPr>
        <w:jc w:val="both"/>
      </w:pPr>
    </w:p>
    <w:p w:rsidR="001002C2" w:rsidRPr="00A11FD7" w:rsidRDefault="001002C2" w:rsidP="00D4186D">
      <w:pPr>
        <w:jc w:val="both"/>
      </w:pPr>
      <w:r w:rsidRPr="00A11FD7">
        <w:t xml:space="preserve">Background information, consisting of existing reports on drivers and underlying causes, legislation and policies, and analyses of options for improved forest management will be compiled by the Forest Department, assisted by the UN-REDD </w:t>
      </w:r>
      <w:proofErr w:type="spellStart"/>
      <w:r w:rsidRPr="00A11FD7">
        <w:t>PMU</w:t>
      </w:r>
      <w:proofErr w:type="spellEnd"/>
      <w:r w:rsidRPr="00A11FD7">
        <w:t>, although any member of the working group or advisors may contribute materials.  All background materials will be shared with all working group members, electronically where possible.</w:t>
      </w:r>
    </w:p>
    <w:p w:rsidR="001002C2" w:rsidRPr="00A11FD7" w:rsidRDefault="001002C2" w:rsidP="00D4186D">
      <w:pPr>
        <w:jc w:val="both"/>
      </w:pPr>
    </w:p>
    <w:p w:rsidR="001002C2" w:rsidRPr="00A11FD7" w:rsidRDefault="001002C2" w:rsidP="00D4186D">
      <w:pPr>
        <w:jc w:val="both"/>
      </w:pPr>
      <w:r w:rsidRPr="00A11FD7">
        <w:t xml:space="preserve">For each meeting, the Co-chairs, assisted by </w:t>
      </w:r>
      <w:r w:rsidR="00E06BC0">
        <w:t>the</w:t>
      </w:r>
      <w:r w:rsidRPr="00A11FD7">
        <w:t xml:space="preserve"> UN-REDD </w:t>
      </w:r>
      <w:proofErr w:type="spellStart"/>
      <w:r w:rsidRPr="00A11FD7">
        <w:t>PMU</w:t>
      </w:r>
      <w:proofErr w:type="spellEnd"/>
      <w:r w:rsidRPr="00A11FD7">
        <w:t xml:space="preserve"> will prepare a brief </w:t>
      </w:r>
      <w:proofErr w:type="spellStart"/>
      <w:r w:rsidRPr="00A11FD7">
        <w:t>ToR</w:t>
      </w:r>
      <w:proofErr w:type="spellEnd"/>
      <w:r w:rsidRPr="00A11FD7">
        <w:t>, defining the purpose of the meeting, the expected result of the meeting, and appending any materials required in preparation for the meeting.  This information will be shared with all Working Group members at least a week before the meeting.</w:t>
      </w:r>
    </w:p>
    <w:p w:rsidR="001002C2" w:rsidRPr="00A11FD7" w:rsidRDefault="001002C2" w:rsidP="00D4186D">
      <w:pPr>
        <w:jc w:val="both"/>
      </w:pPr>
    </w:p>
    <w:p w:rsidR="00170A40" w:rsidRPr="004357E4" w:rsidRDefault="00170A40" w:rsidP="00170A40">
      <w:pPr>
        <w:jc w:val="both"/>
      </w:pPr>
      <w:r w:rsidRPr="004357E4">
        <w:t xml:space="preserve">At each meeting, a secretary will be nominated who will be responsible for recording minutes and conclusions of the meeting. This document will be shared with all members of the working group within one week of the meeting.  Comments and corrections may be proposed by any working group member within one additional week, after which the minutes and conclusions will be considered final. This document will be sent to the </w:t>
      </w:r>
      <w:proofErr w:type="spellStart"/>
      <w:r w:rsidRPr="004357E4">
        <w:t>REDD</w:t>
      </w:r>
      <w:proofErr w:type="spellEnd"/>
      <w:r w:rsidRPr="004357E4">
        <w:t xml:space="preserve">+ national focal point and the UN-REDD </w:t>
      </w:r>
      <w:proofErr w:type="spellStart"/>
      <w:r w:rsidRPr="004357E4">
        <w:t>PMU</w:t>
      </w:r>
      <w:proofErr w:type="spellEnd"/>
      <w:r w:rsidRPr="004357E4">
        <w:t>. While every effort will be made to select a meeting date that will allow all Working Group members to participate, it is inevitable that this will not always be possible.  In such cases, Working Group members who are not able to attend a meeting will be provided with all the pre-meeting information, as well as the minutes and conclusions and will be invited to make additional contributions to the conclusions within one additional week.</w:t>
      </w:r>
    </w:p>
    <w:p w:rsidR="008E5F7E" w:rsidRPr="00A11FD7" w:rsidRDefault="008E5F7E" w:rsidP="00D4186D">
      <w:pPr>
        <w:pStyle w:val="Heading1"/>
        <w:numPr>
          <w:ilvl w:val="0"/>
          <w:numId w:val="0"/>
        </w:numPr>
        <w:ind w:left="432"/>
        <w:jc w:val="both"/>
        <w:rPr>
          <w:rFonts w:ascii="Calibri" w:hAnsi="Calibri" w:cs="Calibri"/>
        </w:rPr>
      </w:pPr>
    </w:p>
    <w:p w:rsidR="00D4186D" w:rsidRPr="00A11FD7" w:rsidRDefault="00D4186D">
      <w:pPr>
        <w:pStyle w:val="Heading1"/>
        <w:numPr>
          <w:ilvl w:val="0"/>
          <w:numId w:val="0"/>
        </w:numPr>
        <w:ind w:left="432"/>
        <w:jc w:val="both"/>
        <w:rPr>
          <w:rFonts w:ascii="Calibri" w:hAnsi="Calibri" w:cs="Calibri"/>
        </w:rPr>
      </w:pPr>
    </w:p>
    <w:sectPr w:rsidR="00D4186D" w:rsidRPr="00A11FD7" w:rsidSect="00656B4D">
      <w:head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C7" w:rsidRDefault="00470EC7" w:rsidP="00656B4D">
      <w:r>
        <w:separator/>
      </w:r>
    </w:p>
  </w:endnote>
  <w:endnote w:type="continuationSeparator" w:id="0">
    <w:p w:rsidR="00470EC7" w:rsidRDefault="00470EC7"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C7" w:rsidRDefault="00470EC7" w:rsidP="00656B4D">
      <w:r>
        <w:separator/>
      </w:r>
    </w:p>
  </w:footnote>
  <w:footnote w:type="continuationSeparator" w:id="0">
    <w:p w:rsidR="00470EC7" w:rsidRDefault="00470EC7" w:rsidP="00656B4D">
      <w:r>
        <w:continuationSeparator/>
      </w:r>
    </w:p>
  </w:footnote>
  <w:footnote w:id="1">
    <w:p w:rsidR="001002C2" w:rsidRPr="00ED1F9A" w:rsidRDefault="001002C2" w:rsidP="00193E53">
      <w:pPr>
        <w:pStyle w:val="FootnoteText"/>
        <w:rPr>
          <w:lang w:val="en-US"/>
        </w:rPr>
      </w:pPr>
      <w:r>
        <w:rPr>
          <w:rStyle w:val="FootnoteReference"/>
        </w:rPr>
        <w:footnoteRef/>
      </w:r>
      <w:r>
        <w:t xml:space="preserve"> This overview of </w:t>
      </w:r>
      <w:r>
        <w:rPr>
          <w:lang w:val="en-US"/>
        </w:rPr>
        <w:t>capacity challenges should take into account and appropriately distinguish between capacity at the individual, organizational/institutional, and enabling environment (policies, legal framework) level</w:t>
      </w:r>
      <w:r w:rsidR="00807017">
        <w:rPr>
          <w:lang w:val="en-US"/>
        </w:rPr>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C2" w:rsidRDefault="00470EC7">
    <w:pPr>
      <w:pStyle w:val="Header"/>
    </w:pPr>
    <w:r>
      <w:rPr>
        <w:noProof/>
      </w:rPr>
      <w:pict>
        <v:shapetype id="_x0000_t202" coordsize="21600,21600" o:spt="202" path="m,l,21600r21600,l21600,xe">
          <v:stroke joinstyle="miter"/>
          <v:path gradientshapeok="t" o:connecttype="rect"/>
        </v:shapetype>
        <v:shape id="Text Box 2" o:spid="_x0000_s2050" type="#_x0000_t202" style="position:absolute;margin-left:0;margin-top:0;width:415pt;height:14.05pt;z-index:251661312;visibility:visible;mso-width-percent:1000;mso-position-horizontal:left;mso-position-horizontal-relative:margin;mso-position-vertical:center;mso-position-vertical-relative:top-margin-area;mso-width-percent:100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" o:allowincell="f" filled="f" stroked="f">
          <v:textbox style="mso-fit-shape-to-text:t" inset=",0,,0">
            <w:txbxContent>
              <w:p w:rsidR="001002C2" w:rsidRDefault="001002C2">
                <w:pPr>
                  <w:jc w:val="right"/>
                </w:pPr>
                <w:r>
                  <w:t>Working Group 1: Drivers and Strategies, Terms of Reference</w:t>
                </w:r>
              </w:p>
            </w:txbxContent>
          </v:textbox>
          <w10:wrap anchorx="margin" anchory="margin"/>
        </v:shape>
      </w:pict>
    </w:r>
    <w:r>
      <w:rPr>
        <w:noProof/>
      </w:rPr>
      <w:pict>
        <v:shape id="Text Box 1" o:spid="_x0000_s2049" type="#_x0000_t202" style="position:absolute;margin-left:216.4pt;margin-top:0;width:90pt;height:14.05pt;z-index:251660288;visibility:visible;mso-width-percent:1000;mso-position-horizontal:right;mso-position-horizontal-relative:page;mso-position-vertical:center;mso-position-vertical-relative:top-margin-area;mso-width-percent:1000;mso-width-relative:right-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" o:allowincell="f" fillcolor="#4f81bd [3204]" stroked="f">
          <v:textbox style="mso-fit-shape-to-text:t" inset=",0,,0">
            <w:txbxContent>
              <w:p w:rsidR="001002C2" w:rsidRDefault="00082E4A">
                <w:pPr>
                  <w:rPr>
                    <w:color w:val="FFFFFF" w:themeColor="background1"/>
                  </w:rPr>
                </w:pPr>
                <w:r>
                  <w:fldChar w:fldCharType="begin"/>
                </w:r>
                <w:r w:rsidR="001002C2">
                  <w:instrText xml:space="preserve"> PAGE   \* MERGEFORMAT </w:instrText>
                </w:r>
                <w:r>
                  <w:fldChar w:fldCharType="separate"/>
                </w:r>
                <w:r w:rsidR="00170A40" w:rsidRPr="00170A40">
                  <w:rPr>
                    <w:noProof/>
                    <w:color w:val="FFFFFF" w:themeColor="background1"/>
                  </w:rPr>
                  <w:t>5</w:t>
                </w:r>
                <w:r>
                  <w:rPr>
                    <w:noProof/>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00B0E"/>
    <w:multiLevelType w:val="hybridMultilevel"/>
    <w:tmpl w:val="D8C23C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3101B0"/>
    <w:multiLevelType w:val="hybridMultilevel"/>
    <w:tmpl w:val="FD9A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942FBB"/>
    <w:multiLevelType w:val="multilevel"/>
    <w:tmpl w:val="A7BA2B86"/>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B504C"/>
    <w:multiLevelType w:val="hybridMultilevel"/>
    <w:tmpl w:val="656C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723A3D"/>
    <w:multiLevelType w:val="hybridMultilevel"/>
    <w:tmpl w:val="F3C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F4FF6"/>
    <w:multiLevelType w:val="hybridMultilevel"/>
    <w:tmpl w:val="AAC498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71523"/>
    <w:multiLevelType w:val="hybridMultilevel"/>
    <w:tmpl w:val="0CC68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D1DC6"/>
    <w:multiLevelType w:val="multilevel"/>
    <w:tmpl w:val="A7BA2B86"/>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B587E"/>
    <w:multiLevelType w:val="multilevel"/>
    <w:tmpl w:val="387AF5D0"/>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4352E7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5511280E"/>
    <w:multiLevelType w:val="hybridMultilevel"/>
    <w:tmpl w:val="AB44D6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83EFB"/>
    <w:multiLevelType w:val="hybridMultilevel"/>
    <w:tmpl w:val="DB141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3227C"/>
    <w:multiLevelType w:val="hybridMultilevel"/>
    <w:tmpl w:val="530E9E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F52CAC"/>
    <w:multiLevelType w:val="multilevel"/>
    <w:tmpl w:val="D6B467FE"/>
    <w:lvl w:ilvl="0">
      <w:start w:val="1"/>
      <w:numFmt w:val="decimal"/>
      <w:lvlText w:val="%1"/>
      <w:lvlJc w:val="left"/>
      <w:pPr>
        <w:ind w:left="432" w:hanging="432"/>
      </w:pPr>
    </w:lvl>
    <w:lvl w:ilvl="1">
      <w:start w:val="1"/>
      <w:numFmt w:val="upperRoman"/>
      <w:lvlText w:val="%2."/>
      <w:lvlJc w:val="righ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A35A32"/>
    <w:multiLevelType w:val="hybridMultilevel"/>
    <w:tmpl w:val="38B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0"/>
  </w:num>
  <w:num w:numId="4">
    <w:abstractNumId w:val="2"/>
  </w:num>
  <w:num w:numId="5">
    <w:abstractNumId w:val="8"/>
  </w:num>
  <w:num w:numId="6">
    <w:abstractNumId w:val="30"/>
  </w:num>
  <w:num w:numId="7">
    <w:abstractNumId w:val="28"/>
  </w:num>
  <w:num w:numId="8">
    <w:abstractNumId w:val="10"/>
  </w:num>
  <w:num w:numId="9">
    <w:abstractNumId w:val="32"/>
  </w:num>
  <w:num w:numId="10">
    <w:abstractNumId w:val="16"/>
  </w:num>
  <w:num w:numId="11">
    <w:abstractNumId w:val="34"/>
  </w:num>
  <w:num w:numId="12">
    <w:abstractNumId w:val="14"/>
  </w:num>
  <w:num w:numId="13">
    <w:abstractNumId w:val="35"/>
  </w:num>
  <w:num w:numId="14">
    <w:abstractNumId w:val="1"/>
  </w:num>
  <w:num w:numId="15">
    <w:abstractNumId w:val="29"/>
  </w:num>
  <w:num w:numId="16">
    <w:abstractNumId w:val="13"/>
  </w:num>
  <w:num w:numId="17">
    <w:abstractNumId w:val="21"/>
  </w:num>
  <w:num w:numId="18">
    <w:abstractNumId w:val="18"/>
  </w:num>
  <w:num w:numId="19">
    <w:abstractNumId w:val="9"/>
  </w:num>
  <w:num w:numId="20">
    <w:abstractNumId w:val="25"/>
  </w:num>
  <w:num w:numId="21">
    <w:abstractNumId w:val="23"/>
  </w:num>
  <w:num w:numId="22">
    <w:abstractNumId w:val="7"/>
  </w:num>
  <w:num w:numId="23">
    <w:abstractNumId w:val="12"/>
  </w:num>
  <w:num w:numId="24">
    <w:abstractNumId w:val="24"/>
  </w:num>
  <w:num w:numId="25">
    <w:abstractNumId w:val="33"/>
  </w:num>
  <w:num w:numId="26">
    <w:abstractNumId w:val="31"/>
  </w:num>
  <w:num w:numId="27">
    <w:abstractNumId w:val="20"/>
  </w:num>
  <w:num w:numId="28">
    <w:abstractNumId w:val="6"/>
  </w:num>
  <w:num w:numId="29">
    <w:abstractNumId w:val="22"/>
  </w:num>
  <w:num w:numId="30">
    <w:abstractNumId w:val="26"/>
  </w:num>
  <w:num w:numId="31">
    <w:abstractNumId w:val="3"/>
  </w:num>
  <w:num w:numId="32">
    <w:abstractNumId w:val="19"/>
  </w:num>
  <w:num w:numId="33">
    <w:abstractNumId w:val="15"/>
  </w:num>
  <w:num w:numId="34">
    <w:abstractNumId w:val="4"/>
  </w:num>
  <w:num w:numId="35">
    <w:abstractNumId w:val="36"/>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23FE0"/>
    <w:rsid w:val="00017E95"/>
    <w:rsid w:val="000251FC"/>
    <w:rsid w:val="00026526"/>
    <w:rsid w:val="00035382"/>
    <w:rsid w:val="000528DE"/>
    <w:rsid w:val="00082E4A"/>
    <w:rsid w:val="000D4D3D"/>
    <w:rsid w:val="000F78B3"/>
    <w:rsid w:val="001002C2"/>
    <w:rsid w:val="00122BEC"/>
    <w:rsid w:val="001614FB"/>
    <w:rsid w:val="001668D2"/>
    <w:rsid w:val="00170A40"/>
    <w:rsid w:val="00171027"/>
    <w:rsid w:val="00171999"/>
    <w:rsid w:val="00172CB8"/>
    <w:rsid w:val="00174F91"/>
    <w:rsid w:val="00177002"/>
    <w:rsid w:val="001801A2"/>
    <w:rsid w:val="00193BBF"/>
    <w:rsid w:val="00193E53"/>
    <w:rsid w:val="00195D97"/>
    <w:rsid w:val="001C42CD"/>
    <w:rsid w:val="001C48F2"/>
    <w:rsid w:val="001D1E46"/>
    <w:rsid w:val="001F1150"/>
    <w:rsid w:val="00210F7A"/>
    <w:rsid w:val="00264EC0"/>
    <w:rsid w:val="00277B1F"/>
    <w:rsid w:val="00282120"/>
    <w:rsid w:val="00282D33"/>
    <w:rsid w:val="00291BF6"/>
    <w:rsid w:val="00294C92"/>
    <w:rsid w:val="002A5DB8"/>
    <w:rsid w:val="002D2941"/>
    <w:rsid w:val="002E1DB0"/>
    <w:rsid w:val="002E7CFB"/>
    <w:rsid w:val="002F4E05"/>
    <w:rsid w:val="002F6CE5"/>
    <w:rsid w:val="00300C2D"/>
    <w:rsid w:val="003327CB"/>
    <w:rsid w:val="003446FC"/>
    <w:rsid w:val="00352F0F"/>
    <w:rsid w:val="00353370"/>
    <w:rsid w:val="00396EDD"/>
    <w:rsid w:val="003B06BE"/>
    <w:rsid w:val="003D43F8"/>
    <w:rsid w:val="003E0B6C"/>
    <w:rsid w:val="003F6E69"/>
    <w:rsid w:val="003F70D4"/>
    <w:rsid w:val="00411E07"/>
    <w:rsid w:val="00442281"/>
    <w:rsid w:val="00447624"/>
    <w:rsid w:val="00463F13"/>
    <w:rsid w:val="00467799"/>
    <w:rsid w:val="00470EC7"/>
    <w:rsid w:val="00477282"/>
    <w:rsid w:val="00490BA6"/>
    <w:rsid w:val="004C1294"/>
    <w:rsid w:val="004D41C4"/>
    <w:rsid w:val="004F6D61"/>
    <w:rsid w:val="00505B0C"/>
    <w:rsid w:val="00513394"/>
    <w:rsid w:val="005371CF"/>
    <w:rsid w:val="00553C26"/>
    <w:rsid w:val="00566B79"/>
    <w:rsid w:val="00570155"/>
    <w:rsid w:val="005A34D0"/>
    <w:rsid w:val="005B2237"/>
    <w:rsid w:val="005D4FB5"/>
    <w:rsid w:val="0060158C"/>
    <w:rsid w:val="006158AF"/>
    <w:rsid w:val="006220E4"/>
    <w:rsid w:val="00656B4D"/>
    <w:rsid w:val="006603D2"/>
    <w:rsid w:val="00664D9F"/>
    <w:rsid w:val="006D7257"/>
    <w:rsid w:val="006E04BB"/>
    <w:rsid w:val="007108D3"/>
    <w:rsid w:val="007320E4"/>
    <w:rsid w:val="00743D7C"/>
    <w:rsid w:val="0076471F"/>
    <w:rsid w:val="00797389"/>
    <w:rsid w:val="007A73B9"/>
    <w:rsid w:val="007B1951"/>
    <w:rsid w:val="007B4123"/>
    <w:rsid w:val="007E2703"/>
    <w:rsid w:val="00807017"/>
    <w:rsid w:val="00823FE0"/>
    <w:rsid w:val="008255F1"/>
    <w:rsid w:val="008B6048"/>
    <w:rsid w:val="008C71EA"/>
    <w:rsid w:val="008E5F7E"/>
    <w:rsid w:val="009020FC"/>
    <w:rsid w:val="00905A70"/>
    <w:rsid w:val="00924E71"/>
    <w:rsid w:val="00941DB8"/>
    <w:rsid w:val="009969D8"/>
    <w:rsid w:val="009A7B24"/>
    <w:rsid w:val="009B0EE1"/>
    <w:rsid w:val="009B5A93"/>
    <w:rsid w:val="009C50A1"/>
    <w:rsid w:val="009E7681"/>
    <w:rsid w:val="00A0373D"/>
    <w:rsid w:val="00A11FD7"/>
    <w:rsid w:val="00A1303C"/>
    <w:rsid w:val="00A35DE0"/>
    <w:rsid w:val="00A56BD9"/>
    <w:rsid w:val="00A94E8E"/>
    <w:rsid w:val="00AA2C6D"/>
    <w:rsid w:val="00AB15E5"/>
    <w:rsid w:val="00AB5041"/>
    <w:rsid w:val="00AC1CCE"/>
    <w:rsid w:val="00AD41ED"/>
    <w:rsid w:val="00AE7582"/>
    <w:rsid w:val="00AF749B"/>
    <w:rsid w:val="00B14D41"/>
    <w:rsid w:val="00B32BDB"/>
    <w:rsid w:val="00BB0AE5"/>
    <w:rsid w:val="00BD3693"/>
    <w:rsid w:val="00C13522"/>
    <w:rsid w:val="00C3116F"/>
    <w:rsid w:val="00CE60B0"/>
    <w:rsid w:val="00D01189"/>
    <w:rsid w:val="00D4186D"/>
    <w:rsid w:val="00D662D2"/>
    <w:rsid w:val="00D82734"/>
    <w:rsid w:val="00D87934"/>
    <w:rsid w:val="00D93398"/>
    <w:rsid w:val="00D96369"/>
    <w:rsid w:val="00DC3A28"/>
    <w:rsid w:val="00E01CD6"/>
    <w:rsid w:val="00E06BC0"/>
    <w:rsid w:val="00E278CD"/>
    <w:rsid w:val="00E431B0"/>
    <w:rsid w:val="00ED023E"/>
    <w:rsid w:val="00F108CA"/>
    <w:rsid w:val="00F349D1"/>
    <w:rsid w:val="00F4269E"/>
    <w:rsid w:val="00F86F79"/>
    <w:rsid w:val="00FA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46"/>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unhideWhenUsed/>
    <w:qFormat/>
    <w:rsid w:val="00411E07"/>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A73B9"/>
    <w:pPr>
      <w:keepNext/>
      <w:keepLines/>
      <w:numPr>
        <w:ilvl w:val="2"/>
        <w:numId w:val="20"/>
      </w:numPr>
      <w:spacing w:before="20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9"/>
    <w:unhideWhenUsed/>
    <w:qFormat/>
    <w:rsid w:val="00D01189"/>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D01189"/>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D01189"/>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D01189"/>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01189"/>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D01189"/>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D0118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character" w:customStyle="1" w:styleId="Heading2Char">
    <w:name w:val="Heading 2 Char"/>
    <w:basedOn w:val="DefaultParagraphFont"/>
    <w:link w:val="Heading2"/>
    <w:uiPriority w:val="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3B9"/>
    <w:rPr>
      <w:rFonts w:asciiTheme="majorHAnsi" w:eastAsiaTheme="majorEastAsia" w:hAnsiTheme="majorHAnsi" w:cstheme="majorBidi"/>
      <w:b/>
      <w:bCs/>
      <w:i/>
      <w:color w:val="4F81BD" w:themeColor="accent1"/>
    </w:rPr>
  </w:style>
  <w:style w:type="paragraph" w:styleId="Header">
    <w:name w:val="header"/>
    <w:basedOn w:val="Normal"/>
    <w:link w:val="HeaderChar"/>
    <w:uiPriority w:val="99"/>
    <w:semiHidden/>
    <w:unhideWhenUsed/>
    <w:rsid w:val="00656B4D"/>
    <w:pPr>
      <w:tabs>
        <w:tab w:val="center" w:pos="4513"/>
        <w:tab w:val="right" w:pos="9026"/>
      </w:tabs>
    </w:pPr>
  </w:style>
  <w:style w:type="character" w:customStyle="1" w:styleId="HeaderChar">
    <w:name w:val="Header Char"/>
    <w:basedOn w:val="DefaultParagraphFont"/>
    <w:link w:val="Header"/>
    <w:uiPriority w:val="99"/>
    <w:semiHidden/>
    <w:rsid w:val="00656B4D"/>
  </w:style>
  <w:style w:type="paragraph" w:styleId="Footer">
    <w:name w:val="footer"/>
    <w:basedOn w:val="Normal"/>
    <w:link w:val="FooterChar"/>
    <w:uiPriority w:val="99"/>
    <w:semiHidden/>
    <w:unhideWhenUsed/>
    <w:rsid w:val="00656B4D"/>
    <w:pPr>
      <w:tabs>
        <w:tab w:val="center" w:pos="4513"/>
        <w:tab w:val="right" w:pos="9026"/>
      </w:tabs>
    </w:pPr>
  </w:style>
  <w:style w:type="character" w:customStyle="1" w:styleId="FooterChar">
    <w:name w:val="Footer Char"/>
    <w:basedOn w:val="DefaultParagraphFont"/>
    <w:link w:val="Footer"/>
    <w:uiPriority w:val="99"/>
    <w:semiHidden/>
    <w:rsid w:val="00656B4D"/>
  </w:style>
  <w:style w:type="paragraph" w:styleId="DocumentMap">
    <w:name w:val="Document Map"/>
    <w:basedOn w:val="Normal"/>
    <w:link w:val="DocumentMapChar"/>
    <w:uiPriority w:val="99"/>
    <w:semiHidden/>
    <w:unhideWhenUsed/>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rsid w:val="00D01189"/>
    <w:rPr>
      <w:rFonts w:ascii="Tahoma" w:hAnsi="Tahoma" w:cs="Tahoma"/>
      <w:sz w:val="16"/>
      <w:szCs w:val="16"/>
    </w:rPr>
  </w:style>
  <w:style w:type="character" w:customStyle="1" w:styleId="Heading4Char">
    <w:name w:val="Heading 4 Char"/>
    <w:basedOn w:val="DefaultParagraphFont"/>
    <w:link w:val="Heading4"/>
    <w:uiPriority w:val="9"/>
    <w:semiHidden/>
    <w:rsid w:val="00D011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011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011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D011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11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18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63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F13"/>
    <w:rPr>
      <w:rFonts w:ascii="Lucida Grande" w:hAnsi="Lucida Grande" w:cs="Lucida Grande"/>
      <w:sz w:val="18"/>
      <w:szCs w:val="18"/>
    </w:rPr>
  </w:style>
  <w:style w:type="paragraph" w:styleId="FootnoteText">
    <w:name w:val="footnote text"/>
    <w:basedOn w:val="Normal"/>
    <w:link w:val="FootnoteTextChar"/>
    <w:uiPriority w:val="99"/>
    <w:rsid w:val="00193E53"/>
    <w:rPr>
      <w:rFonts w:ascii="Cambria" w:eastAsia="Times New Roman" w:hAnsi="Cambria" w:cs="Times New Roman"/>
      <w:sz w:val="20"/>
      <w:szCs w:val="20"/>
      <w:lang w:val="en-GB"/>
    </w:rPr>
  </w:style>
  <w:style w:type="character" w:customStyle="1" w:styleId="FootnoteTextChar">
    <w:name w:val="Footnote Text Char"/>
    <w:basedOn w:val="DefaultParagraphFont"/>
    <w:link w:val="FootnoteText"/>
    <w:uiPriority w:val="99"/>
    <w:rsid w:val="00193E53"/>
    <w:rPr>
      <w:rFonts w:ascii="Cambria" w:eastAsia="Times New Roman" w:hAnsi="Cambria" w:cs="Times New Roman"/>
      <w:sz w:val="20"/>
      <w:szCs w:val="20"/>
      <w:lang w:val="en-GB"/>
    </w:rPr>
  </w:style>
  <w:style w:type="character" w:styleId="FootnoteReference">
    <w:name w:val="footnote reference"/>
    <w:basedOn w:val="DefaultParagraphFont"/>
    <w:uiPriority w:val="99"/>
    <w:semiHidden/>
    <w:rsid w:val="00193E53"/>
    <w:rPr>
      <w:rFonts w:cs="Times New Roman"/>
      <w:vertAlign w:val="superscript"/>
    </w:rPr>
  </w:style>
  <w:style w:type="character" w:styleId="IntenseReference">
    <w:name w:val="Intense Reference"/>
    <w:basedOn w:val="DefaultParagraphFont"/>
    <w:uiPriority w:val="32"/>
    <w:qFormat/>
    <w:rsid w:val="00A11FD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46"/>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unhideWhenUsed/>
    <w:qFormat/>
    <w:rsid w:val="00411E07"/>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A73B9"/>
    <w:pPr>
      <w:keepNext/>
      <w:keepLines/>
      <w:numPr>
        <w:ilvl w:val="2"/>
        <w:numId w:val="20"/>
      </w:numPr>
      <w:spacing w:before="20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9"/>
    <w:unhideWhenUsed/>
    <w:qFormat/>
    <w:rsid w:val="00D01189"/>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D01189"/>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D01189"/>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D01189"/>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01189"/>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D01189"/>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D0118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character" w:customStyle="1" w:styleId="Heading2Char">
    <w:name w:val="Heading 2 Char"/>
    <w:basedOn w:val="DefaultParagraphFont"/>
    <w:link w:val="Heading2"/>
    <w:uiPriority w:val="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3B9"/>
    <w:rPr>
      <w:rFonts w:asciiTheme="majorHAnsi" w:eastAsiaTheme="majorEastAsia" w:hAnsiTheme="majorHAnsi" w:cstheme="majorBidi"/>
      <w:b/>
      <w:bCs/>
      <w:i/>
      <w:color w:val="4F81BD" w:themeColor="accent1"/>
    </w:rPr>
  </w:style>
  <w:style w:type="paragraph" w:styleId="Header">
    <w:name w:val="header"/>
    <w:basedOn w:val="Normal"/>
    <w:link w:val="HeaderChar"/>
    <w:uiPriority w:val="99"/>
    <w:semiHidden/>
    <w:unhideWhenUsed/>
    <w:rsid w:val="00656B4D"/>
    <w:pPr>
      <w:tabs>
        <w:tab w:val="center" w:pos="4513"/>
        <w:tab w:val="right" w:pos="9026"/>
      </w:tabs>
    </w:pPr>
  </w:style>
  <w:style w:type="character" w:customStyle="1" w:styleId="HeaderChar">
    <w:name w:val="Header Char"/>
    <w:basedOn w:val="DefaultParagraphFont"/>
    <w:link w:val="Header"/>
    <w:uiPriority w:val="99"/>
    <w:semiHidden/>
    <w:rsid w:val="00656B4D"/>
  </w:style>
  <w:style w:type="paragraph" w:styleId="Footer">
    <w:name w:val="footer"/>
    <w:basedOn w:val="Normal"/>
    <w:link w:val="FooterChar"/>
    <w:uiPriority w:val="99"/>
    <w:semiHidden/>
    <w:unhideWhenUsed/>
    <w:rsid w:val="00656B4D"/>
    <w:pPr>
      <w:tabs>
        <w:tab w:val="center" w:pos="4513"/>
        <w:tab w:val="right" w:pos="9026"/>
      </w:tabs>
    </w:pPr>
  </w:style>
  <w:style w:type="character" w:customStyle="1" w:styleId="FooterChar">
    <w:name w:val="Footer Char"/>
    <w:basedOn w:val="DefaultParagraphFont"/>
    <w:link w:val="Footer"/>
    <w:uiPriority w:val="99"/>
    <w:semiHidden/>
    <w:rsid w:val="00656B4D"/>
  </w:style>
  <w:style w:type="paragraph" w:styleId="DocumentMap">
    <w:name w:val="Document Map"/>
    <w:basedOn w:val="Normal"/>
    <w:link w:val="DocumentMapChar"/>
    <w:uiPriority w:val="99"/>
    <w:semiHidden/>
    <w:unhideWhenUsed/>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rsid w:val="00D01189"/>
    <w:rPr>
      <w:rFonts w:ascii="Tahoma" w:hAnsi="Tahoma" w:cs="Tahoma"/>
      <w:sz w:val="16"/>
      <w:szCs w:val="16"/>
    </w:rPr>
  </w:style>
  <w:style w:type="character" w:customStyle="1" w:styleId="Heading4Char">
    <w:name w:val="Heading 4 Char"/>
    <w:basedOn w:val="DefaultParagraphFont"/>
    <w:link w:val="Heading4"/>
    <w:uiPriority w:val="9"/>
    <w:semiHidden/>
    <w:rsid w:val="00D011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011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011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D011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11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18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63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F13"/>
    <w:rPr>
      <w:rFonts w:ascii="Lucida Grande" w:hAnsi="Lucida Grande" w:cs="Lucida Grande"/>
      <w:sz w:val="18"/>
      <w:szCs w:val="18"/>
    </w:rPr>
  </w:style>
  <w:style w:type="paragraph" w:styleId="FootnoteText">
    <w:name w:val="footnote text"/>
    <w:basedOn w:val="Normal"/>
    <w:link w:val="FootnoteTextChar"/>
    <w:uiPriority w:val="99"/>
    <w:rsid w:val="00193E53"/>
    <w:rPr>
      <w:rFonts w:ascii="Cambria" w:eastAsia="Times New Roman" w:hAnsi="Cambria" w:cs="Times New Roman"/>
      <w:sz w:val="20"/>
      <w:szCs w:val="20"/>
      <w:lang w:val="en-GB"/>
    </w:rPr>
  </w:style>
  <w:style w:type="character" w:customStyle="1" w:styleId="FootnoteTextChar">
    <w:name w:val="Footnote Text Char"/>
    <w:basedOn w:val="DefaultParagraphFont"/>
    <w:link w:val="FootnoteText"/>
    <w:uiPriority w:val="99"/>
    <w:rsid w:val="00193E53"/>
    <w:rPr>
      <w:rFonts w:ascii="Cambria" w:eastAsia="Times New Roman" w:hAnsi="Cambria" w:cs="Times New Roman"/>
      <w:sz w:val="20"/>
      <w:szCs w:val="20"/>
      <w:lang w:val="en-GB"/>
    </w:rPr>
  </w:style>
  <w:style w:type="character" w:styleId="FootnoteReference">
    <w:name w:val="footnote reference"/>
    <w:basedOn w:val="DefaultParagraphFont"/>
    <w:uiPriority w:val="99"/>
    <w:semiHidden/>
    <w:rsid w:val="00193E5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9DB1-80DA-4174-9677-7A35CAE9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Ogle</dc:creator>
  <cp:lastModifiedBy>Akihito Kono</cp:lastModifiedBy>
  <cp:revision>17</cp:revision>
  <dcterms:created xsi:type="dcterms:W3CDTF">2012-08-13T23:05:00Z</dcterms:created>
  <dcterms:modified xsi:type="dcterms:W3CDTF">2012-09-14T07:35:00Z</dcterms:modified>
</cp:coreProperties>
</file>