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18A4B" w14:textId="77777777" w:rsidR="00BE707C" w:rsidRDefault="00BE707C" w:rsidP="00495AC0">
      <w:pPr>
        <w:pStyle w:val="Title"/>
      </w:pPr>
    </w:p>
    <w:p w14:paraId="06B34022" w14:textId="77777777" w:rsidR="00BE707C" w:rsidRDefault="00BE707C" w:rsidP="00495AC0">
      <w:pPr>
        <w:pStyle w:val="Title"/>
      </w:pPr>
    </w:p>
    <w:p w14:paraId="25B00682" w14:textId="77777777" w:rsidR="00BE707C" w:rsidRDefault="00BE707C" w:rsidP="00495AC0">
      <w:pPr>
        <w:pStyle w:val="Title"/>
      </w:pPr>
    </w:p>
    <w:p w14:paraId="6CF67EDE" w14:textId="3E811AC6" w:rsidR="00157F70" w:rsidRDefault="004138BC" w:rsidP="00495AC0">
      <w:pPr>
        <w:pStyle w:val="Title"/>
      </w:pPr>
      <w:r>
        <w:t>Guidelines</w:t>
      </w:r>
      <w:r w:rsidR="000E2205">
        <w:t xml:space="preserve"> On </w:t>
      </w:r>
      <w:r w:rsidR="00646177">
        <w:t>the Development of</w:t>
      </w:r>
      <w:r w:rsidR="000E2205">
        <w:t xml:space="preserve"> </w:t>
      </w:r>
      <w:r w:rsidR="00646177">
        <w:t xml:space="preserve">REDD+ </w:t>
      </w:r>
      <w:r w:rsidR="000E2205">
        <w:t>Safeguards within the Solomon Island National REDD+ Process</w:t>
      </w:r>
    </w:p>
    <w:p w14:paraId="476DFC17" w14:textId="77777777" w:rsidR="000E2205" w:rsidRDefault="000E2205" w:rsidP="000E2205"/>
    <w:p w14:paraId="616CD87E" w14:textId="77777777" w:rsidR="00AA4B89" w:rsidRDefault="00AA4B89" w:rsidP="00AA4B89">
      <w:pPr>
        <w:pStyle w:val="Heading1"/>
        <w:numPr>
          <w:ilvl w:val="0"/>
          <w:numId w:val="0"/>
        </w:numPr>
        <w:ind w:left="432"/>
      </w:pPr>
    </w:p>
    <w:p w14:paraId="27BA4752" w14:textId="77777777" w:rsidR="00AA4B89" w:rsidRDefault="00AA4B89" w:rsidP="00157A6E">
      <w:pPr>
        <w:pStyle w:val="Heading1"/>
        <w:numPr>
          <w:ilvl w:val="0"/>
          <w:numId w:val="0"/>
        </w:numPr>
        <w:ind w:left="432"/>
      </w:pPr>
    </w:p>
    <w:p w14:paraId="304EDDB2" w14:textId="77777777" w:rsidR="00157A6E" w:rsidRPr="00157A6E" w:rsidRDefault="00157A6E" w:rsidP="00157A6E">
      <w:pPr>
        <w:rPr>
          <w:sz w:val="32"/>
        </w:rPr>
      </w:pPr>
      <w:r w:rsidRPr="00157A6E">
        <w:rPr>
          <w:sz w:val="32"/>
        </w:rPr>
        <w:t xml:space="preserve">Draft for Discussion </w:t>
      </w:r>
    </w:p>
    <w:p w14:paraId="5C9BC563" w14:textId="77777777" w:rsidR="00157A6E" w:rsidRPr="00157A6E" w:rsidRDefault="00157A6E" w:rsidP="00157A6E">
      <w:pPr>
        <w:rPr>
          <w:sz w:val="32"/>
        </w:rPr>
      </w:pPr>
    </w:p>
    <w:p w14:paraId="5EF04AFE" w14:textId="476C8999" w:rsidR="00157A6E" w:rsidRDefault="004138BC" w:rsidP="00157A6E">
      <w:pPr>
        <w:rPr>
          <w:sz w:val="32"/>
        </w:rPr>
      </w:pPr>
      <w:r>
        <w:rPr>
          <w:sz w:val="32"/>
        </w:rPr>
        <w:t>February 2014</w:t>
      </w:r>
    </w:p>
    <w:p w14:paraId="4379DEEB" w14:textId="77777777" w:rsidR="00157A6E" w:rsidRPr="00157A6E" w:rsidRDefault="00157A6E" w:rsidP="00157A6E">
      <w:pPr>
        <w:rPr>
          <w:sz w:val="32"/>
        </w:rPr>
        <w:sectPr w:rsidR="00157A6E" w:rsidRPr="00157A6E" w:rsidSect="00373ECE">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cols w:space="708"/>
          <w:docGrid w:linePitch="360"/>
        </w:sectPr>
      </w:pPr>
    </w:p>
    <w:p w14:paraId="3569C5BF" w14:textId="77777777" w:rsidR="00AA4B89" w:rsidRDefault="00AA4B89" w:rsidP="00AA4B89">
      <w:pPr>
        <w:pStyle w:val="Heading2"/>
        <w:numPr>
          <w:ilvl w:val="0"/>
          <w:numId w:val="0"/>
        </w:numPr>
        <w:ind w:left="576" w:hanging="576"/>
      </w:pPr>
      <w:bookmarkStart w:id="0" w:name="_Toc254892824"/>
      <w:r>
        <w:lastRenderedPageBreak/>
        <w:t>Table of Contents:</w:t>
      </w:r>
      <w:bookmarkEnd w:id="0"/>
      <w:r>
        <w:t xml:space="preserve"> </w:t>
      </w:r>
    </w:p>
    <w:p w14:paraId="35D40B33" w14:textId="77777777" w:rsidR="00AA4B89" w:rsidRDefault="00AA4B89" w:rsidP="00AA4B89"/>
    <w:p w14:paraId="624D79E2" w14:textId="77777777" w:rsidR="00C8631C" w:rsidRDefault="00AA4B89">
      <w:pPr>
        <w:pStyle w:val="TOC2"/>
        <w:tabs>
          <w:tab w:val="right" w:leader="dot" w:pos="10450"/>
        </w:tabs>
        <w:rPr>
          <w:rFonts w:asciiTheme="minorHAnsi" w:eastAsiaTheme="minorEastAsia" w:hAnsiTheme="minorHAnsi" w:cstheme="minorBidi"/>
          <w:noProof/>
          <w:sz w:val="24"/>
          <w:lang w:val="en-US" w:eastAsia="ja-JP"/>
        </w:rPr>
      </w:pPr>
      <w:r>
        <w:fldChar w:fldCharType="begin"/>
      </w:r>
      <w:r>
        <w:instrText xml:space="preserve"> TOC \o "1-3" </w:instrText>
      </w:r>
      <w:r>
        <w:fldChar w:fldCharType="separate"/>
      </w:r>
      <w:r w:rsidR="00C8631C">
        <w:rPr>
          <w:noProof/>
        </w:rPr>
        <w:t>Table of Contents:</w:t>
      </w:r>
      <w:r w:rsidR="00C8631C">
        <w:rPr>
          <w:noProof/>
        </w:rPr>
        <w:tab/>
      </w:r>
      <w:r w:rsidR="00C8631C">
        <w:rPr>
          <w:noProof/>
        </w:rPr>
        <w:fldChar w:fldCharType="begin"/>
      </w:r>
      <w:r w:rsidR="00C8631C">
        <w:rPr>
          <w:noProof/>
        </w:rPr>
        <w:instrText xml:space="preserve"> PAGEREF _Toc254892824 \h </w:instrText>
      </w:r>
      <w:r w:rsidR="00C8631C">
        <w:rPr>
          <w:noProof/>
        </w:rPr>
      </w:r>
      <w:r w:rsidR="00C8631C">
        <w:rPr>
          <w:noProof/>
        </w:rPr>
        <w:fldChar w:fldCharType="separate"/>
      </w:r>
      <w:r w:rsidR="00C8631C">
        <w:rPr>
          <w:noProof/>
        </w:rPr>
        <w:t>2</w:t>
      </w:r>
      <w:r w:rsidR="00C8631C">
        <w:rPr>
          <w:noProof/>
        </w:rPr>
        <w:fldChar w:fldCharType="end"/>
      </w:r>
    </w:p>
    <w:p w14:paraId="5149B4A8" w14:textId="77777777" w:rsidR="00C8631C" w:rsidRDefault="00C8631C">
      <w:pPr>
        <w:pStyle w:val="TOC2"/>
        <w:tabs>
          <w:tab w:val="right" w:leader="dot" w:pos="10450"/>
        </w:tabs>
        <w:rPr>
          <w:rFonts w:asciiTheme="minorHAnsi" w:eastAsiaTheme="minorEastAsia" w:hAnsiTheme="minorHAnsi" w:cstheme="minorBidi"/>
          <w:noProof/>
          <w:sz w:val="24"/>
          <w:lang w:val="en-US" w:eastAsia="ja-JP"/>
        </w:rPr>
      </w:pPr>
      <w:r>
        <w:rPr>
          <w:noProof/>
        </w:rPr>
        <w:t>Table of Acronyms</w:t>
      </w:r>
      <w:r>
        <w:rPr>
          <w:noProof/>
        </w:rPr>
        <w:tab/>
      </w:r>
      <w:r>
        <w:rPr>
          <w:noProof/>
        </w:rPr>
        <w:fldChar w:fldCharType="begin"/>
      </w:r>
      <w:r>
        <w:rPr>
          <w:noProof/>
        </w:rPr>
        <w:instrText xml:space="preserve"> PAGEREF _Toc254892825 \h </w:instrText>
      </w:r>
      <w:r>
        <w:rPr>
          <w:noProof/>
        </w:rPr>
      </w:r>
      <w:r>
        <w:rPr>
          <w:noProof/>
        </w:rPr>
        <w:fldChar w:fldCharType="separate"/>
      </w:r>
      <w:r>
        <w:rPr>
          <w:noProof/>
        </w:rPr>
        <w:t>5</w:t>
      </w:r>
      <w:r>
        <w:rPr>
          <w:noProof/>
        </w:rPr>
        <w:fldChar w:fldCharType="end"/>
      </w:r>
    </w:p>
    <w:p w14:paraId="13A47DE8" w14:textId="77777777" w:rsidR="00C8631C" w:rsidRDefault="00C8631C">
      <w:pPr>
        <w:pStyle w:val="TOC1"/>
        <w:tabs>
          <w:tab w:val="left" w:pos="352"/>
          <w:tab w:val="right" w:leader="dot" w:pos="10450"/>
        </w:tabs>
        <w:rPr>
          <w:rFonts w:asciiTheme="minorHAnsi" w:eastAsiaTheme="minorEastAsia" w:hAnsiTheme="minorHAnsi" w:cstheme="minorBidi"/>
          <w:noProof/>
          <w:sz w:val="24"/>
          <w:lang w:val="en-US" w:eastAsia="ja-JP"/>
        </w:rPr>
      </w:pPr>
      <w:r>
        <w:rPr>
          <w:noProof/>
        </w:rPr>
        <w:t>1</w:t>
      </w:r>
      <w:r>
        <w:rPr>
          <w:rFonts w:asciiTheme="minorHAnsi" w:eastAsiaTheme="minorEastAsia" w:hAnsiTheme="minorHAnsi" w:cstheme="minorBidi"/>
          <w:noProof/>
          <w:sz w:val="24"/>
          <w:lang w:val="en-US" w:eastAsia="ja-JP"/>
        </w:rPr>
        <w:tab/>
      </w:r>
      <w:r>
        <w:rPr>
          <w:noProof/>
        </w:rPr>
        <w:t>Overview</w:t>
      </w:r>
      <w:r>
        <w:rPr>
          <w:noProof/>
        </w:rPr>
        <w:tab/>
      </w:r>
      <w:r>
        <w:rPr>
          <w:noProof/>
        </w:rPr>
        <w:fldChar w:fldCharType="begin"/>
      </w:r>
      <w:r>
        <w:rPr>
          <w:noProof/>
        </w:rPr>
        <w:instrText xml:space="preserve"> PAGEREF _Toc254892826 \h </w:instrText>
      </w:r>
      <w:r>
        <w:rPr>
          <w:noProof/>
        </w:rPr>
      </w:r>
      <w:r>
        <w:rPr>
          <w:noProof/>
        </w:rPr>
        <w:fldChar w:fldCharType="separate"/>
      </w:r>
      <w:r>
        <w:rPr>
          <w:noProof/>
        </w:rPr>
        <w:t>6</w:t>
      </w:r>
      <w:r>
        <w:rPr>
          <w:noProof/>
        </w:rPr>
        <w:fldChar w:fldCharType="end"/>
      </w:r>
    </w:p>
    <w:p w14:paraId="287EDDD6" w14:textId="77777777" w:rsidR="00C8631C" w:rsidRDefault="00C8631C">
      <w:pPr>
        <w:pStyle w:val="TOC2"/>
        <w:tabs>
          <w:tab w:val="left" w:pos="739"/>
          <w:tab w:val="right" w:leader="dot" w:pos="10450"/>
        </w:tabs>
        <w:rPr>
          <w:rFonts w:asciiTheme="minorHAnsi" w:eastAsiaTheme="minorEastAsia" w:hAnsiTheme="minorHAnsi" w:cstheme="minorBidi"/>
          <w:noProof/>
          <w:sz w:val="24"/>
          <w:lang w:val="en-US" w:eastAsia="ja-JP"/>
        </w:rPr>
      </w:pPr>
      <w:r>
        <w:rPr>
          <w:noProof/>
        </w:rPr>
        <w:t>1.1</w:t>
      </w:r>
      <w:r>
        <w:rPr>
          <w:rFonts w:asciiTheme="minorHAnsi" w:eastAsiaTheme="minorEastAsia" w:hAnsiTheme="minorHAnsi" w:cstheme="minorBidi"/>
          <w:noProof/>
          <w:sz w:val="24"/>
          <w:lang w:val="en-US" w:eastAsia="ja-JP"/>
        </w:rPr>
        <w:tab/>
      </w:r>
      <w:r>
        <w:rPr>
          <w:noProof/>
        </w:rPr>
        <w:t>Objective of Guidelines</w:t>
      </w:r>
      <w:r>
        <w:rPr>
          <w:noProof/>
        </w:rPr>
        <w:tab/>
      </w:r>
      <w:r>
        <w:rPr>
          <w:noProof/>
        </w:rPr>
        <w:fldChar w:fldCharType="begin"/>
      </w:r>
      <w:r>
        <w:rPr>
          <w:noProof/>
        </w:rPr>
        <w:instrText xml:space="preserve"> PAGEREF _Toc254892827 \h </w:instrText>
      </w:r>
      <w:r>
        <w:rPr>
          <w:noProof/>
        </w:rPr>
      </w:r>
      <w:r>
        <w:rPr>
          <w:noProof/>
        </w:rPr>
        <w:fldChar w:fldCharType="separate"/>
      </w:r>
      <w:r>
        <w:rPr>
          <w:noProof/>
        </w:rPr>
        <w:t>6</w:t>
      </w:r>
      <w:r>
        <w:rPr>
          <w:noProof/>
        </w:rPr>
        <w:fldChar w:fldCharType="end"/>
      </w:r>
    </w:p>
    <w:p w14:paraId="26112932" w14:textId="77777777" w:rsidR="00C8631C" w:rsidRDefault="00C8631C">
      <w:pPr>
        <w:pStyle w:val="TOC2"/>
        <w:tabs>
          <w:tab w:val="left" w:pos="739"/>
          <w:tab w:val="right" w:leader="dot" w:pos="10450"/>
        </w:tabs>
        <w:rPr>
          <w:rFonts w:asciiTheme="minorHAnsi" w:eastAsiaTheme="minorEastAsia" w:hAnsiTheme="minorHAnsi" w:cstheme="minorBidi"/>
          <w:noProof/>
          <w:sz w:val="24"/>
          <w:lang w:val="en-US" w:eastAsia="ja-JP"/>
        </w:rPr>
      </w:pPr>
      <w:r>
        <w:rPr>
          <w:noProof/>
        </w:rPr>
        <w:t>1.2</w:t>
      </w:r>
      <w:r>
        <w:rPr>
          <w:rFonts w:asciiTheme="minorHAnsi" w:eastAsiaTheme="minorEastAsia" w:hAnsiTheme="minorHAnsi" w:cstheme="minorBidi"/>
          <w:noProof/>
          <w:sz w:val="24"/>
          <w:lang w:val="en-US" w:eastAsia="ja-JP"/>
        </w:rPr>
        <w:tab/>
      </w:r>
      <w:r>
        <w:rPr>
          <w:noProof/>
        </w:rPr>
        <w:t>Target Audience</w:t>
      </w:r>
      <w:r>
        <w:rPr>
          <w:noProof/>
        </w:rPr>
        <w:tab/>
      </w:r>
      <w:r>
        <w:rPr>
          <w:noProof/>
        </w:rPr>
        <w:fldChar w:fldCharType="begin"/>
      </w:r>
      <w:r>
        <w:rPr>
          <w:noProof/>
        </w:rPr>
        <w:instrText xml:space="preserve"> PAGEREF _Toc254892828 \h </w:instrText>
      </w:r>
      <w:r>
        <w:rPr>
          <w:noProof/>
        </w:rPr>
      </w:r>
      <w:r>
        <w:rPr>
          <w:noProof/>
        </w:rPr>
        <w:fldChar w:fldCharType="separate"/>
      </w:r>
      <w:r>
        <w:rPr>
          <w:noProof/>
        </w:rPr>
        <w:t>6</w:t>
      </w:r>
      <w:r>
        <w:rPr>
          <w:noProof/>
        </w:rPr>
        <w:fldChar w:fldCharType="end"/>
      </w:r>
    </w:p>
    <w:p w14:paraId="7B661D74" w14:textId="77777777" w:rsidR="00C8631C" w:rsidRDefault="00C8631C">
      <w:pPr>
        <w:pStyle w:val="TOC2"/>
        <w:tabs>
          <w:tab w:val="left" w:pos="739"/>
          <w:tab w:val="right" w:leader="dot" w:pos="10450"/>
        </w:tabs>
        <w:rPr>
          <w:rFonts w:asciiTheme="minorHAnsi" w:eastAsiaTheme="minorEastAsia" w:hAnsiTheme="minorHAnsi" w:cstheme="minorBidi"/>
          <w:noProof/>
          <w:sz w:val="24"/>
          <w:lang w:val="en-US" w:eastAsia="ja-JP"/>
        </w:rPr>
      </w:pPr>
      <w:r>
        <w:rPr>
          <w:noProof/>
        </w:rPr>
        <w:t>1.3</w:t>
      </w:r>
      <w:r>
        <w:rPr>
          <w:rFonts w:asciiTheme="minorHAnsi" w:eastAsiaTheme="minorEastAsia" w:hAnsiTheme="minorHAnsi" w:cstheme="minorBidi"/>
          <w:noProof/>
          <w:sz w:val="24"/>
          <w:lang w:val="en-US" w:eastAsia="ja-JP"/>
        </w:rPr>
        <w:tab/>
      </w:r>
      <w:r>
        <w:rPr>
          <w:noProof/>
        </w:rPr>
        <w:t>Anticipated Outcomes:</w:t>
      </w:r>
      <w:r>
        <w:rPr>
          <w:noProof/>
        </w:rPr>
        <w:tab/>
      </w:r>
      <w:r>
        <w:rPr>
          <w:noProof/>
        </w:rPr>
        <w:fldChar w:fldCharType="begin"/>
      </w:r>
      <w:r>
        <w:rPr>
          <w:noProof/>
        </w:rPr>
        <w:instrText xml:space="preserve"> PAGEREF _Toc254892829 \h </w:instrText>
      </w:r>
      <w:r>
        <w:rPr>
          <w:noProof/>
        </w:rPr>
      </w:r>
      <w:r>
        <w:rPr>
          <w:noProof/>
        </w:rPr>
        <w:fldChar w:fldCharType="separate"/>
      </w:r>
      <w:r>
        <w:rPr>
          <w:noProof/>
        </w:rPr>
        <w:t>6</w:t>
      </w:r>
      <w:r>
        <w:rPr>
          <w:noProof/>
        </w:rPr>
        <w:fldChar w:fldCharType="end"/>
      </w:r>
    </w:p>
    <w:p w14:paraId="1784F77C" w14:textId="77777777" w:rsidR="00C8631C" w:rsidRDefault="00C8631C">
      <w:pPr>
        <w:pStyle w:val="TOC2"/>
        <w:tabs>
          <w:tab w:val="left" w:pos="739"/>
          <w:tab w:val="right" w:leader="dot" w:pos="10450"/>
        </w:tabs>
        <w:rPr>
          <w:rFonts w:asciiTheme="minorHAnsi" w:eastAsiaTheme="minorEastAsia" w:hAnsiTheme="minorHAnsi" w:cstheme="minorBidi"/>
          <w:noProof/>
          <w:sz w:val="24"/>
          <w:lang w:val="en-US" w:eastAsia="ja-JP"/>
        </w:rPr>
      </w:pPr>
      <w:r>
        <w:rPr>
          <w:noProof/>
        </w:rPr>
        <w:t>1.4</w:t>
      </w:r>
      <w:r>
        <w:rPr>
          <w:rFonts w:asciiTheme="minorHAnsi" w:eastAsiaTheme="minorEastAsia" w:hAnsiTheme="minorHAnsi" w:cstheme="minorBidi"/>
          <w:noProof/>
          <w:sz w:val="24"/>
          <w:lang w:val="en-US" w:eastAsia="ja-JP"/>
        </w:rPr>
        <w:tab/>
      </w:r>
      <w:r>
        <w:rPr>
          <w:noProof/>
        </w:rPr>
        <w:t>Structure of Guidelines</w:t>
      </w:r>
      <w:r>
        <w:rPr>
          <w:noProof/>
        </w:rPr>
        <w:tab/>
      </w:r>
      <w:r>
        <w:rPr>
          <w:noProof/>
        </w:rPr>
        <w:fldChar w:fldCharType="begin"/>
      </w:r>
      <w:r>
        <w:rPr>
          <w:noProof/>
        </w:rPr>
        <w:instrText xml:space="preserve"> PAGEREF _Toc254892830 \h </w:instrText>
      </w:r>
      <w:r>
        <w:rPr>
          <w:noProof/>
        </w:rPr>
      </w:r>
      <w:r>
        <w:rPr>
          <w:noProof/>
        </w:rPr>
        <w:fldChar w:fldCharType="separate"/>
      </w:r>
      <w:r>
        <w:rPr>
          <w:noProof/>
        </w:rPr>
        <w:t>6</w:t>
      </w:r>
      <w:r>
        <w:rPr>
          <w:noProof/>
        </w:rPr>
        <w:fldChar w:fldCharType="end"/>
      </w:r>
    </w:p>
    <w:p w14:paraId="63170BC3" w14:textId="77777777" w:rsidR="00C8631C" w:rsidRDefault="00C8631C">
      <w:pPr>
        <w:pStyle w:val="TOC1"/>
        <w:tabs>
          <w:tab w:val="left" w:pos="352"/>
          <w:tab w:val="right" w:leader="dot" w:pos="10450"/>
        </w:tabs>
        <w:rPr>
          <w:rFonts w:asciiTheme="minorHAnsi" w:eastAsiaTheme="minorEastAsia" w:hAnsiTheme="minorHAnsi" w:cstheme="minorBidi"/>
          <w:noProof/>
          <w:sz w:val="24"/>
          <w:lang w:val="en-US" w:eastAsia="ja-JP"/>
        </w:rPr>
      </w:pPr>
      <w:r>
        <w:rPr>
          <w:noProof/>
        </w:rPr>
        <w:t>2</w:t>
      </w:r>
      <w:r>
        <w:rPr>
          <w:rFonts w:asciiTheme="minorHAnsi" w:eastAsiaTheme="minorEastAsia" w:hAnsiTheme="minorHAnsi" w:cstheme="minorBidi"/>
          <w:noProof/>
          <w:sz w:val="24"/>
          <w:lang w:val="en-US" w:eastAsia="ja-JP"/>
        </w:rPr>
        <w:tab/>
      </w:r>
      <w:r>
        <w:rPr>
          <w:noProof/>
        </w:rPr>
        <w:t>Safeguards and International Requirements for Safeguards</w:t>
      </w:r>
      <w:r>
        <w:rPr>
          <w:noProof/>
        </w:rPr>
        <w:tab/>
      </w:r>
      <w:r>
        <w:rPr>
          <w:noProof/>
        </w:rPr>
        <w:fldChar w:fldCharType="begin"/>
      </w:r>
      <w:r>
        <w:rPr>
          <w:noProof/>
        </w:rPr>
        <w:instrText xml:space="preserve"> PAGEREF _Toc254892831 \h </w:instrText>
      </w:r>
      <w:r>
        <w:rPr>
          <w:noProof/>
        </w:rPr>
      </w:r>
      <w:r>
        <w:rPr>
          <w:noProof/>
        </w:rPr>
        <w:fldChar w:fldCharType="separate"/>
      </w:r>
      <w:r>
        <w:rPr>
          <w:noProof/>
        </w:rPr>
        <w:t>7</w:t>
      </w:r>
      <w:r>
        <w:rPr>
          <w:noProof/>
        </w:rPr>
        <w:fldChar w:fldCharType="end"/>
      </w:r>
    </w:p>
    <w:p w14:paraId="062B2F21" w14:textId="77777777" w:rsidR="00C8631C" w:rsidRDefault="00C8631C">
      <w:pPr>
        <w:pStyle w:val="TOC2"/>
        <w:tabs>
          <w:tab w:val="left" w:pos="739"/>
          <w:tab w:val="right" w:leader="dot" w:pos="10450"/>
        </w:tabs>
        <w:rPr>
          <w:rFonts w:asciiTheme="minorHAnsi" w:eastAsiaTheme="minorEastAsia" w:hAnsiTheme="minorHAnsi" w:cstheme="minorBidi"/>
          <w:noProof/>
          <w:sz w:val="24"/>
          <w:lang w:val="en-US" w:eastAsia="ja-JP"/>
        </w:rPr>
      </w:pPr>
      <w:r>
        <w:rPr>
          <w:noProof/>
        </w:rPr>
        <w:t>2.1</w:t>
      </w:r>
      <w:r>
        <w:rPr>
          <w:rFonts w:asciiTheme="minorHAnsi" w:eastAsiaTheme="minorEastAsia" w:hAnsiTheme="minorHAnsi" w:cstheme="minorBidi"/>
          <w:noProof/>
          <w:sz w:val="24"/>
          <w:lang w:val="en-US" w:eastAsia="ja-JP"/>
        </w:rPr>
        <w:tab/>
      </w:r>
      <w:r>
        <w:rPr>
          <w:noProof/>
        </w:rPr>
        <w:t>What are safeguards</w:t>
      </w:r>
      <w:r>
        <w:rPr>
          <w:noProof/>
        </w:rPr>
        <w:tab/>
      </w:r>
      <w:r>
        <w:rPr>
          <w:noProof/>
        </w:rPr>
        <w:fldChar w:fldCharType="begin"/>
      </w:r>
      <w:r>
        <w:rPr>
          <w:noProof/>
        </w:rPr>
        <w:instrText xml:space="preserve"> PAGEREF _Toc254892832 \h </w:instrText>
      </w:r>
      <w:r>
        <w:rPr>
          <w:noProof/>
        </w:rPr>
      </w:r>
      <w:r>
        <w:rPr>
          <w:noProof/>
        </w:rPr>
        <w:fldChar w:fldCharType="separate"/>
      </w:r>
      <w:r>
        <w:rPr>
          <w:noProof/>
        </w:rPr>
        <w:t>7</w:t>
      </w:r>
      <w:r>
        <w:rPr>
          <w:noProof/>
        </w:rPr>
        <w:fldChar w:fldCharType="end"/>
      </w:r>
    </w:p>
    <w:p w14:paraId="41BBBF0F" w14:textId="77777777" w:rsidR="00C8631C" w:rsidRDefault="00C8631C">
      <w:pPr>
        <w:pStyle w:val="TOC2"/>
        <w:tabs>
          <w:tab w:val="left" w:pos="739"/>
          <w:tab w:val="right" w:leader="dot" w:pos="10450"/>
        </w:tabs>
        <w:rPr>
          <w:rFonts w:asciiTheme="minorHAnsi" w:eastAsiaTheme="minorEastAsia" w:hAnsiTheme="minorHAnsi" w:cstheme="minorBidi"/>
          <w:noProof/>
          <w:sz w:val="24"/>
          <w:lang w:val="en-US" w:eastAsia="ja-JP"/>
        </w:rPr>
      </w:pPr>
      <w:r>
        <w:rPr>
          <w:noProof/>
        </w:rPr>
        <w:t>2.2</w:t>
      </w:r>
      <w:r>
        <w:rPr>
          <w:rFonts w:asciiTheme="minorHAnsi" w:eastAsiaTheme="minorEastAsia" w:hAnsiTheme="minorHAnsi" w:cstheme="minorBidi"/>
          <w:noProof/>
          <w:sz w:val="24"/>
          <w:lang w:val="en-US" w:eastAsia="ja-JP"/>
        </w:rPr>
        <w:tab/>
      </w:r>
      <w:r>
        <w:rPr>
          <w:noProof/>
        </w:rPr>
        <w:t>REDD+ Safeguards within the UNFCCC</w:t>
      </w:r>
      <w:r>
        <w:rPr>
          <w:noProof/>
        </w:rPr>
        <w:tab/>
      </w:r>
      <w:r>
        <w:rPr>
          <w:noProof/>
        </w:rPr>
        <w:fldChar w:fldCharType="begin"/>
      </w:r>
      <w:r>
        <w:rPr>
          <w:noProof/>
        </w:rPr>
        <w:instrText xml:space="preserve"> PAGEREF _Toc254892833 \h </w:instrText>
      </w:r>
      <w:r>
        <w:rPr>
          <w:noProof/>
        </w:rPr>
      </w:r>
      <w:r>
        <w:rPr>
          <w:noProof/>
        </w:rPr>
        <w:fldChar w:fldCharType="separate"/>
      </w:r>
      <w:r>
        <w:rPr>
          <w:noProof/>
        </w:rPr>
        <w:t>8</w:t>
      </w:r>
      <w:r>
        <w:rPr>
          <w:noProof/>
        </w:rPr>
        <w:fldChar w:fldCharType="end"/>
      </w:r>
    </w:p>
    <w:p w14:paraId="5A9D7385" w14:textId="77777777" w:rsidR="00C8631C" w:rsidRDefault="00C8631C">
      <w:pPr>
        <w:pStyle w:val="TOC3"/>
        <w:tabs>
          <w:tab w:val="left" w:pos="1126"/>
          <w:tab w:val="right" w:leader="dot" w:pos="10450"/>
        </w:tabs>
        <w:rPr>
          <w:rFonts w:asciiTheme="minorHAnsi" w:eastAsiaTheme="minorEastAsia" w:hAnsiTheme="minorHAnsi" w:cstheme="minorBidi"/>
          <w:noProof/>
          <w:sz w:val="24"/>
          <w:lang w:val="en-US" w:eastAsia="ja-JP"/>
        </w:rPr>
      </w:pPr>
      <w:r>
        <w:rPr>
          <w:noProof/>
        </w:rPr>
        <w:t>2.2.1</w:t>
      </w:r>
      <w:r>
        <w:rPr>
          <w:rFonts w:asciiTheme="minorHAnsi" w:eastAsiaTheme="minorEastAsia" w:hAnsiTheme="minorHAnsi" w:cstheme="minorBidi"/>
          <w:noProof/>
          <w:sz w:val="24"/>
          <w:lang w:val="en-US" w:eastAsia="ja-JP"/>
        </w:rPr>
        <w:tab/>
      </w:r>
      <w:r>
        <w:rPr>
          <w:noProof/>
        </w:rPr>
        <w:t>Safeguard Information Systems</w:t>
      </w:r>
      <w:r>
        <w:rPr>
          <w:noProof/>
        </w:rPr>
        <w:tab/>
      </w:r>
      <w:r>
        <w:rPr>
          <w:noProof/>
        </w:rPr>
        <w:fldChar w:fldCharType="begin"/>
      </w:r>
      <w:r>
        <w:rPr>
          <w:noProof/>
        </w:rPr>
        <w:instrText xml:space="preserve"> PAGEREF _Toc254892834 \h </w:instrText>
      </w:r>
      <w:r>
        <w:rPr>
          <w:noProof/>
        </w:rPr>
      </w:r>
      <w:r>
        <w:rPr>
          <w:noProof/>
        </w:rPr>
        <w:fldChar w:fldCharType="separate"/>
      </w:r>
      <w:r>
        <w:rPr>
          <w:noProof/>
        </w:rPr>
        <w:t>9</w:t>
      </w:r>
      <w:r>
        <w:rPr>
          <w:noProof/>
        </w:rPr>
        <w:fldChar w:fldCharType="end"/>
      </w:r>
    </w:p>
    <w:p w14:paraId="6565A3AF" w14:textId="77777777" w:rsidR="00C8631C" w:rsidRDefault="00C8631C">
      <w:pPr>
        <w:pStyle w:val="TOC2"/>
        <w:tabs>
          <w:tab w:val="left" w:pos="739"/>
          <w:tab w:val="right" w:leader="dot" w:pos="10450"/>
        </w:tabs>
        <w:rPr>
          <w:rFonts w:asciiTheme="minorHAnsi" w:eastAsiaTheme="minorEastAsia" w:hAnsiTheme="minorHAnsi" w:cstheme="minorBidi"/>
          <w:noProof/>
          <w:sz w:val="24"/>
          <w:lang w:val="en-US" w:eastAsia="ja-JP"/>
        </w:rPr>
      </w:pPr>
      <w:r>
        <w:rPr>
          <w:noProof/>
        </w:rPr>
        <w:t>2.3</w:t>
      </w:r>
      <w:r>
        <w:rPr>
          <w:rFonts w:asciiTheme="minorHAnsi" w:eastAsiaTheme="minorEastAsia" w:hAnsiTheme="minorHAnsi" w:cstheme="minorBidi"/>
          <w:noProof/>
          <w:sz w:val="24"/>
          <w:lang w:val="en-US" w:eastAsia="ja-JP"/>
        </w:rPr>
        <w:tab/>
      </w:r>
      <w:r>
        <w:rPr>
          <w:noProof/>
        </w:rPr>
        <w:t>Existing Frameworks for the Development of National Safeguards</w:t>
      </w:r>
      <w:r>
        <w:rPr>
          <w:noProof/>
        </w:rPr>
        <w:tab/>
      </w:r>
      <w:r>
        <w:rPr>
          <w:noProof/>
        </w:rPr>
        <w:fldChar w:fldCharType="begin"/>
      </w:r>
      <w:r>
        <w:rPr>
          <w:noProof/>
        </w:rPr>
        <w:instrText xml:space="preserve"> PAGEREF _Toc254892835 \h </w:instrText>
      </w:r>
      <w:r>
        <w:rPr>
          <w:noProof/>
        </w:rPr>
      </w:r>
      <w:r>
        <w:rPr>
          <w:noProof/>
        </w:rPr>
        <w:fldChar w:fldCharType="separate"/>
      </w:r>
      <w:r>
        <w:rPr>
          <w:noProof/>
        </w:rPr>
        <w:t>9</w:t>
      </w:r>
      <w:r>
        <w:rPr>
          <w:noProof/>
        </w:rPr>
        <w:fldChar w:fldCharType="end"/>
      </w:r>
    </w:p>
    <w:p w14:paraId="07455FC6" w14:textId="77777777" w:rsidR="00C8631C" w:rsidRDefault="00C8631C">
      <w:pPr>
        <w:pStyle w:val="TOC3"/>
        <w:tabs>
          <w:tab w:val="left" w:pos="1126"/>
          <w:tab w:val="right" w:leader="dot" w:pos="10450"/>
        </w:tabs>
        <w:rPr>
          <w:rFonts w:asciiTheme="minorHAnsi" w:eastAsiaTheme="minorEastAsia" w:hAnsiTheme="minorHAnsi" w:cstheme="minorBidi"/>
          <w:noProof/>
          <w:sz w:val="24"/>
          <w:lang w:val="en-US" w:eastAsia="ja-JP"/>
        </w:rPr>
      </w:pPr>
      <w:r>
        <w:rPr>
          <w:noProof/>
        </w:rPr>
        <w:t>2.3.1</w:t>
      </w:r>
      <w:r>
        <w:rPr>
          <w:rFonts w:asciiTheme="minorHAnsi" w:eastAsiaTheme="minorEastAsia" w:hAnsiTheme="minorHAnsi" w:cstheme="minorBidi"/>
          <w:noProof/>
          <w:sz w:val="24"/>
          <w:lang w:val="en-US" w:eastAsia="ja-JP"/>
        </w:rPr>
        <w:tab/>
      </w:r>
      <w:r>
        <w:rPr>
          <w:noProof/>
        </w:rPr>
        <w:t>The REDD+ SES</w:t>
      </w:r>
      <w:r>
        <w:rPr>
          <w:noProof/>
        </w:rPr>
        <w:tab/>
      </w:r>
      <w:r>
        <w:rPr>
          <w:noProof/>
        </w:rPr>
        <w:fldChar w:fldCharType="begin"/>
      </w:r>
      <w:r>
        <w:rPr>
          <w:noProof/>
        </w:rPr>
        <w:instrText xml:space="preserve"> PAGEREF _Toc254892836 \h </w:instrText>
      </w:r>
      <w:r>
        <w:rPr>
          <w:noProof/>
        </w:rPr>
      </w:r>
      <w:r>
        <w:rPr>
          <w:noProof/>
        </w:rPr>
        <w:fldChar w:fldCharType="separate"/>
      </w:r>
      <w:r>
        <w:rPr>
          <w:noProof/>
        </w:rPr>
        <w:t>10</w:t>
      </w:r>
      <w:r>
        <w:rPr>
          <w:noProof/>
        </w:rPr>
        <w:fldChar w:fldCharType="end"/>
      </w:r>
    </w:p>
    <w:p w14:paraId="0B77D153" w14:textId="77777777" w:rsidR="00C8631C" w:rsidRDefault="00C8631C">
      <w:pPr>
        <w:pStyle w:val="TOC3"/>
        <w:tabs>
          <w:tab w:val="left" w:pos="1126"/>
          <w:tab w:val="right" w:leader="dot" w:pos="10450"/>
        </w:tabs>
        <w:rPr>
          <w:rFonts w:asciiTheme="minorHAnsi" w:eastAsiaTheme="minorEastAsia" w:hAnsiTheme="minorHAnsi" w:cstheme="minorBidi"/>
          <w:noProof/>
          <w:sz w:val="24"/>
          <w:lang w:val="en-US" w:eastAsia="ja-JP"/>
        </w:rPr>
      </w:pPr>
      <w:r>
        <w:rPr>
          <w:noProof/>
        </w:rPr>
        <w:t>2.3.2</w:t>
      </w:r>
      <w:r>
        <w:rPr>
          <w:rFonts w:asciiTheme="minorHAnsi" w:eastAsiaTheme="minorEastAsia" w:hAnsiTheme="minorHAnsi" w:cstheme="minorBidi"/>
          <w:noProof/>
          <w:sz w:val="24"/>
          <w:lang w:val="en-US" w:eastAsia="ja-JP"/>
        </w:rPr>
        <w:tab/>
      </w:r>
      <w:r>
        <w:rPr>
          <w:noProof/>
        </w:rPr>
        <w:t>The FCFP SESA</w:t>
      </w:r>
      <w:r>
        <w:rPr>
          <w:noProof/>
        </w:rPr>
        <w:tab/>
      </w:r>
      <w:r>
        <w:rPr>
          <w:noProof/>
        </w:rPr>
        <w:fldChar w:fldCharType="begin"/>
      </w:r>
      <w:r>
        <w:rPr>
          <w:noProof/>
        </w:rPr>
        <w:instrText xml:space="preserve"> PAGEREF _Toc254892837 \h </w:instrText>
      </w:r>
      <w:r>
        <w:rPr>
          <w:noProof/>
        </w:rPr>
      </w:r>
      <w:r>
        <w:rPr>
          <w:noProof/>
        </w:rPr>
        <w:fldChar w:fldCharType="separate"/>
      </w:r>
      <w:r>
        <w:rPr>
          <w:noProof/>
        </w:rPr>
        <w:t>10</w:t>
      </w:r>
      <w:r>
        <w:rPr>
          <w:noProof/>
        </w:rPr>
        <w:fldChar w:fldCharType="end"/>
      </w:r>
    </w:p>
    <w:p w14:paraId="0EA61EF1" w14:textId="77777777" w:rsidR="00C8631C" w:rsidRDefault="00C8631C">
      <w:pPr>
        <w:pStyle w:val="TOC3"/>
        <w:tabs>
          <w:tab w:val="left" w:pos="1126"/>
          <w:tab w:val="right" w:leader="dot" w:pos="10450"/>
        </w:tabs>
        <w:rPr>
          <w:rFonts w:asciiTheme="minorHAnsi" w:eastAsiaTheme="minorEastAsia" w:hAnsiTheme="minorHAnsi" w:cstheme="minorBidi"/>
          <w:noProof/>
          <w:sz w:val="24"/>
          <w:lang w:val="en-US" w:eastAsia="ja-JP"/>
        </w:rPr>
      </w:pPr>
      <w:r w:rsidRPr="00BA470F">
        <w:rPr>
          <w:noProof/>
          <w:lang w:val="en-US"/>
        </w:rPr>
        <w:t>2.3.3</w:t>
      </w:r>
      <w:r>
        <w:rPr>
          <w:rFonts w:asciiTheme="minorHAnsi" w:eastAsiaTheme="minorEastAsia" w:hAnsiTheme="minorHAnsi" w:cstheme="minorBidi"/>
          <w:noProof/>
          <w:sz w:val="24"/>
          <w:lang w:val="en-US" w:eastAsia="ja-JP"/>
        </w:rPr>
        <w:tab/>
      </w:r>
      <w:r w:rsidRPr="00BA470F">
        <w:rPr>
          <w:noProof/>
          <w:lang w:val="en-US"/>
        </w:rPr>
        <w:t>The UN-REDD SEPC</w:t>
      </w:r>
      <w:r>
        <w:rPr>
          <w:noProof/>
        </w:rPr>
        <w:tab/>
      </w:r>
      <w:r>
        <w:rPr>
          <w:noProof/>
        </w:rPr>
        <w:fldChar w:fldCharType="begin"/>
      </w:r>
      <w:r>
        <w:rPr>
          <w:noProof/>
        </w:rPr>
        <w:instrText xml:space="preserve"> PAGEREF _Toc254892838 \h </w:instrText>
      </w:r>
      <w:r>
        <w:rPr>
          <w:noProof/>
        </w:rPr>
      </w:r>
      <w:r>
        <w:rPr>
          <w:noProof/>
        </w:rPr>
        <w:fldChar w:fldCharType="separate"/>
      </w:r>
      <w:r>
        <w:rPr>
          <w:noProof/>
        </w:rPr>
        <w:t>10</w:t>
      </w:r>
      <w:r>
        <w:rPr>
          <w:noProof/>
        </w:rPr>
        <w:fldChar w:fldCharType="end"/>
      </w:r>
    </w:p>
    <w:p w14:paraId="15FDC976" w14:textId="77777777" w:rsidR="00C8631C" w:rsidRDefault="00C8631C">
      <w:pPr>
        <w:pStyle w:val="TOC1"/>
        <w:tabs>
          <w:tab w:val="left" w:pos="352"/>
          <w:tab w:val="right" w:leader="dot" w:pos="10450"/>
        </w:tabs>
        <w:rPr>
          <w:rFonts w:asciiTheme="minorHAnsi" w:eastAsiaTheme="minorEastAsia" w:hAnsiTheme="minorHAnsi" w:cstheme="minorBidi"/>
          <w:noProof/>
          <w:sz w:val="24"/>
          <w:lang w:val="en-US" w:eastAsia="ja-JP"/>
        </w:rPr>
      </w:pPr>
      <w:r>
        <w:rPr>
          <w:noProof/>
        </w:rPr>
        <w:t>3</w:t>
      </w:r>
      <w:r>
        <w:rPr>
          <w:rFonts w:asciiTheme="minorHAnsi" w:eastAsiaTheme="minorEastAsia" w:hAnsiTheme="minorHAnsi" w:cstheme="minorBidi"/>
          <w:noProof/>
          <w:sz w:val="24"/>
          <w:lang w:val="en-US" w:eastAsia="ja-JP"/>
        </w:rPr>
        <w:tab/>
      </w:r>
      <w:r>
        <w:rPr>
          <w:noProof/>
        </w:rPr>
        <w:t>Developing a REDD+ Country Safeguard System (CSS) within the Solomon Islands</w:t>
      </w:r>
      <w:r>
        <w:rPr>
          <w:noProof/>
        </w:rPr>
        <w:tab/>
      </w:r>
      <w:r>
        <w:rPr>
          <w:noProof/>
        </w:rPr>
        <w:fldChar w:fldCharType="begin"/>
      </w:r>
      <w:r>
        <w:rPr>
          <w:noProof/>
        </w:rPr>
        <w:instrText xml:space="preserve"> PAGEREF _Toc254892839 \h </w:instrText>
      </w:r>
      <w:r>
        <w:rPr>
          <w:noProof/>
        </w:rPr>
      </w:r>
      <w:r>
        <w:rPr>
          <w:noProof/>
        </w:rPr>
        <w:fldChar w:fldCharType="separate"/>
      </w:r>
      <w:r>
        <w:rPr>
          <w:noProof/>
        </w:rPr>
        <w:t>12</w:t>
      </w:r>
      <w:r>
        <w:rPr>
          <w:noProof/>
        </w:rPr>
        <w:fldChar w:fldCharType="end"/>
      </w:r>
    </w:p>
    <w:p w14:paraId="44267967" w14:textId="77777777" w:rsidR="00C8631C" w:rsidRDefault="00C8631C">
      <w:pPr>
        <w:pStyle w:val="TOC2"/>
        <w:tabs>
          <w:tab w:val="left" w:pos="739"/>
          <w:tab w:val="right" w:leader="dot" w:pos="10450"/>
        </w:tabs>
        <w:rPr>
          <w:rFonts w:asciiTheme="minorHAnsi" w:eastAsiaTheme="minorEastAsia" w:hAnsiTheme="minorHAnsi" w:cstheme="minorBidi"/>
          <w:noProof/>
          <w:sz w:val="24"/>
          <w:lang w:val="en-US" w:eastAsia="ja-JP"/>
        </w:rPr>
      </w:pPr>
      <w:r>
        <w:rPr>
          <w:noProof/>
        </w:rPr>
        <w:t>3.1</w:t>
      </w:r>
      <w:r>
        <w:rPr>
          <w:rFonts w:asciiTheme="minorHAnsi" w:eastAsiaTheme="minorEastAsia" w:hAnsiTheme="minorHAnsi" w:cstheme="minorBidi"/>
          <w:noProof/>
          <w:sz w:val="24"/>
          <w:lang w:val="en-US" w:eastAsia="ja-JP"/>
        </w:rPr>
        <w:tab/>
      </w:r>
      <w:r>
        <w:rPr>
          <w:noProof/>
        </w:rPr>
        <w:t>Development of a Country Safeguard System</w:t>
      </w:r>
      <w:r>
        <w:rPr>
          <w:noProof/>
        </w:rPr>
        <w:tab/>
      </w:r>
      <w:r>
        <w:rPr>
          <w:noProof/>
        </w:rPr>
        <w:fldChar w:fldCharType="begin"/>
      </w:r>
      <w:r>
        <w:rPr>
          <w:noProof/>
        </w:rPr>
        <w:instrText xml:space="preserve"> PAGEREF _Toc254892840 \h </w:instrText>
      </w:r>
      <w:r>
        <w:rPr>
          <w:noProof/>
        </w:rPr>
      </w:r>
      <w:r>
        <w:rPr>
          <w:noProof/>
        </w:rPr>
        <w:fldChar w:fldCharType="separate"/>
      </w:r>
      <w:r>
        <w:rPr>
          <w:noProof/>
        </w:rPr>
        <w:t>13</w:t>
      </w:r>
      <w:r>
        <w:rPr>
          <w:noProof/>
        </w:rPr>
        <w:fldChar w:fldCharType="end"/>
      </w:r>
    </w:p>
    <w:p w14:paraId="130C2D7A" w14:textId="77777777" w:rsidR="00C8631C" w:rsidRDefault="00C8631C">
      <w:pPr>
        <w:pStyle w:val="TOC1"/>
        <w:tabs>
          <w:tab w:val="right" w:leader="dot" w:pos="10450"/>
        </w:tabs>
        <w:rPr>
          <w:rFonts w:asciiTheme="minorHAnsi" w:eastAsiaTheme="minorEastAsia" w:hAnsiTheme="minorHAnsi" w:cstheme="minorBidi"/>
          <w:noProof/>
          <w:sz w:val="24"/>
          <w:lang w:val="en-US" w:eastAsia="ja-JP"/>
        </w:rPr>
      </w:pPr>
      <w:r>
        <w:rPr>
          <w:noProof/>
        </w:rPr>
        <w:t>Annex 1: Assessment of Key National Safeguards and, UN-REDD SEPC</w:t>
      </w:r>
      <w:r>
        <w:rPr>
          <w:noProof/>
        </w:rPr>
        <w:tab/>
      </w:r>
      <w:r>
        <w:rPr>
          <w:noProof/>
        </w:rPr>
        <w:fldChar w:fldCharType="begin"/>
      </w:r>
      <w:r>
        <w:rPr>
          <w:noProof/>
        </w:rPr>
        <w:instrText xml:space="preserve"> PAGEREF _Toc254892841 \h </w:instrText>
      </w:r>
      <w:r>
        <w:rPr>
          <w:noProof/>
        </w:rPr>
      </w:r>
      <w:r>
        <w:rPr>
          <w:noProof/>
        </w:rPr>
        <w:fldChar w:fldCharType="separate"/>
      </w:r>
      <w:r>
        <w:rPr>
          <w:noProof/>
        </w:rPr>
        <w:t>20</w:t>
      </w:r>
      <w:r>
        <w:rPr>
          <w:noProof/>
        </w:rPr>
        <w:fldChar w:fldCharType="end"/>
      </w:r>
    </w:p>
    <w:p w14:paraId="5539589E" w14:textId="77777777" w:rsidR="00C8631C" w:rsidRDefault="00C8631C">
      <w:pPr>
        <w:pStyle w:val="TOC2"/>
        <w:tabs>
          <w:tab w:val="right" w:leader="dot" w:pos="10450"/>
        </w:tabs>
        <w:rPr>
          <w:rFonts w:asciiTheme="minorHAnsi" w:eastAsiaTheme="minorEastAsia" w:hAnsiTheme="minorHAnsi" w:cstheme="minorBidi"/>
          <w:noProof/>
          <w:sz w:val="24"/>
          <w:lang w:val="en-US" w:eastAsia="ja-JP"/>
        </w:rPr>
      </w:pPr>
      <w:r>
        <w:rPr>
          <w:noProof/>
        </w:rPr>
        <w:t>Principle 1 – Apply norms of democratic governance, as reflected in national commitments and Multilateral Agreements</w:t>
      </w:r>
      <w:r>
        <w:rPr>
          <w:noProof/>
        </w:rPr>
        <w:tab/>
      </w:r>
      <w:r>
        <w:rPr>
          <w:noProof/>
        </w:rPr>
        <w:fldChar w:fldCharType="begin"/>
      </w:r>
      <w:r>
        <w:rPr>
          <w:noProof/>
        </w:rPr>
        <w:instrText xml:space="preserve"> PAGEREF _Toc254892842 \h </w:instrText>
      </w:r>
      <w:r>
        <w:rPr>
          <w:noProof/>
        </w:rPr>
      </w:r>
      <w:r>
        <w:rPr>
          <w:noProof/>
        </w:rPr>
        <w:fldChar w:fldCharType="separate"/>
      </w:r>
      <w:r>
        <w:rPr>
          <w:noProof/>
        </w:rPr>
        <w:t>20</w:t>
      </w:r>
      <w:r>
        <w:rPr>
          <w:noProof/>
        </w:rPr>
        <w:fldChar w:fldCharType="end"/>
      </w:r>
    </w:p>
    <w:p w14:paraId="0EEE8939" w14:textId="77777777" w:rsidR="00C8631C" w:rsidRDefault="00C8631C">
      <w:pPr>
        <w:pStyle w:val="TOC2"/>
        <w:tabs>
          <w:tab w:val="right" w:leader="dot" w:pos="10450"/>
        </w:tabs>
        <w:rPr>
          <w:rFonts w:asciiTheme="minorHAnsi" w:eastAsiaTheme="minorEastAsia" w:hAnsiTheme="minorHAnsi" w:cstheme="minorBidi"/>
          <w:noProof/>
          <w:sz w:val="24"/>
          <w:lang w:val="en-US" w:eastAsia="ja-JP"/>
        </w:rPr>
      </w:pPr>
      <w:r>
        <w:rPr>
          <w:noProof/>
        </w:rPr>
        <w:t>Principle 2 – Respect and protect stakeholder rights in accordance with international obligations</w:t>
      </w:r>
      <w:r>
        <w:rPr>
          <w:noProof/>
        </w:rPr>
        <w:tab/>
      </w:r>
      <w:r>
        <w:rPr>
          <w:noProof/>
        </w:rPr>
        <w:fldChar w:fldCharType="begin"/>
      </w:r>
      <w:r>
        <w:rPr>
          <w:noProof/>
        </w:rPr>
        <w:instrText xml:space="preserve"> PAGEREF _Toc254892849 \h </w:instrText>
      </w:r>
      <w:r>
        <w:rPr>
          <w:noProof/>
        </w:rPr>
      </w:r>
      <w:r>
        <w:rPr>
          <w:noProof/>
        </w:rPr>
        <w:fldChar w:fldCharType="separate"/>
      </w:r>
      <w:r>
        <w:rPr>
          <w:noProof/>
        </w:rPr>
        <w:t>38</w:t>
      </w:r>
      <w:r>
        <w:rPr>
          <w:noProof/>
        </w:rPr>
        <w:fldChar w:fldCharType="end"/>
      </w:r>
    </w:p>
    <w:p w14:paraId="3AC3102E" w14:textId="77777777" w:rsidR="00C8631C" w:rsidRDefault="00C8631C">
      <w:pPr>
        <w:pStyle w:val="TOC2"/>
        <w:tabs>
          <w:tab w:val="right" w:leader="dot" w:pos="10450"/>
        </w:tabs>
        <w:rPr>
          <w:rFonts w:asciiTheme="minorHAnsi" w:eastAsiaTheme="minorEastAsia" w:hAnsiTheme="minorHAnsi" w:cstheme="minorBidi"/>
          <w:noProof/>
          <w:sz w:val="24"/>
          <w:lang w:val="en-US" w:eastAsia="ja-JP"/>
        </w:rPr>
      </w:pPr>
      <w:r>
        <w:rPr>
          <w:noProof/>
        </w:rPr>
        <w:t>Principle 3 – Promote sustainable livelihoods and poverty reduction</w:t>
      </w:r>
      <w:r>
        <w:rPr>
          <w:noProof/>
        </w:rPr>
        <w:tab/>
      </w:r>
      <w:r>
        <w:rPr>
          <w:noProof/>
        </w:rPr>
        <w:fldChar w:fldCharType="begin"/>
      </w:r>
      <w:r>
        <w:rPr>
          <w:noProof/>
        </w:rPr>
        <w:instrText xml:space="preserve"> PAGEREF _Toc254892855 \h </w:instrText>
      </w:r>
      <w:r>
        <w:rPr>
          <w:noProof/>
        </w:rPr>
      </w:r>
      <w:r>
        <w:rPr>
          <w:noProof/>
        </w:rPr>
        <w:fldChar w:fldCharType="separate"/>
      </w:r>
      <w:r>
        <w:rPr>
          <w:noProof/>
        </w:rPr>
        <w:t>48</w:t>
      </w:r>
      <w:r>
        <w:rPr>
          <w:noProof/>
        </w:rPr>
        <w:fldChar w:fldCharType="end"/>
      </w:r>
    </w:p>
    <w:p w14:paraId="36ADF69E" w14:textId="77777777" w:rsidR="00C8631C" w:rsidRDefault="00C8631C">
      <w:pPr>
        <w:pStyle w:val="TOC2"/>
        <w:tabs>
          <w:tab w:val="right" w:leader="dot" w:pos="10450"/>
        </w:tabs>
        <w:rPr>
          <w:rFonts w:asciiTheme="minorHAnsi" w:eastAsiaTheme="minorEastAsia" w:hAnsiTheme="minorHAnsi" w:cstheme="minorBidi"/>
          <w:noProof/>
          <w:sz w:val="24"/>
          <w:lang w:val="en-US" w:eastAsia="ja-JP"/>
        </w:rPr>
      </w:pPr>
      <w:r>
        <w:rPr>
          <w:noProof/>
        </w:rPr>
        <w:t>Principle 4 – Contribute to low-carbon, climate-resilient sustainable development policy, consistent with national development strategies, national forest programmes, and commitments under international conventions and agreements</w:t>
      </w:r>
      <w:r>
        <w:rPr>
          <w:noProof/>
        </w:rPr>
        <w:tab/>
      </w:r>
      <w:r>
        <w:rPr>
          <w:noProof/>
        </w:rPr>
        <w:fldChar w:fldCharType="begin"/>
      </w:r>
      <w:r>
        <w:rPr>
          <w:noProof/>
        </w:rPr>
        <w:instrText xml:space="preserve"> PAGEREF _Toc254892858 \h </w:instrText>
      </w:r>
      <w:r>
        <w:rPr>
          <w:noProof/>
        </w:rPr>
      </w:r>
      <w:r>
        <w:rPr>
          <w:noProof/>
        </w:rPr>
        <w:fldChar w:fldCharType="separate"/>
      </w:r>
      <w:r>
        <w:rPr>
          <w:noProof/>
        </w:rPr>
        <w:t>52</w:t>
      </w:r>
      <w:r>
        <w:rPr>
          <w:noProof/>
        </w:rPr>
        <w:fldChar w:fldCharType="end"/>
      </w:r>
    </w:p>
    <w:p w14:paraId="759AD81D" w14:textId="77777777" w:rsidR="00C8631C" w:rsidRDefault="00C8631C">
      <w:pPr>
        <w:pStyle w:val="TOC2"/>
        <w:tabs>
          <w:tab w:val="right" w:leader="dot" w:pos="10450"/>
        </w:tabs>
        <w:rPr>
          <w:rFonts w:asciiTheme="minorHAnsi" w:eastAsiaTheme="minorEastAsia" w:hAnsiTheme="minorHAnsi" w:cstheme="minorBidi"/>
          <w:noProof/>
          <w:sz w:val="24"/>
          <w:lang w:val="en-US" w:eastAsia="ja-JP"/>
        </w:rPr>
      </w:pPr>
      <w:r>
        <w:rPr>
          <w:noProof/>
        </w:rPr>
        <w:t>Principle 5 – Protect natural forest from degradation and/or conversion</w:t>
      </w:r>
      <w:r>
        <w:rPr>
          <w:noProof/>
        </w:rPr>
        <w:tab/>
      </w:r>
      <w:r>
        <w:rPr>
          <w:noProof/>
        </w:rPr>
        <w:fldChar w:fldCharType="begin"/>
      </w:r>
      <w:r>
        <w:rPr>
          <w:noProof/>
        </w:rPr>
        <w:instrText xml:space="preserve"> PAGEREF _Toc254892863 \h </w:instrText>
      </w:r>
      <w:r>
        <w:rPr>
          <w:noProof/>
        </w:rPr>
      </w:r>
      <w:r>
        <w:rPr>
          <w:noProof/>
        </w:rPr>
        <w:fldChar w:fldCharType="separate"/>
      </w:r>
      <w:r>
        <w:rPr>
          <w:noProof/>
        </w:rPr>
        <w:t>56</w:t>
      </w:r>
      <w:r>
        <w:rPr>
          <w:noProof/>
        </w:rPr>
        <w:fldChar w:fldCharType="end"/>
      </w:r>
    </w:p>
    <w:p w14:paraId="425972FD" w14:textId="77777777" w:rsidR="00C8631C" w:rsidRDefault="00C8631C">
      <w:pPr>
        <w:pStyle w:val="TOC2"/>
        <w:tabs>
          <w:tab w:val="right" w:leader="dot" w:pos="10450"/>
        </w:tabs>
        <w:rPr>
          <w:rFonts w:asciiTheme="minorHAnsi" w:eastAsiaTheme="minorEastAsia" w:hAnsiTheme="minorHAnsi" w:cstheme="minorBidi"/>
          <w:noProof/>
          <w:sz w:val="24"/>
          <w:lang w:val="en-US" w:eastAsia="ja-JP"/>
        </w:rPr>
      </w:pPr>
      <w:r w:rsidRPr="00BA470F">
        <w:rPr>
          <w:noProof/>
          <w:lang w:val="en-US"/>
        </w:rPr>
        <w:t>Principle 6 – Maintain and enhance multiple functions of forest including conservation of biodiversity and provision of ecosystem services</w:t>
      </w:r>
      <w:r>
        <w:rPr>
          <w:noProof/>
        </w:rPr>
        <w:tab/>
      </w:r>
      <w:r>
        <w:rPr>
          <w:noProof/>
        </w:rPr>
        <w:fldChar w:fldCharType="begin"/>
      </w:r>
      <w:r>
        <w:rPr>
          <w:noProof/>
        </w:rPr>
        <w:instrText xml:space="preserve"> PAGEREF _Toc254892867 \h </w:instrText>
      </w:r>
      <w:r>
        <w:rPr>
          <w:noProof/>
        </w:rPr>
      </w:r>
      <w:r>
        <w:rPr>
          <w:noProof/>
        </w:rPr>
        <w:fldChar w:fldCharType="separate"/>
      </w:r>
      <w:r>
        <w:rPr>
          <w:noProof/>
        </w:rPr>
        <w:t>56</w:t>
      </w:r>
      <w:r>
        <w:rPr>
          <w:noProof/>
        </w:rPr>
        <w:fldChar w:fldCharType="end"/>
      </w:r>
    </w:p>
    <w:p w14:paraId="1C2B1CD7" w14:textId="77777777" w:rsidR="00C8631C" w:rsidRDefault="00C8631C">
      <w:pPr>
        <w:pStyle w:val="TOC2"/>
        <w:tabs>
          <w:tab w:val="right" w:leader="dot" w:pos="10450"/>
        </w:tabs>
        <w:rPr>
          <w:rFonts w:asciiTheme="minorHAnsi" w:eastAsiaTheme="minorEastAsia" w:hAnsiTheme="minorHAnsi" w:cstheme="minorBidi"/>
          <w:noProof/>
          <w:sz w:val="24"/>
          <w:lang w:val="en-US" w:eastAsia="ja-JP"/>
        </w:rPr>
      </w:pPr>
      <w:r>
        <w:rPr>
          <w:noProof/>
        </w:rPr>
        <w:t>Principle 7 – Avoid or minimise adverse impacts on non-forest ecosystem services and biodiversity</w:t>
      </w:r>
      <w:r>
        <w:rPr>
          <w:noProof/>
        </w:rPr>
        <w:tab/>
      </w:r>
      <w:r>
        <w:rPr>
          <w:noProof/>
        </w:rPr>
        <w:fldChar w:fldCharType="begin"/>
      </w:r>
      <w:r>
        <w:rPr>
          <w:noProof/>
        </w:rPr>
        <w:instrText xml:space="preserve"> PAGEREF _Toc254892870 \h </w:instrText>
      </w:r>
      <w:r>
        <w:rPr>
          <w:noProof/>
        </w:rPr>
      </w:r>
      <w:r>
        <w:rPr>
          <w:noProof/>
        </w:rPr>
        <w:fldChar w:fldCharType="separate"/>
      </w:r>
      <w:r>
        <w:rPr>
          <w:noProof/>
        </w:rPr>
        <w:t>56</w:t>
      </w:r>
      <w:r>
        <w:rPr>
          <w:noProof/>
        </w:rPr>
        <w:fldChar w:fldCharType="end"/>
      </w:r>
    </w:p>
    <w:p w14:paraId="024FC664" w14:textId="1D6183E4" w:rsidR="00C8631C" w:rsidRDefault="00C8631C" w:rsidP="00C8631C">
      <w:pPr>
        <w:pStyle w:val="TOC1"/>
        <w:tabs>
          <w:tab w:val="right" w:leader="dot" w:pos="10450"/>
        </w:tabs>
        <w:rPr>
          <w:rFonts w:asciiTheme="minorHAnsi" w:eastAsiaTheme="minorEastAsia" w:hAnsiTheme="minorHAnsi" w:cstheme="minorBidi"/>
          <w:noProof/>
          <w:sz w:val="24"/>
          <w:lang w:val="en-US" w:eastAsia="ja-JP"/>
        </w:rPr>
      </w:pPr>
      <w:r>
        <w:rPr>
          <w:noProof/>
        </w:rPr>
        <w:t>Annex 2: Example of Proposed Revisions – The Environment Act</w:t>
      </w:r>
      <w:r>
        <w:rPr>
          <w:noProof/>
        </w:rPr>
        <w:tab/>
      </w:r>
      <w:r>
        <w:rPr>
          <w:noProof/>
        </w:rPr>
        <w:fldChar w:fldCharType="begin"/>
      </w:r>
      <w:r>
        <w:rPr>
          <w:noProof/>
        </w:rPr>
        <w:instrText xml:space="preserve"> PAGEREF _Toc254892873 \h </w:instrText>
      </w:r>
      <w:r>
        <w:rPr>
          <w:noProof/>
        </w:rPr>
      </w:r>
      <w:r>
        <w:rPr>
          <w:noProof/>
        </w:rPr>
        <w:fldChar w:fldCharType="separate"/>
      </w:r>
      <w:r>
        <w:rPr>
          <w:noProof/>
        </w:rPr>
        <w:t>60</w:t>
      </w:r>
      <w:r>
        <w:rPr>
          <w:noProof/>
        </w:rPr>
        <w:fldChar w:fldCharType="end"/>
      </w:r>
    </w:p>
    <w:p w14:paraId="497A9E67" w14:textId="77777777" w:rsidR="00C8631C" w:rsidRDefault="00C8631C">
      <w:pPr>
        <w:pStyle w:val="TOC1"/>
        <w:tabs>
          <w:tab w:val="right" w:leader="dot" w:pos="10450"/>
        </w:tabs>
        <w:rPr>
          <w:rFonts w:asciiTheme="minorHAnsi" w:eastAsiaTheme="minorEastAsia" w:hAnsiTheme="minorHAnsi" w:cstheme="minorBidi"/>
          <w:noProof/>
          <w:sz w:val="24"/>
          <w:lang w:val="en-US" w:eastAsia="ja-JP"/>
        </w:rPr>
      </w:pPr>
      <w:r>
        <w:rPr>
          <w:noProof/>
        </w:rPr>
        <w:t>Annex 3: List of International Agreements Relevant to REDD+</w:t>
      </w:r>
      <w:r>
        <w:rPr>
          <w:noProof/>
        </w:rPr>
        <w:tab/>
      </w:r>
      <w:r>
        <w:rPr>
          <w:noProof/>
        </w:rPr>
        <w:fldChar w:fldCharType="begin"/>
      </w:r>
      <w:r>
        <w:rPr>
          <w:noProof/>
        </w:rPr>
        <w:instrText xml:space="preserve"> PAGEREF _Toc254892878 \h </w:instrText>
      </w:r>
      <w:r>
        <w:rPr>
          <w:noProof/>
        </w:rPr>
      </w:r>
      <w:r>
        <w:rPr>
          <w:noProof/>
        </w:rPr>
        <w:fldChar w:fldCharType="separate"/>
      </w:r>
      <w:r>
        <w:rPr>
          <w:noProof/>
        </w:rPr>
        <w:t>68</w:t>
      </w:r>
      <w:r>
        <w:rPr>
          <w:noProof/>
        </w:rPr>
        <w:fldChar w:fldCharType="end"/>
      </w:r>
    </w:p>
    <w:p w14:paraId="001BB87B" w14:textId="77777777" w:rsidR="00C8631C" w:rsidRDefault="00C8631C">
      <w:pPr>
        <w:pStyle w:val="TOC1"/>
        <w:tabs>
          <w:tab w:val="right" w:leader="dot" w:pos="10450"/>
        </w:tabs>
        <w:rPr>
          <w:rFonts w:asciiTheme="minorHAnsi" w:eastAsiaTheme="minorEastAsia" w:hAnsiTheme="minorHAnsi" w:cstheme="minorBidi"/>
          <w:noProof/>
          <w:sz w:val="24"/>
          <w:lang w:val="en-US" w:eastAsia="ja-JP"/>
        </w:rPr>
      </w:pPr>
      <w:r>
        <w:rPr>
          <w:noProof/>
        </w:rPr>
        <w:t>Annex 4: List of Existing Domestic Reporting Requirements</w:t>
      </w:r>
      <w:r>
        <w:rPr>
          <w:noProof/>
        </w:rPr>
        <w:tab/>
      </w:r>
      <w:r>
        <w:rPr>
          <w:noProof/>
        </w:rPr>
        <w:fldChar w:fldCharType="begin"/>
      </w:r>
      <w:r>
        <w:rPr>
          <w:noProof/>
        </w:rPr>
        <w:instrText xml:space="preserve"> PAGEREF _Toc254892879 \h </w:instrText>
      </w:r>
      <w:r>
        <w:rPr>
          <w:noProof/>
        </w:rPr>
      </w:r>
      <w:r>
        <w:rPr>
          <w:noProof/>
        </w:rPr>
        <w:fldChar w:fldCharType="separate"/>
      </w:r>
      <w:r>
        <w:rPr>
          <w:noProof/>
        </w:rPr>
        <w:t>71</w:t>
      </w:r>
      <w:r>
        <w:rPr>
          <w:noProof/>
        </w:rPr>
        <w:fldChar w:fldCharType="end"/>
      </w:r>
    </w:p>
    <w:p w14:paraId="6AC020E7" w14:textId="77777777" w:rsidR="00AA4B89" w:rsidRDefault="00AA4B89" w:rsidP="00AA4B89">
      <w:r>
        <w:fldChar w:fldCharType="end"/>
      </w:r>
    </w:p>
    <w:p w14:paraId="67BB2E9C" w14:textId="77777777" w:rsidR="006E78A8" w:rsidRDefault="006E78A8" w:rsidP="006E78A8">
      <w:pPr>
        <w:pStyle w:val="Heading2"/>
        <w:numPr>
          <w:ilvl w:val="0"/>
          <w:numId w:val="0"/>
        </w:numPr>
        <w:ind w:left="576" w:hanging="576"/>
        <w:sectPr w:rsidR="006E78A8" w:rsidSect="00373ECE">
          <w:pgSz w:w="11900" w:h="16840"/>
          <w:pgMar w:top="720" w:right="720" w:bottom="720" w:left="720" w:header="708" w:footer="708" w:gutter="0"/>
          <w:cols w:space="708"/>
          <w:docGrid w:linePitch="360"/>
        </w:sectPr>
      </w:pPr>
    </w:p>
    <w:p w14:paraId="12F7F7B5" w14:textId="77777777" w:rsidR="00AA4B89" w:rsidRDefault="00AA4B89" w:rsidP="006E78A8">
      <w:pPr>
        <w:pStyle w:val="Heading2"/>
        <w:numPr>
          <w:ilvl w:val="0"/>
          <w:numId w:val="0"/>
        </w:numPr>
        <w:ind w:left="576" w:hanging="576"/>
      </w:pPr>
      <w:bookmarkStart w:id="1" w:name="_Toc254892825"/>
      <w:r>
        <w:t>Table of Acronyms</w:t>
      </w:r>
      <w:bookmarkEnd w:id="1"/>
    </w:p>
    <w:p w14:paraId="4DE696D9" w14:textId="77777777" w:rsidR="00AA4B89" w:rsidRDefault="00AA4B89" w:rsidP="00AA4B89"/>
    <w:tbl>
      <w:tblPr>
        <w:tblW w:w="0" w:type="auto"/>
        <w:tblLook w:val="04A0" w:firstRow="1" w:lastRow="0" w:firstColumn="1" w:lastColumn="0" w:noHBand="0" w:noVBand="1"/>
      </w:tblPr>
      <w:tblGrid>
        <w:gridCol w:w="1809"/>
        <w:gridCol w:w="8147"/>
      </w:tblGrid>
      <w:tr w:rsidR="003A3F6D" w:rsidRPr="00536E8F" w14:paraId="74B52211" w14:textId="77777777" w:rsidTr="003A3F6D">
        <w:trPr>
          <w:trHeight w:val="577"/>
        </w:trPr>
        <w:tc>
          <w:tcPr>
            <w:tcW w:w="1809" w:type="dxa"/>
            <w:shd w:val="clear" w:color="auto" w:fill="auto"/>
          </w:tcPr>
          <w:p w14:paraId="2235D03C" w14:textId="77777777" w:rsidR="003A3F6D" w:rsidRPr="003A3F6D" w:rsidRDefault="003A3F6D" w:rsidP="00285010">
            <w:pPr>
              <w:rPr>
                <w:b/>
                <w:color w:val="548DD4"/>
                <w:sz w:val="24"/>
              </w:rPr>
            </w:pPr>
            <w:r w:rsidRPr="003A3F6D">
              <w:rPr>
                <w:b/>
                <w:color w:val="548DD4"/>
                <w:sz w:val="24"/>
              </w:rPr>
              <w:t>Acronym</w:t>
            </w:r>
          </w:p>
        </w:tc>
        <w:tc>
          <w:tcPr>
            <w:tcW w:w="8147" w:type="dxa"/>
            <w:shd w:val="clear" w:color="auto" w:fill="auto"/>
          </w:tcPr>
          <w:p w14:paraId="058259A1" w14:textId="77777777" w:rsidR="003A3F6D" w:rsidRPr="003A3F6D" w:rsidRDefault="003A3F6D" w:rsidP="00285010">
            <w:pPr>
              <w:rPr>
                <w:b/>
                <w:color w:val="548DD4"/>
                <w:sz w:val="24"/>
              </w:rPr>
            </w:pPr>
            <w:r w:rsidRPr="003A3F6D">
              <w:rPr>
                <w:b/>
                <w:color w:val="548DD4"/>
                <w:sz w:val="24"/>
              </w:rPr>
              <w:t>Definition</w:t>
            </w:r>
          </w:p>
        </w:tc>
      </w:tr>
      <w:tr w:rsidR="003A3F6D" w14:paraId="4DE5ED83" w14:textId="77777777" w:rsidTr="003A3F6D">
        <w:tc>
          <w:tcPr>
            <w:tcW w:w="1809" w:type="dxa"/>
            <w:shd w:val="clear" w:color="auto" w:fill="auto"/>
          </w:tcPr>
          <w:p w14:paraId="63E8E94C" w14:textId="77777777" w:rsidR="003A3F6D" w:rsidRDefault="003A3F6D" w:rsidP="00285010">
            <w:r>
              <w:t>CBD</w:t>
            </w:r>
          </w:p>
        </w:tc>
        <w:tc>
          <w:tcPr>
            <w:tcW w:w="8147" w:type="dxa"/>
            <w:shd w:val="clear" w:color="auto" w:fill="auto"/>
          </w:tcPr>
          <w:p w14:paraId="794B0403" w14:textId="77777777" w:rsidR="003A3F6D" w:rsidRDefault="003A3F6D" w:rsidP="00285010">
            <w:r>
              <w:t>Convention on Biodiversity</w:t>
            </w:r>
          </w:p>
        </w:tc>
      </w:tr>
      <w:tr w:rsidR="003A3F6D" w14:paraId="0D792CAE" w14:textId="77777777" w:rsidTr="003A3F6D">
        <w:tc>
          <w:tcPr>
            <w:tcW w:w="1809" w:type="dxa"/>
            <w:shd w:val="clear" w:color="auto" w:fill="auto"/>
          </w:tcPr>
          <w:p w14:paraId="08D58F56" w14:textId="77777777" w:rsidR="003A3F6D" w:rsidRDefault="003A3F6D" w:rsidP="00285010">
            <w:r>
              <w:t>CBSI</w:t>
            </w:r>
          </w:p>
        </w:tc>
        <w:tc>
          <w:tcPr>
            <w:tcW w:w="8147" w:type="dxa"/>
            <w:shd w:val="clear" w:color="auto" w:fill="auto"/>
          </w:tcPr>
          <w:p w14:paraId="03E89A6E" w14:textId="77777777" w:rsidR="003A3F6D" w:rsidRDefault="003A3F6D" w:rsidP="00285010">
            <w:r>
              <w:t>Central Bank of the Solomon Islands</w:t>
            </w:r>
          </w:p>
        </w:tc>
      </w:tr>
      <w:tr w:rsidR="003A3F6D" w14:paraId="79B16146" w14:textId="77777777" w:rsidTr="003A3F6D">
        <w:tc>
          <w:tcPr>
            <w:tcW w:w="1809" w:type="dxa"/>
            <w:shd w:val="clear" w:color="auto" w:fill="auto"/>
          </w:tcPr>
          <w:p w14:paraId="7CB3C3F5" w14:textId="77777777" w:rsidR="003A3F6D" w:rsidRDefault="003A3F6D" w:rsidP="00285010">
            <w:r>
              <w:t>CCBA</w:t>
            </w:r>
          </w:p>
        </w:tc>
        <w:tc>
          <w:tcPr>
            <w:tcW w:w="8147" w:type="dxa"/>
            <w:shd w:val="clear" w:color="auto" w:fill="auto"/>
          </w:tcPr>
          <w:p w14:paraId="1771896A" w14:textId="77777777" w:rsidR="003A3F6D" w:rsidRDefault="003A3F6D" w:rsidP="00285010">
            <w:r>
              <w:t>Climate Community and Biodiversity Alliance</w:t>
            </w:r>
          </w:p>
        </w:tc>
      </w:tr>
      <w:tr w:rsidR="003A3F6D" w14:paraId="287CF34C" w14:textId="77777777" w:rsidTr="003A3F6D">
        <w:tc>
          <w:tcPr>
            <w:tcW w:w="1809" w:type="dxa"/>
            <w:shd w:val="clear" w:color="auto" w:fill="auto"/>
          </w:tcPr>
          <w:p w14:paraId="24EDBC5B" w14:textId="77777777" w:rsidR="003A3F6D" w:rsidRDefault="003A3F6D" w:rsidP="00285010">
            <w:r>
              <w:t>CP</w:t>
            </w:r>
          </w:p>
        </w:tc>
        <w:tc>
          <w:tcPr>
            <w:tcW w:w="8147" w:type="dxa"/>
            <w:shd w:val="clear" w:color="auto" w:fill="auto"/>
          </w:tcPr>
          <w:p w14:paraId="4F5FC7B3" w14:textId="77777777" w:rsidR="003A3F6D" w:rsidRDefault="003A3F6D" w:rsidP="00285010">
            <w:r>
              <w:t>Conference of the Parties</w:t>
            </w:r>
          </w:p>
        </w:tc>
      </w:tr>
      <w:tr w:rsidR="003A3F6D" w14:paraId="2D0E6692" w14:textId="77777777" w:rsidTr="003A3F6D">
        <w:tc>
          <w:tcPr>
            <w:tcW w:w="1809" w:type="dxa"/>
            <w:shd w:val="clear" w:color="auto" w:fill="auto"/>
          </w:tcPr>
          <w:p w14:paraId="5C8E7935" w14:textId="77777777" w:rsidR="003A3F6D" w:rsidRDefault="003A3F6D" w:rsidP="00285010">
            <w:r>
              <w:t>DRR</w:t>
            </w:r>
          </w:p>
        </w:tc>
        <w:tc>
          <w:tcPr>
            <w:tcW w:w="8147" w:type="dxa"/>
            <w:shd w:val="clear" w:color="auto" w:fill="auto"/>
          </w:tcPr>
          <w:p w14:paraId="60CCD4D9" w14:textId="77777777" w:rsidR="003A3F6D" w:rsidRDefault="003A3F6D" w:rsidP="00285010">
            <w:r>
              <w:t>Disaster Risk Reduction</w:t>
            </w:r>
          </w:p>
        </w:tc>
      </w:tr>
      <w:tr w:rsidR="003A3F6D" w14:paraId="03CFD382" w14:textId="77777777" w:rsidTr="003A3F6D">
        <w:tc>
          <w:tcPr>
            <w:tcW w:w="1809" w:type="dxa"/>
            <w:shd w:val="clear" w:color="auto" w:fill="auto"/>
          </w:tcPr>
          <w:p w14:paraId="1C81AB6F" w14:textId="77777777" w:rsidR="003A3F6D" w:rsidRDefault="003A3F6D" w:rsidP="00285010">
            <w:r>
              <w:t xml:space="preserve">EA </w:t>
            </w:r>
          </w:p>
        </w:tc>
        <w:tc>
          <w:tcPr>
            <w:tcW w:w="8147" w:type="dxa"/>
            <w:shd w:val="clear" w:color="auto" w:fill="auto"/>
          </w:tcPr>
          <w:p w14:paraId="359A843C" w14:textId="77777777" w:rsidR="003A3F6D" w:rsidRDefault="003A3F6D" w:rsidP="00285010">
            <w:r>
              <w:t xml:space="preserve">Environment Act </w:t>
            </w:r>
          </w:p>
        </w:tc>
      </w:tr>
      <w:tr w:rsidR="003A3F6D" w14:paraId="15F97314" w14:textId="77777777" w:rsidTr="003A3F6D">
        <w:tc>
          <w:tcPr>
            <w:tcW w:w="1809" w:type="dxa"/>
            <w:shd w:val="clear" w:color="auto" w:fill="auto"/>
          </w:tcPr>
          <w:p w14:paraId="56F1D04E" w14:textId="77777777" w:rsidR="003A3F6D" w:rsidRDefault="003A3F6D" w:rsidP="00285010">
            <w:r>
              <w:t>FAO</w:t>
            </w:r>
          </w:p>
        </w:tc>
        <w:tc>
          <w:tcPr>
            <w:tcW w:w="8147" w:type="dxa"/>
            <w:shd w:val="clear" w:color="auto" w:fill="auto"/>
          </w:tcPr>
          <w:p w14:paraId="15D13560" w14:textId="77777777" w:rsidR="003A3F6D" w:rsidRDefault="003A3F6D" w:rsidP="00285010">
            <w:r>
              <w:t>Food and Agriculture Organisation</w:t>
            </w:r>
          </w:p>
        </w:tc>
      </w:tr>
      <w:tr w:rsidR="003A3F6D" w14:paraId="0BC42B63" w14:textId="77777777" w:rsidTr="003A3F6D">
        <w:tc>
          <w:tcPr>
            <w:tcW w:w="1809" w:type="dxa"/>
            <w:shd w:val="clear" w:color="auto" w:fill="auto"/>
          </w:tcPr>
          <w:p w14:paraId="1DC07985" w14:textId="77777777" w:rsidR="003A3F6D" w:rsidRDefault="003A3F6D" w:rsidP="00285010">
            <w:r>
              <w:t>FCPF</w:t>
            </w:r>
          </w:p>
        </w:tc>
        <w:tc>
          <w:tcPr>
            <w:tcW w:w="8147" w:type="dxa"/>
            <w:shd w:val="clear" w:color="auto" w:fill="auto"/>
          </w:tcPr>
          <w:p w14:paraId="7C02A014" w14:textId="77777777" w:rsidR="003A3F6D" w:rsidRDefault="003A3F6D" w:rsidP="00285010">
            <w:r>
              <w:t xml:space="preserve">Forest Carbon Partnership Facility </w:t>
            </w:r>
          </w:p>
        </w:tc>
      </w:tr>
      <w:tr w:rsidR="003A3F6D" w14:paraId="42723D1D" w14:textId="77777777" w:rsidTr="003A3F6D">
        <w:tc>
          <w:tcPr>
            <w:tcW w:w="1809" w:type="dxa"/>
            <w:shd w:val="clear" w:color="auto" w:fill="auto"/>
          </w:tcPr>
          <w:p w14:paraId="7FC11BD9" w14:textId="77777777" w:rsidR="003A3F6D" w:rsidRDefault="003A3F6D" w:rsidP="00285010">
            <w:r>
              <w:t>FPIC</w:t>
            </w:r>
          </w:p>
        </w:tc>
        <w:tc>
          <w:tcPr>
            <w:tcW w:w="8147" w:type="dxa"/>
            <w:shd w:val="clear" w:color="auto" w:fill="auto"/>
          </w:tcPr>
          <w:p w14:paraId="2E565E73" w14:textId="77777777" w:rsidR="003A3F6D" w:rsidRDefault="003A3F6D" w:rsidP="00285010">
            <w:r>
              <w:t>Free Prior Informed Consent</w:t>
            </w:r>
          </w:p>
        </w:tc>
      </w:tr>
      <w:tr w:rsidR="003A3F6D" w14:paraId="2E2C19BE" w14:textId="77777777" w:rsidTr="003A3F6D">
        <w:tc>
          <w:tcPr>
            <w:tcW w:w="1809" w:type="dxa"/>
            <w:shd w:val="clear" w:color="auto" w:fill="auto"/>
          </w:tcPr>
          <w:p w14:paraId="339F6B7C" w14:textId="77777777" w:rsidR="003A3F6D" w:rsidRDefault="003A3F6D" w:rsidP="00285010">
            <w:r>
              <w:t>FRTUA</w:t>
            </w:r>
          </w:p>
        </w:tc>
        <w:tc>
          <w:tcPr>
            <w:tcW w:w="8147" w:type="dxa"/>
            <w:shd w:val="clear" w:color="auto" w:fill="auto"/>
          </w:tcPr>
          <w:p w14:paraId="05EB47BF" w14:textId="77777777" w:rsidR="003A3F6D" w:rsidRDefault="003A3F6D" w:rsidP="00285010">
            <w:r>
              <w:t>Forest Resource and Timber Utilisation Act</w:t>
            </w:r>
          </w:p>
        </w:tc>
      </w:tr>
      <w:tr w:rsidR="003A3F6D" w14:paraId="78203DE9" w14:textId="77777777" w:rsidTr="003A3F6D">
        <w:tc>
          <w:tcPr>
            <w:tcW w:w="1809" w:type="dxa"/>
            <w:shd w:val="clear" w:color="auto" w:fill="auto"/>
          </w:tcPr>
          <w:p w14:paraId="6CE46011" w14:textId="77777777" w:rsidR="003A3F6D" w:rsidRDefault="003A3F6D" w:rsidP="00285010">
            <w:r>
              <w:t>ICERD</w:t>
            </w:r>
          </w:p>
        </w:tc>
        <w:tc>
          <w:tcPr>
            <w:tcW w:w="8147" w:type="dxa"/>
            <w:shd w:val="clear" w:color="auto" w:fill="auto"/>
          </w:tcPr>
          <w:p w14:paraId="10466869" w14:textId="77777777" w:rsidR="003A3F6D" w:rsidRDefault="003A3F6D" w:rsidP="00285010">
            <w:r>
              <w:t>International Convention on all forms of Racial Discrimination</w:t>
            </w:r>
          </w:p>
        </w:tc>
      </w:tr>
      <w:tr w:rsidR="003A3F6D" w14:paraId="3B5F9A7B" w14:textId="77777777" w:rsidTr="003A3F6D">
        <w:tc>
          <w:tcPr>
            <w:tcW w:w="1809" w:type="dxa"/>
            <w:shd w:val="clear" w:color="auto" w:fill="auto"/>
          </w:tcPr>
          <w:p w14:paraId="07F41593" w14:textId="77777777" w:rsidR="003A3F6D" w:rsidRDefault="003A3F6D" w:rsidP="00285010">
            <w:r>
              <w:t>LALSU</w:t>
            </w:r>
          </w:p>
        </w:tc>
        <w:tc>
          <w:tcPr>
            <w:tcW w:w="8147" w:type="dxa"/>
            <w:shd w:val="clear" w:color="auto" w:fill="auto"/>
          </w:tcPr>
          <w:p w14:paraId="39EC5AAE" w14:textId="77777777" w:rsidR="003A3F6D" w:rsidRDefault="003A3F6D" w:rsidP="00285010">
            <w:r>
              <w:t>Landowners Advocacy and Legal Support Unit</w:t>
            </w:r>
          </w:p>
        </w:tc>
      </w:tr>
      <w:tr w:rsidR="003A3F6D" w14:paraId="1DD5627D" w14:textId="77777777" w:rsidTr="003A3F6D">
        <w:tc>
          <w:tcPr>
            <w:tcW w:w="1809" w:type="dxa"/>
            <w:shd w:val="clear" w:color="auto" w:fill="auto"/>
          </w:tcPr>
          <w:p w14:paraId="5DB62F48" w14:textId="77777777" w:rsidR="003A3F6D" w:rsidRDefault="003A3F6D" w:rsidP="00285010">
            <w:r>
              <w:t>MECDM</w:t>
            </w:r>
          </w:p>
        </w:tc>
        <w:tc>
          <w:tcPr>
            <w:tcW w:w="8147" w:type="dxa"/>
            <w:shd w:val="clear" w:color="auto" w:fill="auto"/>
          </w:tcPr>
          <w:p w14:paraId="3140CBC0" w14:textId="77777777" w:rsidR="003A3F6D" w:rsidRDefault="003A3F6D" w:rsidP="00285010">
            <w:r>
              <w:t xml:space="preserve">Ministry of Environment Climate Change, Disaster Management and Meteorology </w:t>
            </w:r>
          </w:p>
        </w:tc>
      </w:tr>
      <w:tr w:rsidR="003A3F6D" w14:paraId="53335718" w14:textId="77777777" w:rsidTr="003A3F6D">
        <w:tc>
          <w:tcPr>
            <w:tcW w:w="1809" w:type="dxa"/>
            <w:shd w:val="clear" w:color="auto" w:fill="auto"/>
          </w:tcPr>
          <w:p w14:paraId="1E3011CE" w14:textId="77777777" w:rsidR="003A3F6D" w:rsidRDefault="003A3F6D" w:rsidP="00285010">
            <w:r>
              <w:t>MoF</w:t>
            </w:r>
          </w:p>
        </w:tc>
        <w:tc>
          <w:tcPr>
            <w:tcW w:w="8147" w:type="dxa"/>
            <w:shd w:val="clear" w:color="auto" w:fill="auto"/>
          </w:tcPr>
          <w:p w14:paraId="3527CEBF" w14:textId="77777777" w:rsidR="003A3F6D" w:rsidRDefault="003A3F6D" w:rsidP="00285010">
            <w:r>
              <w:t>Ministry of Finance</w:t>
            </w:r>
          </w:p>
        </w:tc>
      </w:tr>
      <w:tr w:rsidR="003A3F6D" w14:paraId="6B2DFD2C" w14:textId="77777777" w:rsidTr="003A3F6D">
        <w:tc>
          <w:tcPr>
            <w:tcW w:w="1809" w:type="dxa"/>
            <w:shd w:val="clear" w:color="auto" w:fill="auto"/>
          </w:tcPr>
          <w:p w14:paraId="73A10829" w14:textId="77777777" w:rsidR="003A3F6D" w:rsidRDefault="003A3F6D" w:rsidP="00285010">
            <w:r>
              <w:t>MoFR</w:t>
            </w:r>
          </w:p>
        </w:tc>
        <w:tc>
          <w:tcPr>
            <w:tcW w:w="8147" w:type="dxa"/>
            <w:shd w:val="clear" w:color="auto" w:fill="auto"/>
          </w:tcPr>
          <w:p w14:paraId="03C301F0" w14:textId="77777777" w:rsidR="003A3F6D" w:rsidRDefault="003A3F6D" w:rsidP="00285010">
            <w:r>
              <w:t>Ministry of Forests and Research</w:t>
            </w:r>
          </w:p>
        </w:tc>
      </w:tr>
      <w:tr w:rsidR="003A3F6D" w14:paraId="5F781546" w14:textId="77777777" w:rsidTr="003A3F6D">
        <w:tc>
          <w:tcPr>
            <w:tcW w:w="1809" w:type="dxa"/>
            <w:shd w:val="clear" w:color="auto" w:fill="auto"/>
          </w:tcPr>
          <w:p w14:paraId="5E566889" w14:textId="77777777" w:rsidR="003A3F6D" w:rsidRDefault="003A3F6D" w:rsidP="00285010">
            <w:r>
              <w:t>NGO</w:t>
            </w:r>
          </w:p>
        </w:tc>
        <w:tc>
          <w:tcPr>
            <w:tcW w:w="8147" w:type="dxa"/>
            <w:shd w:val="clear" w:color="auto" w:fill="auto"/>
          </w:tcPr>
          <w:p w14:paraId="33F52ACF" w14:textId="77777777" w:rsidR="003A3F6D" w:rsidRDefault="003A3F6D" w:rsidP="00285010">
            <w:r>
              <w:t>Non-Governmental Organisation</w:t>
            </w:r>
          </w:p>
        </w:tc>
      </w:tr>
      <w:tr w:rsidR="003A3F6D" w14:paraId="3AC680F6" w14:textId="77777777" w:rsidTr="003A3F6D">
        <w:tc>
          <w:tcPr>
            <w:tcW w:w="1809" w:type="dxa"/>
            <w:shd w:val="clear" w:color="auto" w:fill="auto"/>
          </w:tcPr>
          <w:p w14:paraId="1CD5029C" w14:textId="77777777" w:rsidR="003A3F6D" w:rsidRDefault="003A3F6D" w:rsidP="00285010">
            <w:r>
              <w:t>PA</w:t>
            </w:r>
          </w:p>
        </w:tc>
        <w:tc>
          <w:tcPr>
            <w:tcW w:w="8147" w:type="dxa"/>
            <w:shd w:val="clear" w:color="auto" w:fill="auto"/>
          </w:tcPr>
          <w:p w14:paraId="32D1EEE4" w14:textId="77777777" w:rsidR="003A3F6D" w:rsidRDefault="003A3F6D" w:rsidP="00285010">
            <w:r>
              <w:t>Protected Area</w:t>
            </w:r>
          </w:p>
        </w:tc>
      </w:tr>
      <w:tr w:rsidR="003A3F6D" w14:paraId="3FDE8A0C" w14:textId="77777777" w:rsidTr="003A3F6D">
        <w:tc>
          <w:tcPr>
            <w:tcW w:w="1809" w:type="dxa"/>
            <w:shd w:val="clear" w:color="auto" w:fill="auto"/>
          </w:tcPr>
          <w:p w14:paraId="6C4E38ED" w14:textId="77777777" w:rsidR="003A3F6D" w:rsidRDefault="003A3F6D" w:rsidP="00285010">
            <w:r>
              <w:t>PSO</w:t>
            </w:r>
          </w:p>
        </w:tc>
        <w:tc>
          <w:tcPr>
            <w:tcW w:w="8147" w:type="dxa"/>
            <w:shd w:val="clear" w:color="auto" w:fill="auto"/>
          </w:tcPr>
          <w:p w14:paraId="0FEADAF4" w14:textId="77777777" w:rsidR="003A3F6D" w:rsidRDefault="003A3F6D" w:rsidP="00285010">
            <w:r>
              <w:t xml:space="preserve">Public Solicitors Office </w:t>
            </w:r>
          </w:p>
        </w:tc>
      </w:tr>
      <w:tr w:rsidR="003A3F6D" w14:paraId="11D25020" w14:textId="77777777" w:rsidTr="003A3F6D">
        <w:tc>
          <w:tcPr>
            <w:tcW w:w="1809" w:type="dxa"/>
            <w:shd w:val="clear" w:color="auto" w:fill="auto"/>
          </w:tcPr>
          <w:p w14:paraId="5762CC2B" w14:textId="77777777" w:rsidR="003A3F6D" w:rsidRDefault="003A3F6D" w:rsidP="00285010">
            <w:r>
              <w:t>REDD</w:t>
            </w:r>
          </w:p>
        </w:tc>
        <w:tc>
          <w:tcPr>
            <w:tcW w:w="8147" w:type="dxa"/>
            <w:shd w:val="clear" w:color="auto" w:fill="auto"/>
          </w:tcPr>
          <w:p w14:paraId="043F7759" w14:textId="77777777" w:rsidR="003A3F6D" w:rsidRDefault="003A3F6D" w:rsidP="00285010">
            <w:r>
              <w:t>Reduced Emissions from Deforestation and forest Degradation</w:t>
            </w:r>
          </w:p>
        </w:tc>
      </w:tr>
      <w:tr w:rsidR="003A3F6D" w14:paraId="51AA9A43" w14:textId="77777777" w:rsidTr="003A3F6D">
        <w:tc>
          <w:tcPr>
            <w:tcW w:w="1809" w:type="dxa"/>
            <w:shd w:val="clear" w:color="auto" w:fill="auto"/>
          </w:tcPr>
          <w:p w14:paraId="4C589758" w14:textId="77777777" w:rsidR="003A3F6D" w:rsidRDefault="003A3F6D" w:rsidP="00285010">
            <w:r>
              <w:t>REDD+</w:t>
            </w:r>
          </w:p>
        </w:tc>
        <w:tc>
          <w:tcPr>
            <w:tcW w:w="8147" w:type="dxa"/>
            <w:shd w:val="clear" w:color="auto" w:fill="auto"/>
          </w:tcPr>
          <w:p w14:paraId="7DB2DBE3" w14:textId="77777777" w:rsidR="003A3F6D" w:rsidRDefault="003A3F6D" w:rsidP="00285010">
            <w:r w:rsidRPr="00CF71B0">
              <w:t>Reducing Emissions from Deforestation and Forest degradation, and the role of conservation, sustainable management of forests and enhancement of forest carbon stocks in developing countries</w:t>
            </w:r>
          </w:p>
        </w:tc>
      </w:tr>
      <w:tr w:rsidR="003A3F6D" w14:paraId="7C52B1AC" w14:textId="77777777" w:rsidTr="003A3F6D">
        <w:tc>
          <w:tcPr>
            <w:tcW w:w="1809" w:type="dxa"/>
            <w:shd w:val="clear" w:color="auto" w:fill="auto"/>
          </w:tcPr>
          <w:p w14:paraId="18ECCD7D" w14:textId="77777777" w:rsidR="003A3F6D" w:rsidRDefault="003A3F6D" w:rsidP="00285010">
            <w:r>
              <w:t>REDD+ SES</w:t>
            </w:r>
          </w:p>
        </w:tc>
        <w:tc>
          <w:tcPr>
            <w:tcW w:w="8147" w:type="dxa"/>
            <w:shd w:val="clear" w:color="auto" w:fill="auto"/>
          </w:tcPr>
          <w:p w14:paraId="4F940362" w14:textId="77777777" w:rsidR="003A3F6D" w:rsidRDefault="003A3F6D" w:rsidP="00285010">
            <w:r>
              <w:t xml:space="preserve">REDD+ Social and Environmental Standards </w:t>
            </w:r>
          </w:p>
        </w:tc>
      </w:tr>
      <w:tr w:rsidR="003A3F6D" w14:paraId="50D5B471" w14:textId="77777777" w:rsidTr="003A3F6D">
        <w:tc>
          <w:tcPr>
            <w:tcW w:w="1809" w:type="dxa"/>
            <w:shd w:val="clear" w:color="auto" w:fill="auto"/>
          </w:tcPr>
          <w:p w14:paraId="0B7702FB" w14:textId="77777777" w:rsidR="003A3F6D" w:rsidRDefault="003A3F6D" w:rsidP="00285010">
            <w:r>
              <w:t>SESA</w:t>
            </w:r>
          </w:p>
        </w:tc>
        <w:tc>
          <w:tcPr>
            <w:tcW w:w="8147" w:type="dxa"/>
            <w:shd w:val="clear" w:color="auto" w:fill="auto"/>
          </w:tcPr>
          <w:p w14:paraId="6FBA1572" w14:textId="77777777" w:rsidR="003A3F6D" w:rsidRDefault="003A3F6D" w:rsidP="00285010">
            <w:r>
              <w:t>Strategic Environmental and Social Assessment</w:t>
            </w:r>
          </w:p>
        </w:tc>
      </w:tr>
      <w:tr w:rsidR="003A3F6D" w14:paraId="4A26FA96" w14:textId="77777777" w:rsidTr="003A3F6D">
        <w:tc>
          <w:tcPr>
            <w:tcW w:w="1809" w:type="dxa"/>
            <w:shd w:val="clear" w:color="auto" w:fill="auto"/>
          </w:tcPr>
          <w:p w14:paraId="317840F9" w14:textId="77777777" w:rsidR="003A3F6D" w:rsidRDefault="003A3F6D" w:rsidP="00285010">
            <w:r>
              <w:t>SI</w:t>
            </w:r>
          </w:p>
        </w:tc>
        <w:tc>
          <w:tcPr>
            <w:tcW w:w="8147" w:type="dxa"/>
            <w:shd w:val="clear" w:color="auto" w:fill="auto"/>
          </w:tcPr>
          <w:p w14:paraId="6D6155D7" w14:textId="77777777" w:rsidR="003A3F6D" w:rsidRDefault="003A3F6D" w:rsidP="00285010">
            <w:r>
              <w:t>Solomon Islands</w:t>
            </w:r>
          </w:p>
        </w:tc>
      </w:tr>
      <w:tr w:rsidR="003A3F6D" w14:paraId="0AE168E7" w14:textId="77777777" w:rsidTr="003A3F6D">
        <w:tc>
          <w:tcPr>
            <w:tcW w:w="1809" w:type="dxa"/>
            <w:shd w:val="clear" w:color="auto" w:fill="auto"/>
          </w:tcPr>
          <w:p w14:paraId="54683278" w14:textId="77777777" w:rsidR="003A3F6D" w:rsidRDefault="003A3F6D" w:rsidP="00285010">
            <w:r>
              <w:t>SIS</w:t>
            </w:r>
          </w:p>
        </w:tc>
        <w:tc>
          <w:tcPr>
            <w:tcW w:w="8147" w:type="dxa"/>
            <w:shd w:val="clear" w:color="auto" w:fill="auto"/>
          </w:tcPr>
          <w:p w14:paraId="3C65079A" w14:textId="77777777" w:rsidR="003A3F6D" w:rsidRDefault="003A3F6D" w:rsidP="00285010">
            <w:r>
              <w:t>Safeguard Information System</w:t>
            </w:r>
          </w:p>
        </w:tc>
      </w:tr>
      <w:tr w:rsidR="003A3F6D" w14:paraId="716A3489" w14:textId="77777777" w:rsidTr="003A3F6D">
        <w:tc>
          <w:tcPr>
            <w:tcW w:w="1809" w:type="dxa"/>
            <w:shd w:val="clear" w:color="auto" w:fill="auto"/>
          </w:tcPr>
          <w:p w14:paraId="0482241D" w14:textId="77777777" w:rsidR="003A3F6D" w:rsidRDefault="003A3F6D" w:rsidP="00285010">
            <w:r>
              <w:t>SolFRIS</w:t>
            </w:r>
          </w:p>
        </w:tc>
        <w:tc>
          <w:tcPr>
            <w:tcW w:w="8147" w:type="dxa"/>
            <w:shd w:val="clear" w:color="auto" w:fill="auto"/>
          </w:tcPr>
          <w:p w14:paraId="0FB016DF" w14:textId="77777777" w:rsidR="003A3F6D" w:rsidRDefault="003A3F6D" w:rsidP="00285010">
            <w:r>
              <w:t>Solomon Islands Forest Resource Information System</w:t>
            </w:r>
          </w:p>
        </w:tc>
      </w:tr>
      <w:tr w:rsidR="003A3F6D" w14:paraId="6D3BE2FF" w14:textId="77777777" w:rsidTr="003A3F6D">
        <w:tc>
          <w:tcPr>
            <w:tcW w:w="1809" w:type="dxa"/>
            <w:shd w:val="clear" w:color="auto" w:fill="auto"/>
          </w:tcPr>
          <w:p w14:paraId="126E6F92" w14:textId="77777777" w:rsidR="003A3F6D" w:rsidRDefault="003A3F6D" w:rsidP="00285010">
            <w:r>
              <w:t>UN-REDD</w:t>
            </w:r>
          </w:p>
        </w:tc>
        <w:tc>
          <w:tcPr>
            <w:tcW w:w="8147" w:type="dxa"/>
            <w:shd w:val="clear" w:color="auto" w:fill="auto"/>
          </w:tcPr>
          <w:p w14:paraId="31BAFAFF" w14:textId="77777777" w:rsidR="003A3F6D" w:rsidRDefault="003A3F6D" w:rsidP="00285010">
            <w:r>
              <w:t>United Nations Collaborative Programme on REDD+</w:t>
            </w:r>
          </w:p>
        </w:tc>
      </w:tr>
      <w:tr w:rsidR="003A3F6D" w14:paraId="3AEF0946" w14:textId="77777777" w:rsidTr="003A3F6D">
        <w:tc>
          <w:tcPr>
            <w:tcW w:w="1809" w:type="dxa"/>
            <w:shd w:val="clear" w:color="auto" w:fill="auto"/>
          </w:tcPr>
          <w:p w14:paraId="2D805317" w14:textId="77777777" w:rsidR="003A3F6D" w:rsidRDefault="003A3F6D" w:rsidP="00285010">
            <w:r>
              <w:t>UN-REDD SEPC</w:t>
            </w:r>
          </w:p>
        </w:tc>
        <w:tc>
          <w:tcPr>
            <w:tcW w:w="8147" w:type="dxa"/>
            <w:shd w:val="clear" w:color="auto" w:fill="auto"/>
          </w:tcPr>
          <w:p w14:paraId="2F0055F9" w14:textId="77777777" w:rsidR="003A3F6D" w:rsidRDefault="003A3F6D" w:rsidP="00285010">
            <w:r>
              <w:t>UN-REDD Social and Environmental Principles and Criteria</w:t>
            </w:r>
          </w:p>
        </w:tc>
      </w:tr>
      <w:tr w:rsidR="003A3F6D" w14:paraId="44435EC2" w14:textId="77777777" w:rsidTr="003A3F6D">
        <w:tc>
          <w:tcPr>
            <w:tcW w:w="1809" w:type="dxa"/>
            <w:shd w:val="clear" w:color="auto" w:fill="auto"/>
          </w:tcPr>
          <w:p w14:paraId="7F4397C5" w14:textId="77777777" w:rsidR="003A3F6D" w:rsidRDefault="003A3F6D" w:rsidP="00285010">
            <w:r>
              <w:t>UNCCD</w:t>
            </w:r>
          </w:p>
        </w:tc>
        <w:tc>
          <w:tcPr>
            <w:tcW w:w="8147" w:type="dxa"/>
            <w:shd w:val="clear" w:color="auto" w:fill="auto"/>
          </w:tcPr>
          <w:p w14:paraId="5F225C7F" w14:textId="77777777" w:rsidR="003A3F6D" w:rsidRDefault="003A3F6D" w:rsidP="00285010">
            <w:r>
              <w:t>United Nations Convention to Combat Desertification</w:t>
            </w:r>
          </w:p>
        </w:tc>
      </w:tr>
      <w:tr w:rsidR="003A3F6D" w14:paraId="203D3EE8" w14:textId="77777777" w:rsidTr="003A3F6D">
        <w:tc>
          <w:tcPr>
            <w:tcW w:w="1809" w:type="dxa"/>
            <w:shd w:val="clear" w:color="auto" w:fill="auto"/>
          </w:tcPr>
          <w:p w14:paraId="67972485" w14:textId="77777777" w:rsidR="003A3F6D" w:rsidRDefault="003A3F6D" w:rsidP="00285010">
            <w:r>
              <w:t>UNDRIP</w:t>
            </w:r>
          </w:p>
        </w:tc>
        <w:tc>
          <w:tcPr>
            <w:tcW w:w="8147" w:type="dxa"/>
            <w:shd w:val="clear" w:color="auto" w:fill="auto"/>
          </w:tcPr>
          <w:p w14:paraId="2C60FFAC" w14:textId="77777777" w:rsidR="003A3F6D" w:rsidRDefault="003A3F6D" w:rsidP="00285010">
            <w:r>
              <w:t>United Nations Declaration on the Rights of Indigenous People</w:t>
            </w:r>
          </w:p>
        </w:tc>
      </w:tr>
      <w:tr w:rsidR="003A3F6D" w14:paraId="72CAE841" w14:textId="77777777" w:rsidTr="003A3F6D">
        <w:tc>
          <w:tcPr>
            <w:tcW w:w="1809" w:type="dxa"/>
            <w:shd w:val="clear" w:color="auto" w:fill="auto"/>
          </w:tcPr>
          <w:p w14:paraId="68A30074" w14:textId="77777777" w:rsidR="003A3F6D" w:rsidRDefault="003A3F6D" w:rsidP="00285010">
            <w:r>
              <w:t>UNFCCC</w:t>
            </w:r>
          </w:p>
        </w:tc>
        <w:tc>
          <w:tcPr>
            <w:tcW w:w="8147" w:type="dxa"/>
            <w:shd w:val="clear" w:color="auto" w:fill="auto"/>
          </w:tcPr>
          <w:p w14:paraId="5055487E" w14:textId="77777777" w:rsidR="003A3F6D" w:rsidRDefault="003A3F6D" w:rsidP="00285010">
            <w:r>
              <w:t xml:space="preserve">United Nations Framework Convention on Climate Change </w:t>
            </w:r>
          </w:p>
        </w:tc>
      </w:tr>
      <w:tr w:rsidR="003A3F6D" w14:paraId="58D8C250" w14:textId="77777777" w:rsidTr="003A3F6D">
        <w:tc>
          <w:tcPr>
            <w:tcW w:w="1809" w:type="dxa"/>
            <w:shd w:val="clear" w:color="auto" w:fill="auto"/>
          </w:tcPr>
          <w:p w14:paraId="6D3D07B0" w14:textId="77777777" w:rsidR="003A3F6D" w:rsidRDefault="003A3F6D" w:rsidP="00285010"/>
        </w:tc>
        <w:tc>
          <w:tcPr>
            <w:tcW w:w="8147" w:type="dxa"/>
            <w:shd w:val="clear" w:color="auto" w:fill="auto"/>
          </w:tcPr>
          <w:p w14:paraId="595CD15D" w14:textId="77777777" w:rsidR="003A3F6D" w:rsidRDefault="003A3F6D" w:rsidP="00285010"/>
        </w:tc>
      </w:tr>
      <w:tr w:rsidR="003A3F6D" w14:paraId="6976AC5B" w14:textId="77777777" w:rsidTr="003A3F6D">
        <w:tc>
          <w:tcPr>
            <w:tcW w:w="1809" w:type="dxa"/>
            <w:shd w:val="clear" w:color="auto" w:fill="auto"/>
          </w:tcPr>
          <w:p w14:paraId="0EA355A0" w14:textId="77777777" w:rsidR="003A3F6D" w:rsidRDefault="003A3F6D" w:rsidP="00285010"/>
        </w:tc>
        <w:tc>
          <w:tcPr>
            <w:tcW w:w="8147" w:type="dxa"/>
            <w:shd w:val="clear" w:color="auto" w:fill="auto"/>
          </w:tcPr>
          <w:p w14:paraId="2B189772" w14:textId="77777777" w:rsidR="003A3F6D" w:rsidRDefault="003A3F6D" w:rsidP="00285010"/>
        </w:tc>
      </w:tr>
    </w:tbl>
    <w:p w14:paraId="08BF04E4" w14:textId="77777777" w:rsidR="00147839" w:rsidRPr="00AA4B89" w:rsidRDefault="00147839" w:rsidP="00AA4B89">
      <w:pPr>
        <w:sectPr w:rsidR="00147839" w:rsidRPr="00AA4B89" w:rsidSect="00373ECE">
          <w:pgSz w:w="11900" w:h="16840"/>
          <w:pgMar w:top="720" w:right="720" w:bottom="720" w:left="720" w:header="708" w:footer="708" w:gutter="0"/>
          <w:cols w:space="708"/>
          <w:docGrid w:linePitch="360"/>
        </w:sectPr>
      </w:pPr>
    </w:p>
    <w:p w14:paraId="232B4C89" w14:textId="77777777" w:rsidR="000E2205" w:rsidRDefault="00495AC0" w:rsidP="00495AC0">
      <w:pPr>
        <w:pStyle w:val="Heading1"/>
      </w:pPr>
      <w:bookmarkStart w:id="2" w:name="_Toc254892826"/>
      <w:r>
        <w:t>Overview</w:t>
      </w:r>
      <w:bookmarkEnd w:id="2"/>
    </w:p>
    <w:p w14:paraId="4F23F5F7" w14:textId="77777777" w:rsidR="000E2205" w:rsidRDefault="000E2205" w:rsidP="000E2205">
      <w:pPr>
        <w:pStyle w:val="Heading2"/>
      </w:pPr>
      <w:bookmarkStart w:id="3" w:name="_Toc254892827"/>
      <w:r>
        <w:t>Objective of Guidelines</w:t>
      </w:r>
      <w:bookmarkEnd w:id="3"/>
      <w:r>
        <w:t xml:space="preserve"> </w:t>
      </w:r>
    </w:p>
    <w:p w14:paraId="319FE889" w14:textId="77777777" w:rsidR="000E2205" w:rsidRDefault="00646177" w:rsidP="000D4548">
      <w:r>
        <w:t>The objective of this guidance note is to provide direction</w:t>
      </w:r>
      <w:r w:rsidR="000D4548">
        <w:t xml:space="preserve"> to the Government of the Solomon Islands on the development of a National Approach to Safeguards</w:t>
      </w:r>
      <w:r>
        <w:t>,</w:t>
      </w:r>
      <w:r w:rsidR="000D4548">
        <w:t xml:space="preserve"> including interim approaches to providing information on safeguards to the UNFCCC.  </w:t>
      </w:r>
    </w:p>
    <w:p w14:paraId="5EA8A782" w14:textId="77777777" w:rsidR="00157A6E" w:rsidRDefault="00157A6E" w:rsidP="000D4548"/>
    <w:p w14:paraId="072F1AF8" w14:textId="77777777" w:rsidR="000E2205" w:rsidRDefault="000E2205" w:rsidP="000E2205">
      <w:pPr>
        <w:pStyle w:val="Heading2"/>
      </w:pPr>
      <w:bookmarkStart w:id="4" w:name="_Toc254892828"/>
      <w:r>
        <w:t>Target Audience</w:t>
      </w:r>
      <w:bookmarkEnd w:id="4"/>
      <w:r>
        <w:t xml:space="preserve"> </w:t>
      </w:r>
    </w:p>
    <w:p w14:paraId="352A4F6C" w14:textId="77777777" w:rsidR="000E2205" w:rsidRDefault="000D4548" w:rsidP="000E2205">
      <w:r>
        <w:t xml:space="preserve">The target audience for the guidelines are staff within the Ministry of Environment Climate Change, Disaster Management and Meteorology </w:t>
      </w:r>
      <w:r w:rsidR="00D510C8">
        <w:t xml:space="preserve">(MECDM) </w:t>
      </w:r>
      <w:r>
        <w:t>and the Ministry of Forest and Research</w:t>
      </w:r>
      <w:r w:rsidR="00D510C8">
        <w:t xml:space="preserve"> (MoFR)</w:t>
      </w:r>
      <w:r>
        <w:t xml:space="preserve">. </w:t>
      </w:r>
    </w:p>
    <w:p w14:paraId="3335A5F8" w14:textId="77777777" w:rsidR="00AA4B89" w:rsidRDefault="00AA4B89" w:rsidP="000E2205"/>
    <w:p w14:paraId="2C2CFCBA" w14:textId="77777777" w:rsidR="00AA4B89" w:rsidRDefault="00AA4B89" w:rsidP="00AA4B89">
      <w:pPr>
        <w:pStyle w:val="Heading2"/>
      </w:pPr>
      <w:bookmarkStart w:id="5" w:name="_Toc254892829"/>
      <w:r>
        <w:t>Anticipated Outcomes:</w:t>
      </w:r>
      <w:bookmarkEnd w:id="5"/>
      <w:r>
        <w:t xml:space="preserve"> </w:t>
      </w:r>
    </w:p>
    <w:p w14:paraId="54E8390C" w14:textId="77777777" w:rsidR="00AA4B89" w:rsidRDefault="00AA4B89" w:rsidP="000E2205">
      <w:r>
        <w:t>It is anticipated that staff within the MoFR and MECDM can use the guidelines to review and further develop an approach to a National Safeguard System within the Solomon Islands.</w:t>
      </w:r>
    </w:p>
    <w:p w14:paraId="6BE15427" w14:textId="77777777" w:rsidR="00AA4B89" w:rsidRDefault="00AA4B89" w:rsidP="000E2205"/>
    <w:p w14:paraId="3E66515B" w14:textId="77777777" w:rsidR="00495AC0" w:rsidRDefault="00495AC0" w:rsidP="00AA4B89">
      <w:pPr>
        <w:pStyle w:val="Heading2"/>
      </w:pPr>
      <w:bookmarkStart w:id="6" w:name="_Toc254892830"/>
      <w:r>
        <w:t>Structure of Guidelines</w:t>
      </w:r>
      <w:bookmarkEnd w:id="6"/>
    </w:p>
    <w:p w14:paraId="764BED31" w14:textId="77777777" w:rsidR="00495AC0" w:rsidRDefault="00495AC0" w:rsidP="000E2205">
      <w:r>
        <w:t xml:space="preserve">The guidelines are divided into two sections. </w:t>
      </w:r>
    </w:p>
    <w:p w14:paraId="59D76889" w14:textId="77777777" w:rsidR="00AA4B89" w:rsidRDefault="00495AC0" w:rsidP="00F07531">
      <w:pPr>
        <w:pStyle w:val="ListParagraph"/>
        <w:numPr>
          <w:ilvl w:val="0"/>
          <w:numId w:val="6"/>
        </w:numPr>
        <w:ind w:left="426" w:hanging="357"/>
        <w:contextualSpacing w:val="0"/>
      </w:pPr>
      <w:r>
        <w:t>Section 1</w:t>
      </w:r>
      <w:r w:rsidR="00AA4B89">
        <w:t xml:space="preserve">: </w:t>
      </w:r>
      <w:r>
        <w:t xml:space="preserve"> </w:t>
      </w:r>
      <w:r w:rsidR="00AA4B89">
        <w:t xml:space="preserve">Provides an overview of the objectives of the guidelines, their target audience and the intended outcomes that users will be able to gain. </w:t>
      </w:r>
    </w:p>
    <w:p w14:paraId="37D233CD" w14:textId="77777777" w:rsidR="00495AC0" w:rsidRDefault="00AA4B89" w:rsidP="00F07531">
      <w:pPr>
        <w:pStyle w:val="ListParagraph"/>
        <w:numPr>
          <w:ilvl w:val="0"/>
          <w:numId w:val="6"/>
        </w:numPr>
        <w:ind w:left="426" w:hanging="357"/>
        <w:contextualSpacing w:val="0"/>
      </w:pPr>
      <w:r>
        <w:t xml:space="preserve">Section 2: </w:t>
      </w:r>
      <w:r w:rsidR="00495AC0">
        <w:t>Provides an overview of existing international requirements of safeguards and development of the UNFCCC.</w:t>
      </w:r>
    </w:p>
    <w:p w14:paraId="161A05C2" w14:textId="77777777" w:rsidR="00495AC0" w:rsidRDefault="00AA4B89" w:rsidP="00F07531">
      <w:pPr>
        <w:pStyle w:val="ListParagraph"/>
        <w:numPr>
          <w:ilvl w:val="0"/>
          <w:numId w:val="6"/>
        </w:numPr>
        <w:ind w:left="426" w:hanging="357"/>
        <w:contextualSpacing w:val="0"/>
      </w:pPr>
      <w:r>
        <w:t xml:space="preserve">Section 3: </w:t>
      </w:r>
      <w:r w:rsidR="00495AC0">
        <w:t xml:space="preserve"> Provides </w:t>
      </w:r>
      <w:r w:rsidR="00D510C8">
        <w:t>a number of</w:t>
      </w:r>
      <w:r w:rsidR="00495AC0">
        <w:t xml:space="preserve"> steps to developing an effective National Safeguard System covering existing progress made during the REDD+ Roadmap development process </w:t>
      </w:r>
      <w:r w:rsidR="00646177">
        <w:t xml:space="preserve">in the Solomon Islands </w:t>
      </w:r>
      <w:r w:rsidR="00495AC0">
        <w:t xml:space="preserve">and </w:t>
      </w:r>
      <w:r w:rsidR="00D510C8">
        <w:t>the identification of</w:t>
      </w:r>
      <w:r w:rsidR="00495AC0">
        <w:t xml:space="preserve"> additional actions that </w:t>
      </w:r>
      <w:r w:rsidR="00646177">
        <w:t>should</w:t>
      </w:r>
      <w:r w:rsidR="00495AC0">
        <w:t xml:space="preserve"> to be undertaken. </w:t>
      </w:r>
    </w:p>
    <w:p w14:paraId="7F5BA57C" w14:textId="77777777" w:rsidR="00495AC0" w:rsidRDefault="00495AC0" w:rsidP="000E2205"/>
    <w:p w14:paraId="79E88738" w14:textId="77777777" w:rsidR="00495AC0" w:rsidRDefault="00495AC0" w:rsidP="000E2205"/>
    <w:p w14:paraId="6898753D" w14:textId="77777777" w:rsidR="00AA4B89" w:rsidRDefault="00AA4B89" w:rsidP="00AA4B89">
      <w:pPr>
        <w:pStyle w:val="Heading1"/>
        <w:sectPr w:rsidR="00AA4B89" w:rsidSect="00373ECE">
          <w:pgSz w:w="11900" w:h="16840"/>
          <w:pgMar w:top="720" w:right="720" w:bottom="720" w:left="720" w:header="708" w:footer="708" w:gutter="0"/>
          <w:cols w:space="708"/>
          <w:docGrid w:linePitch="360"/>
        </w:sectPr>
      </w:pPr>
    </w:p>
    <w:p w14:paraId="3BD695C7" w14:textId="77777777" w:rsidR="000E2205" w:rsidRDefault="005C2F62" w:rsidP="00AA4B89">
      <w:pPr>
        <w:pStyle w:val="Heading1"/>
        <w:spacing w:before="0"/>
      </w:pPr>
      <w:bookmarkStart w:id="7" w:name="_Toc254892831"/>
      <w:r>
        <w:t xml:space="preserve">Safeguards and </w:t>
      </w:r>
      <w:r w:rsidR="000E2205">
        <w:t>International Requirements for Safeguards</w:t>
      </w:r>
      <w:bookmarkEnd w:id="7"/>
    </w:p>
    <w:p w14:paraId="323CCD5C" w14:textId="77777777" w:rsidR="00B80985" w:rsidRDefault="005C6D23" w:rsidP="0002154B">
      <w:r>
        <w:rPr>
          <w:noProof/>
          <w:lang w:val="en-US"/>
        </w:rPr>
        <mc:AlternateContent>
          <mc:Choice Requires="wps">
            <w:drawing>
              <wp:inline distT="0" distB="0" distL="0" distR="0" wp14:anchorId="43841080" wp14:editId="3C79D9D7">
                <wp:extent cx="6286500" cy="5615305"/>
                <wp:effectExtent l="63500" t="66040" r="88900" b="109855"/>
                <wp:docPr id="7"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615305"/>
                        </a:xfrm>
                        <a:prstGeom prst="roundRect">
                          <a:avLst>
                            <a:gd name="adj" fmla="val 2852"/>
                          </a:avLst>
                        </a:prstGeom>
                        <a:solidFill>
                          <a:srgbClr val="DDD8C2"/>
                        </a:solidFill>
                        <a:ln w="9525">
                          <a:solidFill>
                            <a:srgbClr val="484329"/>
                          </a:solidFill>
                          <a:round/>
                          <a:headEnd/>
                          <a:tailEnd/>
                        </a:ln>
                        <a:effectLst>
                          <a:outerShdw blurRad="40000" dist="23000" dir="5400000" rotWithShape="0">
                            <a:srgbClr val="000000">
                              <a:alpha val="34999"/>
                            </a:srgbClr>
                          </a:outerShdw>
                        </a:effectLst>
                      </wps:spPr>
                      <wps:txbx>
                        <w:txbxContent>
                          <w:p w14:paraId="76B342E4" w14:textId="77777777" w:rsidR="00AD59B0" w:rsidRPr="00B80985" w:rsidRDefault="00AD59B0">
                            <w:pPr>
                              <w:rPr>
                                <w:b/>
                                <w:szCs w:val="22"/>
                              </w:rPr>
                            </w:pPr>
                            <w:r w:rsidRPr="00B80985">
                              <w:rPr>
                                <w:b/>
                                <w:szCs w:val="22"/>
                              </w:rPr>
                              <w:t xml:space="preserve">Summary of REDD+ Safeguards </w:t>
                            </w:r>
                          </w:p>
                          <w:p w14:paraId="561A0CC1" w14:textId="77777777" w:rsidR="00AD59B0" w:rsidRDefault="00AD59B0" w:rsidP="006B087B">
                            <w:pPr>
                              <w:numPr>
                                <w:ilvl w:val="0"/>
                                <w:numId w:val="12"/>
                              </w:numPr>
                              <w:rPr>
                                <w:szCs w:val="22"/>
                                <w:lang w:val="en-US"/>
                              </w:rPr>
                            </w:pPr>
                            <w:r w:rsidRPr="00B80985">
                              <w:rPr>
                                <w:szCs w:val="22"/>
                                <w:lang w:val="en-US"/>
                              </w:rPr>
                              <w:t>Safeguards are policies, laws, programmes, measures and their implementation that are intended to prevent and mitigate harm from specific activities and promote benefits.</w:t>
                            </w:r>
                          </w:p>
                          <w:p w14:paraId="40681F8E" w14:textId="77777777" w:rsidR="00AD59B0" w:rsidRDefault="00AD59B0" w:rsidP="006B087B">
                            <w:pPr>
                              <w:numPr>
                                <w:ilvl w:val="0"/>
                                <w:numId w:val="12"/>
                              </w:numPr>
                              <w:rPr>
                                <w:szCs w:val="22"/>
                                <w:lang w:val="en-US"/>
                              </w:rPr>
                            </w:pPr>
                            <w:r>
                              <w:t>At the Conference of the Parties to the UNFCCC in Cancun in 2010 (CP16) seven safeguards were identified that countries should promote and report when undertaking REDD+ activities</w:t>
                            </w:r>
                            <w:r w:rsidRPr="00B80985">
                              <w:rPr>
                                <w:szCs w:val="22"/>
                                <w:lang w:val="en-US"/>
                              </w:rPr>
                              <w:t xml:space="preserve"> </w:t>
                            </w:r>
                          </w:p>
                          <w:p w14:paraId="758F6373" w14:textId="77777777" w:rsidR="00AD59B0" w:rsidRDefault="00AD59B0" w:rsidP="006B087B">
                            <w:pPr>
                              <w:numPr>
                                <w:ilvl w:val="0"/>
                                <w:numId w:val="12"/>
                              </w:numPr>
                              <w:rPr>
                                <w:lang w:val="en-US"/>
                              </w:rPr>
                            </w:pPr>
                            <w:r>
                              <w:rPr>
                                <w:lang w:val="en-US"/>
                              </w:rPr>
                              <w:t xml:space="preserve">The wording of the UNFCCC REDD+ </w:t>
                            </w:r>
                            <w:r w:rsidRPr="002B2B73">
                              <w:rPr>
                                <w:lang w:val="en-US"/>
                              </w:rPr>
                              <w:t xml:space="preserve">safeguards </w:t>
                            </w:r>
                            <w:r>
                              <w:rPr>
                                <w:lang w:val="en-US"/>
                              </w:rPr>
                              <w:t xml:space="preserve">indicate that their application </w:t>
                            </w:r>
                            <w:r w:rsidRPr="002B2B73">
                              <w:rPr>
                                <w:lang w:val="en-US"/>
                              </w:rPr>
                              <w:t xml:space="preserve">should not simply </w:t>
                            </w:r>
                            <w:r>
                              <w:rPr>
                                <w:lang w:val="en-US"/>
                              </w:rPr>
                              <w:t xml:space="preserve">be </w:t>
                            </w:r>
                            <w:r w:rsidRPr="002B2B73">
                              <w:rPr>
                                <w:lang w:val="en-US"/>
                              </w:rPr>
                              <w:t xml:space="preserve">about </w:t>
                            </w:r>
                            <w:r>
                              <w:rPr>
                                <w:lang w:val="en-US"/>
                              </w:rPr>
                              <w:t xml:space="preserve">preventing harm </w:t>
                            </w:r>
                            <w:r w:rsidRPr="002B2B73">
                              <w:rPr>
                                <w:lang w:val="en-US"/>
                              </w:rPr>
                              <w:t>but should be about supporting improvements in the existing context.</w:t>
                            </w:r>
                            <w:r>
                              <w:rPr>
                                <w:lang w:val="en-US"/>
                              </w:rPr>
                              <w:t xml:space="preserve"> </w:t>
                            </w:r>
                          </w:p>
                          <w:p w14:paraId="18E71CF4" w14:textId="77777777" w:rsidR="00AD59B0" w:rsidRDefault="00AD59B0" w:rsidP="006B087B">
                            <w:pPr>
                              <w:numPr>
                                <w:ilvl w:val="0"/>
                                <w:numId w:val="12"/>
                              </w:numPr>
                              <w:rPr>
                                <w:lang w:val="en-US"/>
                              </w:rPr>
                            </w:pPr>
                            <w:r>
                              <w:rPr>
                                <w:lang w:val="en-US"/>
                              </w:rPr>
                              <w:t xml:space="preserve">Due to the need to apply safeguards to an evolving process of REDD+ Readiness it can also be seen that provision of information on safeguards is not just about achievement of ‘full compliance’ (such at outcome indicators) but also of activities towards achieving compliance as part of the REDD+ development processes (such as process indicators). </w:t>
                            </w:r>
                          </w:p>
                          <w:p w14:paraId="754E7EF3" w14:textId="77777777" w:rsidR="00AD59B0" w:rsidRDefault="00AD59B0" w:rsidP="006B087B">
                            <w:pPr>
                              <w:numPr>
                                <w:ilvl w:val="0"/>
                                <w:numId w:val="12"/>
                              </w:numPr>
                              <w:rPr>
                                <w:lang w:val="en-US"/>
                              </w:rPr>
                            </w:pPr>
                            <w:r>
                              <w:rPr>
                                <w:lang w:val="en-US"/>
                              </w:rPr>
                              <w:t xml:space="preserve">The UNFCCC REDD+ safeguards identify the need for activities to be </w:t>
                            </w:r>
                            <w:r w:rsidRPr="006F23B3">
                              <w:rPr>
                                <w:i/>
                                <w:lang w:val="en-US"/>
                              </w:rPr>
                              <w:t>complementary or consistent with</w:t>
                            </w:r>
                            <w:r w:rsidRPr="006F23B3">
                              <w:rPr>
                                <w:lang w:val="en-US"/>
                              </w:rPr>
                              <w:t xml:space="preserve"> the relevant international instruments that countries have signed, ratified, or otherwise agreed to</w:t>
                            </w:r>
                            <w:r>
                              <w:rPr>
                                <w:lang w:val="en-US"/>
                              </w:rPr>
                              <w:t>. This should help provide linkages and support countries in im</w:t>
                            </w:r>
                            <w:r w:rsidRPr="006F23B3">
                              <w:rPr>
                                <w:lang w:val="en-US"/>
                              </w:rPr>
                              <w:t>plementing existing international obligations</w:t>
                            </w:r>
                            <w:r>
                              <w:rPr>
                                <w:lang w:val="en-US"/>
                              </w:rPr>
                              <w:t xml:space="preserve"> under other conventions through REDD+ activities.</w:t>
                            </w:r>
                          </w:p>
                          <w:p w14:paraId="5F6926F6" w14:textId="77777777" w:rsidR="00AD59B0" w:rsidRDefault="00AD59B0" w:rsidP="006B087B">
                            <w:pPr>
                              <w:numPr>
                                <w:ilvl w:val="0"/>
                                <w:numId w:val="12"/>
                              </w:numPr>
                              <w:rPr>
                                <w:lang w:val="en-US"/>
                              </w:rPr>
                            </w:pPr>
                            <w:r>
                              <w:rPr>
                                <w:bCs/>
                                <w:lang w:val="en-US"/>
                              </w:rPr>
                              <w:t xml:space="preserve">Countries are also required to provide </w:t>
                            </w:r>
                            <w:r w:rsidRPr="00AA4B89">
                              <w:rPr>
                                <w:bCs/>
                                <w:lang w:val="en-US"/>
                              </w:rPr>
                              <w:t xml:space="preserve">information </w:t>
                            </w:r>
                            <w:r>
                              <w:rPr>
                                <w:lang w:val="en-US"/>
                              </w:rPr>
                              <w:t>on how the</w:t>
                            </w:r>
                            <w:r w:rsidRPr="00AA4B89">
                              <w:rPr>
                                <w:lang w:val="en-US"/>
                              </w:rPr>
                              <w:t> safeguards identifi</w:t>
                            </w:r>
                            <w:r>
                              <w:rPr>
                                <w:lang w:val="en-US"/>
                              </w:rPr>
                              <w:t xml:space="preserve">ed within the Cancun Agreement </w:t>
                            </w:r>
                            <w:r w:rsidRPr="00AA4B89">
                              <w:rPr>
                                <w:lang w:val="en-US"/>
                              </w:rPr>
                              <w:t xml:space="preserve">are  being </w:t>
                            </w:r>
                            <w:r w:rsidRPr="00AA4B89">
                              <w:rPr>
                                <w:b/>
                                <w:bCs/>
                                <w:lang w:val="en-US"/>
                              </w:rPr>
                              <w:t xml:space="preserve">addressed and respected. </w:t>
                            </w:r>
                            <w:r>
                              <w:rPr>
                                <w:lang w:val="en-US"/>
                              </w:rPr>
                              <w:t xml:space="preserve"> This should be done through a </w:t>
                            </w:r>
                            <w:r w:rsidRPr="00055C39">
                              <w:rPr>
                                <w:i/>
                                <w:lang w:val="en-US"/>
                              </w:rPr>
                              <w:t>Safeguard Information System</w:t>
                            </w:r>
                            <w:r>
                              <w:rPr>
                                <w:lang w:val="en-US"/>
                              </w:rPr>
                              <w:t xml:space="preserve">. </w:t>
                            </w:r>
                          </w:p>
                          <w:p w14:paraId="6008A0C7" w14:textId="77777777" w:rsidR="00AD59B0" w:rsidRDefault="00AD59B0" w:rsidP="006B087B">
                            <w:pPr>
                              <w:numPr>
                                <w:ilvl w:val="0"/>
                                <w:numId w:val="12"/>
                              </w:numPr>
                              <w:rPr>
                                <w:lang w:val="en-US"/>
                              </w:rPr>
                            </w:pPr>
                            <w:r>
                              <w:rPr>
                                <w:lang w:val="en-US"/>
                              </w:rPr>
                              <w:t xml:space="preserve">A Safeguard Information System for REDD+ should: </w:t>
                            </w:r>
                          </w:p>
                          <w:p w14:paraId="460CE455" w14:textId="77777777" w:rsidR="00AD59B0" w:rsidRPr="00AA4B89" w:rsidRDefault="00AD59B0" w:rsidP="006B087B">
                            <w:pPr>
                              <w:numPr>
                                <w:ilvl w:val="1"/>
                                <w:numId w:val="12"/>
                              </w:numPr>
                              <w:spacing w:before="60"/>
                              <w:rPr>
                                <w:lang w:val="en-US"/>
                              </w:rPr>
                            </w:pPr>
                            <w:r w:rsidRPr="00AA4B89">
                              <w:rPr>
                                <w:lang w:val="en-US"/>
                              </w:rPr>
                              <w:t xml:space="preserve">Be </w:t>
                            </w:r>
                            <w:r w:rsidRPr="00AA4B89">
                              <w:rPr>
                                <w:b/>
                                <w:bCs/>
                                <w:lang w:val="en-US"/>
                              </w:rPr>
                              <w:t xml:space="preserve">consistent </w:t>
                            </w:r>
                            <w:r w:rsidRPr="00AA4B89">
                              <w:rPr>
                                <w:lang w:val="en-US"/>
                              </w:rPr>
                              <w:t xml:space="preserve">with the guidance identified in decision 1/CP.16, appendix I, paragraph 1 </w:t>
                            </w:r>
                          </w:p>
                          <w:p w14:paraId="77A07C40" w14:textId="77777777" w:rsidR="00AD59B0" w:rsidRPr="00AA4B89" w:rsidRDefault="00AD59B0" w:rsidP="006B087B">
                            <w:pPr>
                              <w:numPr>
                                <w:ilvl w:val="1"/>
                                <w:numId w:val="12"/>
                              </w:numPr>
                              <w:spacing w:before="60"/>
                              <w:rPr>
                                <w:lang w:val="en-US"/>
                              </w:rPr>
                            </w:pPr>
                            <w:r w:rsidRPr="00AA4B89">
                              <w:rPr>
                                <w:lang w:val="en-US"/>
                              </w:rPr>
                              <w:t xml:space="preserve">Provide </w:t>
                            </w:r>
                            <w:r w:rsidRPr="00AA4B89">
                              <w:rPr>
                                <w:b/>
                                <w:bCs/>
                                <w:lang w:val="en-US"/>
                              </w:rPr>
                              <w:t xml:space="preserve">transparent and consistent </w:t>
                            </w:r>
                            <w:r w:rsidRPr="00AA4B89">
                              <w:rPr>
                                <w:lang w:val="en-US"/>
                              </w:rPr>
                              <w:t xml:space="preserve">information that is </w:t>
                            </w:r>
                            <w:r w:rsidRPr="00AA4B89">
                              <w:rPr>
                                <w:b/>
                                <w:bCs/>
                                <w:lang w:val="en-US"/>
                              </w:rPr>
                              <w:t xml:space="preserve">accessible </w:t>
                            </w:r>
                            <w:r w:rsidRPr="00AA4B89">
                              <w:rPr>
                                <w:lang w:val="en-US"/>
                              </w:rPr>
                              <w:t xml:space="preserve">by all relevant stakeholders and updated on a regular basis </w:t>
                            </w:r>
                          </w:p>
                          <w:p w14:paraId="62CB8840" w14:textId="77777777" w:rsidR="00AD59B0" w:rsidRPr="00AA4B89" w:rsidRDefault="00AD59B0" w:rsidP="006B087B">
                            <w:pPr>
                              <w:numPr>
                                <w:ilvl w:val="1"/>
                                <w:numId w:val="12"/>
                              </w:numPr>
                              <w:spacing w:before="60"/>
                              <w:rPr>
                                <w:lang w:val="en-US"/>
                              </w:rPr>
                            </w:pPr>
                            <w:r w:rsidRPr="00AA4B89">
                              <w:rPr>
                                <w:lang w:val="en-US"/>
                              </w:rPr>
                              <w:t xml:space="preserve">Be </w:t>
                            </w:r>
                            <w:r w:rsidRPr="00AA4B89">
                              <w:rPr>
                                <w:b/>
                                <w:bCs/>
                                <w:lang w:val="en-US"/>
                              </w:rPr>
                              <w:t xml:space="preserve">transparent and flexible </w:t>
                            </w:r>
                            <w:r w:rsidRPr="00AA4B89">
                              <w:rPr>
                                <w:lang w:val="en-US"/>
                              </w:rPr>
                              <w:t>to allow for improvements over time</w:t>
                            </w:r>
                          </w:p>
                          <w:p w14:paraId="3536F9C2" w14:textId="77777777" w:rsidR="00AD59B0" w:rsidRPr="00AA4B89" w:rsidRDefault="00AD59B0" w:rsidP="006B087B">
                            <w:pPr>
                              <w:numPr>
                                <w:ilvl w:val="1"/>
                                <w:numId w:val="12"/>
                              </w:numPr>
                              <w:spacing w:before="60"/>
                              <w:rPr>
                                <w:lang w:val="en-US"/>
                              </w:rPr>
                            </w:pPr>
                            <w:r w:rsidRPr="00AA4B89">
                              <w:rPr>
                                <w:b/>
                                <w:bCs/>
                                <w:lang w:val="en-US"/>
                              </w:rPr>
                              <w:t xml:space="preserve">Provide information </w:t>
                            </w:r>
                            <w:r w:rsidRPr="00AA4B89">
                              <w:rPr>
                                <w:lang w:val="en-US"/>
                              </w:rPr>
                              <w:t xml:space="preserve">on how all of the safeguards are being addressed and respected </w:t>
                            </w:r>
                          </w:p>
                          <w:p w14:paraId="191860A5" w14:textId="77777777" w:rsidR="00AD59B0" w:rsidRPr="00AA4B89" w:rsidRDefault="00AD59B0" w:rsidP="006B087B">
                            <w:pPr>
                              <w:numPr>
                                <w:ilvl w:val="1"/>
                                <w:numId w:val="12"/>
                              </w:numPr>
                              <w:spacing w:before="60"/>
                              <w:rPr>
                                <w:lang w:val="en-US"/>
                              </w:rPr>
                            </w:pPr>
                            <w:r w:rsidRPr="00AA4B89">
                              <w:rPr>
                                <w:lang w:val="en-US"/>
                              </w:rPr>
                              <w:t xml:space="preserve">Be </w:t>
                            </w:r>
                            <w:r w:rsidRPr="00AA4B89">
                              <w:rPr>
                                <w:b/>
                                <w:bCs/>
                                <w:lang w:val="en-US"/>
                              </w:rPr>
                              <w:t xml:space="preserve">country-driven </w:t>
                            </w:r>
                            <w:r w:rsidRPr="00AA4B89">
                              <w:rPr>
                                <w:lang w:val="en-US"/>
                              </w:rPr>
                              <w:t xml:space="preserve">and implemented at the national level </w:t>
                            </w:r>
                          </w:p>
                          <w:p w14:paraId="57405343" w14:textId="77777777" w:rsidR="00AD59B0" w:rsidRDefault="00AD59B0" w:rsidP="006B087B">
                            <w:pPr>
                              <w:numPr>
                                <w:ilvl w:val="1"/>
                                <w:numId w:val="12"/>
                              </w:numPr>
                              <w:rPr>
                                <w:lang w:val="en-US"/>
                              </w:rPr>
                            </w:pPr>
                            <w:r w:rsidRPr="00AA4B89">
                              <w:rPr>
                                <w:b/>
                                <w:bCs/>
                                <w:lang w:val="en-US"/>
                              </w:rPr>
                              <w:t xml:space="preserve">Build upon existing systems, </w:t>
                            </w:r>
                            <w:r w:rsidRPr="00AA4B89">
                              <w:rPr>
                                <w:lang w:val="en-US"/>
                              </w:rPr>
                              <w:t>as appropriate</w:t>
                            </w:r>
                          </w:p>
                          <w:p w14:paraId="59C70974" w14:textId="77777777" w:rsidR="00AD59B0" w:rsidRPr="006F23B3" w:rsidRDefault="00AD59B0" w:rsidP="00B80985">
                            <w:pPr>
                              <w:rPr>
                                <w:lang w:val="en-US"/>
                              </w:rPr>
                            </w:pPr>
                          </w:p>
                          <w:p w14:paraId="43C2985B" w14:textId="77777777" w:rsidR="00AD59B0" w:rsidRPr="00B80985" w:rsidRDefault="00AD59B0" w:rsidP="00B80985">
                            <w:pPr>
                              <w:rPr>
                                <w:szCs w:val="22"/>
                                <w:lang w:val="en-US"/>
                              </w:rPr>
                            </w:pPr>
                          </w:p>
                          <w:p w14:paraId="1B5BC682" w14:textId="77777777" w:rsidR="00AD59B0" w:rsidRDefault="00AD59B0"/>
                          <w:p w14:paraId="2ADB2ED6" w14:textId="77777777" w:rsidR="00AD59B0" w:rsidRDefault="00AD59B0"/>
                        </w:txbxContent>
                      </wps:txbx>
                      <wps:bodyPr rot="0" vert="horz" wrap="square" lIns="91440" tIns="45720" rIns="91440" bIns="45720" anchor="ctr" anchorCtr="0" upright="1">
                        <a:noAutofit/>
                      </wps:bodyPr>
                    </wps:wsp>
                  </a:graphicData>
                </a:graphic>
              </wp:inline>
            </w:drawing>
          </mc:Choice>
          <mc:Fallback>
            <w:pict>
              <v:roundrect id="Rounded Rectangle 1" o:spid="_x0000_s1026" style="width:495pt;height:442.15pt;visibility:visible;mso-wrap-style:square;mso-left-percent:-10001;mso-top-percent:-10001;mso-position-horizontal:absolute;mso-position-horizontal-relative:char;mso-position-vertical:absolute;mso-position-vertical-relative:line;mso-left-percent:-10001;mso-top-percent:-10001;v-text-anchor:middle" arcsize="1869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" fillcolor="#ddd8c2" strokecolor="#484329">
                <v:shadow on="t" opacity="22936f" mv:blur="40000f" origin=",.5" offset="0,23000emu"/>
                <v:textbox>
                  <w:txbxContent>
                    <w:p w14:paraId="76B342E4" w14:textId="77777777" w:rsidR="00AD59B0" w:rsidRPr="00B80985" w:rsidRDefault="00AD59B0">
                      <w:pPr>
                        <w:rPr>
                          <w:b/>
                          <w:szCs w:val="22"/>
                        </w:rPr>
                      </w:pPr>
                      <w:r w:rsidRPr="00B80985">
                        <w:rPr>
                          <w:b/>
                          <w:szCs w:val="22"/>
                        </w:rPr>
                        <w:t xml:space="preserve">Summary of REDD+ Safeguards </w:t>
                      </w:r>
                    </w:p>
                    <w:p w14:paraId="561A0CC1" w14:textId="77777777" w:rsidR="00AD59B0" w:rsidRDefault="00AD59B0" w:rsidP="006B087B">
                      <w:pPr>
                        <w:numPr>
                          <w:ilvl w:val="0"/>
                          <w:numId w:val="12"/>
                        </w:numPr>
                        <w:rPr>
                          <w:szCs w:val="22"/>
                          <w:lang w:val="en-US"/>
                        </w:rPr>
                      </w:pPr>
                      <w:r w:rsidRPr="00B80985">
                        <w:rPr>
                          <w:szCs w:val="22"/>
                          <w:lang w:val="en-US"/>
                        </w:rPr>
                        <w:t>Safeguards are policies, laws, programmes, measures and their implementation that are intended to prevent and mitigate harm from specific activities and promote benefits.</w:t>
                      </w:r>
                    </w:p>
                    <w:p w14:paraId="40681F8E" w14:textId="77777777" w:rsidR="00AD59B0" w:rsidRDefault="00AD59B0" w:rsidP="006B087B">
                      <w:pPr>
                        <w:numPr>
                          <w:ilvl w:val="0"/>
                          <w:numId w:val="12"/>
                        </w:numPr>
                        <w:rPr>
                          <w:szCs w:val="22"/>
                          <w:lang w:val="en-US"/>
                        </w:rPr>
                      </w:pPr>
                      <w:r>
                        <w:t>At the Conference of the Parties to the UNFCCC in Cancun in 2010 (CP16) seven safeguards were identified that countries should promote and report when undertaking REDD+ activities</w:t>
                      </w:r>
                      <w:r w:rsidRPr="00B80985">
                        <w:rPr>
                          <w:szCs w:val="22"/>
                          <w:lang w:val="en-US"/>
                        </w:rPr>
                        <w:t xml:space="preserve"> </w:t>
                      </w:r>
                    </w:p>
                    <w:p w14:paraId="758F6373" w14:textId="77777777" w:rsidR="00AD59B0" w:rsidRDefault="00AD59B0" w:rsidP="006B087B">
                      <w:pPr>
                        <w:numPr>
                          <w:ilvl w:val="0"/>
                          <w:numId w:val="12"/>
                        </w:numPr>
                        <w:rPr>
                          <w:lang w:val="en-US"/>
                        </w:rPr>
                      </w:pPr>
                      <w:r>
                        <w:rPr>
                          <w:lang w:val="en-US"/>
                        </w:rPr>
                        <w:t xml:space="preserve">The wording of the UNFCCC REDD+ </w:t>
                      </w:r>
                      <w:r w:rsidRPr="002B2B73">
                        <w:rPr>
                          <w:lang w:val="en-US"/>
                        </w:rPr>
                        <w:t xml:space="preserve">safeguards </w:t>
                      </w:r>
                      <w:r>
                        <w:rPr>
                          <w:lang w:val="en-US"/>
                        </w:rPr>
                        <w:t xml:space="preserve">indicate that their application </w:t>
                      </w:r>
                      <w:r w:rsidRPr="002B2B73">
                        <w:rPr>
                          <w:lang w:val="en-US"/>
                        </w:rPr>
                        <w:t xml:space="preserve">should not simply </w:t>
                      </w:r>
                      <w:r>
                        <w:rPr>
                          <w:lang w:val="en-US"/>
                        </w:rPr>
                        <w:t xml:space="preserve">be </w:t>
                      </w:r>
                      <w:r w:rsidRPr="002B2B73">
                        <w:rPr>
                          <w:lang w:val="en-US"/>
                        </w:rPr>
                        <w:t xml:space="preserve">about </w:t>
                      </w:r>
                      <w:r>
                        <w:rPr>
                          <w:lang w:val="en-US"/>
                        </w:rPr>
                        <w:t xml:space="preserve">preventing harm </w:t>
                      </w:r>
                      <w:r w:rsidRPr="002B2B73">
                        <w:rPr>
                          <w:lang w:val="en-US"/>
                        </w:rPr>
                        <w:t>but should be about supporting improvements in the existing context.</w:t>
                      </w:r>
                      <w:r>
                        <w:rPr>
                          <w:lang w:val="en-US"/>
                        </w:rPr>
                        <w:t xml:space="preserve"> </w:t>
                      </w:r>
                    </w:p>
                    <w:p w14:paraId="18E71CF4" w14:textId="77777777" w:rsidR="00AD59B0" w:rsidRDefault="00AD59B0" w:rsidP="006B087B">
                      <w:pPr>
                        <w:numPr>
                          <w:ilvl w:val="0"/>
                          <w:numId w:val="12"/>
                        </w:numPr>
                        <w:rPr>
                          <w:lang w:val="en-US"/>
                        </w:rPr>
                      </w:pPr>
                      <w:r>
                        <w:rPr>
                          <w:lang w:val="en-US"/>
                        </w:rPr>
                        <w:t xml:space="preserve">Due to the need to apply safeguards to an evolving process of REDD+ Readiness it can also be seen that provision of information on safeguards is not just about achievement of ‘full compliance’ (such at outcome indicators) but also of activities towards achieving compliance as part of the REDD+ development processes (such as process indicators). </w:t>
                      </w:r>
                    </w:p>
                    <w:p w14:paraId="754E7EF3" w14:textId="77777777" w:rsidR="00AD59B0" w:rsidRDefault="00AD59B0" w:rsidP="006B087B">
                      <w:pPr>
                        <w:numPr>
                          <w:ilvl w:val="0"/>
                          <w:numId w:val="12"/>
                        </w:numPr>
                        <w:rPr>
                          <w:lang w:val="en-US"/>
                        </w:rPr>
                      </w:pPr>
                      <w:r>
                        <w:rPr>
                          <w:lang w:val="en-US"/>
                        </w:rPr>
                        <w:t xml:space="preserve">The UNFCCC REDD+ safeguards identify the need for activities to be </w:t>
                      </w:r>
                      <w:r w:rsidRPr="006F23B3">
                        <w:rPr>
                          <w:i/>
                          <w:lang w:val="en-US"/>
                        </w:rPr>
                        <w:t>complementary or consistent with</w:t>
                      </w:r>
                      <w:r w:rsidRPr="006F23B3">
                        <w:rPr>
                          <w:lang w:val="en-US"/>
                        </w:rPr>
                        <w:t xml:space="preserve"> the relevant international instruments that countries have signed, ratified, or otherwise agreed to</w:t>
                      </w:r>
                      <w:r>
                        <w:rPr>
                          <w:lang w:val="en-US"/>
                        </w:rPr>
                        <w:t>. This should help provide linkages and support countries in im</w:t>
                      </w:r>
                      <w:r w:rsidRPr="006F23B3">
                        <w:rPr>
                          <w:lang w:val="en-US"/>
                        </w:rPr>
                        <w:t>plementing existing international obligations</w:t>
                      </w:r>
                      <w:r>
                        <w:rPr>
                          <w:lang w:val="en-US"/>
                        </w:rPr>
                        <w:t xml:space="preserve"> under other conventions through REDD+ activities.</w:t>
                      </w:r>
                    </w:p>
                    <w:p w14:paraId="5F6926F6" w14:textId="77777777" w:rsidR="00AD59B0" w:rsidRDefault="00AD59B0" w:rsidP="006B087B">
                      <w:pPr>
                        <w:numPr>
                          <w:ilvl w:val="0"/>
                          <w:numId w:val="12"/>
                        </w:numPr>
                        <w:rPr>
                          <w:lang w:val="en-US"/>
                        </w:rPr>
                      </w:pPr>
                      <w:r>
                        <w:rPr>
                          <w:bCs/>
                          <w:lang w:val="en-US"/>
                        </w:rPr>
                        <w:t xml:space="preserve">Countries are also required to provide </w:t>
                      </w:r>
                      <w:r w:rsidRPr="00AA4B89">
                        <w:rPr>
                          <w:bCs/>
                          <w:lang w:val="en-US"/>
                        </w:rPr>
                        <w:t xml:space="preserve">information </w:t>
                      </w:r>
                      <w:r>
                        <w:rPr>
                          <w:lang w:val="en-US"/>
                        </w:rPr>
                        <w:t>on how the</w:t>
                      </w:r>
                      <w:r w:rsidRPr="00AA4B89">
                        <w:rPr>
                          <w:lang w:val="en-US"/>
                        </w:rPr>
                        <w:t> safeguards identifi</w:t>
                      </w:r>
                      <w:r>
                        <w:rPr>
                          <w:lang w:val="en-US"/>
                        </w:rPr>
                        <w:t xml:space="preserve">ed within the Cancun Agreement </w:t>
                      </w:r>
                      <w:r w:rsidRPr="00AA4B89">
                        <w:rPr>
                          <w:lang w:val="en-US"/>
                        </w:rPr>
                        <w:t xml:space="preserve">are  being </w:t>
                      </w:r>
                      <w:r w:rsidRPr="00AA4B89">
                        <w:rPr>
                          <w:b/>
                          <w:bCs/>
                          <w:lang w:val="en-US"/>
                        </w:rPr>
                        <w:t xml:space="preserve">addressed and respected. </w:t>
                      </w:r>
                      <w:r>
                        <w:rPr>
                          <w:lang w:val="en-US"/>
                        </w:rPr>
                        <w:t xml:space="preserve"> This should be done through a </w:t>
                      </w:r>
                      <w:r w:rsidRPr="00055C39">
                        <w:rPr>
                          <w:i/>
                          <w:lang w:val="en-US"/>
                        </w:rPr>
                        <w:t>Safeguard Information System</w:t>
                      </w:r>
                      <w:r>
                        <w:rPr>
                          <w:lang w:val="en-US"/>
                        </w:rPr>
                        <w:t xml:space="preserve">. </w:t>
                      </w:r>
                    </w:p>
                    <w:p w14:paraId="6008A0C7" w14:textId="77777777" w:rsidR="00AD59B0" w:rsidRDefault="00AD59B0" w:rsidP="006B087B">
                      <w:pPr>
                        <w:numPr>
                          <w:ilvl w:val="0"/>
                          <w:numId w:val="12"/>
                        </w:numPr>
                        <w:rPr>
                          <w:lang w:val="en-US"/>
                        </w:rPr>
                      </w:pPr>
                      <w:r>
                        <w:rPr>
                          <w:lang w:val="en-US"/>
                        </w:rPr>
                        <w:t xml:space="preserve">A Safeguard Information System for REDD+ should: </w:t>
                      </w:r>
                    </w:p>
                    <w:p w14:paraId="460CE455" w14:textId="77777777" w:rsidR="00AD59B0" w:rsidRPr="00AA4B89" w:rsidRDefault="00AD59B0" w:rsidP="006B087B">
                      <w:pPr>
                        <w:numPr>
                          <w:ilvl w:val="1"/>
                          <w:numId w:val="12"/>
                        </w:numPr>
                        <w:spacing w:before="60"/>
                        <w:rPr>
                          <w:lang w:val="en-US"/>
                        </w:rPr>
                      </w:pPr>
                      <w:r w:rsidRPr="00AA4B89">
                        <w:rPr>
                          <w:lang w:val="en-US"/>
                        </w:rPr>
                        <w:t xml:space="preserve">Be </w:t>
                      </w:r>
                      <w:r w:rsidRPr="00AA4B89">
                        <w:rPr>
                          <w:b/>
                          <w:bCs/>
                          <w:lang w:val="en-US"/>
                        </w:rPr>
                        <w:t xml:space="preserve">consistent </w:t>
                      </w:r>
                      <w:r w:rsidRPr="00AA4B89">
                        <w:rPr>
                          <w:lang w:val="en-US"/>
                        </w:rPr>
                        <w:t xml:space="preserve">with the guidance identified in decision 1/CP.16, appendix I, paragraph 1 </w:t>
                      </w:r>
                    </w:p>
                    <w:p w14:paraId="77A07C40" w14:textId="77777777" w:rsidR="00AD59B0" w:rsidRPr="00AA4B89" w:rsidRDefault="00AD59B0" w:rsidP="006B087B">
                      <w:pPr>
                        <w:numPr>
                          <w:ilvl w:val="1"/>
                          <w:numId w:val="12"/>
                        </w:numPr>
                        <w:spacing w:before="60"/>
                        <w:rPr>
                          <w:lang w:val="en-US"/>
                        </w:rPr>
                      </w:pPr>
                      <w:r w:rsidRPr="00AA4B89">
                        <w:rPr>
                          <w:lang w:val="en-US"/>
                        </w:rPr>
                        <w:t xml:space="preserve">Provide </w:t>
                      </w:r>
                      <w:r w:rsidRPr="00AA4B89">
                        <w:rPr>
                          <w:b/>
                          <w:bCs/>
                          <w:lang w:val="en-US"/>
                        </w:rPr>
                        <w:t xml:space="preserve">transparent and consistent </w:t>
                      </w:r>
                      <w:r w:rsidRPr="00AA4B89">
                        <w:rPr>
                          <w:lang w:val="en-US"/>
                        </w:rPr>
                        <w:t xml:space="preserve">information that is </w:t>
                      </w:r>
                      <w:r w:rsidRPr="00AA4B89">
                        <w:rPr>
                          <w:b/>
                          <w:bCs/>
                          <w:lang w:val="en-US"/>
                        </w:rPr>
                        <w:t xml:space="preserve">accessible </w:t>
                      </w:r>
                      <w:r w:rsidRPr="00AA4B89">
                        <w:rPr>
                          <w:lang w:val="en-US"/>
                        </w:rPr>
                        <w:t xml:space="preserve">by all relevant stakeholders and updated on a regular basis </w:t>
                      </w:r>
                    </w:p>
                    <w:p w14:paraId="62CB8840" w14:textId="77777777" w:rsidR="00AD59B0" w:rsidRPr="00AA4B89" w:rsidRDefault="00AD59B0" w:rsidP="006B087B">
                      <w:pPr>
                        <w:numPr>
                          <w:ilvl w:val="1"/>
                          <w:numId w:val="12"/>
                        </w:numPr>
                        <w:spacing w:before="60"/>
                        <w:rPr>
                          <w:lang w:val="en-US"/>
                        </w:rPr>
                      </w:pPr>
                      <w:r w:rsidRPr="00AA4B89">
                        <w:rPr>
                          <w:lang w:val="en-US"/>
                        </w:rPr>
                        <w:t xml:space="preserve">Be </w:t>
                      </w:r>
                      <w:r w:rsidRPr="00AA4B89">
                        <w:rPr>
                          <w:b/>
                          <w:bCs/>
                          <w:lang w:val="en-US"/>
                        </w:rPr>
                        <w:t xml:space="preserve">transparent and flexible </w:t>
                      </w:r>
                      <w:r w:rsidRPr="00AA4B89">
                        <w:rPr>
                          <w:lang w:val="en-US"/>
                        </w:rPr>
                        <w:t>to allow for improvements over time</w:t>
                      </w:r>
                    </w:p>
                    <w:p w14:paraId="3536F9C2" w14:textId="77777777" w:rsidR="00AD59B0" w:rsidRPr="00AA4B89" w:rsidRDefault="00AD59B0" w:rsidP="006B087B">
                      <w:pPr>
                        <w:numPr>
                          <w:ilvl w:val="1"/>
                          <w:numId w:val="12"/>
                        </w:numPr>
                        <w:spacing w:before="60"/>
                        <w:rPr>
                          <w:lang w:val="en-US"/>
                        </w:rPr>
                      </w:pPr>
                      <w:r w:rsidRPr="00AA4B89">
                        <w:rPr>
                          <w:b/>
                          <w:bCs/>
                          <w:lang w:val="en-US"/>
                        </w:rPr>
                        <w:t xml:space="preserve">Provide information </w:t>
                      </w:r>
                      <w:r w:rsidRPr="00AA4B89">
                        <w:rPr>
                          <w:lang w:val="en-US"/>
                        </w:rPr>
                        <w:t xml:space="preserve">on how all of the safeguards are being addressed and respected </w:t>
                      </w:r>
                    </w:p>
                    <w:p w14:paraId="191860A5" w14:textId="77777777" w:rsidR="00AD59B0" w:rsidRPr="00AA4B89" w:rsidRDefault="00AD59B0" w:rsidP="006B087B">
                      <w:pPr>
                        <w:numPr>
                          <w:ilvl w:val="1"/>
                          <w:numId w:val="12"/>
                        </w:numPr>
                        <w:spacing w:before="60"/>
                        <w:rPr>
                          <w:lang w:val="en-US"/>
                        </w:rPr>
                      </w:pPr>
                      <w:r w:rsidRPr="00AA4B89">
                        <w:rPr>
                          <w:lang w:val="en-US"/>
                        </w:rPr>
                        <w:t xml:space="preserve">Be </w:t>
                      </w:r>
                      <w:r w:rsidRPr="00AA4B89">
                        <w:rPr>
                          <w:b/>
                          <w:bCs/>
                          <w:lang w:val="en-US"/>
                        </w:rPr>
                        <w:t xml:space="preserve">country-driven </w:t>
                      </w:r>
                      <w:r w:rsidRPr="00AA4B89">
                        <w:rPr>
                          <w:lang w:val="en-US"/>
                        </w:rPr>
                        <w:t xml:space="preserve">and implemented at the national level </w:t>
                      </w:r>
                    </w:p>
                    <w:p w14:paraId="57405343" w14:textId="77777777" w:rsidR="00AD59B0" w:rsidRDefault="00AD59B0" w:rsidP="006B087B">
                      <w:pPr>
                        <w:numPr>
                          <w:ilvl w:val="1"/>
                          <w:numId w:val="12"/>
                        </w:numPr>
                        <w:rPr>
                          <w:lang w:val="en-US"/>
                        </w:rPr>
                      </w:pPr>
                      <w:r w:rsidRPr="00AA4B89">
                        <w:rPr>
                          <w:b/>
                          <w:bCs/>
                          <w:lang w:val="en-US"/>
                        </w:rPr>
                        <w:t xml:space="preserve">Build upon existing systems, </w:t>
                      </w:r>
                      <w:r w:rsidRPr="00AA4B89">
                        <w:rPr>
                          <w:lang w:val="en-US"/>
                        </w:rPr>
                        <w:t>as appropriate</w:t>
                      </w:r>
                    </w:p>
                    <w:p w14:paraId="59C70974" w14:textId="77777777" w:rsidR="00AD59B0" w:rsidRPr="006F23B3" w:rsidRDefault="00AD59B0" w:rsidP="00B80985">
                      <w:pPr>
                        <w:rPr>
                          <w:lang w:val="en-US"/>
                        </w:rPr>
                      </w:pPr>
                    </w:p>
                    <w:p w14:paraId="43C2985B" w14:textId="77777777" w:rsidR="00AD59B0" w:rsidRPr="00B80985" w:rsidRDefault="00AD59B0" w:rsidP="00B80985">
                      <w:pPr>
                        <w:rPr>
                          <w:szCs w:val="22"/>
                          <w:lang w:val="en-US"/>
                        </w:rPr>
                      </w:pPr>
                    </w:p>
                    <w:p w14:paraId="1B5BC682" w14:textId="77777777" w:rsidR="00AD59B0" w:rsidRDefault="00AD59B0"/>
                    <w:p w14:paraId="2ADB2ED6" w14:textId="77777777" w:rsidR="00AD59B0" w:rsidRDefault="00AD59B0"/>
                  </w:txbxContent>
                </v:textbox>
                <w10:anchorlock/>
              </v:roundrect>
            </w:pict>
          </mc:Fallback>
        </mc:AlternateContent>
      </w:r>
    </w:p>
    <w:p w14:paraId="619F02A2" w14:textId="77777777" w:rsidR="00B80985" w:rsidRPr="00B80985" w:rsidRDefault="00B80985" w:rsidP="00B80985"/>
    <w:p w14:paraId="2C34F43E" w14:textId="77777777" w:rsidR="005C2F62" w:rsidRDefault="005C2F62" w:rsidP="00AA4B89">
      <w:pPr>
        <w:pStyle w:val="Heading2"/>
      </w:pPr>
      <w:bookmarkStart w:id="8" w:name="_Toc254892832"/>
      <w:r>
        <w:t>What are safeguards</w:t>
      </w:r>
      <w:bookmarkEnd w:id="8"/>
    </w:p>
    <w:p w14:paraId="068ABDE0" w14:textId="77777777" w:rsidR="00CC380C" w:rsidRPr="00CC380C" w:rsidRDefault="000B383A" w:rsidP="00CC380C">
      <w:pPr>
        <w:rPr>
          <w:lang w:val="en-US"/>
        </w:rPr>
      </w:pPr>
      <w:r>
        <w:rPr>
          <w:lang w:val="en-US"/>
        </w:rPr>
        <w:t>The term safeguard has evolved from two main areas of work. Financial institutions such as the World Bank developed safeguards focused on</w:t>
      </w:r>
      <w:r w:rsidRPr="005C2F62">
        <w:rPr>
          <w:lang w:val="en-US"/>
        </w:rPr>
        <w:t xml:space="preserve"> measures to prevent and mitigate undue harm from in</w:t>
      </w:r>
      <w:r>
        <w:rPr>
          <w:lang w:val="en-US"/>
        </w:rPr>
        <w:t>vestment or development activities.</w:t>
      </w:r>
      <w:r w:rsidRPr="005C2F62">
        <w:rPr>
          <w:lang w:val="en-US"/>
        </w:rPr>
        <w:t xml:space="preserve"> </w:t>
      </w:r>
      <w:r>
        <w:rPr>
          <w:lang w:val="en-US"/>
        </w:rPr>
        <w:t xml:space="preserve">This ‘risk-based approach’ is based on the concept of economically efficient ‘risk management’. </w:t>
      </w:r>
      <w:r w:rsidR="00CC380C">
        <w:rPr>
          <w:lang w:val="en-US"/>
        </w:rPr>
        <w:t xml:space="preserve">The other area of work has focused on the development of </w:t>
      </w:r>
      <w:r w:rsidR="00CC380C" w:rsidRPr="00CC380C">
        <w:rPr>
          <w:lang w:val="en-US"/>
        </w:rPr>
        <w:t>‘rights-based approach</w:t>
      </w:r>
      <w:r w:rsidR="00CC380C">
        <w:rPr>
          <w:lang w:val="en-US"/>
        </w:rPr>
        <w:t>es</w:t>
      </w:r>
      <w:r w:rsidR="00CC380C" w:rsidRPr="00CC380C">
        <w:rPr>
          <w:lang w:val="en-US"/>
        </w:rPr>
        <w:t xml:space="preserve">’ to safeguards </w:t>
      </w:r>
      <w:r w:rsidR="00CC380C">
        <w:rPr>
          <w:lang w:val="en-US"/>
        </w:rPr>
        <w:t>which prioritise and promote the</w:t>
      </w:r>
      <w:r w:rsidR="00CC380C" w:rsidRPr="00CC380C">
        <w:rPr>
          <w:lang w:val="en-US"/>
        </w:rPr>
        <w:t xml:space="preserve"> protection of the individ</w:t>
      </w:r>
      <w:r w:rsidR="00147839">
        <w:rPr>
          <w:lang w:val="en-US"/>
        </w:rPr>
        <w:t>ual rights of those affected.</w:t>
      </w:r>
    </w:p>
    <w:p w14:paraId="13A2FB91" w14:textId="77777777" w:rsidR="008E3061" w:rsidRDefault="00646177" w:rsidP="005C2F62">
      <w:pPr>
        <w:rPr>
          <w:lang w:val="en-US"/>
        </w:rPr>
      </w:pPr>
      <w:r>
        <w:rPr>
          <w:lang w:val="en-US"/>
        </w:rPr>
        <w:t xml:space="preserve">Under both approaches, however, a safeguard remains a policy, law, programme or measure with its implementation intended to prevent and mitigate harm and is directly dependent on approaches that promote benefits. </w:t>
      </w:r>
      <w:r w:rsidR="002B2B73">
        <w:rPr>
          <w:lang w:val="en-US"/>
        </w:rPr>
        <w:t xml:space="preserve"> </w:t>
      </w:r>
    </w:p>
    <w:p w14:paraId="6E999E33" w14:textId="77777777" w:rsidR="004B77FF" w:rsidRPr="005C2F62" w:rsidRDefault="004B77FF" w:rsidP="005C2F62"/>
    <w:p w14:paraId="1656F108" w14:textId="77777777" w:rsidR="000E2205" w:rsidRDefault="000E2205" w:rsidP="00AA4B89">
      <w:pPr>
        <w:pStyle w:val="Heading2"/>
      </w:pPr>
      <w:bookmarkStart w:id="9" w:name="_Toc254892833"/>
      <w:r>
        <w:t>REDD+ Safeguards</w:t>
      </w:r>
      <w:r w:rsidR="00AA4B89">
        <w:t xml:space="preserve"> within the UNFCCC</w:t>
      </w:r>
      <w:bookmarkEnd w:id="9"/>
      <w:r>
        <w:t xml:space="preserve"> </w:t>
      </w:r>
    </w:p>
    <w:p w14:paraId="206985F7" w14:textId="77777777" w:rsidR="00C27A2F" w:rsidRDefault="003026A3" w:rsidP="003026A3">
      <w:r>
        <w:t xml:space="preserve">Within negotiations under the UNFCCC, the need for REDD+ safeguards has been identified. These safeguards are intended to ensure that REDD+ activities </w:t>
      </w:r>
      <w:r w:rsidR="00C27A2F">
        <w:t>‘</w:t>
      </w:r>
      <w:r>
        <w:t>do no harm</w:t>
      </w:r>
      <w:r w:rsidR="00C27A2F">
        <w:t>’</w:t>
      </w:r>
      <w:r>
        <w:t xml:space="preserve"> and promote multiple benefits</w:t>
      </w:r>
      <w:r w:rsidR="00AB6117">
        <w:t>. At the Conference of t</w:t>
      </w:r>
      <w:r w:rsidR="00147839">
        <w:t>he Parties in Cancun in 2010 (C</w:t>
      </w:r>
      <w:r w:rsidR="00AB6117">
        <w:t>P16) seven safeguards were identified that countries should promote and report when undertaking REDD+ activities</w:t>
      </w:r>
      <w:r w:rsidR="00C27A2F">
        <w:t xml:space="preserve"> (see </w:t>
      </w:r>
      <w:r w:rsidR="00AA4B89">
        <w:fldChar w:fldCharType="begin"/>
      </w:r>
      <w:r w:rsidR="00AA4B89">
        <w:instrText xml:space="preserve"> REF _Ref246657369 \h </w:instrText>
      </w:r>
      <w:r w:rsidR="00AA4B89">
        <w:fldChar w:fldCharType="separate"/>
      </w:r>
      <w:r w:rsidR="008D3F68">
        <w:t xml:space="preserve">Box </w:t>
      </w:r>
      <w:r w:rsidR="008D3F68">
        <w:rPr>
          <w:noProof/>
        </w:rPr>
        <w:t>1</w:t>
      </w:r>
      <w:r w:rsidR="00AA4B89">
        <w:fldChar w:fldCharType="end"/>
      </w:r>
      <w:r w:rsidR="00C27A2F">
        <w:t>)</w:t>
      </w:r>
      <w:r w:rsidR="00AB6117">
        <w:t xml:space="preserve">. </w:t>
      </w:r>
    </w:p>
    <w:p w14:paraId="0B452834" w14:textId="77777777" w:rsidR="00C27A2F" w:rsidRDefault="00C27A2F" w:rsidP="00C27A2F">
      <w:pPr>
        <w:pStyle w:val="Caption"/>
        <w:keepNext/>
      </w:pPr>
      <w:bookmarkStart w:id="10" w:name="_Ref246657369"/>
      <w:r>
        <w:t xml:space="preserve">Box </w:t>
      </w:r>
      <w:r>
        <w:fldChar w:fldCharType="begin"/>
      </w:r>
      <w:r>
        <w:instrText xml:space="preserve"> SEQ Box \* ARABIC </w:instrText>
      </w:r>
      <w:r>
        <w:fldChar w:fldCharType="separate"/>
      </w:r>
      <w:r w:rsidR="003701EE">
        <w:rPr>
          <w:noProof/>
        </w:rPr>
        <w:t>1</w:t>
      </w:r>
      <w:r>
        <w:fldChar w:fldCharType="end"/>
      </w:r>
      <w:bookmarkEnd w:id="10"/>
      <w:r>
        <w:t>: REDD+ Safeguards under the Cancun Agreement CP.16</w:t>
      </w:r>
    </w:p>
    <w:p w14:paraId="772413B3" w14:textId="77777777" w:rsidR="003026A3" w:rsidRPr="00AB6117" w:rsidRDefault="005C6D23" w:rsidP="00AB6117">
      <w:r>
        <w:rPr>
          <w:noProof/>
          <w:lang w:val="en-US"/>
        </w:rPr>
        <mc:AlternateContent>
          <mc:Choice Requires="wps">
            <w:drawing>
              <wp:inline distT="0" distB="0" distL="0" distR="0" wp14:anchorId="29A6D0B1" wp14:editId="7FA0E9FE">
                <wp:extent cx="6286500" cy="3007360"/>
                <wp:effectExtent l="0" t="0" r="38100" b="1524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3007360"/>
                        </a:xfrm>
                        <a:prstGeom prst="rect">
                          <a:avLst/>
                        </a:prstGeom>
                        <a:solidFill>
                          <a:srgbClr val="EEECE1"/>
                        </a:solidFill>
                        <a:ln>
                          <a:solidFill>
                            <a:srgbClr val="EEECE1">
                              <a:lumMod val="25000"/>
                            </a:srgbClr>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6CEB13BD" w14:textId="77777777" w:rsidR="00AD59B0" w:rsidRPr="00AA4B89" w:rsidRDefault="00AD59B0" w:rsidP="00AB6117">
                            <w:pPr>
                              <w:pStyle w:val="ListParagraph"/>
                              <w:numPr>
                                <w:ilvl w:val="0"/>
                                <w:numId w:val="1"/>
                              </w:numPr>
                              <w:rPr>
                                <w:i/>
                                <w:szCs w:val="22"/>
                              </w:rPr>
                            </w:pPr>
                            <w:r w:rsidRPr="00AA4B89">
                              <w:rPr>
                                <w:i/>
                                <w:szCs w:val="22"/>
                              </w:rPr>
                              <w:t xml:space="preserve">Actions complement or are consistent with the objectives of national forest programmes and relevant international conventions and agreements; </w:t>
                            </w:r>
                          </w:p>
                          <w:p w14:paraId="11613C30" w14:textId="77777777" w:rsidR="00AD59B0" w:rsidRPr="00AA4B89" w:rsidRDefault="00AD59B0" w:rsidP="00AB6117">
                            <w:pPr>
                              <w:pStyle w:val="ListParagraph"/>
                              <w:numPr>
                                <w:ilvl w:val="0"/>
                                <w:numId w:val="1"/>
                              </w:numPr>
                              <w:rPr>
                                <w:i/>
                                <w:szCs w:val="22"/>
                              </w:rPr>
                            </w:pPr>
                            <w:r w:rsidRPr="00AA4B89">
                              <w:rPr>
                                <w:i/>
                                <w:szCs w:val="22"/>
                              </w:rPr>
                              <w:t>Transparent and effective national forest governance structures, taking into account national legislation and sovereignty;</w:t>
                            </w:r>
                          </w:p>
                          <w:p w14:paraId="5A4EC119" w14:textId="77777777" w:rsidR="00AD59B0" w:rsidRPr="00AA4B89" w:rsidRDefault="00AD59B0" w:rsidP="00AB6117">
                            <w:pPr>
                              <w:pStyle w:val="ListParagraph"/>
                              <w:numPr>
                                <w:ilvl w:val="0"/>
                                <w:numId w:val="1"/>
                              </w:numPr>
                              <w:rPr>
                                <w:i/>
                                <w:szCs w:val="22"/>
                              </w:rPr>
                            </w:pPr>
                            <w:r w:rsidRPr="00AA4B89">
                              <w:rPr>
                                <w:i/>
                                <w:szCs w:val="22"/>
                              </w:rPr>
                              <w:t>Respect for the knowledge and rights of indigenous peoples and members of local communities, by taking into account relevant international obligations, national circumstances and laws, and noting that the United Nations General Assembly has adopted the United Nations Declaration on the Rights of Indigenous Peoples;</w:t>
                            </w:r>
                          </w:p>
                          <w:p w14:paraId="1A52B6BF" w14:textId="77777777" w:rsidR="00AD59B0" w:rsidRPr="00AA4B89" w:rsidRDefault="00AD59B0" w:rsidP="00AB6117">
                            <w:pPr>
                              <w:pStyle w:val="ListParagraph"/>
                              <w:numPr>
                                <w:ilvl w:val="0"/>
                                <w:numId w:val="1"/>
                              </w:numPr>
                              <w:rPr>
                                <w:i/>
                                <w:szCs w:val="22"/>
                              </w:rPr>
                            </w:pPr>
                            <w:r w:rsidRPr="00AA4B89">
                              <w:rPr>
                                <w:i/>
                                <w:szCs w:val="22"/>
                              </w:rPr>
                              <w:t>The full and effective participation of relevant stakeholders, in particular, indigenous peoples and local communities...</w:t>
                            </w:r>
                          </w:p>
                          <w:p w14:paraId="72398EFB" w14:textId="77777777" w:rsidR="00AD59B0" w:rsidRPr="00AA4B89" w:rsidRDefault="00AD59B0" w:rsidP="00AB6117">
                            <w:pPr>
                              <w:pStyle w:val="ListParagraph"/>
                              <w:numPr>
                                <w:ilvl w:val="0"/>
                                <w:numId w:val="1"/>
                              </w:numPr>
                              <w:rPr>
                                <w:i/>
                                <w:szCs w:val="22"/>
                              </w:rPr>
                            </w:pPr>
                            <w:r w:rsidRPr="00AA4B89">
                              <w:rPr>
                                <w:i/>
                                <w:szCs w:val="22"/>
                              </w:rPr>
                              <w:t>Actions are consistent with the conservation of natural forests and biological diversity, ensuring that actions...are not used for the conversion of natural forests, but are instead used to incentivize the protection and conservation of natural forests and their ecosystem services, and to enhance other social and environmental benefits;</w:t>
                            </w:r>
                          </w:p>
                          <w:p w14:paraId="252F2BF8" w14:textId="77777777" w:rsidR="00AD59B0" w:rsidRPr="00AA4B89" w:rsidRDefault="00AD59B0" w:rsidP="00AB6117">
                            <w:pPr>
                              <w:pStyle w:val="ListParagraph"/>
                              <w:numPr>
                                <w:ilvl w:val="0"/>
                                <w:numId w:val="1"/>
                              </w:numPr>
                              <w:rPr>
                                <w:i/>
                                <w:szCs w:val="22"/>
                              </w:rPr>
                            </w:pPr>
                            <w:r w:rsidRPr="00AA4B89">
                              <w:rPr>
                                <w:i/>
                                <w:szCs w:val="22"/>
                              </w:rPr>
                              <w:t>Actions to address the risks of reversals</w:t>
                            </w:r>
                          </w:p>
                          <w:p w14:paraId="1DB69B71" w14:textId="77777777" w:rsidR="00AD59B0" w:rsidRPr="00AA4B89" w:rsidRDefault="00AD59B0" w:rsidP="00AB6117">
                            <w:pPr>
                              <w:pStyle w:val="ListParagraph"/>
                              <w:numPr>
                                <w:ilvl w:val="0"/>
                                <w:numId w:val="1"/>
                              </w:numPr>
                              <w:rPr>
                                <w:i/>
                                <w:szCs w:val="22"/>
                              </w:rPr>
                            </w:pPr>
                            <w:r w:rsidRPr="00AA4B89">
                              <w:rPr>
                                <w:i/>
                                <w:szCs w:val="22"/>
                              </w:rPr>
                              <w:t>Actions to reduce displacement of emissions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0,0l0,21600,21600,21600,21600,0xe">
                <v:stroke joinstyle="miter"/>
                <v:path gradientshapeok="t" o:connecttype="rect"/>
              </v:shapetype>
              <v:shape id="Text Box 3" o:spid="_x0000_s1027" type="#_x0000_t202" style="width:495pt;height:23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" fillcolor="#eeece1" strokecolor="#4a452a">
                <v:path arrowok="t"/>
                <v:textbox>
                  <w:txbxContent>
                    <w:p w14:paraId="6CEB13BD" w14:textId="77777777" w:rsidR="00AD59B0" w:rsidRPr="00AA4B89" w:rsidRDefault="00AD59B0" w:rsidP="00AB6117">
                      <w:pPr>
                        <w:pStyle w:val="ListParagraph"/>
                        <w:numPr>
                          <w:ilvl w:val="0"/>
                          <w:numId w:val="1"/>
                        </w:numPr>
                        <w:rPr>
                          <w:i/>
                          <w:szCs w:val="22"/>
                        </w:rPr>
                      </w:pPr>
                      <w:r w:rsidRPr="00AA4B89">
                        <w:rPr>
                          <w:i/>
                          <w:szCs w:val="22"/>
                        </w:rPr>
                        <w:t xml:space="preserve">Actions complement or are consistent with the objectives of national forest programmes and relevant international conventions and agreements; </w:t>
                      </w:r>
                    </w:p>
                    <w:p w14:paraId="11613C30" w14:textId="77777777" w:rsidR="00AD59B0" w:rsidRPr="00AA4B89" w:rsidRDefault="00AD59B0" w:rsidP="00AB6117">
                      <w:pPr>
                        <w:pStyle w:val="ListParagraph"/>
                        <w:numPr>
                          <w:ilvl w:val="0"/>
                          <w:numId w:val="1"/>
                        </w:numPr>
                        <w:rPr>
                          <w:i/>
                          <w:szCs w:val="22"/>
                        </w:rPr>
                      </w:pPr>
                      <w:r w:rsidRPr="00AA4B89">
                        <w:rPr>
                          <w:i/>
                          <w:szCs w:val="22"/>
                        </w:rPr>
                        <w:t>Transparent and effective national forest governance structures, taking into account national legislation and sovereignty;</w:t>
                      </w:r>
                    </w:p>
                    <w:p w14:paraId="5A4EC119" w14:textId="77777777" w:rsidR="00AD59B0" w:rsidRPr="00AA4B89" w:rsidRDefault="00AD59B0" w:rsidP="00AB6117">
                      <w:pPr>
                        <w:pStyle w:val="ListParagraph"/>
                        <w:numPr>
                          <w:ilvl w:val="0"/>
                          <w:numId w:val="1"/>
                        </w:numPr>
                        <w:rPr>
                          <w:i/>
                          <w:szCs w:val="22"/>
                        </w:rPr>
                      </w:pPr>
                      <w:r w:rsidRPr="00AA4B89">
                        <w:rPr>
                          <w:i/>
                          <w:szCs w:val="22"/>
                        </w:rPr>
                        <w:t>Respect for the knowledge and rights of indigenous peoples and members of local communities, by taking into account relevant international obligations, national circumstances and laws, and noting that the United Nations General Assembly has adopted the United Nations Declaration on the Rights of Indigenous Peoples;</w:t>
                      </w:r>
                    </w:p>
                    <w:p w14:paraId="1A52B6BF" w14:textId="77777777" w:rsidR="00AD59B0" w:rsidRPr="00AA4B89" w:rsidRDefault="00AD59B0" w:rsidP="00AB6117">
                      <w:pPr>
                        <w:pStyle w:val="ListParagraph"/>
                        <w:numPr>
                          <w:ilvl w:val="0"/>
                          <w:numId w:val="1"/>
                        </w:numPr>
                        <w:rPr>
                          <w:i/>
                          <w:szCs w:val="22"/>
                        </w:rPr>
                      </w:pPr>
                      <w:r w:rsidRPr="00AA4B89">
                        <w:rPr>
                          <w:i/>
                          <w:szCs w:val="22"/>
                        </w:rPr>
                        <w:t>The full and effective participation of relevant stakeholders, in particular, indigenous peoples and local communities...</w:t>
                      </w:r>
                    </w:p>
                    <w:p w14:paraId="72398EFB" w14:textId="77777777" w:rsidR="00AD59B0" w:rsidRPr="00AA4B89" w:rsidRDefault="00AD59B0" w:rsidP="00AB6117">
                      <w:pPr>
                        <w:pStyle w:val="ListParagraph"/>
                        <w:numPr>
                          <w:ilvl w:val="0"/>
                          <w:numId w:val="1"/>
                        </w:numPr>
                        <w:rPr>
                          <w:i/>
                          <w:szCs w:val="22"/>
                        </w:rPr>
                      </w:pPr>
                      <w:r w:rsidRPr="00AA4B89">
                        <w:rPr>
                          <w:i/>
                          <w:szCs w:val="22"/>
                        </w:rPr>
                        <w:t>Actions are consistent with the conservation of natural forests and biological diversity, ensuring that actions...are not used for the conversion of natural forests, but are instead used to incentivize the protection and conservation of natural forests and their ecosystem services, and to enhance other social and environmental benefits;</w:t>
                      </w:r>
                    </w:p>
                    <w:p w14:paraId="252F2BF8" w14:textId="77777777" w:rsidR="00AD59B0" w:rsidRPr="00AA4B89" w:rsidRDefault="00AD59B0" w:rsidP="00AB6117">
                      <w:pPr>
                        <w:pStyle w:val="ListParagraph"/>
                        <w:numPr>
                          <w:ilvl w:val="0"/>
                          <w:numId w:val="1"/>
                        </w:numPr>
                        <w:rPr>
                          <w:i/>
                          <w:szCs w:val="22"/>
                        </w:rPr>
                      </w:pPr>
                      <w:r w:rsidRPr="00AA4B89">
                        <w:rPr>
                          <w:i/>
                          <w:szCs w:val="22"/>
                        </w:rPr>
                        <w:t>Actions to address the risks of reversals</w:t>
                      </w:r>
                    </w:p>
                    <w:p w14:paraId="1DB69B71" w14:textId="77777777" w:rsidR="00AD59B0" w:rsidRPr="00AA4B89" w:rsidRDefault="00AD59B0" w:rsidP="00AB6117">
                      <w:pPr>
                        <w:pStyle w:val="ListParagraph"/>
                        <w:numPr>
                          <w:ilvl w:val="0"/>
                          <w:numId w:val="1"/>
                        </w:numPr>
                        <w:rPr>
                          <w:i/>
                          <w:szCs w:val="22"/>
                        </w:rPr>
                      </w:pPr>
                      <w:r w:rsidRPr="00AA4B89">
                        <w:rPr>
                          <w:i/>
                          <w:szCs w:val="22"/>
                        </w:rPr>
                        <w:t>Actions to reduce displacement of emissions</w:t>
                      </w:r>
                    </w:p>
                  </w:txbxContent>
                </v:textbox>
                <w10:anchorlock/>
              </v:shape>
            </w:pict>
          </mc:Fallback>
        </mc:AlternateContent>
      </w:r>
    </w:p>
    <w:p w14:paraId="3E14BECD" w14:textId="77777777" w:rsidR="002B2B73" w:rsidRDefault="000449C7" w:rsidP="000449C7">
      <w:pPr>
        <w:rPr>
          <w:lang w:val="en-US"/>
        </w:rPr>
      </w:pPr>
      <w:r w:rsidRPr="00CC380C">
        <w:rPr>
          <w:lang w:val="en-US"/>
        </w:rPr>
        <w:t xml:space="preserve">The wording of </w:t>
      </w:r>
      <w:r w:rsidR="002B2B73">
        <w:rPr>
          <w:lang w:val="en-US"/>
        </w:rPr>
        <w:t>these safeguards and their linkages with obliga</w:t>
      </w:r>
      <w:r w:rsidRPr="00CC380C">
        <w:rPr>
          <w:lang w:val="en-US"/>
        </w:rPr>
        <w:t>tions created by international instruments, many of which grant substantive rights (including the rights of indigenous peoples and local communities), suggest that the UNFCCC REDD+ Safeguards take a rights-based approach, rather than a risk based one</w:t>
      </w:r>
      <w:r w:rsidR="002B2B73">
        <w:rPr>
          <w:rStyle w:val="FootnoteReference"/>
          <w:lang w:val="en-US"/>
        </w:rPr>
        <w:footnoteReference w:id="1"/>
      </w:r>
      <w:r w:rsidRPr="00CC380C">
        <w:rPr>
          <w:lang w:val="en-US"/>
        </w:rPr>
        <w:t xml:space="preserve">. </w:t>
      </w:r>
    </w:p>
    <w:p w14:paraId="3CE89338" w14:textId="77777777" w:rsidR="002B2B73" w:rsidRDefault="002B2B73" w:rsidP="000449C7">
      <w:pPr>
        <w:rPr>
          <w:lang w:val="en-US"/>
        </w:rPr>
      </w:pPr>
      <w:r>
        <w:rPr>
          <w:lang w:val="en-US"/>
        </w:rPr>
        <w:t xml:space="preserve">Under this interpretation it should be considered that the safeguards should go beyond </w:t>
      </w:r>
      <w:r w:rsidR="000449C7" w:rsidRPr="00CC380C">
        <w:rPr>
          <w:lang w:val="en-US"/>
        </w:rPr>
        <w:t>merely ensuring that investments do no harm t</w:t>
      </w:r>
      <w:r>
        <w:rPr>
          <w:lang w:val="en-US"/>
        </w:rPr>
        <w:t>o vulnerable people and ecosys</w:t>
      </w:r>
      <w:r w:rsidR="000449C7" w:rsidRPr="00CC380C">
        <w:rPr>
          <w:lang w:val="en-US"/>
        </w:rPr>
        <w:t xml:space="preserve">tems, and require positive actions </w:t>
      </w:r>
      <w:r>
        <w:rPr>
          <w:lang w:val="en-US"/>
        </w:rPr>
        <w:t xml:space="preserve">to support the rights to which they refer. </w:t>
      </w:r>
    </w:p>
    <w:p w14:paraId="41648F87" w14:textId="77777777" w:rsidR="002B2B73" w:rsidRDefault="000449C7" w:rsidP="002B2B73">
      <w:pPr>
        <w:rPr>
          <w:lang w:val="en-US"/>
        </w:rPr>
      </w:pPr>
      <w:r w:rsidRPr="00CC380C">
        <w:rPr>
          <w:lang w:val="en-US"/>
        </w:rPr>
        <w:t xml:space="preserve">The UNFCCC REDD+ Safeguards </w:t>
      </w:r>
      <w:r w:rsidR="002B2B73">
        <w:rPr>
          <w:lang w:val="en-US"/>
        </w:rPr>
        <w:t xml:space="preserve">also do not simply focus on </w:t>
      </w:r>
      <w:r w:rsidRPr="00CC380C">
        <w:rPr>
          <w:lang w:val="en-US"/>
        </w:rPr>
        <w:t xml:space="preserve">defining acceptable and unacceptable performance, but instead require improvements beyond a minimum threshold. </w:t>
      </w:r>
      <w:r w:rsidR="002B2B73">
        <w:rPr>
          <w:lang w:val="en-US"/>
        </w:rPr>
        <w:t xml:space="preserve">Indeed </w:t>
      </w:r>
      <w:r w:rsidRPr="00CC380C">
        <w:rPr>
          <w:lang w:val="en-US"/>
        </w:rPr>
        <w:t xml:space="preserve">the Cancun Agreement indicates </w:t>
      </w:r>
      <w:r w:rsidR="002B2B73">
        <w:rPr>
          <w:lang w:val="en-US"/>
        </w:rPr>
        <w:t>that</w:t>
      </w:r>
      <w:r w:rsidRPr="00CC380C">
        <w:rPr>
          <w:lang w:val="en-US"/>
        </w:rPr>
        <w:t xml:space="preserve"> Parties should actively pursue benefits beyond carbon e</w:t>
      </w:r>
      <w:r w:rsidR="002B2B73">
        <w:rPr>
          <w:lang w:val="en-US"/>
        </w:rPr>
        <w:t>mission reductions, such as en</w:t>
      </w:r>
      <w:r w:rsidRPr="00CC380C">
        <w:rPr>
          <w:lang w:val="en-US"/>
        </w:rPr>
        <w:t>hancing land tenure security, enhancing biodiversity and other eco</w:t>
      </w:r>
      <w:r w:rsidR="002B2B73">
        <w:rPr>
          <w:lang w:val="en-US"/>
        </w:rPr>
        <w:t>system services, improving for</w:t>
      </w:r>
      <w:r w:rsidRPr="00CC380C">
        <w:rPr>
          <w:lang w:val="en-US"/>
        </w:rPr>
        <w:t>est governance and empowering relevant stakeholders by ensuring p</w:t>
      </w:r>
      <w:r w:rsidR="002B2B73">
        <w:rPr>
          <w:lang w:val="en-US"/>
        </w:rPr>
        <w:t>articipation – points often referred to as the multiple benefits of REDD+</w:t>
      </w:r>
      <w:r w:rsidRPr="00CC380C">
        <w:rPr>
          <w:lang w:val="en-US"/>
        </w:rPr>
        <w:t>.</w:t>
      </w:r>
    </w:p>
    <w:p w14:paraId="49E3131F" w14:textId="77777777" w:rsidR="006F23B3" w:rsidRDefault="002B2B73" w:rsidP="006F23B3">
      <w:pPr>
        <w:rPr>
          <w:lang w:val="en-US"/>
        </w:rPr>
      </w:pPr>
      <w:r>
        <w:rPr>
          <w:lang w:val="en-US"/>
        </w:rPr>
        <w:t>Based on this it can be concluded that the</w:t>
      </w:r>
      <w:r w:rsidRPr="002B2B73">
        <w:rPr>
          <w:lang w:val="en-US"/>
        </w:rPr>
        <w:t xml:space="preserve"> application of the </w:t>
      </w:r>
      <w:r>
        <w:rPr>
          <w:lang w:val="en-US"/>
        </w:rPr>
        <w:t xml:space="preserve">UNFCCC REDD+ </w:t>
      </w:r>
      <w:r w:rsidRPr="002B2B73">
        <w:rPr>
          <w:lang w:val="en-US"/>
        </w:rPr>
        <w:t xml:space="preserve">safeguards should not simply </w:t>
      </w:r>
      <w:r>
        <w:rPr>
          <w:lang w:val="en-US"/>
        </w:rPr>
        <w:t xml:space="preserve">be </w:t>
      </w:r>
      <w:r w:rsidRPr="002B2B73">
        <w:rPr>
          <w:lang w:val="en-US"/>
        </w:rPr>
        <w:t xml:space="preserve">about </w:t>
      </w:r>
      <w:r>
        <w:rPr>
          <w:lang w:val="en-US"/>
        </w:rPr>
        <w:t xml:space="preserve">preventing harm </w:t>
      </w:r>
      <w:r w:rsidRPr="002B2B73">
        <w:rPr>
          <w:lang w:val="en-US"/>
        </w:rPr>
        <w:t>but should be about supporting improvements in the existing context.</w:t>
      </w:r>
      <w:r w:rsidR="00220BE4">
        <w:rPr>
          <w:lang w:val="en-US"/>
        </w:rPr>
        <w:t xml:space="preserve"> It can also be seen as requiring</w:t>
      </w:r>
      <w:r w:rsidR="00646177">
        <w:rPr>
          <w:lang w:val="en-US"/>
        </w:rPr>
        <w:t>,</w:t>
      </w:r>
      <w:r w:rsidR="00220BE4">
        <w:rPr>
          <w:lang w:val="en-US"/>
        </w:rPr>
        <w:t xml:space="preserve"> not just reporting on</w:t>
      </w:r>
      <w:r w:rsidR="00646177">
        <w:rPr>
          <w:lang w:val="en-US"/>
        </w:rPr>
        <w:t>, the</w:t>
      </w:r>
      <w:r w:rsidR="00220BE4">
        <w:rPr>
          <w:lang w:val="en-US"/>
        </w:rPr>
        <w:t xml:space="preserve"> achievement of ‘full compliance’ (such at outcome indicators) but also of activities towards achieving compliance as part of the REDD+ development processes (such as process indicators). </w:t>
      </w:r>
    </w:p>
    <w:p w14:paraId="27616760" w14:textId="77777777" w:rsidR="006F23B3" w:rsidRPr="006F23B3" w:rsidRDefault="006F23B3" w:rsidP="006F23B3">
      <w:pPr>
        <w:rPr>
          <w:lang w:val="en-US"/>
        </w:rPr>
      </w:pPr>
      <w:r>
        <w:rPr>
          <w:lang w:val="en-US"/>
        </w:rPr>
        <w:t xml:space="preserve">This point links to the UNFCCC REDD+ safeguard requirements for REDD+ activities to be </w:t>
      </w:r>
      <w:r w:rsidRPr="006F23B3">
        <w:rPr>
          <w:i/>
          <w:lang w:val="en-US"/>
        </w:rPr>
        <w:t>complementary or consistent with</w:t>
      </w:r>
      <w:r w:rsidRPr="006F23B3">
        <w:rPr>
          <w:lang w:val="en-US"/>
        </w:rPr>
        <w:t xml:space="preserve"> the relevant international instruments that countries have signed, ratified, or otherwise agreed to</w:t>
      </w:r>
      <w:r>
        <w:rPr>
          <w:lang w:val="en-US"/>
        </w:rPr>
        <w:t>. This approach is not intended to increase the burden on REDD+ countries but rather to provide linkages and support countries in im</w:t>
      </w:r>
      <w:r w:rsidRPr="006F23B3">
        <w:rPr>
          <w:lang w:val="en-US"/>
        </w:rPr>
        <w:t>plementing existing international obligations</w:t>
      </w:r>
      <w:r>
        <w:rPr>
          <w:lang w:val="en-US"/>
        </w:rPr>
        <w:t xml:space="preserve"> under other conventions through REDD+ activities. </w:t>
      </w:r>
    </w:p>
    <w:p w14:paraId="5EC7A2EB" w14:textId="77777777" w:rsidR="006F23B3" w:rsidRDefault="006F23B3" w:rsidP="00AB6117"/>
    <w:p w14:paraId="2BC1F16E" w14:textId="77777777" w:rsidR="00CC380C" w:rsidRDefault="002B2B73" w:rsidP="002B2B73">
      <w:pPr>
        <w:pStyle w:val="Heading3"/>
      </w:pPr>
      <w:bookmarkStart w:id="11" w:name="_Toc254892834"/>
      <w:r>
        <w:t>Safeguard Information Systems</w:t>
      </w:r>
      <w:bookmarkEnd w:id="11"/>
    </w:p>
    <w:p w14:paraId="4A57DD8E" w14:textId="77777777" w:rsidR="00AA4B89" w:rsidRDefault="00AB6117" w:rsidP="00AB6117">
      <w:r>
        <w:t>At the meeting</w:t>
      </w:r>
      <w:r w:rsidR="00147839">
        <w:t xml:space="preserve"> in Cancun and the subsequent C</w:t>
      </w:r>
      <w:r>
        <w:t xml:space="preserve">P meeting in Durban further agreement was made on the need for countries to provide information on how safeguards are </w:t>
      </w:r>
      <w:r w:rsidR="006F23B3" w:rsidRPr="006F23B3">
        <w:rPr>
          <w:i/>
        </w:rPr>
        <w:t>promoted and supported</w:t>
      </w:r>
      <w:r>
        <w:t xml:space="preserve"> through the implementation of REDD+ activities. </w:t>
      </w:r>
      <w:r w:rsidR="00AA4B89">
        <w:t>It was recommended that provision of this information</w:t>
      </w:r>
      <w:r w:rsidR="00D510C8">
        <w:t xml:space="preserve"> should</w:t>
      </w:r>
      <w:r w:rsidR="00AA4B89">
        <w:t xml:space="preserve"> occur through a </w:t>
      </w:r>
      <w:r w:rsidR="00AA4B89" w:rsidRPr="006F23B3">
        <w:rPr>
          <w:i/>
        </w:rPr>
        <w:t>National Safeguard Information System</w:t>
      </w:r>
      <w:r w:rsidR="00147839">
        <w:rPr>
          <w:i/>
        </w:rPr>
        <w:t xml:space="preserve"> (SIS)</w:t>
      </w:r>
      <w:r w:rsidR="00AA4B89">
        <w:t xml:space="preserve">. </w:t>
      </w:r>
    </w:p>
    <w:p w14:paraId="27DB6D33" w14:textId="77777777" w:rsidR="005C0FD7" w:rsidRDefault="005C0FD7" w:rsidP="005C0FD7">
      <w:pPr>
        <w:rPr>
          <w:lang w:val="en-US"/>
        </w:rPr>
      </w:pPr>
      <w:r w:rsidRPr="005C0FD7">
        <w:rPr>
          <w:lang w:val="en-US"/>
        </w:rPr>
        <w:t xml:space="preserve">The Durban decision </w:t>
      </w:r>
      <w:r>
        <w:rPr>
          <w:lang w:val="en-US"/>
        </w:rPr>
        <w:t xml:space="preserve">takes this point further and </w:t>
      </w:r>
      <w:r w:rsidRPr="005C0FD7">
        <w:rPr>
          <w:lang w:val="en-US"/>
        </w:rPr>
        <w:t xml:space="preserve">links REDD+ finance with effective implementation of the UNFCCC REDD+ Safeguards </w:t>
      </w:r>
      <w:r>
        <w:rPr>
          <w:lang w:val="en-US"/>
        </w:rPr>
        <w:t xml:space="preserve">noting </w:t>
      </w:r>
      <w:r w:rsidRPr="005C0FD7">
        <w:rPr>
          <w:lang w:val="en-US"/>
        </w:rPr>
        <w:t xml:space="preserve">that developing country Parties will only be </w:t>
      </w:r>
      <w:r>
        <w:rPr>
          <w:lang w:val="en-US"/>
        </w:rPr>
        <w:t>able to “obtain and receive re</w:t>
      </w:r>
      <w:r w:rsidRPr="005C0FD7">
        <w:rPr>
          <w:lang w:val="en-US"/>
        </w:rPr>
        <w:t>sults-based finance</w:t>
      </w:r>
      <w:r>
        <w:rPr>
          <w:lang w:val="en-US"/>
        </w:rPr>
        <w:t>” if they have a SIS in place</w:t>
      </w:r>
      <w:r>
        <w:rPr>
          <w:rStyle w:val="FootnoteReference"/>
          <w:lang w:val="en-US"/>
        </w:rPr>
        <w:footnoteReference w:id="2"/>
      </w:r>
      <w:r>
        <w:rPr>
          <w:lang w:val="en-US"/>
        </w:rPr>
        <w:t>.</w:t>
      </w:r>
      <w:r w:rsidRPr="005C0FD7">
        <w:rPr>
          <w:lang w:val="en-US"/>
        </w:rPr>
        <w:t xml:space="preserve"> </w:t>
      </w:r>
      <w:r w:rsidR="00476982">
        <w:rPr>
          <w:lang w:val="en-US"/>
        </w:rPr>
        <w:t xml:space="preserve">The decision however also notes that these systems should take into account national circumstances. </w:t>
      </w:r>
    </w:p>
    <w:p w14:paraId="27F9047C" w14:textId="77777777" w:rsidR="00157A6E" w:rsidRDefault="00157A6E" w:rsidP="00AB6117"/>
    <w:p w14:paraId="172DE36A" w14:textId="77777777" w:rsidR="00AA4B89" w:rsidRDefault="00AA4B89" w:rsidP="00AA4B89">
      <w:pPr>
        <w:pStyle w:val="Caption"/>
        <w:keepNext/>
        <w:spacing w:after="0"/>
      </w:pPr>
      <w:r>
        <w:t xml:space="preserve">Box </w:t>
      </w:r>
      <w:r>
        <w:fldChar w:fldCharType="begin"/>
      </w:r>
      <w:r>
        <w:instrText xml:space="preserve"> SEQ Box \* ARABIC </w:instrText>
      </w:r>
      <w:r>
        <w:fldChar w:fldCharType="separate"/>
      </w:r>
      <w:r w:rsidR="003701EE">
        <w:rPr>
          <w:noProof/>
        </w:rPr>
        <w:t>2</w:t>
      </w:r>
      <w:r>
        <w:fldChar w:fldCharType="end"/>
      </w:r>
      <w:r>
        <w:t>: REDD+ Safeguard Information System under the Durban Declaration CP</w:t>
      </w:r>
      <w:r w:rsidR="00D510C8">
        <w:t>.</w:t>
      </w:r>
      <w:r>
        <w:t>17</w:t>
      </w:r>
    </w:p>
    <w:p w14:paraId="567A0F3B" w14:textId="77777777" w:rsidR="00AB6117" w:rsidRPr="001140FE" w:rsidRDefault="005C6D23" w:rsidP="00AB6117">
      <w:r>
        <w:rPr>
          <w:noProof/>
          <w:lang w:val="en-US"/>
        </w:rPr>
        <mc:AlternateContent>
          <mc:Choice Requires="wps">
            <w:drawing>
              <wp:inline distT="0" distB="0" distL="0" distR="0" wp14:anchorId="5B3DB15A" wp14:editId="68C9C21A">
                <wp:extent cx="6184900" cy="2294255"/>
                <wp:effectExtent l="0" t="0" r="38100" b="17145"/>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0" cy="2294255"/>
                        </a:xfrm>
                        <a:prstGeom prst="rect">
                          <a:avLst/>
                        </a:prstGeom>
                        <a:solidFill>
                          <a:srgbClr val="EEECE1"/>
                        </a:solidFill>
                        <a:ln>
                          <a:solidFill>
                            <a:srgbClr val="EEECE1">
                              <a:lumMod val="25000"/>
                            </a:srgbClr>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28549076" w14:textId="77777777" w:rsidR="00AD59B0" w:rsidRPr="00AA4B89" w:rsidRDefault="00AD59B0" w:rsidP="00AA4B89">
                            <w:pPr>
                              <w:spacing w:before="0"/>
                              <w:rPr>
                                <w:lang w:val="en-US"/>
                              </w:rPr>
                            </w:pPr>
                            <w:r w:rsidRPr="00AA4B89">
                              <w:rPr>
                                <w:lang w:val="en-US"/>
                              </w:rPr>
                              <w:t>D</w:t>
                            </w:r>
                            <w:r>
                              <w:rPr>
                                <w:lang w:val="en-US"/>
                              </w:rPr>
                              <w:t>ecision 12/CP.17 of the UNFCCC</w:t>
                            </w:r>
                            <w:r w:rsidRPr="00AA4B89">
                              <w:rPr>
                                <w:lang w:val="en-US"/>
                              </w:rPr>
                              <w:t xml:space="preserve"> Durban Outcome states that countries under</w:t>
                            </w:r>
                            <w:r>
                              <w:rPr>
                                <w:lang w:val="en-US"/>
                              </w:rPr>
                              <w:t xml:space="preserve">taking REDD+ activities should provide </w:t>
                            </w:r>
                            <w:r w:rsidRPr="00AA4B89">
                              <w:rPr>
                                <w:lang w:val="en-US"/>
                              </w:rPr>
                              <w:t xml:space="preserve">a  summary </w:t>
                            </w:r>
                            <w:r w:rsidRPr="00AA4B89">
                              <w:rPr>
                                <w:bCs/>
                                <w:lang w:val="en-US"/>
                              </w:rPr>
                              <w:t xml:space="preserve">of information </w:t>
                            </w:r>
                            <w:r w:rsidRPr="00AA4B89">
                              <w:rPr>
                                <w:lang w:val="en-US"/>
                              </w:rPr>
                              <w:t xml:space="preserve">on  how  the  safeguards identified within the Cancun Agreement  are  being </w:t>
                            </w:r>
                            <w:r w:rsidRPr="00AA4B89">
                              <w:rPr>
                                <w:b/>
                                <w:bCs/>
                                <w:lang w:val="en-US"/>
                              </w:rPr>
                              <w:t xml:space="preserve">addressed and respected. </w:t>
                            </w:r>
                            <w:r w:rsidRPr="00AA4B89">
                              <w:rPr>
                                <w:lang w:val="en-US"/>
                              </w:rPr>
                              <w:t xml:space="preserve">It also notes that systems for </w:t>
                            </w:r>
                            <w:r w:rsidRPr="00AA4B89">
                              <w:rPr>
                                <w:bCs/>
                                <w:lang w:val="en-US"/>
                              </w:rPr>
                              <w:t xml:space="preserve">providing information </w:t>
                            </w:r>
                            <w:r w:rsidRPr="00AA4B89">
                              <w:rPr>
                                <w:lang w:val="en-US"/>
                              </w:rPr>
                              <w:t xml:space="preserve">on how the </w:t>
                            </w:r>
                            <w:r w:rsidRPr="00AA4B89">
                              <w:rPr>
                                <w:bCs/>
                                <w:lang w:val="en-US"/>
                              </w:rPr>
                              <w:t>safeguards</w:t>
                            </w:r>
                            <w:r w:rsidRPr="00AA4B89">
                              <w:rPr>
                                <w:lang w:val="en-US"/>
                              </w:rPr>
                              <w:t> are addressed and respected should;</w:t>
                            </w:r>
                          </w:p>
                          <w:p w14:paraId="4F36CDFE" w14:textId="77777777" w:rsidR="00AD59B0" w:rsidRPr="00AA4B89" w:rsidRDefault="00AD59B0" w:rsidP="00F17EEA">
                            <w:pPr>
                              <w:numPr>
                                <w:ilvl w:val="0"/>
                                <w:numId w:val="2"/>
                              </w:numPr>
                              <w:spacing w:before="60"/>
                              <w:ind w:left="714" w:hanging="357"/>
                              <w:rPr>
                                <w:lang w:val="en-US"/>
                              </w:rPr>
                            </w:pPr>
                            <w:r w:rsidRPr="00AA4B89">
                              <w:rPr>
                                <w:lang w:val="en-US"/>
                              </w:rPr>
                              <w:t xml:space="preserve">Be </w:t>
                            </w:r>
                            <w:r w:rsidRPr="00AA4B89">
                              <w:rPr>
                                <w:b/>
                                <w:bCs/>
                                <w:lang w:val="en-US"/>
                              </w:rPr>
                              <w:t xml:space="preserve">consistent </w:t>
                            </w:r>
                            <w:r w:rsidRPr="00AA4B89">
                              <w:rPr>
                                <w:lang w:val="en-US"/>
                              </w:rPr>
                              <w:t xml:space="preserve">with the guidance identified in decision 1/CP.16, appendix I, paragraph 1 </w:t>
                            </w:r>
                          </w:p>
                          <w:p w14:paraId="0489676D" w14:textId="77777777" w:rsidR="00AD59B0" w:rsidRPr="00AA4B89" w:rsidRDefault="00AD59B0" w:rsidP="00F17EEA">
                            <w:pPr>
                              <w:numPr>
                                <w:ilvl w:val="0"/>
                                <w:numId w:val="2"/>
                              </w:numPr>
                              <w:spacing w:before="60"/>
                              <w:ind w:left="714" w:hanging="357"/>
                              <w:rPr>
                                <w:lang w:val="en-US"/>
                              </w:rPr>
                            </w:pPr>
                            <w:r w:rsidRPr="00AA4B89">
                              <w:rPr>
                                <w:lang w:val="en-US"/>
                              </w:rPr>
                              <w:t xml:space="preserve">Provide </w:t>
                            </w:r>
                            <w:r w:rsidRPr="00AA4B89">
                              <w:rPr>
                                <w:b/>
                                <w:bCs/>
                                <w:lang w:val="en-US"/>
                              </w:rPr>
                              <w:t xml:space="preserve">transparent and consistent </w:t>
                            </w:r>
                            <w:r w:rsidRPr="00AA4B89">
                              <w:rPr>
                                <w:lang w:val="en-US"/>
                              </w:rPr>
                              <w:t xml:space="preserve">information that is </w:t>
                            </w:r>
                            <w:r w:rsidRPr="00AA4B89">
                              <w:rPr>
                                <w:b/>
                                <w:bCs/>
                                <w:lang w:val="en-US"/>
                              </w:rPr>
                              <w:t xml:space="preserve">accessible </w:t>
                            </w:r>
                            <w:r w:rsidRPr="00AA4B89">
                              <w:rPr>
                                <w:lang w:val="en-US"/>
                              </w:rPr>
                              <w:t xml:space="preserve">by all relevant stakeholders and updated on a regular basis </w:t>
                            </w:r>
                          </w:p>
                          <w:p w14:paraId="265169CF" w14:textId="77777777" w:rsidR="00AD59B0" w:rsidRPr="00AA4B89" w:rsidRDefault="00AD59B0" w:rsidP="00F17EEA">
                            <w:pPr>
                              <w:numPr>
                                <w:ilvl w:val="0"/>
                                <w:numId w:val="2"/>
                              </w:numPr>
                              <w:spacing w:before="60"/>
                              <w:ind w:left="714" w:hanging="357"/>
                              <w:rPr>
                                <w:lang w:val="en-US"/>
                              </w:rPr>
                            </w:pPr>
                            <w:r w:rsidRPr="00AA4B89">
                              <w:rPr>
                                <w:lang w:val="en-US"/>
                              </w:rPr>
                              <w:t xml:space="preserve">Be </w:t>
                            </w:r>
                            <w:r w:rsidRPr="00AA4B89">
                              <w:rPr>
                                <w:b/>
                                <w:bCs/>
                                <w:lang w:val="en-US"/>
                              </w:rPr>
                              <w:t xml:space="preserve">transparent and flexible </w:t>
                            </w:r>
                            <w:r w:rsidRPr="00AA4B89">
                              <w:rPr>
                                <w:lang w:val="en-US"/>
                              </w:rPr>
                              <w:t>to allow for improvements over time</w:t>
                            </w:r>
                          </w:p>
                          <w:p w14:paraId="1C55004B" w14:textId="77777777" w:rsidR="00AD59B0" w:rsidRPr="00AA4B89" w:rsidRDefault="00AD59B0" w:rsidP="00F17EEA">
                            <w:pPr>
                              <w:numPr>
                                <w:ilvl w:val="0"/>
                                <w:numId w:val="2"/>
                              </w:numPr>
                              <w:spacing w:before="60"/>
                              <w:ind w:left="714" w:hanging="357"/>
                              <w:rPr>
                                <w:lang w:val="en-US"/>
                              </w:rPr>
                            </w:pPr>
                            <w:r w:rsidRPr="00AA4B89">
                              <w:rPr>
                                <w:b/>
                                <w:bCs/>
                                <w:lang w:val="en-US"/>
                              </w:rPr>
                              <w:t xml:space="preserve">Provide information </w:t>
                            </w:r>
                            <w:r w:rsidRPr="00AA4B89">
                              <w:rPr>
                                <w:lang w:val="en-US"/>
                              </w:rPr>
                              <w:t xml:space="preserve">on how all of the safeguards are being addressed and respected </w:t>
                            </w:r>
                          </w:p>
                          <w:p w14:paraId="03F90BC6" w14:textId="77777777" w:rsidR="00AD59B0" w:rsidRPr="00AA4B89" w:rsidRDefault="00AD59B0" w:rsidP="00F17EEA">
                            <w:pPr>
                              <w:numPr>
                                <w:ilvl w:val="0"/>
                                <w:numId w:val="2"/>
                              </w:numPr>
                              <w:spacing w:before="60"/>
                              <w:ind w:left="714" w:hanging="357"/>
                              <w:rPr>
                                <w:lang w:val="en-US"/>
                              </w:rPr>
                            </w:pPr>
                            <w:r w:rsidRPr="00AA4B89">
                              <w:rPr>
                                <w:lang w:val="en-US"/>
                              </w:rPr>
                              <w:t xml:space="preserve">Be </w:t>
                            </w:r>
                            <w:r w:rsidRPr="00AA4B89">
                              <w:rPr>
                                <w:b/>
                                <w:bCs/>
                                <w:lang w:val="en-US"/>
                              </w:rPr>
                              <w:t xml:space="preserve">country-driven </w:t>
                            </w:r>
                            <w:r w:rsidRPr="00AA4B89">
                              <w:rPr>
                                <w:lang w:val="en-US"/>
                              </w:rPr>
                              <w:t xml:space="preserve">and implemented at the national level </w:t>
                            </w:r>
                          </w:p>
                          <w:p w14:paraId="04456C32" w14:textId="77777777" w:rsidR="00AD59B0" w:rsidRPr="00AA4B89" w:rsidRDefault="00AD59B0" w:rsidP="00F17EEA">
                            <w:pPr>
                              <w:numPr>
                                <w:ilvl w:val="0"/>
                                <w:numId w:val="2"/>
                              </w:numPr>
                              <w:spacing w:before="60"/>
                              <w:ind w:left="714" w:hanging="357"/>
                              <w:rPr>
                                <w:lang w:val="en-US"/>
                              </w:rPr>
                            </w:pPr>
                            <w:r w:rsidRPr="00AA4B89">
                              <w:rPr>
                                <w:b/>
                                <w:bCs/>
                                <w:lang w:val="en-US"/>
                              </w:rPr>
                              <w:t xml:space="preserve">Build upon existing systems, </w:t>
                            </w:r>
                            <w:r w:rsidRPr="00AA4B89">
                              <w:rPr>
                                <w:lang w:val="en-US"/>
                              </w:rPr>
                              <w:t>as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o:spid="_x0000_s1028" type="#_x0000_t202" style="width:487pt;height:180.6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" fillcolor="#eeece1" strokecolor="#4a452a">
                <v:path arrowok="t"/>
                <v:textbox>
                  <w:txbxContent>
                    <w:p w14:paraId="28549076" w14:textId="77777777" w:rsidR="00AD59B0" w:rsidRPr="00AA4B89" w:rsidRDefault="00AD59B0" w:rsidP="00AA4B89">
                      <w:pPr>
                        <w:spacing w:before="0"/>
                        <w:rPr>
                          <w:lang w:val="en-US"/>
                        </w:rPr>
                      </w:pPr>
                      <w:r w:rsidRPr="00AA4B89">
                        <w:rPr>
                          <w:lang w:val="en-US"/>
                        </w:rPr>
                        <w:t>D</w:t>
                      </w:r>
                      <w:r>
                        <w:rPr>
                          <w:lang w:val="en-US"/>
                        </w:rPr>
                        <w:t>ecision 12/CP.17 of the UNFCCC</w:t>
                      </w:r>
                      <w:r w:rsidRPr="00AA4B89">
                        <w:rPr>
                          <w:lang w:val="en-US"/>
                        </w:rPr>
                        <w:t xml:space="preserve"> Durban Outcome states that countries under</w:t>
                      </w:r>
                      <w:r>
                        <w:rPr>
                          <w:lang w:val="en-US"/>
                        </w:rPr>
                        <w:t xml:space="preserve">taking REDD+ activities should provide </w:t>
                      </w:r>
                      <w:r w:rsidRPr="00AA4B89">
                        <w:rPr>
                          <w:lang w:val="en-US"/>
                        </w:rPr>
                        <w:t xml:space="preserve">a  summary </w:t>
                      </w:r>
                      <w:r w:rsidRPr="00AA4B89">
                        <w:rPr>
                          <w:bCs/>
                          <w:lang w:val="en-US"/>
                        </w:rPr>
                        <w:t xml:space="preserve">of information </w:t>
                      </w:r>
                      <w:r w:rsidRPr="00AA4B89">
                        <w:rPr>
                          <w:lang w:val="en-US"/>
                        </w:rPr>
                        <w:t xml:space="preserve">on  how  the  safeguards identified within the Cancun Agreement  are  being </w:t>
                      </w:r>
                      <w:r w:rsidRPr="00AA4B89">
                        <w:rPr>
                          <w:b/>
                          <w:bCs/>
                          <w:lang w:val="en-US"/>
                        </w:rPr>
                        <w:t xml:space="preserve">addressed and respected. </w:t>
                      </w:r>
                      <w:r w:rsidRPr="00AA4B89">
                        <w:rPr>
                          <w:lang w:val="en-US"/>
                        </w:rPr>
                        <w:t xml:space="preserve">It also notes that systems for </w:t>
                      </w:r>
                      <w:r w:rsidRPr="00AA4B89">
                        <w:rPr>
                          <w:bCs/>
                          <w:lang w:val="en-US"/>
                        </w:rPr>
                        <w:t xml:space="preserve">providing information </w:t>
                      </w:r>
                      <w:r w:rsidRPr="00AA4B89">
                        <w:rPr>
                          <w:lang w:val="en-US"/>
                        </w:rPr>
                        <w:t xml:space="preserve">on how the </w:t>
                      </w:r>
                      <w:r w:rsidRPr="00AA4B89">
                        <w:rPr>
                          <w:bCs/>
                          <w:lang w:val="en-US"/>
                        </w:rPr>
                        <w:t>safeguards</w:t>
                      </w:r>
                      <w:r w:rsidRPr="00AA4B89">
                        <w:rPr>
                          <w:lang w:val="en-US"/>
                        </w:rPr>
                        <w:t> are addressed and respected should;</w:t>
                      </w:r>
                    </w:p>
                    <w:p w14:paraId="4F36CDFE" w14:textId="77777777" w:rsidR="00AD59B0" w:rsidRPr="00AA4B89" w:rsidRDefault="00AD59B0" w:rsidP="00F17EEA">
                      <w:pPr>
                        <w:numPr>
                          <w:ilvl w:val="0"/>
                          <w:numId w:val="2"/>
                        </w:numPr>
                        <w:spacing w:before="60"/>
                        <w:ind w:left="714" w:hanging="357"/>
                        <w:rPr>
                          <w:lang w:val="en-US"/>
                        </w:rPr>
                      </w:pPr>
                      <w:r w:rsidRPr="00AA4B89">
                        <w:rPr>
                          <w:lang w:val="en-US"/>
                        </w:rPr>
                        <w:t xml:space="preserve">Be </w:t>
                      </w:r>
                      <w:r w:rsidRPr="00AA4B89">
                        <w:rPr>
                          <w:b/>
                          <w:bCs/>
                          <w:lang w:val="en-US"/>
                        </w:rPr>
                        <w:t xml:space="preserve">consistent </w:t>
                      </w:r>
                      <w:r w:rsidRPr="00AA4B89">
                        <w:rPr>
                          <w:lang w:val="en-US"/>
                        </w:rPr>
                        <w:t xml:space="preserve">with the guidance identified in decision 1/CP.16, appendix I, paragraph 1 </w:t>
                      </w:r>
                    </w:p>
                    <w:p w14:paraId="0489676D" w14:textId="77777777" w:rsidR="00AD59B0" w:rsidRPr="00AA4B89" w:rsidRDefault="00AD59B0" w:rsidP="00F17EEA">
                      <w:pPr>
                        <w:numPr>
                          <w:ilvl w:val="0"/>
                          <w:numId w:val="2"/>
                        </w:numPr>
                        <w:spacing w:before="60"/>
                        <w:ind w:left="714" w:hanging="357"/>
                        <w:rPr>
                          <w:lang w:val="en-US"/>
                        </w:rPr>
                      </w:pPr>
                      <w:r w:rsidRPr="00AA4B89">
                        <w:rPr>
                          <w:lang w:val="en-US"/>
                        </w:rPr>
                        <w:t xml:space="preserve">Provide </w:t>
                      </w:r>
                      <w:r w:rsidRPr="00AA4B89">
                        <w:rPr>
                          <w:b/>
                          <w:bCs/>
                          <w:lang w:val="en-US"/>
                        </w:rPr>
                        <w:t xml:space="preserve">transparent and consistent </w:t>
                      </w:r>
                      <w:r w:rsidRPr="00AA4B89">
                        <w:rPr>
                          <w:lang w:val="en-US"/>
                        </w:rPr>
                        <w:t xml:space="preserve">information that is </w:t>
                      </w:r>
                      <w:r w:rsidRPr="00AA4B89">
                        <w:rPr>
                          <w:b/>
                          <w:bCs/>
                          <w:lang w:val="en-US"/>
                        </w:rPr>
                        <w:t xml:space="preserve">accessible </w:t>
                      </w:r>
                      <w:r w:rsidRPr="00AA4B89">
                        <w:rPr>
                          <w:lang w:val="en-US"/>
                        </w:rPr>
                        <w:t xml:space="preserve">by all relevant stakeholders and updated on a regular basis </w:t>
                      </w:r>
                    </w:p>
                    <w:p w14:paraId="265169CF" w14:textId="77777777" w:rsidR="00AD59B0" w:rsidRPr="00AA4B89" w:rsidRDefault="00AD59B0" w:rsidP="00F17EEA">
                      <w:pPr>
                        <w:numPr>
                          <w:ilvl w:val="0"/>
                          <w:numId w:val="2"/>
                        </w:numPr>
                        <w:spacing w:before="60"/>
                        <w:ind w:left="714" w:hanging="357"/>
                        <w:rPr>
                          <w:lang w:val="en-US"/>
                        </w:rPr>
                      </w:pPr>
                      <w:r w:rsidRPr="00AA4B89">
                        <w:rPr>
                          <w:lang w:val="en-US"/>
                        </w:rPr>
                        <w:t xml:space="preserve">Be </w:t>
                      </w:r>
                      <w:r w:rsidRPr="00AA4B89">
                        <w:rPr>
                          <w:b/>
                          <w:bCs/>
                          <w:lang w:val="en-US"/>
                        </w:rPr>
                        <w:t xml:space="preserve">transparent and flexible </w:t>
                      </w:r>
                      <w:r w:rsidRPr="00AA4B89">
                        <w:rPr>
                          <w:lang w:val="en-US"/>
                        </w:rPr>
                        <w:t>to allow for improvements over time</w:t>
                      </w:r>
                    </w:p>
                    <w:p w14:paraId="1C55004B" w14:textId="77777777" w:rsidR="00AD59B0" w:rsidRPr="00AA4B89" w:rsidRDefault="00AD59B0" w:rsidP="00F17EEA">
                      <w:pPr>
                        <w:numPr>
                          <w:ilvl w:val="0"/>
                          <w:numId w:val="2"/>
                        </w:numPr>
                        <w:spacing w:before="60"/>
                        <w:ind w:left="714" w:hanging="357"/>
                        <w:rPr>
                          <w:lang w:val="en-US"/>
                        </w:rPr>
                      </w:pPr>
                      <w:r w:rsidRPr="00AA4B89">
                        <w:rPr>
                          <w:b/>
                          <w:bCs/>
                          <w:lang w:val="en-US"/>
                        </w:rPr>
                        <w:t xml:space="preserve">Provide information </w:t>
                      </w:r>
                      <w:r w:rsidRPr="00AA4B89">
                        <w:rPr>
                          <w:lang w:val="en-US"/>
                        </w:rPr>
                        <w:t xml:space="preserve">on how all of the safeguards are being addressed and respected </w:t>
                      </w:r>
                    </w:p>
                    <w:p w14:paraId="03F90BC6" w14:textId="77777777" w:rsidR="00AD59B0" w:rsidRPr="00AA4B89" w:rsidRDefault="00AD59B0" w:rsidP="00F17EEA">
                      <w:pPr>
                        <w:numPr>
                          <w:ilvl w:val="0"/>
                          <w:numId w:val="2"/>
                        </w:numPr>
                        <w:spacing w:before="60"/>
                        <w:ind w:left="714" w:hanging="357"/>
                        <w:rPr>
                          <w:lang w:val="en-US"/>
                        </w:rPr>
                      </w:pPr>
                      <w:r w:rsidRPr="00AA4B89">
                        <w:rPr>
                          <w:lang w:val="en-US"/>
                        </w:rPr>
                        <w:t xml:space="preserve">Be </w:t>
                      </w:r>
                      <w:r w:rsidRPr="00AA4B89">
                        <w:rPr>
                          <w:b/>
                          <w:bCs/>
                          <w:lang w:val="en-US"/>
                        </w:rPr>
                        <w:t xml:space="preserve">country-driven </w:t>
                      </w:r>
                      <w:r w:rsidRPr="00AA4B89">
                        <w:rPr>
                          <w:lang w:val="en-US"/>
                        </w:rPr>
                        <w:t xml:space="preserve">and implemented at the national level </w:t>
                      </w:r>
                    </w:p>
                    <w:p w14:paraId="04456C32" w14:textId="77777777" w:rsidR="00AD59B0" w:rsidRPr="00AA4B89" w:rsidRDefault="00AD59B0" w:rsidP="00F17EEA">
                      <w:pPr>
                        <w:numPr>
                          <w:ilvl w:val="0"/>
                          <w:numId w:val="2"/>
                        </w:numPr>
                        <w:spacing w:before="60"/>
                        <w:ind w:left="714" w:hanging="357"/>
                        <w:rPr>
                          <w:lang w:val="en-US"/>
                        </w:rPr>
                      </w:pPr>
                      <w:r w:rsidRPr="00AA4B89">
                        <w:rPr>
                          <w:b/>
                          <w:bCs/>
                          <w:lang w:val="en-US"/>
                        </w:rPr>
                        <w:t xml:space="preserve">Build upon existing systems, </w:t>
                      </w:r>
                      <w:r w:rsidRPr="00AA4B89">
                        <w:rPr>
                          <w:lang w:val="en-US"/>
                        </w:rPr>
                        <w:t>as appropriate</w:t>
                      </w:r>
                    </w:p>
                  </w:txbxContent>
                </v:textbox>
                <w10:anchorlock/>
              </v:shape>
            </w:pict>
          </mc:Fallback>
        </mc:AlternateContent>
      </w:r>
    </w:p>
    <w:p w14:paraId="23A72D57" w14:textId="77777777" w:rsidR="00FC2E23" w:rsidRDefault="00FC2E23" w:rsidP="00FC2E23"/>
    <w:p w14:paraId="4C8858B0" w14:textId="77777777" w:rsidR="00C8631C" w:rsidRPr="00FC2E23" w:rsidRDefault="00C8631C" w:rsidP="00FC2E23"/>
    <w:p w14:paraId="5F833374" w14:textId="77777777" w:rsidR="00057006" w:rsidRDefault="00165255" w:rsidP="003175D5">
      <w:pPr>
        <w:pStyle w:val="Heading2"/>
      </w:pPr>
      <w:bookmarkStart w:id="12" w:name="_Toc254892835"/>
      <w:r>
        <w:t xml:space="preserve">Existing Frameworks for the Development of National </w:t>
      </w:r>
      <w:r w:rsidR="003175D5">
        <w:t>Safeguards</w:t>
      </w:r>
      <w:bookmarkEnd w:id="12"/>
      <w:r w:rsidR="003175D5">
        <w:t xml:space="preserve"> </w:t>
      </w:r>
    </w:p>
    <w:p w14:paraId="4759C29B" w14:textId="77777777" w:rsidR="003175D5" w:rsidRDefault="003175D5" w:rsidP="003175D5">
      <w:r w:rsidRPr="00400921">
        <w:t xml:space="preserve">Systems of safeguards or standards exist in many different sectors, with some being compulsory while others are voluntary. Agriculture, forestry and mining all have a large number of safeguard systems at domestic and international level to help improve the quality and safety of production. </w:t>
      </w:r>
      <w:r>
        <w:t>Examples of safeguards include:</w:t>
      </w:r>
    </w:p>
    <w:p w14:paraId="598B8980" w14:textId="77777777" w:rsidR="003175D5" w:rsidRDefault="003175D5" w:rsidP="00F07531">
      <w:pPr>
        <w:pStyle w:val="ListParagraph"/>
        <w:numPr>
          <w:ilvl w:val="0"/>
          <w:numId w:val="5"/>
        </w:numPr>
        <w:spacing w:before="0"/>
        <w:jc w:val="left"/>
      </w:pPr>
      <w:r w:rsidRPr="002C51EF">
        <w:t xml:space="preserve">Round Table on Sustainable palm oil </w:t>
      </w:r>
    </w:p>
    <w:p w14:paraId="5926E17E" w14:textId="77777777" w:rsidR="003175D5" w:rsidRPr="00400921" w:rsidRDefault="003175D5" w:rsidP="00F07531">
      <w:pPr>
        <w:pStyle w:val="ListParagraph"/>
        <w:numPr>
          <w:ilvl w:val="0"/>
          <w:numId w:val="5"/>
        </w:numPr>
        <w:spacing w:before="0"/>
        <w:jc w:val="left"/>
      </w:pPr>
      <w:r>
        <w:t xml:space="preserve">Forest Stewardship Council standards – on sustainable forestry  </w:t>
      </w:r>
    </w:p>
    <w:p w14:paraId="43A5917D" w14:textId="77777777" w:rsidR="003175D5" w:rsidRDefault="003175D5" w:rsidP="003175D5">
      <w:r w:rsidRPr="00400921">
        <w:t xml:space="preserve">The idea of safeguards in REDD+ has been around for several years and has attracted a lot of attention from international organisations. Many have developed standards relevant to both the quality of reporting on carbon emission reductions and social and environmental elements. Many of these </w:t>
      </w:r>
      <w:r>
        <w:t xml:space="preserve">are </w:t>
      </w:r>
      <w:r w:rsidRPr="00242D2A">
        <w:t>currently used in the voluntary carbon market as a way for producers to show that they are applying good standards in the absence of international regulations. Some examples include: the Voluntary Carbon Standard, the Plan Vivo standard and the Social Carbon standard</w:t>
      </w:r>
      <w:r>
        <w:t>.</w:t>
      </w:r>
    </w:p>
    <w:p w14:paraId="41CB45C5" w14:textId="77777777" w:rsidR="003175D5" w:rsidRDefault="003175D5" w:rsidP="003175D5">
      <w:r>
        <w:t xml:space="preserve">With further development of international bodies working on REDD+ as well as consolidation of voluntary efforts three frameworks have come to the fore, these are: </w:t>
      </w:r>
    </w:p>
    <w:p w14:paraId="2E407CD8" w14:textId="77777777" w:rsidR="003175D5" w:rsidRDefault="003175D5" w:rsidP="00C8631C">
      <w:pPr>
        <w:pStyle w:val="ListParagraph"/>
        <w:numPr>
          <w:ilvl w:val="0"/>
          <w:numId w:val="4"/>
        </w:numPr>
        <w:ind w:left="357" w:hanging="357"/>
        <w:contextualSpacing w:val="0"/>
        <w:jc w:val="left"/>
        <w:rPr>
          <w:lang w:val="en-US"/>
        </w:rPr>
      </w:pPr>
      <w:r w:rsidRPr="004E7BAB">
        <w:rPr>
          <w:lang w:val="en-US"/>
        </w:rPr>
        <w:t>An international civil society-led initiative, the REDD+ Social &amp; Envir</w:t>
      </w:r>
      <w:r>
        <w:rPr>
          <w:lang w:val="en-US"/>
        </w:rPr>
        <w:t>onmental Standards (REDD+ SES) and;</w:t>
      </w:r>
    </w:p>
    <w:p w14:paraId="7B0241FB" w14:textId="77777777" w:rsidR="003175D5" w:rsidRDefault="003175D5" w:rsidP="00C8631C">
      <w:pPr>
        <w:pStyle w:val="ListParagraph"/>
        <w:numPr>
          <w:ilvl w:val="0"/>
          <w:numId w:val="4"/>
        </w:numPr>
        <w:ind w:left="357" w:hanging="357"/>
        <w:contextualSpacing w:val="0"/>
        <w:jc w:val="left"/>
        <w:rPr>
          <w:lang w:val="en-US"/>
        </w:rPr>
      </w:pPr>
      <w:r w:rsidRPr="004E7BAB">
        <w:rPr>
          <w:lang w:val="en-US"/>
        </w:rPr>
        <w:t xml:space="preserve">The Forest Carbon Partnership Facility (FCPF) Readiness Fund‟s Common Approach to Environmental and Social Safeguards for Multiple Delivery Partners, including the Strategic Environmental </w:t>
      </w:r>
      <w:r>
        <w:rPr>
          <w:lang w:val="en-US"/>
        </w:rPr>
        <w:t>&amp; Social Assessment (SESA).</w:t>
      </w:r>
    </w:p>
    <w:p w14:paraId="20AA4062" w14:textId="77777777" w:rsidR="00646177" w:rsidRPr="00646177" w:rsidRDefault="00646177" w:rsidP="00C8631C">
      <w:pPr>
        <w:pStyle w:val="ListParagraph"/>
        <w:numPr>
          <w:ilvl w:val="0"/>
          <w:numId w:val="4"/>
        </w:numPr>
        <w:ind w:left="357" w:hanging="357"/>
        <w:contextualSpacing w:val="0"/>
        <w:jc w:val="left"/>
        <w:rPr>
          <w:lang w:val="en-US"/>
        </w:rPr>
      </w:pPr>
      <w:r w:rsidRPr="004E7BAB">
        <w:rPr>
          <w:lang w:val="en-US"/>
        </w:rPr>
        <w:t xml:space="preserve">The UN-REDD Programme Social and Environmental Principles and Criteria (SEPC); </w:t>
      </w:r>
    </w:p>
    <w:p w14:paraId="3E74AF5E" w14:textId="77777777" w:rsidR="00646177" w:rsidRDefault="00646177" w:rsidP="00646177">
      <w:pPr>
        <w:pStyle w:val="ListParagraph"/>
        <w:spacing w:before="0"/>
        <w:jc w:val="left"/>
        <w:rPr>
          <w:lang w:val="en-US"/>
        </w:rPr>
      </w:pPr>
    </w:p>
    <w:p w14:paraId="1D7872BB" w14:textId="77777777" w:rsidR="00646177" w:rsidRPr="00F32906" w:rsidRDefault="00646177" w:rsidP="00646177">
      <w:pPr>
        <w:pStyle w:val="Heading3"/>
      </w:pPr>
      <w:bookmarkStart w:id="13" w:name="_Toc222216193"/>
      <w:bookmarkStart w:id="14" w:name="_Toc254892836"/>
      <w:r>
        <w:t>The REDD+ SES</w:t>
      </w:r>
      <w:bookmarkEnd w:id="13"/>
      <w:bookmarkEnd w:id="14"/>
    </w:p>
    <w:p w14:paraId="30D631A6" w14:textId="77777777" w:rsidR="00646177" w:rsidRDefault="00646177" w:rsidP="00646177">
      <w:pPr>
        <w:rPr>
          <w:lang w:val="en-US"/>
        </w:rPr>
      </w:pPr>
      <w:r w:rsidRPr="00F32906">
        <w:rPr>
          <w:lang w:val="en-US"/>
        </w:rPr>
        <w:t>The REDD+ SES are</w:t>
      </w:r>
      <w:r>
        <w:rPr>
          <w:lang w:val="en-US"/>
        </w:rPr>
        <w:t xml:space="preserve"> a voluntary set of standards also </w:t>
      </w:r>
      <w:r w:rsidRPr="00F32906">
        <w:rPr>
          <w:lang w:val="en-US"/>
        </w:rPr>
        <w:t>comprising principles, criteria and indicators</w:t>
      </w:r>
      <w:r>
        <w:rPr>
          <w:lang w:val="en-US"/>
        </w:rPr>
        <w:t>. This</w:t>
      </w:r>
      <w:r w:rsidRPr="00F32906">
        <w:rPr>
          <w:lang w:val="en-US"/>
        </w:rPr>
        <w:t xml:space="preserve"> provides a framework, and associated process of application, specifically for national REDD+ programme design and implementation, including a mechanism for reporting on how safeguards are addressed and benefits of REDD+ programmes have been delivered. </w:t>
      </w:r>
    </w:p>
    <w:p w14:paraId="243B6C3F" w14:textId="77777777" w:rsidR="00646177" w:rsidRDefault="00646177" w:rsidP="00646177">
      <w:pPr>
        <w:rPr>
          <w:lang w:val="en-US"/>
        </w:rPr>
      </w:pPr>
      <w:r>
        <w:rPr>
          <w:lang w:val="en-US"/>
        </w:rPr>
        <w:t xml:space="preserve">These have also been developed following an extensive period of consultation and has also utilized a </w:t>
      </w:r>
      <w:r w:rsidRPr="00F32906">
        <w:rPr>
          <w:lang w:val="en-US"/>
        </w:rPr>
        <w:t>multi-stakeholder committee comprising representatives of developing country governments, indigenous peoples‟ organizations, community associations, non-governmental organisations (NGOs), and the private sector. Co-ordination is provided by a Secretariat hosted by CARE International and the Climate, Community &amp; Biodiversity Alliance (CCBA).</w:t>
      </w:r>
    </w:p>
    <w:p w14:paraId="49A15009" w14:textId="77777777" w:rsidR="00C8631C" w:rsidRDefault="00C8631C" w:rsidP="00646177">
      <w:pPr>
        <w:rPr>
          <w:lang w:val="en-US"/>
        </w:rPr>
      </w:pPr>
    </w:p>
    <w:p w14:paraId="16B4768B" w14:textId="77777777" w:rsidR="00646177" w:rsidRDefault="00646177" w:rsidP="00646177">
      <w:pPr>
        <w:pStyle w:val="Heading3"/>
      </w:pPr>
      <w:bookmarkStart w:id="15" w:name="_Toc222216194"/>
      <w:bookmarkStart w:id="16" w:name="_Toc254892837"/>
      <w:r>
        <w:t>The FCFP SESA</w:t>
      </w:r>
      <w:bookmarkEnd w:id="15"/>
      <w:bookmarkEnd w:id="16"/>
    </w:p>
    <w:p w14:paraId="24347B2E" w14:textId="77777777" w:rsidR="00646177" w:rsidRDefault="00646177" w:rsidP="00646177">
      <w:pPr>
        <w:rPr>
          <w:lang w:val="en-US"/>
        </w:rPr>
      </w:pPr>
      <w:r>
        <w:t xml:space="preserve">The </w:t>
      </w:r>
      <w:r>
        <w:rPr>
          <w:lang w:val="en-US"/>
        </w:rPr>
        <w:t xml:space="preserve">SESA is an actual assessment approach </w:t>
      </w:r>
      <w:r w:rsidRPr="00E403BE">
        <w:rPr>
          <w:lang w:val="en-US"/>
        </w:rPr>
        <w:t xml:space="preserve">leading to a risk management framework guiding a country on how to address environmental and social issues for FCPF-specific investments during the REDD+ readiness phase. </w:t>
      </w:r>
      <w:r>
        <w:rPr>
          <w:lang w:val="en-US"/>
        </w:rPr>
        <w:t xml:space="preserve">It is focused on addressing </w:t>
      </w:r>
      <w:r w:rsidRPr="00E403BE">
        <w:rPr>
          <w:lang w:val="en-US"/>
        </w:rPr>
        <w:t>existing safeguards of the World B</w:t>
      </w:r>
      <w:r>
        <w:rPr>
          <w:lang w:val="en-US"/>
        </w:rPr>
        <w:t>ank and other delivery partners and is</w:t>
      </w:r>
      <w:r w:rsidRPr="00E403BE">
        <w:rPr>
          <w:lang w:val="en-US"/>
        </w:rPr>
        <w:t xml:space="preserve"> a conditionality on all FCPF grant contracts. Although the primary purpose of SESA is to minimise the environmental and social risks of FCPF investments, SESA could also inform overall nationa</w:t>
      </w:r>
      <w:r>
        <w:rPr>
          <w:lang w:val="en-US"/>
        </w:rPr>
        <w:t>l safeguard responses for REDD</w:t>
      </w:r>
      <w:bookmarkStart w:id="17" w:name="_Toc222216192"/>
    </w:p>
    <w:p w14:paraId="410D7BE6" w14:textId="77777777" w:rsidR="00C8631C" w:rsidRDefault="00C8631C" w:rsidP="00646177"/>
    <w:p w14:paraId="0C664E88" w14:textId="77777777" w:rsidR="003175D5" w:rsidRDefault="003175D5" w:rsidP="00646177">
      <w:pPr>
        <w:pStyle w:val="Heading3"/>
        <w:rPr>
          <w:lang w:val="en-US"/>
        </w:rPr>
      </w:pPr>
      <w:bookmarkStart w:id="18" w:name="_Toc254892838"/>
      <w:r>
        <w:rPr>
          <w:lang w:val="en-US"/>
        </w:rPr>
        <w:t>The UN</w:t>
      </w:r>
      <w:r w:rsidR="00165255">
        <w:rPr>
          <w:lang w:val="en-US"/>
        </w:rPr>
        <w:t>-</w:t>
      </w:r>
      <w:r>
        <w:rPr>
          <w:lang w:val="en-US"/>
        </w:rPr>
        <w:t>REDD SEPC</w:t>
      </w:r>
      <w:bookmarkEnd w:id="17"/>
      <w:bookmarkEnd w:id="18"/>
    </w:p>
    <w:p w14:paraId="4BDF816F" w14:textId="77777777" w:rsidR="003175D5" w:rsidRPr="003502FA" w:rsidRDefault="003175D5" w:rsidP="003175D5">
      <w:pPr>
        <w:rPr>
          <w:lang w:val="en-US"/>
        </w:rPr>
      </w:pPr>
      <w:r w:rsidRPr="003502FA">
        <w:rPr>
          <w:lang w:val="en-US"/>
        </w:rPr>
        <w:t xml:space="preserve">The objectives of the </w:t>
      </w:r>
      <w:r>
        <w:rPr>
          <w:lang w:val="en-US"/>
        </w:rPr>
        <w:t>UN</w:t>
      </w:r>
      <w:r w:rsidR="00165255">
        <w:rPr>
          <w:lang w:val="en-US"/>
        </w:rPr>
        <w:t>-</w:t>
      </w:r>
      <w:r>
        <w:rPr>
          <w:lang w:val="en-US"/>
        </w:rPr>
        <w:t>REDD SEPC</w:t>
      </w:r>
      <w:r w:rsidRPr="003502FA">
        <w:rPr>
          <w:lang w:val="en-US"/>
        </w:rPr>
        <w:t xml:space="preserve"> are:</w:t>
      </w:r>
    </w:p>
    <w:p w14:paraId="58756AD8" w14:textId="77777777" w:rsidR="003175D5" w:rsidRPr="003502FA" w:rsidRDefault="003175D5" w:rsidP="00C8631C">
      <w:pPr>
        <w:numPr>
          <w:ilvl w:val="0"/>
          <w:numId w:val="7"/>
        </w:numPr>
        <w:ind w:left="714" w:hanging="357"/>
        <w:jc w:val="left"/>
        <w:rPr>
          <w:lang w:val="en-US"/>
        </w:rPr>
      </w:pPr>
      <w:r w:rsidRPr="003502FA">
        <w:rPr>
          <w:lang w:val="en-US"/>
        </w:rPr>
        <w:t xml:space="preserve">To address social and environmental issues in UN-REDD National Programmes and other UN-REDD Programme funded activities. </w:t>
      </w:r>
    </w:p>
    <w:p w14:paraId="2B90D369" w14:textId="77777777" w:rsidR="003175D5" w:rsidRPr="003502FA" w:rsidRDefault="003175D5" w:rsidP="00C8631C">
      <w:pPr>
        <w:numPr>
          <w:ilvl w:val="0"/>
          <w:numId w:val="7"/>
        </w:numPr>
        <w:ind w:left="714" w:hanging="357"/>
        <w:jc w:val="left"/>
        <w:rPr>
          <w:lang w:val="en-US"/>
        </w:rPr>
      </w:pPr>
      <w:r w:rsidRPr="003502FA">
        <w:rPr>
          <w:lang w:val="en-US"/>
        </w:rPr>
        <w:t xml:space="preserve">To support countries in developing their national approaches to REDD+ safeguards in line with the United Nations Framework Convention on Climate Change (UNFCCC). </w:t>
      </w:r>
    </w:p>
    <w:p w14:paraId="6E0B2F0B" w14:textId="77777777" w:rsidR="00165255" w:rsidRDefault="003175D5" w:rsidP="003175D5">
      <w:r w:rsidRPr="00F32906">
        <w:t>It was developed by the UNREDD programme through a number of international consu</w:t>
      </w:r>
      <w:r>
        <w:t>ltations with key stakeholders and looks to directly address the safeguards developed under the UNFCCC. It comprises of 7 principles and 24 corresponding criteria.</w:t>
      </w:r>
    </w:p>
    <w:p w14:paraId="3E18B946" w14:textId="77777777" w:rsidR="00165255" w:rsidRDefault="003175D5" w:rsidP="003175D5">
      <w:r>
        <w:t xml:space="preserve"> </w:t>
      </w:r>
    </w:p>
    <w:p w14:paraId="342B4E5A" w14:textId="77777777" w:rsidR="00C8631C" w:rsidRDefault="00C8631C" w:rsidP="003175D5"/>
    <w:p w14:paraId="7C69A261" w14:textId="77777777" w:rsidR="00C8631C" w:rsidRDefault="00C8631C" w:rsidP="003175D5"/>
    <w:p w14:paraId="55888B12" w14:textId="77777777" w:rsidR="00165255" w:rsidRDefault="00165255" w:rsidP="00165255">
      <w:pPr>
        <w:pStyle w:val="Caption"/>
        <w:keepNext/>
      </w:pPr>
      <w:r>
        <w:t xml:space="preserve">Table </w:t>
      </w:r>
      <w:r>
        <w:fldChar w:fldCharType="begin"/>
      </w:r>
      <w:r>
        <w:instrText xml:space="preserve"> SEQ Table \* ARABIC </w:instrText>
      </w:r>
      <w:r>
        <w:fldChar w:fldCharType="separate"/>
      </w:r>
      <w:r w:rsidR="00377AB6">
        <w:rPr>
          <w:noProof/>
        </w:rPr>
        <w:t>1</w:t>
      </w:r>
      <w:r>
        <w:fldChar w:fldCharType="end"/>
      </w:r>
      <w:r>
        <w:t>: UN-REDD SEPC and UNFCCC Safeguards</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574"/>
        <w:gridCol w:w="6315"/>
      </w:tblGrid>
      <w:tr w:rsidR="00165255" w:rsidRPr="00827FAF" w14:paraId="5387DDC7" w14:textId="77777777" w:rsidTr="00165255">
        <w:tc>
          <w:tcPr>
            <w:tcW w:w="3574" w:type="dxa"/>
            <w:shd w:val="clear" w:color="auto" w:fill="D9D9D9"/>
            <w:tcMar>
              <w:top w:w="20" w:type="nil"/>
              <w:left w:w="20" w:type="nil"/>
              <w:bottom w:w="20" w:type="nil"/>
              <w:right w:w="20" w:type="nil"/>
            </w:tcMar>
            <w:vAlign w:val="center"/>
          </w:tcPr>
          <w:p w14:paraId="724C06CE" w14:textId="77777777" w:rsidR="00165255" w:rsidRPr="00827FAF" w:rsidRDefault="00165255" w:rsidP="00165255">
            <w:pPr>
              <w:rPr>
                <w:sz w:val="20"/>
                <w:lang w:val="en-US"/>
              </w:rPr>
            </w:pPr>
            <w:r w:rsidRPr="00827FAF">
              <w:rPr>
                <w:b/>
                <w:bCs/>
                <w:sz w:val="20"/>
                <w:lang w:val="en-US"/>
              </w:rPr>
              <w:t>Principle</w:t>
            </w:r>
          </w:p>
        </w:tc>
        <w:tc>
          <w:tcPr>
            <w:tcW w:w="6315" w:type="dxa"/>
            <w:shd w:val="clear" w:color="auto" w:fill="D9D9D9"/>
            <w:tcMar>
              <w:top w:w="20" w:type="nil"/>
              <w:left w:w="20" w:type="nil"/>
              <w:bottom w:w="20" w:type="nil"/>
              <w:right w:w="20" w:type="nil"/>
            </w:tcMar>
            <w:vAlign w:val="center"/>
          </w:tcPr>
          <w:p w14:paraId="69AE01CC" w14:textId="77777777" w:rsidR="00165255" w:rsidRPr="00827FAF" w:rsidRDefault="005C6D23" w:rsidP="00165255">
            <w:pPr>
              <w:rPr>
                <w:sz w:val="20"/>
                <w:lang w:val="en-US"/>
              </w:rPr>
            </w:pPr>
            <w:r>
              <w:rPr>
                <w:noProof/>
                <w:sz w:val="20"/>
                <w:lang w:val="en-US"/>
              </w:rPr>
              <w:drawing>
                <wp:inline distT="0" distB="0" distL="0" distR="0" wp14:anchorId="1F285BAE" wp14:editId="6A51DBD4">
                  <wp:extent cx="8255" cy="5969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 cy="59690"/>
                          </a:xfrm>
                          <a:prstGeom prst="rect">
                            <a:avLst/>
                          </a:prstGeom>
                          <a:noFill/>
                          <a:ln>
                            <a:noFill/>
                          </a:ln>
                        </pic:spPr>
                      </pic:pic>
                    </a:graphicData>
                  </a:graphic>
                </wp:inline>
              </w:drawing>
            </w:r>
            <w:r w:rsidR="00165255" w:rsidRPr="00827FAF">
              <w:rPr>
                <w:b/>
                <w:bCs/>
                <w:sz w:val="20"/>
                <w:lang w:val="en-US"/>
              </w:rPr>
              <w:t>Relevant section of Cancun Agreements, Annex I</w:t>
            </w:r>
          </w:p>
        </w:tc>
      </w:tr>
      <w:tr w:rsidR="00165255" w:rsidRPr="00827FAF" w14:paraId="069302AB" w14:textId="77777777" w:rsidTr="00165255">
        <w:tc>
          <w:tcPr>
            <w:tcW w:w="3574" w:type="dxa"/>
            <w:tcMar>
              <w:top w:w="20" w:type="nil"/>
              <w:left w:w="20" w:type="nil"/>
              <w:bottom w:w="20" w:type="nil"/>
              <w:right w:w="20" w:type="nil"/>
            </w:tcMar>
            <w:vAlign w:val="center"/>
          </w:tcPr>
          <w:p w14:paraId="1E540000" w14:textId="77777777" w:rsidR="00165255" w:rsidRPr="00827FAF" w:rsidRDefault="00165255" w:rsidP="00165255">
            <w:pPr>
              <w:rPr>
                <w:sz w:val="20"/>
                <w:lang w:val="en-US"/>
              </w:rPr>
            </w:pPr>
            <w:r w:rsidRPr="00827FAF">
              <w:rPr>
                <w:sz w:val="20"/>
                <w:lang w:val="en-US"/>
              </w:rPr>
              <w:t>Principle 1 –Apply norms of democratic governance, as reflected in national commitments and Multilateral Agreements</w:t>
            </w:r>
          </w:p>
        </w:tc>
        <w:tc>
          <w:tcPr>
            <w:tcW w:w="6315" w:type="dxa"/>
            <w:tcMar>
              <w:top w:w="20" w:type="nil"/>
              <w:left w:w="20" w:type="nil"/>
              <w:bottom w:w="20" w:type="nil"/>
              <w:right w:w="20" w:type="nil"/>
            </w:tcMar>
            <w:vAlign w:val="center"/>
          </w:tcPr>
          <w:p w14:paraId="1790B846" w14:textId="77777777" w:rsidR="00165255" w:rsidRPr="00827FAF" w:rsidRDefault="00165255" w:rsidP="00165255">
            <w:pPr>
              <w:rPr>
                <w:sz w:val="20"/>
                <w:lang w:val="en-US"/>
              </w:rPr>
            </w:pPr>
            <w:r w:rsidRPr="00827FAF">
              <w:rPr>
                <w:sz w:val="20"/>
                <w:lang w:val="en-US"/>
              </w:rPr>
              <w:t>2(b) Transparent and effective national forest governance structures, taking into account national legislation and sovereignty</w:t>
            </w:r>
          </w:p>
          <w:p w14:paraId="25FA18B8" w14:textId="77777777" w:rsidR="00165255" w:rsidRPr="00827FAF" w:rsidRDefault="00165255" w:rsidP="00165255">
            <w:pPr>
              <w:rPr>
                <w:sz w:val="20"/>
                <w:lang w:val="en-US"/>
              </w:rPr>
            </w:pPr>
            <w:r w:rsidRPr="00827FAF">
              <w:rPr>
                <w:sz w:val="20"/>
                <w:lang w:val="en-US"/>
              </w:rPr>
              <w:t>2(d) The full and effective participation of relevant stakeholders, in particular, indigenous peoples and local communities  (...)</w:t>
            </w:r>
          </w:p>
        </w:tc>
      </w:tr>
      <w:tr w:rsidR="00165255" w:rsidRPr="00827FAF" w14:paraId="029C6EF7" w14:textId="77777777" w:rsidTr="00165255">
        <w:tc>
          <w:tcPr>
            <w:tcW w:w="3574" w:type="dxa"/>
            <w:tcMar>
              <w:top w:w="20" w:type="nil"/>
              <w:left w:w="20" w:type="nil"/>
              <w:bottom w:w="20" w:type="nil"/>
              <w:right w:w="20" w:type="nil"/>
            </w:tcMar>
            <w:vAlign w:val="center"/>
          </w:tcPr>
          <w:p w14:paraId="50DA19F6" w14:textId="77777777" w:rsidR="00165255" w:rsidRPr="00827FAF" w:rsidRDefault="00165255" w:rsidP="00165255">
            <w:pPr>
              <w:rPr>
                <w:sz w:val="20"/>
                <w:lang w:val="en-US"/>
              </w:rPr>
            </w:pPr>
            <w:r w:rsidRPr="00827FAF">
              <w:rPr>
                <w:sz w:val="20"/>
                <w:lang w:val="en-US"/>
              </w:rPr>
              <w:t>Principle 2 – Respect and protect stakeholder rights in accordance with international obligations</w:t>
            </w:r>
          </w:p>
        </w:tc>
        <w:tc>
          <w:tcPr>
            <w:tcW w:w="6315" w:type="dxa"/>
            <w:tcMar>
              <w:top w:w="20" w:type="nil"/>
              <w:left w:w="20" w:type="nil"/>
              <w:bottom w:w="20" w:type="nil"/>
              <w:right w:w="20" w:type="nil"/>
            </w:tcMar>
            <w:vAlign w:val="center"/>
          </w:tcPr>
          <w:p w14:paraId="5A22C2EA" w14:textId="77777777" w:rsidR="00165255" w:rsidRPr="00827FAF" w:rsidRDefault="00165255" w:rsidP="00165255">
            <w:pPr>
              <w:rPr>
                <w:sz w:val="20"/>
                <w:lang w:val="en-US"/>
              </w:rPr>
            </w:pPr>
            <w:r w:rsidRPr="00827FAF">
              <w:rPr>
                <w:sz w:val="20"/>
                <w:lang w:val="en-US"/>
              </w:rPr>
              <w:t>2(c) Respect for the knowledge and rights of indigenous peoples and members of local communities, by taking into account relevant international obligations, national circumstances and laws, and noting that the General Assembly has adopted the United Nations Declaration on the Rights of Indigenous Peoples</w:t>
            </w:r>
          </w:p>
        </w:tc>
      </w:tr>
      <w:tr w:rsidR="00165255" w:rsidRPr="00827FAF" w14:paraId="1079FE1F" w14:textId="77777777" w:rsidTr="00165255">
        <w:tc>
          <w:tcPr>
            <w:tcW w:w="3574" w:type="dxa"/>
            <w:tcMar>
              <w:top w:w="20" w:type="nil"/>
              <w:left w:w="20" w:type="nil"/>
              <w:bottom w:w="20" w:type="nil"/>
              <w:right w:w="20" w:type="nil"/>
            </w:tcMar>
            <w:vAlign w:val="center"/>
          </w:tcPr>
          <w:p w14:paraId="4659B90B" w14:textId="77777777" w:rsidR="00165255" w:rsidRPr="00827FAF" w:rsidRDefault="00165255" w:rsidP="00165255">
            <w:pPr>
              <w:rPr>
                <w:sz w:val="20"/>
                <w:lang w:val="en-US"/>
              </w:rPr>
            </w:pPr>
            <w:r w:rsidRPr="00827FAF">
              <w:rPr>
                <w:sz w:val="20"/>
                <w:lang w:val="en-US"/>
              </w:rPr>
              <w:t>Principle 3 – Promote sustainable livelihoods and poverty reduction</w:t>
            </w:r>
          </w:p>
        </w:tc>
        <w:tc>
          <w:tcPr>
            <w:tcW w:w="6315" w:type="dxa"/>
            <w:tcMar>
              <w:top w:w="20" w:type="nil"/>
              <w:left w:w="20" w:type="nil"/>
              <w:bottom w:w="20" w:type="nil"/>
              <w:right w:w="20" w:type="nil"/>
            </w:tcMar>
            <w:vAlign w:val="center"/>
          </w:tcPr>
          <w:p w14:paraId="7B1CC77E" w14:textId="77777777" w:rsidR="00165255" w:rsidRPr="00827FAF" w:rsidRDefault="00165255" w:rsidP="00165255">
            <w:pPr>
              <w:rPr>
                <w:sz w:val="20"/>
                <w:lang w:val="en-US"/>
              </w:rPr>
            </w:pPr>
            <w:r w:rsidRPr="00827FAF">
              <w:rPr>
                <w:sz w:val="20"/>
                <w:lang w:val="en-US"/>
              </w:rPr>
              <w:t>2 (e) Actions are (...) used to (...) enhance other social and environmental benefits (...)</w:t>
            </w:r>
          </w:p>
          <w:p w14:paraId="1A1E1E38" w14:textId="77777777" w:rsidR="00165255" w:rsidRPr="00827FAF" w:rsidRDefault="00165255" w:rsidP="00165255">
            <w:pPr>
              <w:rPr>
                <w:sz w:val="20"/>
                <w:lang w:val="en-US"/>
              </w:rPr>
            </w:pPr>
            <w:r w:rsidRPr="00827FAF">
              <w:rPr>
                <w:sz w:val="20"/>
                <w:lang w:val="en-US"/>
              </w:rPr>
              <w:t>1Taking into account the need for sustainable livelihoods of indigenous peoples and local communities and their interdependence on forests in most countries, reflected in the United Nations Declaration on the Rights of Indigenous Peoples, as well as the International Mother Earth Day.</w:t>
            </w:r>
          </w:p>
        </w:tc>
      </w:tr>
      <w:tr w:rsidR="00165255" w:rsidRPr="00827FAF" w14:paraId="2D07340C" w14:textId="77777777" w:rsidTr="00165255">
        <w:tc>
          <w:tcPr>
            <w:tcW w:w="3574" w:type="dxa"/>
            <w:tcMar>
              <w:top w:w="20" w:type="nil"/>
              <w:left w:w="20" w:type="nil"/>
              <w:bottom w:w="20" w:type="nil"/>
              <w:right w:w="20" w:type="nil"/>
            </w:tcMar>
            <w:vAlign w:val="center"/>
          </w:tcPr>
          <w:p w14:paraId="3316B272" w14:textId="77777777" w:rsidR="00165255" w:rsidRPr="00827FAF" w:rsidRDefault="00165255" w:rsidP="00165255">
            <w:pPr>
              <w:rPr>
                <w:sz w:val="20"/>
                <w:lang w:val="en-US"/>
              </w:rPr>
            </w:pPr>
            <w:r w:rsidRPr="00827FAF">
              <w:rPr>
                <w:sz w:val="20"/>
                <w:lang w:val="en-US"/>
              </w:rPr>
              <w:t>Principle 4 – Contribute to low-carbon, climate-resilient sustainable development policy, consistent with national development strategies, national forest programmes and commitments under international conventions and agreements</w:t>
            </w:r>
          </w:p>
        </w:tc>
        <w:tc>
          <w:tcPr>
            <w:tcW w:w="6315" w:type="dxa"/>
            <w:tcMar>
              <w:top w:w="20" w:type="nil"/>
              <w:left w:w="20" w:type="nil"/>
              <w:bottom w:w="20" w:type="nil"/>
              <w:right w:w="20" w:type="nil"/>
            </w:tcMar>
            <w:vAlign w:val="center"/>
          </w:tcPr>
          <w:p w14:paraId="08C88853" w14:textId="77777777" w:rsidR="00165255" w:rsidRPr="00827FAF" w:rsidRDefault="00165255" w:rsidP="00165255">
            <w:pPr>
              <w:rPr>
                <w:sz w:val="20"/>
                <w:lang w:val="en-US"/>
              </w:rPr>
            </w:pPr>
            <w:r w:rsidRPr="00827FAF">
              <w:rPr>
                <w:sz w:val="20"/>
                <w:lang w:val="en-US"/>
              </w:rPr>
              <w:t>2(a) Actions complement or are consistent with the objectives of national forest programmes and relevant international conventions and agreements</w:t>
            </w:r>
          </w:p>
          <w:p w14:paraId="10228184" w14:textId="77777777" w:rsidR="00165255" w:rsidRPr="00827FAF" w:rsidRDefault="00165255" w:rsidP="00165255">
            <w:pPr>
              <w:rPr>
                <w:sz w:val="20"/>
                <w:lang w:val="en-US"/>
              </w:rPr>
            </w:pPr>
            <w:r w:rsidRPr="00827FAF">
              <w:rPr>
                <w:sz w:val="20"/>
                <w:lang w:val="en-US"/>
              </w:rPr>
              <w:t>2(f) Actions to address the risk of reversals</w:t>
            </w:r>
          </w:p>
          <w:p w14:paraId="16CF629F" w14:textId="77777777" w:rsidR="00165255" w:rsidRPr="00827FAF" w:rsidRDefault="00165255" w:rsidP="00165255">
            <w:pPr>
              <w:rPr>
                <w:sz w:val="20"/>
                <w:lang w:val="en-US"/>
              </w:rPr>
            </w:pPr>
          </w:p>
        </w:tc>
      </w:tr>
      <w:tr w:rsidR="00165255" w:rsidRPr="00827FAF" w14:paraId="46622CB0" w14:textId="77777777" w:rsidTr="00165255">
        <w:tc>
          <w:tcPr>
            <w:tcW w:w="3574" w:type="dxa"/>
            <w:tcMar>
              <w:top w:w="20" w:type="nil"/>
              <w:left w:w="20" w:type="nil"/>
              <w:bottom w:w="20" w:type="nil"/>
              <w:right w:w="20" w:type="nil"/>
            </w:tcMar>
            <w:vAlign w:val="center"/>
          </w:tcPr>
          <w:p w14:paraId="08647260" w14:textId="77777777" w:rsidR="00165255" w:rsidRPr="00827FAF" w:rsidRDefault="00165255" w:rsidP="00165255">
            <w:pPr>
              <w:rPr>
                <w:sz w:val="20"/>
                <w:lang w:val="en-US"/>
              </w:rPr>
            </w:pPr>
            <w:r w:rsidRPr="00827FAF">
              <w:rPr>
                <w:sz w:val="20"/>
                <w:lang w:val="en-US"/>
              </w:rPr>
              <w:t>Princi</w:t>
            </w:r>
            <w:r w:rsidR="00C73E94">
              <w:rPr>
                <w:sz w:val="20"/>
                <w:lang w:val="en-US"/>
              </w:rPr>
              <w:t>ple 5 – Protect natural forest</w:t>
            </w:r>
            <w:r w:rsidRPr="00827FAF">
              <w:rPr>
                <w:sz w:val="20"/>
                <w:lang w:val="en-US"/>
              </w:rPr>
              <w:t xml:space="preserve"> from degradation and/or conversion</w:t>
            </w:r>
          </w:p>
        </w:tc>
        <w:tc>
          <w:tcPr>
            <w:tcW w:w="6315" w:type="dxa"/>
            <w:tcMar>
              <w:top w:w="20" w:type="nil"/>
              <w:left w:w="20" w:type="nil"/>
              <w:bottom w:w="20" w:type="nil"/>
              <w:right w:w="20" w:type="nil"/>
            </w:tcMar>
            <w:vAlign w:val="center"/>
          </w:tcPr>
          <w:p w14:paraId="10848154" w14:textId="77777777" w:rsidR="00165255" w:rsidRPr="00827FAF" w:rsidRDefault="00165255" w:rsidP="00165255">
            <w:pPr>
              <w:rPr>
                <w:sz w:val="20"/>
                <w:lang w:val="en-US"/>
              </w:rPr>
            </w:pPr>
            <w:r w:rsidRPr="00827FAF">
              <w:rPr>
                <w:sz w:val="20"/>
                <w:lang w:val="en-US"/>
              </w:rPr>
              <w:t xml:space="preserve">(e) Actions are consistent with the </w:t>
            </w:r>
            <w:r w:rsidR="00C73E94">
              <w:rPr>
                <w:sz w:val="20"/>
                <w:lang w:val="en-US"/>
              </w:rPr>
              <w:t>conservation of natural forest’</w:t>
            </w:r>
            <w:r w:rsidRPr="00827FAF">
              <w:rPr>
                <w:sz w:val="20"/>
                <w:lang w:val="en-US"/>
              </w:rPr>
              <w:t>s and biological diversity, ensuring that actions  (...)  are  not  used  for  the  conversion  of  natural   forests but are instead used to incentivize the protection and conservation of natural forests24 and their ecosystem  services  (...)</w:t>
            </w:r>
          </w:p>
        </w:tc>
      </w:tr>
      <w:tr w:rsidR="00165255" w:rsidRPr="00827FAF" w14:paraId="3AA6461C" w14:textId="77777777" w:rsidTr="00165255">
        <w:tc>
          <w:tcPr>
            <w:tcW w:w="3574" w:type="dxa"/>
            <w:tcMar>
              <w:top w:w="20" w:type="nil"/>
              <w:left w:w="20" w:type="nil"/>
              <w:bottom w:w="20" w:type="nil"/>
              <w:right w:w="20" w:type="nil"/>
            </w:tcMar>
            <w:vAlign w:val="center"/>
          </w:tcPr>
          <w:p w14:paraId="3F59261E" w14:textId="77777777" w:rsidR="00165255" w:rsidRPr="00827FAF" w:rsidRDefault="00165255" w:rsidP="00165255">
            <w:pPr>
              <w:rPr>
                <w:sz w:val="20"/>
                <w:lang w:val="en-US"/>
              </w:rPr>
            </w:pPr>
            <w:r w:rsidRPr="00827FAF">
              <w:rPr>
                <w:sz w:val="20"/>
                <w:lang w:val="en-US"/>
              </w:rPr>
              <w:t>Principle 6 – Maintain and enhance multiple functions of forest including conservation of biodiversity conservation and provision of ecosystem services</w:t>
            </w:r>
          </w:p>
        </w:tc>
        <w:tc>
          <w:tcPr>
            <w:tcW w:w="6315" w:type="dxa"/>
            <w:tcMar>
              <w:top w:w="20" w:type="nil"/>
              <w:left w:w="20" w:type="nil"/>
              <w:bottom w:w="20" w:type="nil"/>
              <w:right w:w="20" w:type="nil"/>
            </w:tcMar>
            <w:vAlign w:val="center"/>
          </w:tcPr>
          <w:p w14:paraId="5A181FFE" w14:textId="77777777" w:rsidR="00165255" w:rsidRPr="00827FAF" w:rsidRDefault="00165255" w:rsidP="00165255">
            <w:pPr>
              <w:rPr>
                <w:sz w:val="20"/>
                <w:lang w:val="en-US"/>
              </w:rPr>
            </w:pPr>
            <w:r w:rsidRPr="00827FAF">
              <w:rPr>
                <w:sz w:val="20"/>
                <w:lang w:val="en-US"/>
              </w:rPr>
              <w:t>2(e)  Actions  (...)  incentivize the protection and conservation of natural forests and their ecosystem services  (...)</w:t>
            </w:r>
          </w:p>
          <w:p w14:paraId="6A903DF8" w14:textId="77777777" w:rsidR="00165255" w:rsidRPr="00827FAF" w:rsidRDefault="00165255" w:rsidP="00165255">
            <w:pPr>
              <w:rPr>
                <w:sz w:val="20"/>
                <w:lang w:val="en-US"/>
              </w:rPr>
            </w:pPr>
            <w:r w:rsidRPr="00827FAF">
              <w:rPr>
                <w:sz w:val="20"/>
                <w:lang w:val="en-US"/>
              </w:rPr>
              <w:t>2(e)  Actions  are  (...)  used  to  (...)  enhance  other  social  and   environmental benefits</w:t>
            </w:r>
          </w:p>
        </w:tc>
      </w:tr>
      <w:tr w:rsidR="00165255" w:rsidRPr="00827FAF" w14:paraId="0E8DD2CE" w14:textId="77777777" w:rsidTr="00165255">
        <w:tc>
          <w:tcPr>
            <w:tcW w:w="3574" w:type="dxa"/>
            <w:tcMar>
              <w:top w:w="20" w:type="nil"/>
              <w:left w:w="20" w:type="nil"/>
              <w:bottom w:w="20" w:type="nil"/>
              <w:right w:w="20" w:type="nil"/>
            </w:tcMar>
            <w:vAlign w:val="center"/>
          </w:tcPr>
          <w:p w14:paraId="17DC730C" w14:textId="77777777" w:rsidR="00165255" w:rsidRPr="00827FAF" w:rsidRDefault="00165255" w:rsidP="00165255">
            <w:pPr>
              <w:rPr>
                <w:sz w:val="20"/>
                <w:lang w:val="en-US"/>
              </w:rPr>
            </w:pPr>
            <w:r w:rsidRPr="00827FAF">
              <w:rPr>
                <w:sz w:val="20"/>
                <w:lang w:val="en-US"/>
              </w:rPr>
              <w:t>Principle 7 – Avoid or minimise adverse impacts (direct and indirect) on non-forest ecosystem services and biodiversity</w:t>
            </w:r>
          </w:p>
        </w:tc>
        <w:tc>
          <w:tcPr>
            <w:tcW w:w="6315" w:type="dxa"/>
            <w:tcMar>
              <w:top w:w="20" w:type="nil"/>
              <w:left w:w="20" w:type="nil"/>
              <w:bottom w:w="20" w:type="nil"/>
              <w:right w:w="20" w:type="nil"/>
            </w:tcMar>
            <w:vAlign w:val="center"/>
          </w:tcPr>
          <w:p w14:paraId="7F3642C9" w14:textId="77777777" w:rsidR="00165255" w:rsidRPr="00827FAF" w:rsidRDefault="00165255" w:rsidP="00165255">
            <w:pPr>
              <w:rPr>
                <w:sz w:val="20"/>
                <w:lang w:val="en-US"/>
              </w:rPr>
            </w:pPr>
            <w:r w:rsidRPr="00827FAF">
              <w:rPr>
                <w:sz w:val="20"/>
                <w:lang w:val="en-US"/>
              </w:rPr>
              <w:t>2(e) Actions that are consistent with the conservation of...  biological  diversity...</w:t>
            </w:r>
          </w:p>
          <w:p w14:paraId="5FAD1865" w14:textId="77777777" w:rsidR="00165255" w:rsidRPr="00827FAF" w:rsidRDefault="00165255" w:rsidP="00165255">
            <w:pPr>
              <w:rPr>
                <w:sz w:val="20"/>
                <w:lang w:val="en-US"/>
              </w:rPr>
            </w:pPr>
            <w:r w:rsidRPr="00827FAF">
              <w:rPr>
                <w:sz w:val="20"/>
                <w:lang w:val="en-US"/>
              </w:rPr>
              <w:t>2(g) Actions to reduce displacement of emissions</w:t>
            </w:r>
          </w:p>
        </w:tc>
      </w:tr>
    </w:tbl>
    <w:p w14:paraId="71DCE2D4" w14:textId="77777777" w:rsidR="00DF61BB" w:rsidRPr="00DF61BB" w:rsidRDefault="00DF61BB" w:rsidP="00DF61BB">
      <w:pPr>
        <w:sectPr w:rsidR="00DF61BB" w:rsidRPr="00DF61BB" w:rsidSect="00AA4B89">
          <w:pgSz w:w="11900" w:h="16840"/>
          <w:pgMar w:top="1440" w:right="1080" w:bottom="1440" w:left="1080" w:header="708" w:footer="708" w:gutter="0"/>
          <w:cols w:space="708"/>
          <w:docGrid w:linePitch="360"/>
        </w:sectPr>
      </w:pPr>
    </w:p>
    <w:p w14:paraId="41F6CF7C" w14:textId="77777777" w:rsidR="00FC154D" w:rsidRDefault="00581EB8" w:rsidP="00581EB8">
      <w:pPr>
        <w:pStyle w:val="Heading1"/>
      </w:pPr>
      <w:bookmarkStart w:id="19" w:name="_Toc254892839"/>
      <w:r>
        <w:t xml:space="preserve">Developing a </w:t>
      </w:r>
      <w:r w:rsidR="009D5775">
        <w:t xml:space="preserve">REDD+ Country Safeguard System (CSS) </w:t>
      </w:r>
      <w:r w:rsidR="00AA4B89">
        <w:t>within the Solomon Islands</w:t>
      </w:r>
      <w:bookmarkEnd w:id="19"/>
    </w:p>
    <w:p w14:paraId="34829440" w14:textId="77777777" w:rsidR="00EA5DB3" w:rsidRDefault="00EA5DB3" w:rsidP="009D5775">
      <w:pPr>
        <w:rPr>
          <w:lang w:val="en-US"/>
        </w:rPr>
      </w:pPr>
    </w:p>
    <w:p w14:paraId="107E2AAD" w14:textId="77777777" w:rsidR="009D5775" w:rsidRDefault="009D5775" w:rsidP="009D5775">
      <w:pPr>
        <w:rPr>
          <w:lang w:val="en-US"/>
        </w:rPr>
      </w:pPr>
      <w:r>
        <w:rPr>
          <w:lang w:val="en-US"/>
        </w:rPr>
        <w:t>The Cancun safeguards</w:t>
      </w:r>
      <w:r w:rsidRPr="009D5775">
        <w:rPr>
          <w:lang w:val="en-US"/>
        </w:rPr>
        <w:t xml:space="preserve"> constitute a risk mitigation and multiple benefit enhancement framework at the international level, under which any REDD+ related</w:t>
      </w:r>
      <w:r>
        <w:rPr>
          <w:lang w:val="en-US"/>
        </w:rPr>
        <w:t xml:space="preserve"> activity should be implemented</w:t>
      </w:r>
      <w:r>
        <w:rPr>
          <w:rStyle w:val="FootnoteReference"/>
          <w:lang w:val="en-US"/>
        </w:rPr>
        <w:footnoteReference w:id="3"/>
      </w:r>
      <w:r>
        <w:rPr>
          <w:lang w:val="en-US"/>
        </w:rPr>
        <w:t xml:space="preserve">. The framework is not a detailed set of obligations to which a country is either compliant or non-compliant, as with many donor based safeguard systems, but rather a broad set of principles that should be implemented through a country led approach and a country based approach. </w:t>
      </w:r>
      <w:r w:rsidR="002A6849">
        <w:rPr>
          <w:lang w:val="en-US"/>
        </w:rPr>
        <w:t xml:space="preserve">Many of these principles are linked to existing commitments under international law with as well as being in line with many existing national and provincial laws and practices. </w:t>
      </w:r>
    </w:p>
    <w:p w14:paraId="5337F701" w14:textId="77777777" w:rsidR="002A6849" w:rsidRDefault="009D5775" w:rsidP="002A6849">
      <w:pPr>
        <w:rPr>
          <w:lang w:val="en-US"/>
        </w:rPr>
      </w:pPr>
      <w:r>
        <w:rPr>
          <w:lang w:val="en-US"/>
        </w:rPr>
        <w:t>To gain access to REDD+ finance</w:t>
      </w:r>
      <w:r w:rsidR="002A6849">
        <w:rPr>
          <w:lang w:val="en-US"/>
        </w:rPr>
        <w:t>,</w:t>
      </w:r>
      <w:r>
        <w:rPr>
          <w:lang w:val="en-US"/>
        </w:rPr>
        <w:t xml:space="preserve"> however</w:t>
      </w:r>
      <w:r w:rsidR="002A6849">
        <w:rPr>
          <w:lang w:val="en-US"/>
        </w:rPr>
        <w:t>,</w:t>
      </w:r>
      <w:r>
        <w:rPr>
          <w:lang w:val="en-US"/>
        </w:rPr>
        <w:t xml:space="preserve"> countries will need to demonstrate</w:t>
      </w:r>
      <w:r w:rsidR="008073FC">
        <w:rPr>
          <w:rStyle w:val="FootnoteReference"/>
          <w:lang w:val="en-US"/>
        </w:rPr>
        <w:footnoteReference w:id="4"/>
      </w:r>
      <w:r w:rsidR="002A6849">
        <w:rPr>
          <w:lang w:val="en-US"/>
        </w:rPr>
        <w:t xml:space="preserve"> how they are</w:t>
      </w:r>
      <w:r>
        <w:rPr>
          <w:lang w:val="en-US"/>
        </w:rPr>
        <w:t xml:space="preserve"> </w:t>
      </w:r>
      <w:r w:rsidR="002A6849">
        <w:rPr>
          <w:lang w:val="en-US"/>
        </w:rPr>
        <w:t>effectively addressing and respecting</w:t>
      </w:r>
      <w:r>
        <w:rPr>
          <w:lang w:val="en-US"/>
        </w:rPr>
        <w:t xml:space="preserve"> the Cancun Safeguards, </w:t>
      </w:r>
      <w:r w:rsidRPr="009D5775">
        <w:rPr>
          <w:lang w:val="en-US"/>
        </w:rPr>
        <w:t>in addition to any future related guidance and requirements to be included in whatever positive incentive scheme(s) emerges from the UNFCCC REDD+ negotiations</w:t>
      </w:r>
      <w:r w:rsidR="002A6849">
        <w:rPr>
          <w:rStyle w:val="FootnoteReference"/>
          <w:lang w:val="en-US"/>
        </w:rPr>
        <w:footnoteReference w:id="5"/>
      </w:r>
      <w:r>
        <w:rPr>
          <w:lang w:val="en-US"/>
        </w:rPr>
        <w:t xml:space="preserve">. </w:t>
      </w:r>
      <w:r w:rsidR="002A6849">
        <w:rPr>
          <w:lang w:val="en-US"/>
        </w:rPr>
        <w:t xml:space="preserve">To achieve this it is important to both identify existing commitments, </w:t>
      </w:r>
      <w:r w:rsidR="008402B8">
        <w:rPr>
          <w:lang w:val="en-US"/>
        </w:rPr>
        <w:t>and national safeguards and identify how to</w:t>
      </w:r>
      <w:r w:rsidR="002A6849">
        <w:rPr>
          <w:lang w:val="en-US"/>
        </w:rPr>
        <w:t xml:space="preserve"> provide information on </w:t>
      </w:r>
      <w:r w:rsidR="008402B8">
        <w:rPr>
          <w:lang w:val="en-US"/>
        </w:rPr>
        <w:t xml:space="preserve">their implementation </w:t>
      </w:r>
      <w:r w:rsidR="002A6849">
        <w:rPr>
          <w:lang w:val="en-US"/>
        </w:rPr>
        <w:t xml:space="preserve">linked to the Cancun Decisions. </w:t>
      </w:r>
    </w:p>
    <w:p w14:paraId="250BB822" w14:textId="77777777" w:rsidR="002A6849" w:rsidRDefault="002A6849" w:rsidP="002A6849">
      <w:pPr>
        <w:rPr>
          <w:lang w:val="en-US"/>
        </w:rPr>
      </w:pPr>
      <w:r>
        <w:rPr>
          <w:lang w:val="en-US"/>
        </w:rPr>
        <w:t xml:space="preserve">As noted in Section 2 a number of frameworks to facilitate this have already been developed by donor organisations as well as organisations working in the voluntary carbon market. </w:t>
      </w:r>
      <w:r w:rsidR="008402B8">
        <w:rPr>
          <w:lang w:val="en-US"/>
        </w:rPr>
        <w:t xml:space="preserve">These are more detailed than the principles identified within the Cancun agreement and often provide specific criteria and indicators against which performance and can be assessed. </w:t>
      </w:r>
    </w:p>
    <w:p w14:paraId="4DA3B0DD" w14:textId="77777777" w:rsidR="008402B8" w:rsidRDefault="008402B8" w:rsidP="008402B8">
      <w:pPr>
        <w:rPr>
          <w:lang w:val="en-US"/>
        </w:rPr>
      </w:pPr>
      <w:r>
        <w:rPr>
          <w:lang w:val="en-US"/>
        </w:rPr>
        <w:t xml:space="preserve">Establishing a Country Safeguards System can build from these frameworks and the principles of the Cancun Agreement to identify a more country specific framework which more accurately addresses the context of the country, its existing obligations under international law and it domestic safeguard systems. This approach reduces the need for duplicate systems of donor or REDD+ specific safeguard structures rather allowing actions to be safeguarded through existing laws, programmes and institutions thus also strengthening the application of these systems across the country. </w:t>
      </w:r>
    </w:p>
    <w:p w14:paraId="2A06DD6E" w14:textId="77777777" w:rsidR="00DF0A81" w:rsidRPr="00DF0A81" w:rsidRDefault="00DF0A81" w:rsidP="008402B8">
      <w:pPr>
        <w:rPr>
          <w:sz w:val="8"/>
          <w:lang w:val="en-US"/>
        </w:rPr>
      </w:pPr>
    </w:p>
    <w:p w14:paraId="69EDB539" w14:textId="5C124FE7" w:rsidR="003701EE" w:rsidRDefault="003701EE" w:rsidP="003701EE">
      <w:pPr>
        <w:pStyle w:val="Caption"/>
        <w:keepNext/>
        <w:spacing w:after="0"/>
      </w:pPr>
      <w:r>
        <w:t xml:space="preserve">Box </w:t>
      </w:r>
      <w:r>
        <w:fldChar w:fldCharType="begin"/>
      </w:r>
      <w:r>
        <w:instrText xml:space="preserve"> SEQ Box \* ARABIC </w:instrText>
      </w:r>
      <w:r>
        <w:fldChar w:fldCharType="separate"/>
      </w:r>
      <w:r>
        <w:rPr>
          <w:noProof/>
        </w:rPr>
        <w:t>3</w:t>
      </w:r>
      <w:r>
        <w:fldChar w:fldCharType="end"/>
      </w:r>
      <w:r>
        <w:t>: Benefits of Developing a Country Safeguard System for REDD+</w:t>
      </w:r>
      <w:r>
        <w:rPr>
          <w:rStyle w:val="FootnoteReference"/>
        </w:rPr>
        <w:footnoteReference w:id="6"/>
      </w:r>
    </w:p>
    <w:p w14:paraId="1F05AF99" w14:textId="77777777" w:rsidR="00DF0A81" w:rsidRDefault="005C6D23" w:rsidP="00157A6E">
      <w:pPr>
        <w:rPr>
          <w:lang w:val="en-US"/>
        </w:rPr>
        <w:sectPr w:rsidR="00DF0A81" w:rsidSect="00AA4B89">
          <w:pgSz w:w="11900" w:h="16840"/>
          <w:pgMar w:top="1440" w:right="1080" w:bottom="1440" w:left="1080" w:header="708" w:footer="708" w:gutter="0"/>
          <w:cols w:space="708"/>
          <w:docGrid w:linePitch="360"/>
        </w:sectPr>
      </w:pPr>
      <w:r>
        <w:rPr>
          <w:noProof/>
          <w:lang w:val="en-US"/>
        </w:rPr>
        <mc:AlternateContent>
          <mc:Choice Requires="wps">
            <w:drawing>
              <wp:inline distT="0" distB="0" distL="0" distR="0" wp14:anchorId="616B4801" wp14:editId="49CBC9BB">
                <wp:extent cx="6116955" cy="2030694"/>
                <wp:effectExtent l="0" t="0" r="29845" b="27305"/>
                <wp:docPr id="4"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6955" cy="2030694"/>
                        </a:xfrm>
                        <a:prstGeom prst="roundRect">
                          <a:avLst>
                            <a:gd name="adj" fmla="val 2963"/>
                          </a:avLst>
                        </a:prstGeom>
                        <a:solidFill>
                          <a:schemeClr val="bg1">
                            <a:lumMod val="95000"/>
                            <a:lumOff val="0"/>
                          </a:schemeClr>
                        </a:solidFill>
                        <a:ln w="9525" cap="flat" cmpd="sng">
                          <a:solidFill>
                            <a:schemeClr val="tx1">
                              <a:lumMod val="100000"/>
                              <a:lumOff val="0"/>
                            </a:schemeClr>
                          </a:solidFill>
                          <a:prstDash val="solid"/>
                          <a:round/>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766523D0" w14:textId="0B83FEC7" w:rsidR="00AD59B0" w:rsidRPr="003701EE" w:rsidRDefault="00AD59B0" w:rsidP="008402B8">
                            <w:pPr>
                              <w:spacing w:before="60"/>
                              <w:rPr>
                                <w:sz w:val="20"/>
                                <w:szCs w:val="22"/>
                                <w:lang w:val="en-US"/>
                              </w:rPr>
                            </w:pPr>
                            <w:r w:rsidRPr="003701EE">
                              <w:rPr>
                                <w:b/>
                                <w:bCs/>
                                <w:sz w:val="20"/>
                                <w:szCs w:val="22"/>
                                <w:lang w:val="en-US"/>
                              </w:rPr>
                              <w:t xml:space="preserve">Control over the safeguards that are implemented. </w:t>
                            </w:r>
                            <w:r>
                              <w:rPr>
                                <w:sz w:val="20"/>
                                <w:szCs w:val="22"/>
                                <w:lang w:val="en-US"/>
                              </w:rPr>
                              <w:t>C</w:t>
                            </w:r>
                            <w:r w:rsidRPr="003701EE">
                              <w:rPr>
                                <w:sz w:val="20"/>
                                <w:szCs w:val="22"/>
                                <w:lang w:val="en-US"/>
                              </w:rPr>
                              <w:t xml:space="preserve">ountry </w:t>
                            </w:r>
                            <w:r>
                              <w:rPr>
                                <w:sz w:val="20"/>
                                <w:szCs w:val="22"/>
                                <w:lang w:val="en-US"/>
                              </w:rPr>
                              <w:t xml:space="preserve">can </w:t>
                            </w:r>
                            <w:r w:rsidRPr="003701EE">
                              <w:rPr>
                                <w:sz w:val="20"/>
                                <w:szCs w:val="22"/>
                                <w:lang w:val="en-US"/>
                              </w:rPr>
                              <w:t xml:space="preserve">define which safeguards are </w:t>
                            </w:r>
                            <w:r>
                              <w:rPr>
                                <w:sz w:val="20"/>
                                <w:szCs w:val="22"/>
                                <w:lang w:val="en-US"/>
                              </w:rPr>
                              <w:t>focused on</w:t>
                            </w:r>
                            <w:r w:rsidRPr="003701EE">
                              <w:rPr>
                                <w:sz w:val="20"/>
                                <w:szCs w:val="22"/>
                                <w:lang w:val="en-US"/>
                              </w:rPr>
                              <w:t>.</w:t>
                            </w:r>
                          </w:p>
                          <w:p w14:paraId="211BE923" w14:textId="49BC6824" w:rsidR="00AD59B0" w:rsidRPr="003701EE" w:rsidRDefault="00AD59B0" w:rsidP="008402B8">
                            <w:pPr>
                              <w:spacing w:before="60"/>
                              <w:rPr>
                                <w:sz w:val="20"/>
                                <w:szCs w:val="22"/>
                                <w:lang w:val="en-US"/>
                              </w:rPr>
                            </w:pPr>
                            <w:r w:rsidRPr="003701EE">
                              <w:rPr>
                                <w:b/>
                                <w:bCs/>
                                <w:sz w:val="20"/>
                                <w:szCs w:val="22"/>
                                <w:lang w:val="en-US"/>
                              </w:rPr>
                              <w:t xml:space="preserve">Control over the activities that are subject to safeguards. </w:t>
                            </w:r>
                            <w:r>
                              <w:rPr>
                                <w:sz w:val="20"/>
                                <w:szCs w:val="22"/>
                                <w:lang w:val="en-US"/>
                              </w:rPr>
                              <w:t>A</w:t>
                            </w:r>
                            <w:r w:rsidRPr="003701EE">
                              <w:rPr>
                                <w:sz w:val="20"/>
                                <w:szCs w:val="22"/>
                                <w:lang w:val="en-US"/>
                              </w:rPr>
                              <w:t>llows the country to define in which cases safeguards are to be promoted and applied.</w:t>
                            </w:r>
                          </w:p>
                          <w:p w14:paraId="46CB9FE2" w14:textId="7A187DBD" w:rsidR="00AD59B0" w:rsidRPr="003701EE" w:rsidRDefault="00AD59B0" w:rsidP="008402B8">
                            <w:pPr>
                              <w:spacing w:before="60"/>
                              <w:rPr>
                                <w:sz w:val="20"/>
                                <w:szCs w:val="22"/>
                                <w:lang w:val="en-US"/>
                              </w:rPr>
                            </w:pPr>
                            <w:r>
                              <w:rPr>
                                <w:b/>
                                <w:bCs/>
                                <w:sz w:val="20"/>
                                <w:szCs w:val="22"/>
                                <w:lang w:val="en-US"/>
                              </w:rPr>
                              <w:t>Simplicity</w:t>
                            </w:r>
                            <w:r w:rsidRPr="003701EE">
                              <w:rPr>
                                <w:b/>
                                <w:bCs/>
                                <w:sz w:val="20"/>
                                <w:szCs w:val="22"/>
                                <w:lang w:val="en-US"/>
                              </w:rPr>
                              <w:t xml:space="preserve">. </w:t>
                            </w:r>
                            <w:r>
                              <w:rPr>
                                <w:sz w:val="20"/>
                                <w:szCs w:val="22"/>
                                <w:lang w:val="en-US"/>
                              </w:rPr>
                              <w:t>It avoids having separate systems for development partner programmes and national legislation</w:t>
                            </w:r>
                            <w:r w:rsidRPr="003701EE">
                              <w:rPr>
                                <w:sz w:val="20"/>
                                <w:szCs w:val="22"/>
                                <w:lang w:val="en-US"/>
                              </w:rPr>
                              <w:t>.</w:t>
                            </w:r>
                          </w:p>
                          <w:p w14:paraId="0CC17579" w14:textId="2E501D7E" w:rsidR="00AD59B0" w:rsidRPr="003701EE" w:rsidRDefault="00AD59B0" w:rsidP="008402B8">
                            <w:pPr>
                              <w:spacing w:before="60"/>
                              <w:rPr>
                                <w:sz w:val="20"/>
                                <w:szCs w:val="22"/>
                                <w:lang w:val="en-US"/>
                              </w:rPr>
                            </w:pPr>
                            <w:r w:rsidRPr="003701EE">
                              <w:rPr>
                                <w:b/>
                                <w:bCs/>
                                <w:sz w:val="20"/>
                                <w:szCs w:val="22"/>
                                <w:lang w:val="en-US"/>
                              </w:rPr>
                              <w:t xml:space="preserve">Country ownership. </w:t>
                            </w:r>
                            <w:r w:rsidRPr="003701EE">
                              <w:rPr>
                                <w:bCs/>
                                <w:sz w:val="20"/>
                                <w:szCs w:val="22"/>
                                <w:lang w:val="en-US"/>
                              </w:rPr>
                              <w:t xml:space="preserve">The </w:t>
                            </w:r>
                            <w:r>
                              <w:rPr>
                                <w:sz w:val="20"/>
                                <w:szCs w:val="22"/>
                                <w:lang w:val="en-US"/>
                              </w:rPr>
                              <w:t xml:space="preserve">system is developed and led domestically. </w:t>
                            </w:r>
                          </w:p>
                          <w:p w14:paraId="74C46AA9" w14:textId="50C2CC73" w:rsidR="00AD59B0" w:rsidRPr="003701EE" w:rsidRDefault="00AD59B0" w:rsidP="008402B8">
                            <w:pPr>
                              <w:spacing w:before="60"/>
                              <w:rPr>
                                <w:sz w:val="20"/>
                                <w:szCs w:val="22"/>
                                <w:lang w:val="en-US"/>
                              </w:rPr>
                            </w:pPr>
                            <w:r w:rsidRPr="003701EE">
                              <w:rPr>
                                <w:b/>
                                <w:bCs/>
                                <w:sz w:val="20"/>
                                <w:szCs w:val="22"/>
                                <w:lang w:val="en-US"/>
                              </w:rPr>
                              <w:t xml:space="preserve">The ability to tailor systems to each country. </w:t>
                            </w:r>
                            <w:r w:rsidRPr="003701EE">
                              <w:rPr>
                                <w:sz w:val="20"/>
                                <w:szCs w:val="22"/>
                                <w:lang w:val="en-US"/>
                              </w:rPr>
                              <w:t>It is specifically tailored to the country’s context and can reflect the uniqueness of a country’s circumstances</w:t>
                            </w:r>
                            <w:r>
                              <w:rPr>
                                <w:sz w:val="20"/>
                                <w:szCs w:val="22"/>
                                <w:lang w:val="en-US"/>
                              </w:rPr>
                              <w:t>.</w:t>
                            </w:r>
                          </w:p>
                          <w:p w14:paraId="2E3CCF14" w14:textId="5870DB12" w:rsidR="00AD59B0" w:rsidRPr="003701EE" w:rsidRDefault="00AD59B0" w:rsidP="008402B8">
                            <w:pPr>
                              <w:spacing w:before="60"/>
                              <w:rPr>
                                <w:sz w:val="20"/>
                                <w:szCs w:val="22"/>
                                <w:lang w:val="en-US"/>
                              </w:rPr>
                            </w:pPr>
                            <w:r w:rsidRPr="003701EE">
                              <w:rPr>
                                <w:b/>
                                <w:bCs/>
                                <w:sz w:val="20"/>
                                <w:szCs w:val="22"/>
                                <w:lang w:val="en-US"/>
                              </w:rPr>
                              <w:t xml:space="preserve">Cost-effectiveness. </w:t>
                            </w:r>
                            <w:r w:rsidRPr="003701EE">
                              <w:rPr>
                                <w:sz w:val="20"/>
                                <w:szCs w:val="22"/>
                                <w:lang w:val="en-US"/>
                              </w:rPr>
                              <w:t>It</w:t>
                            </w:r>
                            <w:r>
                              <w:rPr>
                                <w:sz w:val="20"/>
                                <w:szCs w:val="22"/>
                                <w:lang w:val="en-US"/>
                              </w:rPr>
                              <w:t xml:space="preserve"> reduces transaction costs for government and developers by having one system. </w:t>
                            </w:r>
                          </w:p>
                          <w:p w14:paraId="6DE10B81" w14:textId="5B9649ED" w:rsidR="00AD59B0" w:rsidRPr="003701EE" w:rsidRDefault="00AD59B0" w:rsidP="008402B8">
                            <w:pPr>
                              <w:spacing w:before="60"/>
                              <w:rPr>
                                <w:sz w:val="20"/>
                                <w:szCs w:val="22"/>
                                <w:lang w:val="en-US"/>
                              </w:rPr>
                            </w:pPr>
                            <w:r w:rsidRPr="003701EE">
                              <w:rPr>
                                <w:b/>
                                <w:bCs/>
                                <w:sz w:val="20"/>
                                <w:szCs w:val="22"/>
                                <w:lang w:val="en-US"/>
                              </w:rPr>
                              <w:t xml:space="preserve">Flexibility. </w:t>
                            </w:r>
                            <w:r w:rsidRPr="003701EE">
                              <w:rPr>
                                <w:sz w:val="20"/>
                                <w:szCs w:val="22"/>
                                <w:lang w:val="en-US"/>
                              </w:rPr>
                              <w:t>A strong CSS provide</w:t>
                            </w:r>
                            <w:r>
                              <w:rPr>
                                <w:sz w:val="20"/>
                                <w:szCs w:val="22"/>
                                <w:lang w:val="en-US"/>
                              </w:rPr>
                              <w:t>s</w:t>
                            </w:r>
                            <w:r w:rsidRPr="003701EE">
                              <w:rPr>
                                <w:sz w:val="20"/>
                                <w:szCs w:val="22"/>
                                <w:lang w:val="en-US"/>
                              </w:rPr>
                              <w:t xml:space="preserve"> flexibility to integrate new programmes and international requirements, s</w:t>
                            </w:r>
                            <w:r>
                              <w:rPr>
                                <w:sz w:val="20"/>
                                <w:szCs w:val="22"/>
                                <w:lang w:val="en-US"/>
                              </w:rPr>
                              <w:t xml:space="preserve">peeding up their implementation, </w:t>
                            </w:r>
                            <w:r w:rsidRPr="003701EE">
                              <w:rPr>
                                <w:sz w:val="20"/>
                                <w:szCs w:val="22"/>
                                <w:lang w:val="en-US"/>
                              </w:rPr>
                              <w:t xml:space="preserve">making the country more attractive to donors, </w:t>
                            </w:r>
                            <w:r>
                              <w:rPr>
                                <w:sz w:val="20"/>
                                <w:szCs w:val="22"/>
                                <w:lang w:val="en-US"/>
                              </w:rPr>
                              <w:t xml:space="preserve">and </w:t>
                            </w:r>
                            <w:r w:rsidRPr="003701EE">
                              <w:rPr>
                                <w:sz w:val="20"/>
                                <w:szCs w:val="22"/>
                                <w:lang w:val="en-US"/>
                              </w:rPr>
                              <w:t>investors</w:t>
                            </w:r>
                            <w:r>
                              <w:rPr>
                                <w:sz w:val="20"/>
                                <w:szCs w:val="22"/>
                                <w:lang w:val="en-US"/>
                              </w:rPr>
                              <w:t>.</w:t>
                            </w:r>
                          </w:p>
                          <w:p w14:paraId="6D833A83" w14:textId="77777777" w:rsidR="00AD59B0" w:rsidRDefault="00AD59B0"/>
                        </w:txbxContent>
                      </wps:txbx>
                      <wps:bodyPr rot="0" vert="horz" wrap="square" lIns="91440" tIns="45720" rIns="91440" bIns="45720" anchor="ctr" anchorCtr="0" upright="1">
                        <a:noAutofit/>
                      </wps:bodyPr>
                    </wps:wsp>
                  </a:graphicData>
                </a:graphic>
              </wp:inline>
            </w:drawing>
          </mc:Choice>
          <mc:Fallback>
            <w:pict>
              <v:roundrect id="_x0000_s1029" style="width:481.65pt;height:159.9pt;visibility:visible;mso-wrap-style:square;mso-left-percent:-10001;mso-top-percent:-10001;mso-position-horizontal:absolute;mso-position-horizontal-relative:char;mso-position-vertical:absolute;mso-position-vertical-relative:line;mso-left-percent:-10001;mso-top-percent:-10001;v-text-anchor:middle" arcsize="1942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" fillcolor="#f2f2f2 [3052]" strokecolor="black [3213]">
                <v:shadow opacity="22936f" mv:blur="40000f" origin=",.5" offset="0,23000emu"/>
                <v:textbox>
                  <w:txbxContent>
                    <w:p w14:paraId="766523D0" w14:textId="0B83FEC7" w:rsidR="00AD59B0" w:rsidRPr="003701EE" w:rsidRDefault="00AD59B0" w:rsidP="008402B8">
                      <w:pPr>
                        <w:spacing w:before="60"/>
                        <w:rPr>
                          <w:sz w:val="20"/>
                          <w:szCs w:val="22"/>
                          <w:lang w:val="en-US"/>
                        </w:rPr>
                      </w:pPr>
                      <w:r w:rsidRPr="003701EE">
                        <w:rPr>
                          <w:b/>
                          <w:bCs/>
                          <w:sz w:val="20"/>
                          <w:szCs w:val="22"/>
                          <w:lang w:val="en-US"/>
                        </w:rPr>
                        <w:t xml:space="preserve">Control over the safeguards that are implemented. </w:t>
                      </w:r>
                      <w:r>
                        <w:rPr>
                          <w:sz w:val="20"/>
                          <w:szCs w:val="22"/>
                          <w:lang w:val="en-US"/>
                        </w:rPr>
                        <w:t>C</w:t>
                      </w:r>
                      <w:r w:rsidRPr="003701EE">
                        <w:rPr>
                          <w:sz w:val="20"/>
                          <w:szCs w:val="22"/>
                          <w:lang w:val="en-US"/>
                        </w:rPr>
                        <w:t xml:space="preserve">ountry </w:t>
                      </w:r>
                      <w:r>
                        <w:rPr>
                          <w:sz w:val="20"/>
                          <w:szCs w:val="22"/>
                          <w:lang w:val="en-US"/>
                        </w:rPr>
                        <w:t xml:space="preserve">can </w:t>
                      </w:r>
                      <w:r w:rsidRPr="003701EE">
                        <w:rPr>
                          <w:sz w:val="20"/>
                          <w:szCs w:val="22"/>
                          <w:lang w:val="en-US"/>
                        </w:rPr>
                        <w:t xml:space="preserve">define which safeguards are </w:t>
                      </w:r>
                      <w:r>
                        <w:rPr>
                          <w:sz w:val="20"/>
                          <w:szCs w:val="22"/>
                          <w:lang w:val="en-US"/>
                        </w:rPr>
                        <w:t>focused on</w:t>
                      </w:r>
                      <w:r w:rsidRPr="003701EE">
                        <w:rPr>
                          <w:sz w:val="20"/>
                          <w:szCs w:val="22"/>
                          <w:lang w:val="en-US"/>
                        </w:rPr>
                        <w:t>.</w:t>
                      </w:r>
                    </w:p>
                    <w:p w14:paraId="211BE923" w14:textId="49BC6824" w:rsidR="00AD59B0" w:rsidRPr="003701EE" w:rsidRDefault="00AD59B0" w:rsidP="008402B8">
                      <w:pPr>
                        <w:spacing w:before="60"/>
                        <w:rPr>
                          <w:sz w:val="20"/>
                          <w:szCs w:val="22"/>
                          <w:lang w:val="en-US"/>
                        </w:rPr>
                      </w:pPr>
                      <w:r w:rsidRPr="003701EE">
                        <w:rPr>
                          <w:b/>
                          <w:bCs/>
                          <w:sz w:val="20"/>
                          <w:szCs w:val="22"/>
                          <w:lang w:val="en-US"/>
                        </w:rPr>
                        <w:t xml:space="preserve">Control over the activities that are subject to safeguards. </w:t>
                      </w:r>
                      <w:r>
                        <w:rPr>
                          <w:sz w:val="20"/>
                          <w:szCs w:val="22"/>
                          <w:lang w:val="en-US"/>
                        </w:rPr>
                        <w:t>A</w:t>
                      </w:r>
                      <w:r w:rsidRPr="003701EE">
                        <w:rPr>
                          <w:sz w:val="20"/>
                          <w:szCs w:val="22"/>
                          <w:lang w:val="en-US"/>
                        </w:rPr>
                        <w:t>llows the country to define in which cases safeguards are to be promoted and applied.</w:t>
                      </w:r>
                    </w:p>
                    <w:p w14:paraId="46CB9FE2" w14:textId="7A187DBD" w:rsidR="00AD59B0" w:rsidRPr="003701EE" w:rsidRDefault="00AD59B0" w:rsidP="008402B8">
                      <w:pPr>
                        <w:spacing w:before="60"/>
                        <w:rPr>
                          <w:sz w:val="20"/>
                          <w:szCs w:val="22"/>
                          <w:lang w:val="en-US"/>
                        </w:rPr>
                      </w:pPr>
                      <w:r>
                        <w:rPr>
                          <w:b/>
                          <w:bCs/>
                          <w:sz w:val="20"/>
                          <w:szCs w:val="22"/>
                          <w:lang w:val="en-US"/>
                        </w:rPr>
                        <w:t>Simplicity</w:t>
                      </w:r>
                      <w:r w:rsidRPr="003701EE">
                        <w:rPr>
                          <w:b/>
                          <w:bCs/>
                          <w:sz w:val="20"/>
                          <w:szCs w:val="22"/>
                          <w:lang w:val="en-US"/>
                        </w:rPr>
                        <w:t xml:space="preserve">. </w:t>
                      </w:r>
                      <w:r>
                        <w:rPr>
                          <w:sz w:val="20"/>
                          <w:szCs w:val="22"/>
                          <w:lang w:val="en-US"/>
                        </w:rPr>
                        <w:t>It avoids having separate systems for development partner programmes and national legislation</w:t>
                      </w:r>
                      <w:r w:rsidRPr="003701EE">
                        <w:rPr>
                          <w:sz w:val="20"/>
                          <w:szCs w:val="22"/>
                          <w:lang w:val="en-US"/>
                        </w:rPr>
                        <w:t>.</w:t>
                      </w:r>
                    </w:p>
                    <w:p w14:paraId="0CC17579" w14:textId="2E501D7E" w:rsidR="00AD59B0" w:rsidRPr="003701EE" w:rsidRDefault="00AD59B0" w:rsidP="008402B8">
                      <w:pPr>
                        <w:spacing w:before="60"/>
                        <w:rPr>
                          <w:sz w:val="20"/>
                          <w:szCs w:val="22"/>
                          <w:lang w:val="en-US"/>
                        </w:rPr>
                      </w:pPr>
                      <w:r w:rsidRPr="003701EE">
                        <w:rPr>
                          <w:b/>
                          <w:bCs/>
                          <w:sz w:val="20"/>
                          <w:szCs w:val="22"/>
                          <w:lang w:val="en-US"/>
                        </w:rPr>
                        <w:t xml:space="preserve">Country ownership. </w:t>
                      </w:r>
                      <w:r w:rsidRPr="003701EE">
                        <w:rPr>
                          <w:bCs/>
                          <w:sz w:val="20"/>
                          <w:szCs w:val="22"/>
                          <w:lang w:val="en-US"/>
                        </w:rPr>
                        <w:t xml:space="preserve">The </w:t>
                      </w:r>
                      <w:r>
                        <w:rPr>
                          <w:sz w:val="20"/>
                          <w:szCs w:val="22"/>
                          <w:lang w:val="en-US"/>
                        </w:rPr>
                        <w:t xml:space="preserve">system is developed and led domestically. </w:t>
                      </w:r>
                    </w:p>
                    <w:p w14:paraId="74C46AA9" w14:textId="50C2CC73" w:rsidR="00AD59B0" w:rsidRPr="003701EE" w:rsidRDefault="00AD59B0" w:rsidP="008402B8">
                      <w:pPr>
                        <w:spacing w:before="60"/>
                        <w:rPr>
                          <w:sz w:val="20"/>
                          <w:szCs w:val="22"/>
                          <w:lang w:val="en-US"/>
                        </w:rPr>
                      </w:pPr>
                      <w:r w:rsidRPr="003701EE">
                        <w:rPr>
                          <w:b/>
                          <w:bCs/>
                          <w:sz w:val="20"/>
                          <w:szCs w:val="22"/>
                          <w:lang w:val="en-US"/>
                        </w:rPr>
                        <w:t xml:space="preserve">The ability to tailor systems to each country. </w:t>
                      </w:r>
                      <w:r w:rsidRPr="003701EE">
                        <w:rPr>
                          <w:sz w:val="20"/>
                          <w:szCs w:val="22"/>
                          <w:lang w:val="en-US"/>
                        </w:rPr>
                        <w:t>It is specifically tailored to the country’s context and can reflect the uniqueness of a country’s circumstances</w:t>
                      </w:r>
                      <w:r>
                        <w:rPr>
                          <w:sz w:val="20"/>
                          <w:szCs w:val="22"/>
                          <w:lang w:val="en-US"/>
                        </w:rPr>
                        <w:t>.</w:t>
                      </w:r>
                    </w:p>
                    <w:p w14:paraId="2E3CCF14" w14:textId="5870DB12" w:rsidR="00AD59B0" w:rsidRPr="003701EE" w:rsidRDefault="00AD59B0" w:rsidP="008402B8">
                      <w:pPr>
                        <w:spacing w:before="60"/>
                        <w:rPr>
                          <w:sz w:val="20"/>
                          <w:szCs w:val="22"/>
                          <w:lang w:val="en-US"/>
                        </w:rPr>
                      </w:pPr>
                      <w:r w:rsidRPr="003701EE">
                        <w:rPr>
                          <w:b/>
                          <w:bCs/>
                          <w:sz w:val="20"/>
                          <w:szCs w:val="22"/>
                          <w:lang w:val="en-US"/>
                        </w:rPr>
                        <w:t xml:space="preserve">Cost-effectiveness. </w:t>
                      </w:r>
                      <w:r w:rsidRPr="003701EE">
                        <w:rPr>
                          <w:sz w:val="20"/>
                          <w:szCs w:val="22"/>
                          <w:lang w:val="en-US"/>
                        </w:rPr>
                        <w:t>It</w:t>
                      </w:r>
                      <w:r>
                        <w:rPr>
                          <w:sz w:val="20"/>
                          <w:szCs w:val="22"/>
                          <w:lang w:val="en-US"/>
                        </w:rPr>
                        <w:t xml:space="preserve"> reduces transaction costs for government and developers by having one system. </w:t>
                      </w:r>
                    </w:p>
                    <w:p w14:paraId="6DE10B81" w14:textId="5B9649ED" w:rsidR="00AD59B0" w:rsidRPr="003701EE" w:rsidRDefault="00AD59B0" w:rsidP="008402B8">
                      <w:pPr>
                        <w:spacing w:before="60"/>
                        <w:rPr>
                          <w:sz w:val="20"/>
                          <w:szCs w:val="22"/>
                          <w:lang w:val="en-US"/>
                        </w:rPr>
                      </w:pPr>
                      <w:r w:rsidRPr="003701EE">
                        <w:rPr>
                          <w:b/>
                          <w:bCs/>
                          <w:sz w:val="20"/>
                          <w:szCs w:val="22"/>
                          <w:lang w:val="en-US"/>
                        </w:rPr>
                        <w:t xml:space="preserve">Flexibility. </w:t>
                      </w:r>
                      <w:r w:rsidRPr="003701EE">
                        <w:rPr>
                          <w:sz w:val="20"/>
                          <w:szCs w:val="22"/>
                          <w:lang w:val="en-US"/>
                        </w:rPr>
                        <w:t>A strong CSS provide</w:t>
                      </w:r>
                      <w:r>
                        <w:rPr>
                          <w:sz w:val="20"/>
                          <w:szCs w:val="22"/>
                          <w:lang w:val="en-US"/>
                        </w:rPr>
                        <w:t>s</w:t>
                      </w:r>
                      <w:r w:rsidRPr="003701EE">
                        <w:rPr>
                          <w:sz w:val="20"/>
                          <w:szCs w:val="22"/>
                          <w:lang w:val="en-US"/>
                        </w:rPr>
                        <w:t xml:space="preserve"> flexibility to integrate new programmes and international requirements, s</w:t>
                      </w:r>
                      <w:r>
                        <w:rPr>
                          <w:sz w:val="20"/>
                          <w:szCs w:val="22"/>
                          <w:lang w:val="en-US"/>
                        </w:rPr>
                        <w:t xml:space="preserve">peeding up their implementation, </w:t>
                      </w:r>
                      <w:r w:rsidRPr="003701EE">
                        <w:rPr>
                          <w:sz w:val="20"/>
                          <w:szCs w:val="22"/>
                          <w:lang w:val="en-US"/>
                        </w:rPr>
                        <w:t xml:space="preserve">making the country more attractive to donors, </w:t>
                      </w:r>
                      <w:r>
                        <w:rPr>
                          <w:sz w:val="20"/>
                          <w:szCs w:val="22"/>
                          <w:lang w:val="en-US"/>
                        </w:rPr>
                        <w:t xml:space="preserve">and </w:t>
                      </w:r>
                      <w:r w:rsidRPr="003701EE">
                        <w:rPr>
                          <w:sz w:val="20"/>
                          <w:szCs w:val="22"/>
                          <w:lang w:val="en-US"/>
                        </w:rPr>
                        <w:t>investors</w:t>
                      </w:r>
                      <w:r>
                        <w:rPr>
                          <w:sz w:val="20"/>
                          <w:szCs w:val="22"/>
                          <w:lang w:val="en-US"/>
                        </w:rPr>
                        <w:t>.</w:t>
                      </w:r>
                    </w:p>
                    <w:p w14:paraId="6D833A83" w14:textId="77777777" w:rsidR="00AD59B0" w:rsidRDefault="00AD59B0"/>
                  </w:txbxContent>
                </v:textbox>
                <w10:anchorlock/>
              </v:roundrect>
            </w:pict>
          </mc:Fallback>
        </mc:AlternateContent>
      </w:r>
    </w:p>
    <w:p w14:paraId="1FA9BD22" w14:textId="0A3DFDA3" w:rsidR="008402B8" w:rsidRDefault="00EA5DB3" w:rsidP="00DF0A81">
      <w:pPr>
        <w:pStyle w:val="Heading2"/>
      </w:pPr>
      <w:bookmarkStart w:id="20" w:name="_Toc254892840"/>
      <w:r>
        <w:t>Development of a Country Safeguard System</w:t>
      </w:r>
      <w:bookmarkEnd w:id="20"/>
    </w:p>
    <w:p w14:paraId="237EB84B" w14:textId="01DE99EC" w:rsidR="00B848FD" w:rsidRDefault="00DF0A81" w:rsidP="00157A6E">
      <w:r>
        <w:rPr>
          <w:noProof/>
          <w:lang w:val="en-US"/>
        </w:rPr>
        <mc:AlternateContent>
          <mc:Choice Requires="wpg">
            <w:drawing>
              <wp:anchor distT="0" distB="0" distL="114300" distR="114300" simplePos="0" relativeHeight="251665408" behindDoc="0" locked="0" layoutInCell="1" allowOverlap="1" wp14:anchorId="2B7DFDDB" wp14:editId="34972761">
                <wp:simplePos x="0" y="0"/>
                <wp:positionH relativeFrom="column">
                  <wp:posOffset>0</wp:posOffset>
                </wp:positionH>
                <wp:positionV relativeFrom="paragraph">
                  <wp:posOffset>586105</wp:posOffset>
                </wp:positionV>
                <wp:extent cx="6286500" cy="2367915"/>
                <wp:effectExtent l="50800" t="0" r="88900" b="121285"/>
                <wp:wrapThrough wrapText="bothSides">
                  <wp:wrapPolygon edited="0">
                    <wp:start x="-175" y="0"/>
                    <wp:lineTo x="-175" y="2780"/>
                    <wp:lineTo x="10822" y="3707"/>
                    <wp:lineTo x="-175" y="6256"/>
                    <wp:lineTo x="-175" y="19694"/>
                    <wp:lineTo x="17542" y="22475"/>
                    <wp:lineTo x="17978" y="22475"/>
                    <wp:lineTo x="18153" y="22011"/>
                    <wp:lineTo x="21295" y="18767"/>
                    <wp:lineTo x="21295" y="18536"/>
                    <wp:lineTo x="21644" y="14829"/>
                    <wp:lineTo x="21644" y="12743"/>
                    <wp:lineTo x="21469" y="11121"/>
                    <wp:lineTo x="21382" y="5097"/>
                    <wp:lineTo x="17367" y="3707"/>
                    <wp:lineTo x="18065" y="3707"/>
                    <wp:lineTo x="21818" y="2549"/>
                    <wp:lineTo x="21731" y="0"/>
                    <wp:lineTo x="-175" y="0"/>
                  </wp:wrapPolygon>
                </wp:wrapThrough>
                <wp:docPr id="35" name="Group 35"/>
                <wp:cNvGraphicFramePr/>
                <a:graphic xmlns:a="http://schemas.openxmlformats.org/drawingml/2006/main">
                  <a:graphicData uri="http://schemas.microsoft.com/office/word/2010/wordprocessingGroup">
                    <wpg:wgp>
                      <wpg:cNvGrpSpPr/>
                      <wpg:grpSpPr>
                        <a:xfrm>
                          <a:off x="0" y="0"/>
                          <a:ext cx="6286500" cy="2367915"/>
                          <a:chOff x="0" y="0"/>
                          <a:chExt cx="6286500" cy="2367915"/>
                        </a:xfrm>
                      </wpg:grpSpPr>
                      <wpg:grpSp>
                        <wpg:cNvPr id="21" name="Group 21"/>
                        <wpg:cNvGrpSpPr/>
                        <wpg:grpSpPr>
                          <a:xfrm>
                            <a:off x="0" y="424815"/>
                            <a:ext cx="6286500" cy="1943100"/>
                            <a:chOff x="0" y="0"/>
                            <a:chExt cx="6286500" cy="1943100"/>
                          </a:xfrm>
                        </wpg:grpSpPr>
                        <wps:wsp>
                          <wps:cNvPr id="20" name="Right Arrow 20"/>
                          <wps:cNvSpPr/>
                          <wps:spPr>
                            <a:xfrm>
                              <a:off x="0" y="0"/>
                              <a:ext cx="6286500" cy="1943100"/>
                            </a:xfrm>
                            <a:prstGeom prst="rightArrow">
                              <a:avLst>
                                <a:gd name="adj1" fmla="val 70935"/>
                                <a:gd name="adj2" fmla="val 58972"/>
                              </a:avLst>
                            </a:prstGeom>
                            <a:gradFill flip="none" rotWithShape="1">
                              <a:gsLst>
                                <a:gs pos="0">
                                  <a:schemeClr val="bg1">
                                    <a:lumMod val="95000"/>
                                  </a:schemeClr>
                                </a:gs>
                                <a:gs pos="100000">
                                  <a:schemeClr val="bg1">
                                    <a:lumMod val="75000"/>
                                  </a:schemeClr>
                                </a:gs>
                              </a:gsLst>
                              <a:lin ang="0" scaled="1"/>
                              <a:tileRect/>
                            </a:gradFill>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0" y="342900"/>
                              <a:ext cx="1143000" cy="1257300"/>
                            </a:xfrm>
                            <a:prstGeom prst="roundRect">
                              <a:avLst>
                                <a:gd name="adj" fmla="val 11909"/>
                              </a:avLst>
                            </a:prstGeom>
                            <a:solidFill>
                              <a:schemeClr val="bg1">
                                <a:lumMod val="95000"/>
                              </a:schemeClr>
                            </a:soli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0EBCE52" w14:textId="77777777" w:rsidR="00AD59B0" w:rsidRPr="0090712D" w:rsidRDefault="00AD59B0" w:rsidP="0090712D">
                                <w:pPr>
                                  <w:spacing w:before="60"/>
                                  <w:rPr>
                                    <w:b/>
                                    <w:color w:val="000000" w:themeColor="text1"/>
                                    <w:sz w:val="20"/>
                                    <w:lang w:val="en-US"/>
                                  </w:rPr>
                                </w:pPr>
                                <w:r w:rsidRPr="0090712D">
                                  <w:rPr>
                                    <w:b/>
                                    <w:color w:val="000000" w:themeColor="text1"/>
                                    <w:sz w:val="20"/>
                                    <w:lang w:val="en-US"/>
                                  </w:rPr>
                                  <w:t>Step One: Define Objectives</w:t>
                                </w:r>
                              </w:p>
                              <w:p w14:paraId="21570671" w14:textId="77777777" w:rsidR="00AD59B0" w:rsidRPr="0090712D" w:rsidRDefault="00AD59B0" w:rsidP="006B087B">
                                <w:pPr>
                                  <w:pStyle w:val="ListParagraph"/>
                                  <w:numPr>
                                    <w:ilvl w:val="0"/>
                                    <w:numId w:val="13"/>
                                  </w:numPr>
                                  <w:spacing w:before="60"/>
                                  <w:ind w:left="142" w:hanging="142"/>
                                  <w:rPr>
                                    <w:color w:val="000000" w:themeColor="text1"/>
                                    <w:sz w:val="20"/>
                                    <w:lang w:val="en-US"/>
                                  </w:rPr>
                                </w:pPr>
                                <w:r w:rsidRPr="0090712D">
                                  <w:rPr>
                                    <w:color w:val="000000" w:themeColor="text1"/>
                                    <w:sz w:val="20"/>
                                    <w:lang w:val="en-US"/>
                                  </w:rPr>
                                  <w:t>What are the country's objectives?</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1" name="Rounded Rectangle 11"/>
                          <wps:cNvSpPr/>
                          <wps:spPr>
                            <a:xfrm>
                              <a:off x="1257300" y="342900"/>
                              <a:ext cx="1485900" cy="1257300"/>
                            </a:xfrm>
                            <a:prstGeom prst="roundRect">
                              <a:avLst>
                                <a:gd name="adj" fmla="val 11909"/>
                              </a:avLst>
                            </a:prstGeom>
                            <a:solidFill>
                              <a:schemeClr val="bg1">
                                <a:lumMod val="95000"/>
                              </a:schemeClr>
                            </a:soli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4697E454" w14:textId="77777777" w:rsidR="00AD59B0" w:rsidRPr="0090712D" w:rsidRDefault="00AD59B0" w:rsidP="0090712D">
                                <w:pPr>
                                  <w:spacing w:before="60"/>
                                  <w:rPr>
                                    <w:color w:val="000000" w:themeColor="text1"/>
                                    <w:sz w:val="20"/>
                                    <w:lang w:val="en-US"/>
                                  </w:rPr>
                                </w:pPr>
                                <w:r w:rsidRPr="0090712D">
                                  <w:rPr>
                                    <w:b/>
                                    <w:color w:val="000000" w:themeColor="text1"/>
                                    <w:sz w:val="20"/>
                                    <w:lang w:val="en-US"/>
                                  </w:rPr>
                                  <w:t>Step Two: Analyse Gaps and Weaknesses</w:t>
                                </w:r>
                                <w:r w:rsidRPr="0090712D">
                                  <w:rPr>
                                    <w:color w:val="000000" w:themeColor="text1"/>
                                    <w:sz w:val="20"/>
                                    <w:lang w:val="en-US"/>
                                  </w:rPr>
                                  <w:t xml:space="preserve"> in: </w:t>
                                </w:r>
                              </w:p>
                              <w:p w14:paraId="676E5EA4" w14:textId="680D1435" w:rsidR="00AD59B0" w:rsidRPr="0090712D" w:rsidRDefault="00AD59B0" w:rsidP="006B087B">
                                <w:pPr>
                                  <w:pStyle w:val="ListParagraph"/>
                                  <w:numPr>
                                    <w:ilvl w:val="0"/>
                                    <w:numId w:val="14"/>
                                  </w:numPr>
                                  <w:spacing w:before="60"/>
                                  <w:ind w:left="142" w:hanging="142"/>
                                  <w:rPr>
                                    <w:color w:val="000000" w:themeColor="text1"/>
                                    <w:sz w:val="20"/>
                                    <w:lang w:val="en-US"/>
                                  </w:rPr>
                                </w:pPr>
                                <w:r w:rsidRPr="0090712D">
                                  <w:rPr>
                                    <w:color w:val="000000" w:themeColor="text1"/>
                                    <w:sz w:val="20"/>
                                    <w:lang w:val="en-US"/>
                                  </w:rPr>
                                  <w:t xml:space="preserve">Legal, institutional and compliance frameworks and their application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 name="Rounded Rectangle 12"/>
                          <wps:cNvSpPr/>
                          <wps:spPr>
                            <a:xfrm>
                              <a:off x="2857500" y="342900"/>
                              <a:ext cx="1600200" cy="1257300"/>
                            </a:xfrm>
                            <a:prstGeom prst="roundRect">
                              <a:avLst>
                                <a:gd name="adj" fmla="val 11909"/>
                              </a:avLst>
                            </a:prstGeom>
                            <a:solidFill>
                              <a:schemeClr val="bg1">
                                <a:lumMod val="95000"/>
                              </a:schemeClr>
                            </a:soli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446FE5E" w14:textId="1525EA7B" w:rsidR="00AD59B0" w:rsidRPr="0090712D" w:rsidRDefault="00AD59B0" w:rsidP="0090712D">
                                <w:pPr>
                                  <w:spacing w:before="60"/>
                                  <w:rPr>
                                    <w:b/>
                                    <w:color w:val="000000" w:themeColor="text1"/>
                                    <w:sz w:val="20"/>
                                    <w:lang w:val="en-US"/>
                                  </w:rPr>
                                </w:pPr>
                                <w:r w:rsidRPr="0090712D">
                                  <w:rPr>
                                    <w:b/>
                                    <w:color w:val="000000" w:themeColor="text1"/>
                                    <w:sz w:val="20"/>
                                    <w:lang w:val="en-US"/>
                                  </w:rPr>
                                  <w:t>Step Three: Develop a Workplan to Strengthen CSS</w:t>
                                </w:r>
                                <w:r>
                                  <w:rPr>
                                    <w:b/>
                                    <w:color w:val="000000" w:themeColor="text1"/>
                                    <w:sz w:val="20"/>
                                    <w:lang w:val="en-US"/>
                                  </w:rPr>
                                  <w:t>:</w:t>
                                </w:r>
                              </w:p>
                              <w:p w14:paraId="23F9A2DB" w14:textId="66FF00C9" w:rsidR="00AD59B0" w:rsidRPr="0090712D" w:rsidRDefault="00AD59B0" w:rsidP="006B087B">
                                <w:pPr>
                                  <w:pStyle w:val="ListParagraph"/>
                                  <w:numPr>
                                    <w:ilvl w:val="0"/>
                                    <w:numId w:val="15"/>
                                  </w:numPr>
                                  <w:spacing w:before="60"/>
                                  <w:ind w:left="142" w:hanging="142"/>
                                  <w:rPr>
                                    <w:color w:val="000000" w:themeColor="text1"/>
                                    <w:sz w:val="20"/>
                                    <w:lang w:val="en-US"/>
                                  </w:rPr>
                                </w:pPr>
                                <w:r w:rsidRPr="0090712D">
                                  <w:rPr>
                                    <w:color w:val="000000" w:themeColor="text1"/>
                                    <w:sz w:val="20"/>
                                    <w:lang w:val="en-US"/>
                                  </w:rPr>
                                  <w:t>What actions will be taken</w:t>
                                </w:r>
                              </w:p>
                              <w:p w14:paraId="42993A69" w14:textId="6B666A3B" w:rsidR="00AD59B0" w:rsidRPr="0090712D" w:rsidRDefault="00AD59B0" w:rsidP="006B087B">
                                <w:pPr>
                                  <w:pStyle w:val="ListParagraph"/>
                                  <w:numPr>
                                    <w:ilvl w:val="0"/>
                                    <w:numId w:val="15"/>
                                  </w:numPr>
                                  <w:spacing w:before="60"/>
                                  <w:ind w:left="142" w:hanging="142"/>
                                  <w:rPr>
                                    <w:color w:val="000000" w:themeColor="text1"/>
                                    <w:sz w:val="20"/>
                                    <w:lang w:val="en-US"/>
                                  </w:rPr>
                                </w:pPr>
                                <w:r w:rsidRPr="0090712D">
                                  <w:rPr>
                                    <w:color w:val="000000" w:themeColor="text1"/>
                                    <w:sz w:val="20"/>
                                    <w:lang w:val="en-US"/>
                                  </w:rPr>
                                  <w:t>How will progress be assessed</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9" name="Rounded Rectangle 19"/>
                          <wps:cNvSpPr/>
                          <wps:spPr>
                            <a:xfrm>
                              <a:off x="4572000" y="342900"/>
                              <a:ext cx="1600200" cy="1257300"/>
                            </a:xfrm>
                            <a:prstGeom prst="roundRect">
                              <a:avLst>
                                <a:gd name="adj" fmla="val 11909"/>
                              </a:avLst>
                            </a:prstGeom>
                            <a:solidFill>
                              <a:schemeClr val="bg1">
                                <a:lumMod val="95000"/>
                              </a:schemeClr>
                            </a:soli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1875B57F" w14:textId="77777777" w:rsidR="00AD59B0" w:rsidRPr="0090712D" w:rsidRDefault="00AD59B0" w:rsidP="0090712D">
                                <w:pPr>
                                  <w:spacing w:before="60"/>
                                  <w:rPr>
                                    <w:color w:val="000000" w:themeColor="text1"/>
                                    <w:sz w:val="20"/>
                                    <w:lang w:val="en-US"/>
                                  </w:rPr>
                                </w:pPr>
                                <w:r w:rsidRPr="0090712D">
                                  <w:rPr>
                                    <w:b/>
                                    <w:color w:val="000000" w:themeColor="text1"/>
                                    <w:sz w:val="20"/>
                                    <w:lang w:val="en-US"/>
                                  </w:rPr>
                                  <w:t>Step Four: Deliver Workplan</w:t>
                                </w:r>
                                <w:r w:rsidRPr="0090712D">
                                  <w:rPr>
                                    <w:color w:val="000000" w:themeColor="text1"/>
                                    <w:sz w:val="20"/>
                                    <w:lang w:val="en-US"/>
                                  </w:rPr>
                                  <w:t>:</w:t>
                                </w:r>
                              </w:p>
                              <w:p w14:paraId="50CFCC56" w14:textId="77777777" w:rsidR="00AD59B0" w:rsidRPr="0090712D" w:rsidRDefault="00AD59B0" w:rsidP="006B087B">
                                <w:pPr>
                                  <w:pStyle w:val="ListParagraph"/>
                                  <w:numPr>
                                    <w:ilvl w:val="0"/>
                                    <w:numId w:val="16"/>
                                  </w:numPr>
                                  <w:spacing w:before="60"/>
                                  <w:ind w:left="142" w:hanging="142"/>
                                  <w:rPr>
                                    <w:color w:val="000000" w:themeColor="text1"/>
                                    <w:sz w:val="20"/>
                                    <w:lang w:val="en-US"/>
                                  </w:rPr>
                                </w:pPr>
                                <w:r w:rsidRPr="0090712D">
                                  <w:rPr>
                                    <w:color w:val="000000" w:themeColor="text1"/>
                                    <w:sz w:val="20"/>
                                    <w:lang w:val="en-US"/>
                                  </w:rPr>
                                  <w:t>Implement workplan</w:t>
                                </w:r>
                              </w:p>
                              <w:p w14:paraId="08EC7B68" w14:textId="5C785D3C" w:rsidR="00AD59B0" w:rsidRPr="0090712D" w:rsidRDefault="00AD59B0" w:rsidP="006B087B">
                                <w:pPr>
                                  <w:pStyle w:val="ListParagraph"/>
                                  <w:numPr>
                                    <w:ilvl w:val="0"/>
                                    <w:numId w:val="16"/>
                                  </w:numPr>
                                  <w:spacing w:before="60"/>
                                  <w:ind w:left="142" w:hanging="142"/>
                                  <w:rPr>
                                    <w:color w:val="000000" w:themeColor="text1"/>
                                    <w:sz w:val="20"/>
                                    <w:lang w:val="en-US"/>
                                  </w:rPr>
                                </w:pPr>
                                <w:r w:rsidRPr="0090712D">
                                  <w:rPr>
                                    <w:color w:val="000000" w:themeColor="text1"/>
                                    <w:sz w:val="20"/>
                                    <w:lang w:val="en-US"/>
                                  </w:rPr>
                                  <w:t>Provide information on delivery of workplan progress be assessed</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1" name="Text Box 1"/>
                        <wps:cNvSpPr txBox="1"/>
                        <wps:spPr>
                          <a:xfrm>
                            <a:off x="0" y="0"/>
                            <a:ext cx="6286500" cy="29781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6944F3FA" w14:textId="63A08CB5" w:rsidR="00AD59B0" w:rsidRPr="00DC542A" w:rsidRDefault="00AD59B0" w:rsidP="00DF0A81">
                              <w:pPr>
                                <w:pStyle w:val="Caption"/>
                                <w:spacing w:after="0"/>
                                <w:rPr>
                                  <w:noProof/>
                                  <w:sz w:val="22"/>
                                </w:rPr>
                              </w:pPr>
                              <w:r>
                                <w:t xml:space="preserve">Figure </w:t>
                              </w:r>
                              <w:r>
                                <w:fldChar w:fldCharType="begin"/>
                              </w:r>
                              <w:r>
                                <w:instrText xml:space="preserve"> SEQ Figure \* ARABIC </w:instrText>
                              </w:r>
                              <w:r>
                                <w:fldChar w:fldCharType="separate"/>
                              </w:r>
                              <w:r>
                                <w:rPr>
                                  <w:noProof/>
                                </w:rPr>
                                <w:t>1</w:t>
                              </w:r>
                              <w:r>
                                <w:fldChar w:fldCharType="end"/>
                              </w:r>
                              <w:r>
                                <w:t>: Steps to developing a Country Safeguard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35" o:spid="_x0000_s1030" style="position:absolute;left:0;text-align:left;margin-left:0;margin-top:46.15pt;width:495pt;height:186.45pt;z-index:251665408;mso-position-horizontal-relative:text;mso-position-vertical-relative:text" coordsize="6286500,23679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">
                <v:group id="Group 21" o:spid="_x0000_s1031" style="position:absolute;top:424815;width:6286500;height:1943100" coordsize="6286500,19431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Ha08wwAAANsAAAAPAAAAZHJzL2Rvd25yZXYueG1sRI9Bi8IwFITvC/6H8ARv&#10;a1rFZalGEVHxIMLqgnh7NM+22LyUJrb13xtB8DjMzDfMbNGZUjRUu8KygngYgSBOrS44U/B/2nz/&#10;gnAeWWNpmRQ8yMFi3vuaYaJty3/UHH0mAoRdggpy76tESpfmZNANbUUcvKutDfog60zqGtsAN6Uc&#10;RdGPNFhwWMixolVO6e14Nwq2LbbLcbxu9rfr6nE5TQ7nfUxKDfrdcgrCU+c/4Xd7pxW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wdrTzDAAAA2wAAAA8A&#10;AAAAAAAAAAAAAAAAqQIAAGRycy9kb3ducmV2LnhtbFBLBQYAAAAABAAEAPoAAACZAwAAAAA=&#10;">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32" type="#_x0000_t13" style="position:absolute;width:6286500;height:19431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zjSjwAAA&#10;ANsAAAAPAAAAZHJzL2Rvd25yZXYueG1sRE/Pa8IwFL4P/B/CE3abqTJGrcYigjLYZVPR67N5pqXN&#10;S0my2v33y2Gw48f3e12OthMD+dA4VjCfZSCIK6cbNgrOp/1LDiJEZI2dY1LwQwHKzeRpjYV2D/6i&#10;4RiNSCEcClRQx9gXUoaqJoth5nrixN2dtxgT9EZqj48Ubju5yLI3abHh1FBjT7uaqvb4bRXE+SF/&#10;9WbItcF2f7t+fJrL0ij1PB23KxCRxvgv/nO/awWLtD59ST9Abn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KzjSjwAAAANsAAAAPAAAAAAAAAAAAAAAAAJcCAABkcnMvZG93bnJl&#10;di54bWxQSwUGAAAAAAQABAD1AAAAhAMAAAAA&#10;" adj="17663,3139" fillcolor="#f2f2f2 [3052]" strokecolor="#4579b8 [3044]">
                    <v:fill color2="#bfbfbf [2412]" rotate="t" angle="-90" focus="100%" type="gradient"/>
                    <v:shadow on="t" opacity="22937f" mv:blur="40000f" origin=",.5" offset="0,23000emu"/>
                  </v:shape>
                  <v:roundrect id="Rounded Rectangle 9" o:spid="_x0000_s1033" style="position:absolute;top:342900;width:1143000;height:1257300;visibility:visible;mso-wrap-style:square;v-text-anchor:middle" arcsize="7804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rFyAwgAA&#10;ANoAAAAPAAAAZHJzL2Rvd25yZXYueG1sRI9Ba8JAFITvBf/D8oTe6iYeSo2uYgUht2IUvT6yzyQ0&#10;+zbZXZP033cLBY/DzHzDbHaTacVAzjeWFaSLBARxaXXDlYLL+fj2AcIHZI2tZVLwQx5229nLBjNt&#10;Rz7RUIRKRAj7DBXUIXSZlL6syaBf2I44enfrDIYoXSW1wzHCTSuXSfIuDTYcF2rs6FBT+V08jIL9&#10;7cQ2ae/XSz+m/Wf+VbjV8aDU63zar0EEmsIz/N/OtYIV/F2JN0Buf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KsXIDCAAAA2gAAAA8AAAAAAAAAAAAAAAAAlwIAAGRycy9kb3du&#10;cmV2LnhtbFBLBQYAAAAABAAEAPUAAACGAwAAAAA=&#10;" fillcolor="#f2f2f2 [3052]" strokecolor="black [3213]">
                    <v:shadow on="t" opacity="22937f" mv:blur="40000f" origin=",.5" offset="0,23000emu"/>
                    <v:textbox inset="1mm,0,1mm,0">
                      <w:txbxContent>
                        <w:p w14:paraId="70EBCE52" w14:textId="77777777" w:rsidR="00AD59B0" w:rsidRPr="0090712D" w:rsidRDefault="00AD59B0" w:rsidP="0090712D">
                          <w:pPr>
                            <w:spacing w:before="60"/>
                            <w:rPr>
                              <w:b/>
                              <w:color w:val="000000" w:themeColor="text1"/>
                              <w:sz w:val="20"/>
                              <w:lang w:val="en-US"/>
                            </w:rPr>
                          </w:pPr>
                          <w:r w:rsidRPr="0090712D">
                            <w:rPr>
                              <w:b/>
                              <w:color w:val="000000" w:themeColor="text1"/>
                              <w:sz w:val="20"/>
                              <w:lang w:val="en-US"/>
                            </w:rPr>
                            <w:t>Step One: Define Objectives</w:t>
                          </w:r>
                        </w:p>
                        <w:p w14:paraId="21570671" w14:textId="77777777" w:rsidR="00AD59B0" w:rsidRPr="0090712D" w:rsidRDefault="00AD59B0" w:rsidP="006B087B">
                          <w:pPr>
                            <w:pStyle w:val="ListParagraph"/>
                            <w:numPr>
                              <w:ilvl w:val="0"/>
                              <w:numId w:val="13"/>
                            </w:numPr>
                            <w:spacing w:before="60"/>
                            <w:ind w:left="142" w:hanging="142"/>
                            <w:rPr>
                              <w:color w:val="000000" w:themeColor="text1"/>
                              <w:sz w:val="20"/>
                              <w:lang w:val="en-US"/>
                            </w:rPr>
                          </w:pPr>
                          <w:r w:rsidRPr="0090712D">
                            <w:rPr>
                              <w:color w:val="000000" w:themeColor="text1"/>
                              <w:sz w:val="20"/>
                              <w:lang w:val="en-US"/>
                            </w:rPr>
                            <w:t>What are the country's objectives?</w:t>
                          </w:r>
                        </w:p>
                      </w:txbxContent>
                    </v:textbox>
                  </v:roundrect>
                  <v:roundrect id="Rounded Rectangle 11" o:spid="_x0000_s1034" style="position:absolute;left:1257300;top:342900;width:1485900;height:1257300;visibility:visible;mso-wrap-style:square;v-text-anchor:middle" arcsize="7804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MArwQAA&#10;ANsAAAAPAAAAZHJzL2Rvd25yZXYueG1sRE9La8JAEL4L/Q/LCL3pJj0UG7OKCoK3kjS01yE7eWB2&#10;Nu5uTfrvu0Kht/n4npPvZzOIOznfW1aQrhMQxLXVPbcKqo/zagPCB2SNg2VS8EMe9runRY6ZthMX&#10;dC9DK2II+wwVdCGMmZS+7sigX9uROHKNdQZDhK6V2uEUw80gX5LkVRrsOTZ0ONKpo/pafhsFh6+C&#10;bTI0n9VtSm/Hy3vp3s4npZ6X82ELItAc/sV/7ouO81N4/BIPkL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jAK8EAAADbAAAADwAAAAAAAAAAAAAAAACXAgAAZHJzL2Rvd25y&#10;ZXYueG1sUEsFBgAAAAAEAAQA9QAAAIUDAAAAAA==&#10;" fillcolor="#f2f2f2 [3052]" strokecolor="black [3213]">
                    <v:shadow on="t" opacity="22937f" mv:blur="40000f" origin=",.5" offset="0,23000emu"/>
                    <v:textbox inset="1mm,0,1mm,0">
                      <w:txbxContent>
                        <w:p w14:paraId="4697E454" w14:textId="77777777" w:rsidR="00AD59B0" w:rsidRPr="0090712D" w:rsidRDefault="00AD59B0" w:rsidP="0090712D">
                          <w:pPr>
                            <w:spacing w:before="60"/>
                            <w:rPr>
                              <w:color w:val="000000" w:themeColor="text1"/>
                              <w:sz w:val="20"/>
                              <w:lang w:val="en-US"/>
                            </w:rPr>
                          </w:pPr>
                          <w:r w:rsidRPr="0090712D">
                            <w:rPr>
                              <w:b/>
                              <w:color w:val="000000" w:themeColor="text1"/>
                              <w:sz w:val="20"/>
                              <w:lang w:val="en-US"/>
                            </w:rPr>
                            <w:t>Step Two: Analyse Gaps and Weaknesses</w:t>
                          </w:r>
                          <w:r w:rsidRPr="0090712D">
                            <w:rPr>
                              <w:color w:val="000000" w:themeColor="text1"/>
                              <w:sz w:val="20"/>
                              <w:lang w:val="en-US"/>
                            </w:rPr>
                            <w:t xml:space="preserve"> in: </w:t>
                          </w:r>
                        </w:p>
                        <w:p w14:paraId="676E5EA4" w14:textId="680D1435" w:rsidR="00AD59B0" w:rsidRPr="0090712D" w:rsidRDefault="00AD59B0" w:rsidP="006B087B">
                          <w:pPr>
                            <w:pStyle w:val="ListParagraph"/>
                            <w:numPr>
                              <w:ilvl w:val="0"/>
                              <w:numId w:val="14"/>
                            </w:numPr>
                            <w:spacing w:before="60"/>
                            <w:ind w:left="142" w:hanging="142"/>
                            <w:rPr>
                              <w:color w:val="000000" w:themeColor="text1"/>
                              <w:sz w:val="20"/>
                              <w:lang w:val="en-US"/>
                            </w:rPr>
                          </w:pPr>
                          <w:r w:rsidRPr="0090712D">
                            <w:rPr>
                              <w:color w:val="000000" w:themeColor="text1"/>
                              <w:sz w:val="20"/>
                              <w:lang w:val="en-US"/>
                            </w:rPr>
                            <w:t xml:space="preserve">Legal, institutional and compliance frameworks and their application </w:t>
                          </w:r>
                        </w:p>
                      </w:txbxContent>
                    </v:textbox>
                  </v:roundrect>
                  <v:roundrect id="Rounded Rectangle 12" o:spid="_x0000_s1035" style="position:absolute;left:2857500;top:342900;width:1600200;height:1257300;visibility:visible;mso-wrap-style:square;v-text-anchor:middle" arcsize="7804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l5cwQAA&#10;ANsAAAAPAAAAZHJzL2Rvd25yZXYueG1sRE9Na8JAEL0X/A/LCN6ajTlIG7OKFYTcxFT0OmTHJDQ7&#10;G3dXk/77bqHQ2zze5xTbyfTiSc53lhUskxQEcW11x42C8+fh9Q2ED8gae8uk4Js8bDezlwJzbUc+&#10;0bMKjYgh7HNU0IYw5FL6uiWDPrEDceRu1hkMEbpGaodjDDe9zNJ0JQ12HBtaHGjfUv1VPYyC3fXE&#10;Nu1vl/N9XN4/ymPl3g97pRbzabcGEWgK/+I/d6nj/Ax+f4kHyM0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TpeXMEAAADbAAAADwAAAAAAAAAAAAAAAACXAgAAZHJzL2Rvd25y&#10;ZXYueG1sUEsFBgAAAAAEAAQA9QAAAIUDAAAAAA==&#10;" fillcolor="#f2f2f2 [3052]" strokecolor="black [3213]">
                    <v:shadow on="t" opacity="22937f" mv:blur="40000f" origin=",.5" offset="0,23000emu"/>
                    <v:textbox inset="1mm,0,1mm,0">
                      <w:txbxContent>
                        <w:p w14:paraId="5446FE5E" w14:textId="1525EA7B" w:rsidR="00AD59B0" w:rsidRPr="0090712D" w:rsidRDefault="00AD59B0" w:rsidP="0090712D">
                          <w:pPr>
                            <w:spacing w:before="60"/>
                            <w:rPr>
                              <w:b/>
                              <w:color w:val="000000" w:themeColor="text1"/>
                              <w:sz w:val="20"/>
                              <w:lang w:val="en-US"/>
                            </w:rPr>
                          </w:pPr>
                          <w:r w:rsidRPr="0090712D">
                            <w:rPr>
                              <w:b/>
                              <w:color w:val="000000" w:themeColor="text1"/>
                              <w:sz w:val="20"/>
                              <w:lang w:val="en-US"/>
                            </w:rPr>
                            <w:t>Step Three: Develop a Workplan to Strengthen CSS</w:t>
                          </w:r>
                          <w:r>
                            <w:rPr>
                              <w:b/>
                              <w:color w:val="000000" w:themeColor="text1"/>
                              <w:sz w:val="20"/>
                              <w:lang w:val="en-US"/>
                            </w:rPr>
                            <w:t>:</w:t>
                          </w:r>
                        </w:p>
                        <w:p w14:paraId="23F9A2DB" w14:textId="66FF00C9" w:rsidR="00AD59B0" w:rsidRPr="0090712D" w:rsidRDefault="00AD59B0" w:rsidP="006B087B">
                          <w:pPr>
                            <w:pStyle w:val="ListParagraph"/>
                            <w:numPr>
                              <w:ilvl w:val="0"/>
                              <w:numId w:val="15"/>
                            </w:numPr>
                            <w:spacing w:before="60"/>
                            <w:ind w:left="142" w:hanging="142"/>
                            <w:rPr>
                              <w:color w:val="000000" w:themeColor="text1"/>
                              <w:sz w:val="20"/>
                              <w:lang w:val="en-US"/>
                            </w:rPr>
                          </w:pPr>
                          <w:r w:rsidRPr="0090712D">
                            <w:rPr>
                              <w:color w:val="000000" w:themeColor="text1"/>
                              <w:sz w:val="20"/>
                              <w:lang w:val="en-US"/>
                            </w:rPr>
                            <w:t>What actions will be taken</w:t>
                          </w:r>
                        </w:p>
                        <w:p w14:paraId="42993A69" w14:textId="6B666A3B" w:rsidR="00AD59B0" w:rsidRPr="0090712D" w:rsidRDefault="00AD59B0" w:rsidP="006B087B">
                          <w:pPr>
                            <w:pStyle w:val="ListParagraph"/>
                            <w:numPr>
                              <w:ilvl w:val="0"/>
                              <w:numId w:val="15"/>
                            </w:numPr>
                            <w:spacing w:before="60"/>
                            <w:ind w:left="142" w:hanging="142"/>
                            <w:rPr>
                              <w:color w:val="000000" w:themeColor="text1"/>
                              <w:sz w:val="20"/>
                              <w:lang w:val="en-US"/>
                            </w:rPr>
                          </w:pPr>
                          <w:r w:rsidRPr="0090712D">
                            <w:rPr>
                              <w:color w:val="000000" w:themeColor="text1"/>
                              <w:sz w:val="20"/>
                              <w:lang w:val="en-US"/>
                            </w:rPr>
                            <w:t>How will progress be assessed</w:t>
                          </w:r>
                        </w:p>
                      </w:txbxContent>
                    </v:textbox>
                  </v:roundrect>
                  <v:roundrect id="Rounded Rectangle 19" o:spid="_x0000_s1036" style="position:absolute;left:4572000;top:342900;width:1600200;height:1257300;visibility:visible;mso-wrap-style:square;v-text-anchor:middle" arcsize="7804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nswtwAAA&#10;ANsAAAAPAAAAZHJzL2Rvd25yZXYueG1sRE9La8JAEL4X/A/LCL3VjR5KE92IFQRvJVH0OmQnD5qd&#10;jburSf99t1DwNh/fczbbyfTiQc53lhUsFwkI4srqjhsF59Ph7QOED8gae8uk4Ic8bPPZywYzbUcu&#10;6FGGRsQQ9hkqaEMYMil91ZJBv7ADceRq6wyGCF0jtcMxhpterpLkXRrsODa0ONC+peq7vBsFu2vB&#10;Nunry/k2Lm+fx6/SpYe9Uq/zabcGEWgKT/G/+6jj/BT+fokHyPwX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bnswtwAAAANsAAAAPAAAAAAAAAAAAAAAAAJcCAABkcnMvZG93bnJl&#10;di54bWxQSwUGAAAAAAQABAD1AAAAhAMAAAAA&#10;" fillcolor="#f2f2f2 [3052]" strokecolor="black [3213]">
                    <v:shadow on="t" opacity="22937f" mv:blur="40000f" origin=",.5" offset="0,23000emu"/>
                    <v:textbox inset="1mm,0,1mm,0">
                      <w:txbxContent>
                        <w:p w14:paraId="1875B57F" w14:textId="77777777" w:rsidR="00AD59B0" w:rsidRPr="0090712D" w:rsidRDefault="00AD59B0" w:rsidP="0090712D">
                          <w:pPr>
                            <w:spacing w:before="60"/>
                            <w:rPr>
                              <w:color w:val="000000" w:themeColor="text1"/>
                              <w:sz w:val="20"/>
                              <w:lang w:val="en-US"/>
                            </w:rPr>
                          </w:pPr>
                          <w:r w:rsidRPr="0090712D">
                            <w:rPr>
                              <w:b/>
                              <w:color w:val="000000" w:themeColor="text1"/>
                              <w:sz w:val="20"/>
                              <w:lang w:val="en-US"/>
                            </w:rPr>
                            <w:t>Step Four: Deliver Workplan</w:t>
                          </w:r>
                          <w:r w:rsidRPr="0090712D">
                            <w:rPr>
                              <w:color w:val="000000" w:themeColor="text1"/>
                              <w:sz w:val="20"/>
                              <w:lang w:val="en-US"/>
                            </w:rPr>
                            <w:t>:</w:t>
                          </w:r>
                        </w:p>
                        <w:p w14:paraId="50CFCC56" w14:textId="77777777" w:rsidR="00AD59B0" w:rsidRPr="0090712D" w:rsidRDefault="00AD59B0" w:rsidP="006B087B">
                          <w:pPr>
                            <w:pStyle w:val="ListParagraph"/>
                            <w:numPr>
                              <w:ilvl w:val="0"/>
                              <w:numId w:val="16"/>
                            </w:numPr>
                            <w:spacing w:before="60"/>
                            <w:ind w:left="142" w:hanging="142"/>
                            <w:rPr>
                              <w:color w:val="000000" w:themeColor="text1"/>
                              <w:sz w:val="20"/>
                              <w:lang w:val="en-US"/>
                            </w:rPr>
                          </w:pPr>
                          <w:r w:rsidRPr="0090712D">
                            <w:rPr>
                              <w:color w:val="000000" w:themeColor="text1"/>
                              <w:sz w:val="20"/>
                              <w:lang w:val="en-US"/>
                            </w:rPr>
                            <w:t>Implement workplan</w:t>
                          </w:r>
                        </w:p>
                        <w:p w14:paraId="08EC7B68" w14:textId="5C785D3C" w:rsidR="00AD59B0" w:rsidRPr="0090712D" w:rsidRDefault="00AD59B0" w:rsidP="006B087B">
                          <w:pPr>
                            <w:pStyle w:val="ListParagraph"/>
                            <w:numPr>
                              <w:ilvl w:val="0"/>
                              <w:numId w:val="16"/>
                            </w:numPr>
                            <w:spacing w:before="60"/>
                            <w:ind w:left="142" w:hanging="142"/>
                            <w:rPr>
                              <w:color w:val="000000" w:themeColor="text1"/>
                              <w:sz w:val="20"/>
                              <w:lang w:val="en-US"/>
                            </w:rPr>
                          </w:pPr>
                          <w:r w:rsidRPr="0090712D">
                            <w:rPr>
                              <w:color w:val="000000" w:themeColor="text1"/>
                              <w:sz w:val="20"/>
                              <w:lang w:val="en-US"/>
                            </w:rPr>
                            <w:t>Provide information on delivery of workplan progress be assessed</w:t>
                          </w:r>
                        </w:p>
                      </w:txbxContent>
                    </v:textbox>
                  </v:roundrect>
                </v:group>
                <v:shape id="Text Box 1" o:spid="_x0000_s1037" type="#_x0000_t202" style="position:absolute;width:6286500;height:2978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5bc5vgAA&#10;ANoAAAAPAAAAZHJzL2Rvd25yZXYueG1sRE/LqsIwEN1f8B/CCG4umupCpNcoPsGFLvSK66EZ22Iz&#10;KUm09e+NILgaDuc503lrKvEg50vLCoaDBARxZnXJuYLz/7Y/AeEDssbKMil4kof5rPMzxVTbho/0&#10;OIVcxBD2KSooQqhTKX1WkEE/sDVx5K7WGQwRulxqh00MN5UcJclYGiw5NhRY06qg7Ha6GwXjtbs3&#10;R179rs+bPR7qfHRZPi9K9brt4g9EoDZ8xR/3Tsf58H7lfeXs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LuW3Ob4AAADaAAAADwAAAAAAAAAAAAAAAACXAgAAZHJzL2Rvd25yZXYu&#10;eG1sUEsFBgAAAAAEAAQA9QAAAIIDAAAAAA==&#10;" stroked="f">
                  <v:textbox inset="0,0,0,0">
                    <w:txbxContent>
                      <w:p w14:paraId="6944F3FA" w14:textId="63A08CB5" w:rsidR="00AD59B0" w:rsidRPr="00DC542A" w:rsidRDefault="00AD59B0" w:rsidP="00DF0A81">
                        <w:pPr>
                          <w:pStyle w:val="Caption"/>
                          <w:spacing w:after="0"/>
                          <w:rPr>
                            <w:noProof/>
                            <w:sz w:val="22"/>
                          </w:rPr>
                        </w:pPr>
                        <w:r>
                          <w:t xml:space="preserve">Figure </w:t>
                        </w:r>
                        <w:r>
                          <w:fldChar w:fldCharType="begin"/>
                        </w:r>
                        <w:r>
                          <w:instrText xml:space="preserve"> SEQ Figure \* ARABIC </w:instrText>
                        </w:r>
                        <w:r>
                          <w:fldChar w:fldCharType="separate"/>
                        </w:r>
                        <w:r>
                          <w:rPr>
                            <w:noProof/>
                          </w:rPr>
                          <w:t>1</w:t>
                        </w:r>
                        <w:r>
                          <w:fldChar w:fldCharType="end"/>
                        </w:r>
                        <w:r>
                          <w:t>: Steps to developing a Country Safeguard System</w:t>
                        </w:r>
                      </w:p>
                    </w:txbxContent>
                  </v:textbox>
                </v:shape>
                <w10:wrap type="through"/>
              </v:group>
            </w:pict>
          </mc:Fallback>
        </mc:AlternateContent>
      </w:r>
      <w:r w:rsidR="00EA5DB3">
        <w:t xml:space="preserve">A country safeguard system can be developed through </w:t>
      </w:r>
      <w:r w:rsidR="005C6D23">
        <w:t xml:space="preserve">four main steps. These steps are outlined in </w:t>
      </w:r>
      <w:r>
        <w:t xml:space="preserve">figure 1 </w:t>
      </w:r>
      <w:r w:rsidR="00B848FD">
        <w:t>bel</w:t>
      </w:r>
      <w:r>
        <w:t xml:space="preserve">ow and are covered in more </w:t>
      </w:r>
      <w:r w:rsidR="00B848FD">
        <w:t xml:space="preserve">detail in the following sections. </w:t>
      </w:r>
    </w:p>
    <w:p w14:paraId="47B5B69B" w14:textId="44CF8DEC" w:rsidR="00BB295C" w:rsidRDefault="00BB295C" w:rsidP="00157A6E"/>
    <w:p w14:paraId="2DDE2943" w14:textId="01E7EFC7" w:rsidR="00377AB6" w:rsidRDefault="00377AB6" w:rsidP="008F71C3"/>
    <w:p w14:paraId="32B579F8" w14:textId="227F3C08" w:rsidR="00377AB6" w:rsidRDefault="00DF0A81" w:rsidP="008F71C3">
      <w:r>
        <w:rPr>
          <w:i/>
          <w:noProof/>
          <w:lang w:val="en-US"/>
        </w:rPr>
        <mc:AlternateContent>
          <mc:Choice Requires="wps">
            <w:drawing>
              <wp:inline distT="0" distB="0" distL="0" distR="0" wp14:anchorId="062EBFF3" wp14:editId="2878372A">
                <wp:extent cx="6184900" cy="957129"/>
                <wp:effectExtent l="50800" t="25400" r="88900" b="109855"/>
                <wp:docPr id="36" name="Down Arrow Callout 36"/>
                <wp:cNvGraphicFramePr/>
                <a:graphic xmlns:a="http://schemas.openxmlformats.org/drawingml/2006/main">
                  <a:graphicData uri="http://schemas.microsoft.com/office/word/2010/wordprocessingShape">
                    <wps:wsp>
                      <wps:cNvSpPr/>
                      <wps:spPr>
                        <a:xfrm>
                          <a:off x="0" y="0"/>
                          <a:ext cx="6184900" cy="957129"/>
                        </a:xfrm>
                        <a:prstGeom prst="downArrowCallout">
                          <a:avLst>
                            <a:gd name="adj1" fmla="val 25000"/>
                            <a:gd name="adj2" fmla="val 25000"/>
                            <a:gd name="adj3" fmla="val 19915"/>
                            <a:gd name="adj4" fmla="val 68367"/>
                          </a:avLst>
                        </a:prstGeom>
                        <a:gradFill flip="none" rotWithShape="1">
                          <a:gsLst>
                            <a:gs pos="0">
                              <a:schemeClr val="bg1">
                                <a:lumMod val="95000"/>
                              </a:schemeClr>
                            </a:gs>
                            <a:gs pos="100000">
                              <a:schemeClr val="bg1">
                                <a:lumMod val="75000"/>
                              </a:schemeClr>
                            </a:gs>
                          </a:gsLst>
                          <a:lin ang="0" scaled="1"/>
                          <a:tileRect/>
                        </a:gra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31E8319F" w14:textId="77777777" w:rsidR="00AD59B0" w:rsidRPr="004138BC" w:rsidRDefault="00AD59B0" w:rsidP="004138BC">
                            <w:pPr>
                              <w:pStyle w:val="Heading3"/>
                              <w:numPr>
                                <w:ilvl w:val="0"/>
                                <w:numId w:val="0"/>
                              </w:numPr>
                              <w:spacing w:before="0"/>
                              <w:ind w:left="720" w:hanging="720"/>
                              <w:rPr>
                                <w:color w:val="000000" w:themeColor="text1"/>
                                <w:sz w:val="28"/>
                                <w:lang w:val="en-US"/>
                              </w:rPr>
                            </w:pPr>
                            <w:r w:rsidRPr="004138BC">
                              <w:rPr>
                                <w:color w:val="000000" w:themeColor="text1"/>
                                <w:sz w:val="28"/>
                                <w:lang w:val="en-US"/>
                              </w:rPr>
                              <w:t>Step One: Define Objectives</w:t>
                            </w:r>
                          </w:p>
                          <w:p w14:paraId="33C4689E" w14:textId="77777777" w:rsidR="00AD59B0" w:rsidRPr="008F71C3" w:rsidRDefault="00AD59B0" w:rsidP="006B087B">
                            <w:pPr>
                              <w:pStyle w:val="ListParagraph"/>
                              <w:numPr>
                                <w:ilvl w:val="0"/>
                                <w:numId w:val="13"/>
                              </w:numPr>
                              <w:spacing w:before="60"/>
                              <w:ind w:left="142" w:hanging="142"/>
                              <w:rPr>
                                <w:color w:val="000000" w:themeColor="text1"/>
                                <w:lang w:val="en-US"/>
                              </w:rPr>
                            </w:pPr>
                            <w:r w:rsidRPr="008F71C3">
                              <w:rPr>
                                <w:color w:val="000000" w:themeColor="text1"/>
                                <w:lang w:val="en-US"/>
                              </w:rPr>
                              <w:t>What are the country's objectives?</w:t>
                            </w:r>
                          </w:p>
                          <w:p w14:paraId="10EE56A9" w14:textId="77777777" w:rsidR="00AD59B0" w:rsidRDefault="00AD59B0" w:rsidP="00DF0A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80" coordsize="21600,21600" o:spt="80" adj="14400,5400,18000,8100" path="m0,0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6" o:spid="_x0000_s1038" type="#_x0000_t80" style="width:487pt;height:75.3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" adj="14767,9964,17298,10382" fillcolor="#f2f2f2 [3052]" strokecolor="black [3213]">
                <v:fill color2="#bfbfbf [2412]" rotate="t" angle="-90" focus="100%" type="gradient"/>
                <v:shadow on="t" opacity="22937f" mv:blur="40000f" origin=",.5" offset="0,23000emu"/>
                <v:textbox>
                  <w:txbxContent>
                    <w:p w14:paraId="31E8319F" w14:textId="77777777" w:rsidR="00AD59B0" w:rsidRPr="004138BC" w:rsidRDefault="00AD59B0" w:rsidP="004138BC">
                      <w:pPr>
                        <w:pStyle w:val="Heading3"/>
                        <w:numPr>
                          <w:ilvl w:val="0"/>
                          <w:numId w:val="0"/>
                        </w:numPr>
                        <w:spacing w:before="0"/>
                        <w:ind w:left="720" w:hanging="720"/>
                        <w:rPr>
                          <w:color w:val="000000" w:themeColor="text1"/>
                          <w:sz w:val="28"/>
                          <w:lang w:val="en-US"/>
                        </w:rPr>
                      </w:pPr>
                      <w:r w:rsidRPr="004138BC">
                        <w:rPr>
                          <w:color w:val="000000" w:themeColor="text1"/>
                          <w:sz w:val="28"/>
                          <w:lang w:val="en-US"/>
                        </w:rPr>
                        <w:t>Step One: Define Objectives</w:t>
                      </w:r>
                    </w:p>
                    <w:p w14:paraId="33C4689E" w14:textId="77777777" w:rsidR="00AD59B0" w:rsidRPr="008F71C3" w:rsidRDefault="00AD59B0" w:rsidP="006B087B">
                      <w:pPr>
                        <w:pStyle w:val="ListParagraph"/>
                        <w:numPr>
                          <w:ilvl w:val="0"/>
                          <w:numId w:val="13"/>
                        </w:numPr>
                        <w:spacing w:before="60"/>
                        <w:ind w:left="142" w:hanging="142"/>
                        <w:rPr>
                          <w:color w:val="000000" w:themeColor="text1"/>
                          <w:lang w:val="en-US"/>
                        </w:rPr>
                      </w:pPr>
                      <w:r w:rsidRPr="008F71C3">
                        <w:rPr>
                          <w:color w:val="000000" w:themeColor="text1"/>
                          <w:lang w:val="en-US"/>
                        </w:rPr>
                        <w:t>What are the country's objectives?</w:t>
                      </w:r>
                    </w:p>
                    <w:p w14:paraId="10EE56A9" w14:textId="77777777" w:rsidR="00AD59B0" w:rsidRDefault="00AD59B0" w:rsidP="00DF0A81">
                      <w:pPr>
                        <w:jc w:val="center"/>
                      </w:pPr>
                    </w:p>
                  </w:txbxContent>
                </v:textbox>
                <w10:anchorlock/>
              </v:shape>
            </w:pict>
          </mc:Fallback>
        </mc:AlternateContent>
      </w:r>
    </w:p>
    <w:p w14:paraId="5FDAAE42" w14:textId="3EE1C7E8" w:rsidR="008F71C3" w:rsidRDefault="008F71C3" w:rsidP="008F71C3">
      <w:r>
        <w:t xml:space="preserve">In identifying the objectives of the CSS it is important to identify what priorities the country has for the system. While all of the Cancun Safeguards must be addressed and respected in an environment of </w:t>
      </w:r>
      <w:r w:rsidR="00963B1A">
        <w:t>limited resources it may be appropriate</w:t>
      </w:r>
      <w:r>
        <w:t xml:space="preserve"> </w:t>
      </w:r>
      <w:r w:rsidR="00963B1A">
        <w:t>for a country to invest more time and resources</w:t>
      </w:r>
      <w:r>
        <w:t xml:space="preserve"> in certain areas, where there or the largest existing problem</w:t>
      </w:r>
      <w:r w:rsidR="00963B1A">
        <w:t>s or highest levels of risk – for example the rights of indigenous peoples or protection of biodiversity.</w:t>
      </w:r>
      <w:r>
        <w:t xml:space="preserve"> </w:t>
      </w:r>
    </w:p>
    <w:p w14:paraId="45FE1501" w14:textId="77777777" w:rsidR="00963B1A" w:rsidRDefault="00963B1A" w:rsidP="00963B1A">
      <w:r>
        <w:t>It is also important to start to consider the scope the CSS with three main options available:</w:t>
      </w:r>
    </w:p>
    <w:p w14:paraId="56227CF4" w14:textId="16BB0D87" w:rsidR="00963B1A" w:rsidRDefault="008F71C3" w:rsidP="006B087B">
      <w:pPr>
        <w:pStyle w:val="ListParagraph"/>
        <w:numPr>
          <w:ilvl w:val="0"/>
          <w:numId w:val="18"/>
        </w:numPr>
        <w:rPr>
          <w:lang w:val="en-US"/>
        </w:rPr>
      </w:pPr>
      <w:r w:rsidRPr="00963B1A">
        <w:rPr>
          <w:b/>
          <w:bCs/>
          <w:lang w:val="en-US"/>
        </w:rPr>
        <w:t xml:space="preserve">A REDD+ specific safeguard system. </w:t>
      </w:r>
      <w:r w:rsidRPr="00963B1A">
        <w:rPr>
          <w:bCs/>
          <w:lang w:val="en-US"/>
        </w:rPr>
        <w:t xml:space="preserve">This would only apply </w:t>
      </w:r>
      <w:r w:rsidRPr="00963B1A">
        <w:rPr>
          <w:lang w:val="en-US"/>
        </w:rPr>
        <w:t xml:space="preserve">safeguards to activities financed by REDD+ within the country. It is likely to cut across sectors but will focus only on activities </w:t>
      </w:r>
      <w:r w:rsidR="00963B1A">
        <w:rPr>
          <w:lang w:val="en-US"/>
        </w:rPr>
        <w:t>seeking to, or being supported by REDD+ finance.</w:t>
      </w:r>
    </w:p>
    <w:p w14:paraId="689D6333" w14:textId="446EE5E4" w:rsidR="008F71C3" w:rsidRPr="008F71C3" w:rsidRDefault="00963B1A" w:rsidP="006B087B">
      <w:pPr>
        <w:pStyle w:val="ListParagraph"/>
        <w:numPr>
          <w:ilvl w:val="0"/>
          <w:numId w:val="18"/>
        </w:numPr>
        <w:rPr>
          <w:lang w:val="en-US"/>
        </w:rPr>
      </w:pPr>
      <w:r>
        <w:rPr>
          <w:b/>
          <w:bCs/>
          <w:lang w:val="en-US"/>
        </w:rPr>
        <w:t>A sector-wide safeguard system.</w:t>
      </w:r>
      <w:r>
        <w:rPr>
          <w:lang w:val="en-US"/>
        </w:rPr>
        <w:t xml:space="preserve"> This would </w:t>
      </w:r>
      <w:r w:rsidR="008F71C3" w:rsidRPr="008F71C3">
        <w:rPr>
          <w:lang w:val="en-US"/>
        </w:rPr>
        <w:t>apply safeguards to the operations and activities of one particular sector (e.g. forestry), irrespective of the financing mechanism.</w:t>
      </w:r>
      <w:r>
        <w:rPr>
          <w:lang w:val="en-US"/>
        </w:rPr>
        <w:t xml:space="preserve"> This could, for example result from amendments to forestry legislation or specific requirements for application of legislation within forest areas. </w:t>
      </w:r>
    </w:p>
    <w:p w14:paraId="260FCBDE" w14:textId="5D6BAF04" w:rsidR="008F71C3" w:rsidRPr="00F74AC4" w:rsidRDefault="00963B1A" w:rsidP="006B087B">
      <w:pPr>
        <w:pStyle w:val="ListParagraph"/>
        <w:numPr>
          <w:ilvl w:val="0"/>
          <w:numId w:val="17"/>
        </w:numPr>
      </w:pPr>
      <w:r w:rsidRPr="00F74AC4">
        <w:rPr>
          <w:b/>
          <w:lang w:val="en-US"/>
        </w:rPr>
        <w:t>A</w:t>
      </w:r>
      <w:r w:rsidR="008F71C3" w:rsidRPr="00F74AC4">
        <w:rPr>
          <w:b/>
          <w:bCs/>
          <w:lang w:val="en-US"/>
        </w:rPr>
        <w:t xml:space="preserve"> cross-sector safeguard system</w:t>
      </w:r>
      <w:r w:rsidRPr="00F74AC4">
        <w:rPr>
          <w:b/>
          <w:bCs/>
          <w:lang w:val="en-US"/>
        </w:rPr>
        <w:t xml:space="preserve">. </w:t>
      </w:r>
      <w:r w:rsidRPr="00F74AC4">
        <w:rPr>
          <w:bCs/>
          <w:lang w:val="en-US"/>
        </w:rPr>
        <w:t xml:space="preserve">This is the most comprehensive and would cover multiple sectors. It can provide benefits in ensuring that efforts undertaken in one sector are not undermined by actions in another and can also support the broader delivery of multiple benefits even outside the forestry sector (for example improved participation of indigenous peoples in decision making). </w:t>
      </w:r>
    </w:p>
    <w:p w14:paraId="072615F5" w14:textId="0D164081" w:rsidR="00F74AC4" w:rsidRDefault="00F74AC4" w:rsidP="00F74AC4">
      <w:r>
        <w:t xml:space="preserve">Further information on the potential benefits and challenges of these are provided in XXX. </w:t>
      </w:r>
    </w:p>
    <w:p w14:paraId="6873BDE8" w14:textId="26C06CD5" w:rsidR="008F71C3" w:rsidRDefault="00F74AC4" w:rsidP="008F71C3">
      <w:r>
        <w:t xml:space="preserve">In reality a CSS may combine a mixture of these dependent on which safeguard is being considered and may also progress through different phases – for example trialling approaches within specific REDD+ pilots prior to scaling up to sector or cross sector based approaches over time as both REDD+ activities and the capacity to implement safeguards increases. </w:t>
      </w:r>
    </w:p>
    <w:p w14:paraId="5622BC4E" w14:textId="35492D9B" w:rsidR="00F74AC4" w:rsidRDefault="00377AB6" w:rsidP="008F71C3">
      <w:r>
        <w:rPr>
          <w:noProof/>
          <w:lang w:val="en-US"/>
        </w:rPr>
        <mc:AlternateContent>
          <mc:Choice Requires="wps">
            <w:drawing>
              <wp:inline distT="0" distB="0" distL="0" distR="0" wp14:anchorId="31B979BF" wp14:editId="518D502A">
                <wp:extent cx="6172200" cy="1588450"/>
                <wp:effectExtent l="0" t="0" r="25400" b="37465"/>
                <wp:docPr id="32" name="Text Box 32"/>
                <wp:cNvGraphicFramePr/>
                <a:graphic xmlns:a="http://schemas.openxmlformats.org/drawingml/2006/main">
                  <a:graphicData uri="http://schemas.microsoft.com/office/word/2010/wordprocessingShape">
                    <wps:wsp>
                      <wps:cNvSpPr txBox="1"/>
                      <wps:spPr>
                        <a:xfrm>
                          <a:off x="0" y="0"/>
                          <a:ext cx="6172200" cy="158845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44FF8E" w14:textId="210CE073" w:rsidR="00AD59B0" w:rsidRPr="00377AB6" w:rsidRDefault="00AD59B0" w:rsidP="00377AB6">
                            <w:pPr>
                              <w:rPr>
                                <w:u w:val="single"/>
                              </w:rPr>
                            </w:pPr>
                            <w:r w:rsidRPr="00377AB6">
                              <w:rPr>
                                <w:u w:val="single"/>
                              </w:rPr>
                              <w:t>Existing Progress</w:t>
                            </w:r>
                          </w:p>
                          <w:p w14:paraId="2604B379" w14:textId="77777777" w:rsidR="00AD59B0" w:rsidRDefault="00AD59B0" w:rsidP="00377AB6">
                            <w:r>
                              <w:t xml:space="preserve">Through workshops held during the development of the REDD+ Roadmap the following objectives were identified for the national safeguard system: </w:t>
                            </w:r>
                          </w:p>
                          <w:p w14:paraId="1D65EC9F" w14:textId="77777777" w:rsidR="00AD59B0" w:rsidRPr="00B02C90" w:rsidRDefault="00AD59B0" w:rsidP="00377AB6">
                            <w:pPr>
                              <w:pStyle w:val="ListParagraph"/>
                              <w:numPr>
                                <w:ilvl w:val="0"/>
                                <w:numId w:val="3"/>
                              </w:numPr>
                              <w:contextualSpacing w:val="0"/>
                              <w:rPr>
                                <w:i/>
                              </w:rPr>
                            </w:pPr>
                            <w:r w:rsidRPr="00B02C90">
                              <w:rPr>
                                <w:i/>
                              </w:rPr>
                              <w:t>To maximise the benefits of REDD+ for the people of the S</w:t>
                            </w:r>
                            <w:r>
                              <w:rPr>
                                <w:i/>
                              </w:rPr>
                              <w:t xml:space="preserve">olomon </w:t>
                            </w:r>
                            <w:r w:rsidRPr="00B02C90">
                              <w:rPr>
                                <w:i/>
                              </w:rPr>
                              <w:t>I</w:t>
                            </w:r>
                            <w:r>
                              <w:rPr>
                                <w:i/>
                              </w:rPr>
                              <w:t>slands</w:t>
                            </w:r>
                            <w:r w:rsidRPr="00B02C90">
                              <w:rPr>
                                <w:i/>
                              </w:rPr>
                              <w:t xml:space="preserve"> by safeguarding the country’s natural environment and the rights of its people.</w:t>
                            </w:r>
                          </w:p>
                          <w:p w14:paraId="6A33440F" w14:textId="77777777" w:rsidR="00AD59B0" w:rsidRPr="00C95A78" w:rsidRDefault="00AD59B0" w:rsidP="00377AB6">
                            <w:pPr>
                              <w:pStyle w:val="ListParagraph"/>
                              <w:numPr>
                                <w:ilvl w:val="0"/>
                                <w:numId w:val="3"/>
                              </w:numPr>
                              <w:contextualSpacing w:val="0"/>
                              <w:rPr>
                                <w:i/>
                              </w:rPr>
                            </w:pPr>
                            <w:r w:rsidRPr="00B02C90">
                              <w:rPr>
                                <w:i/>
                              </w:rPr>
                              <w:t>To strengthen and build the effectiveness of national safeguards systems within the Solomon Islands</w:t>
                            </w:r>
                          </w:p>
                          <w:p w14:paraId="1AC2D7BD" w14:textId="77777777" w:rsidR="00AD59B0" w:rsidRDefault="00AD59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2" o:spid="_x0000_s1039" type="#_x0000_t202" style="width:486pt;height:125.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" filled="f" strokecolor="black [3213]">
                <v:textbox>
                  <w:txbxContent>
                    <w:p w14:paraId="7B44FF8E" w14:textId="210CE073" w:rsidR="00AD59B0" w:rsidRPr="00377AB6" w:rsidRDefault="00AD59B0" w:rsidP="00377AB6">
                      <w:pPr>
                        <w:rPr>
                          <w:u w:val="single"/>
                        </w:rPr>
                      </w:pPr>
                      <w:r w:rsidRPr="00377AB6">
                        <w:rPr>
                          <w:u w:val="single"/>
                        </w:rPr>
                        <w:t>Existing Progress</w:t>
                      </w:r>
                    </w:p>
                    <w:p w14:paraId="2604B379" w14:textId="77777777" w:rsidR="00AD59B0" w:rsidRDefault="00AD59B0" w:rsidP="00377AB6">
                      <w:r>
                        <w:t xml:space="preserve">Through workshops held during the development of the REDD+ Roadmap the following objectives were identified for the national safeguard system: </w:t>
                      </w:r>
                    </w:p>
                    <w:p w14:paraId="1D65EC9F" w14:textId="77777777" w:rsidR="00AD59B0" w:rsidRPr="00B02C90" w:rsidRDefault="00AD59B0" w:rsidP="00377AB6">
                      <w:pPr>
                        <w:pStyle w:val="ListParagraph"/>
                        <w:numPr>
                          <w:ilvl w:val="0"/>
                          <w:numId w:val="3"/>
                        </w:numPr>
                        <w:contextualSpacing w:val="0"/>
                        <w:rPr>
                          <w:i/>
                        </w:rPr>
                      </w:pPr>
                      <w:r w:rsidRPr="00B02C90">
                        <w:rPr>
                          <w:i/>
                        </w:rPr>
                        <w:t>To maximise the benefits of REDD+ for the people of the S</w:t>
                      </w:r>
                      <w:r>
                        <w:rPr>
                          <w:i/>
                        </w:rPr>
                        <w:t xml:space="preserve">olomon </w:t>
                      </w:r>
                      <w:r w:rsidRPr="00B02C90">
                        <w:rPr>
                          <w:i/>
                        </w:rPr>
                        <w:t>I</w:t>
                      </w:r>
                      <w:r>
                        <w:rPr>
                          <w:i/>
                        </w:rPr>
                        <w:t>slands</w:t>
                      </w:r>
                      <w:r w:rsidRPr="00B02C90">
                        <w:rPr>
                          <w:i/>
                        </w:rPr>
                        <w:t xml:space="preserve"> by safeguarding the country’s natural environment and the rights of its people.</w:t>
                      </w:r>
                    </w:p>
                    <w:p w14:paraId="6A33440F" w14:textId="77777777" w:rsidR="00AD59B0" w:rsidRPr="00C95A78" w:rsidRDefault="00AD59B0" w:rsidP="00377AB6">
                      <w:pPr>
                        <w:pStyle w:val="ListParagraph"/>
                        <w:numPr>
                          <w:ilvl w:val="0"/>
                          <w:numId w:val="3"/>
                        </w:numPr>
                        <w:contextualSpacing w:val="0"/>
                        <w:rPr>
                          <w:i/>
                        </w:rPr>
                      </w:pPr>
                      <w:r w:rsidRPr="00B02C90">
                        <w:rPr>
                          <w:i/>
                        </w:rPr>
                        <w:t>To strengthen and build the effectiveness of national safeguards systems within the Solomon Islands</w:t>
                      </w:r>
                    </w:p>
                    <w:p w14:paraId="1AC2D7BD" w14:textId="77777777" w:rsidR="00AD59B0" w:rsidRDefault="00AD59B0"/>
                  </w:txbxContent>
                </v:textbox>
                <w10:anchorlock/>
              </v:shape>
            </w:pict>
          </mc:Fallback>
        </mc:AlternateContent>
      </w:r>
    </w:p>
    <w:p w14:paraId="3F1BF5FB" w14:textId="77777777" w:rsidR="00DF0A81" w:rsidRDefault="00DF0A81" w:rsidP="00377AB6">
      <w:pPr>
        <w:pStyle w:val="Caption"/>
        <w:keepNext/>
      </w:pPr>
    </w:p>
    <w:p w14:paraId="37E278D0" w14:textId="7EDDAA53" w:rsidR="00377AB6" w:rsidRDefault="00377AB6" w:rsidP="00377AB6">
      <w:pPr>
        <w:pStyle w:val="Caption"/>
        <w:keepNext/>
      </w:pPr>
      <w:r>
        <w:t xml:space="preserve">Table </w:t>
      </w:r>
      <w:r>
        <w:fldChar w:fldCharType="begin"/>
      </w:r>
      <w:r>
        <w:instrText xml:space="preserve"> SEQ Table \* ARABIC </w:instrText>
      </w:r>
      <w:r>
        <w:fldChar w:fldCharType="separate"/>
      </w:r>
      <w:r>
        <w:rPr>
          <w:noProof/>
        </w:rPr>
        <w:t>2</w:t>
      </w:r>
      <w:r>
        <w:fldChar w:fldCharType="end"/>
      </w:r>
      <w:r>
        <w:t>: Benefits and Challenges of Developing CSS with REDD+ Specific, Sector on National Scopes</w:t>
      </w:r>
      <w:r>
        <w:rPr>
          <w:rStyle w:val="FootnoteReference"/>
        </w:rPr>
        <w:footnoteReference w:id="7"/>
      </w:r>
    </w:p>
    <w:tbl>
      <w:tblPr>
        <w:tblW w:w="984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000" w:firstRow="0" w:lastRow="0" w:firstColumn="0" w:lastColumn="0" w:noHBand="0" w:noVBand="0"/>
      </w:tblPr>
      <w:tblGrid>
        <w:gridCol w:w="1242"/>
        <w:gridCol w:w="2552"/>
        <w:gridCol w:w="2835"/>
        <w:gridCol w:w="3220"/>
      </w:tblGrid>
      <w:tr w:rsidR="00377AB6" w:rsidRPr="00377AB6" w14:paraId="2F996BD3" w14:textId="77777777" w:rsidTr="00D93C32">
        <w:tblPrEx>
          <w:tblCellMar>
            <w:top w:w="0" w:type="dxa"/>
            <w:bottom w:w="0" w:type="dxa"/>
          </w:tblCellMar>
        </w:tblPrEx>
        <w:tc>
          <w:tcPr>
            <w:tcW w:w="1242" w:type="dxa"/>
            <w:shd w:val="clear" w:color="auto" w:fill="319121"/>
            <w:tcMar>
              <w:top w:w="20" w:type="nil"/>
              <w:left w:w="20" w:type="nil"/>
              <w:bottom w:w="20" w:type="nil"/>
              <w:right w:w="20" w:type="nil"/>
            </w:tcMar>
            <w:vAlign w:val="center"/>
          </w:tcPr>
          <w:p w14:paraId="748926C5" w14:textId="47422307" w:rsidR="00377AB6" w:rsidRPr="00377AB6" w:rsidRDefault="00377AB6" w:rsidP="00D93C32">
            <w:pPr>
              <w:spacing w:before="0"/>
              <w:rPr>
                <w:sz w:val="20"/>
                <w:lang w:val="en-US"/>
              </w:rPr>
            </w:pPr>
          </w:p>
          <w:p w14:paraId="4CA13785" w14:textId="77777777" w:rsidR="00377AB6" w:rsidRPr="00377AB6" w:rsidRDefault="00377AB6" w:rsidP="00D93C32">
            <w:pPr>
              <w:spacing w:before="0"/>
              <w:rPr>
                <w:sz w:val="20"/>
                <w:lang w:val="en-US"/>
              </w:rPr>
            </w:pPr>
            <w:r w:rsidRPr="00377AB6">
              <w:rPr>
                <w:b/>
                <w:bCs/>
                <w:sz w:val="20"/>
                <w:lang w:val="en-US"/>
              </w:rPr>
              <w:t>Feature</w:t>
            </w:r>
          </w:p>
        </w:tc>
        <w:tc>
          <w:tcPr>
            <w:tcW w:w="2552" w:type="dxa"/>
            <w:shd w:val="clear" w:color="auto" w:fill="319121"/>
            <w:tcMar>
              <w:top w:w="20" w:type="nil"/>
              <w:left w:w="20" w:type="nil"/>
              <w:bottom w:w="20" w:type="nil"/>
              <w:right w:w="20" w:type="nil"/>
            </w:tcMar>
            <w:vAlign w:val="center"/>
          </w:tcPr>
          <w:p w14:paraId="5FDBCF24" w14:textId="77777777" w:rsidR="00377AB6" w:rsidRPr="00377AB6" w:rsidRDefault="00377AB6" w:rsidP="00D93C32">
            <w:pPr>
              <w:spacing w:before="0"/>
              <w:rPr>
                <w:sz w:val="20"/>
                <w:lang w:val="en-US"/>
              </w:rPr>
            </w:pPr>
            <w:r w:rsidRPr="00377AB6">
              <w:rPr>
                <w:b/>
                <w:bCs/>
                <w:sz w:val="20"/>
                <w:lang w:val="en-US"/>
              </w:rPr>
              <w:t>REDD+ SPECIFIC Safeguard system</w:t>
            </w:r>
          </w:p>
        </w:tc>
        <w:tc>
          <w:tcPr>
            <w:tcW w:w="2835" w:type="dxa"/>
            <w:shd w:val="clear" w:color="auto" w:fill="319121"/>
            <w:tcMar>
              <w:top w:w="20" w:type="nil"/>
              <w:left w:w="20" w:type="nil"/>
              <w:bottom w:w="20" w:type="nil"/>
              <w:right w:w="20" w:type="nil"/>
            </w:tcMar>
            <w:vAlign w:val="center"/>
          </w:tcPr>
          <w:p w14:paraId="0EA69284" w14:textId="77777777" w:rsidR="00377AB6" w:rsidRPr="00377AB6" w:rsidRDefault="00377AB6" w:rsidP="00D93C32">
            <w:pPr>
              <w:spacing w:before="0"/>
              <w:rPr>
                <w:sz w:val="20"/>
                <w:lang w:val="en-US"/>
              </w:rPr>
            </w:pPr>
            <w:r w:rsidRPr="00377AB6">
              <w:rPr>
                <w:b/>
                <w:bCs/>
                <w:sz w:val="20"/>
                <w:lang w:val="en-US"/>
              </w:rPr>
              <w:t>SINGLE-SECTOR Safeguard system</w:t>
            </w:r>
          </w:p>
        </w:tc>
        <w:tc>
          <w:tcPr>
            <w:tcW w:w="3220" w:type="dxa"/>
            <w:shd w:val="clear" w:color="auto" w:fill="319121"/>
            <w:tcMar>
              <w:top w:w="20" w:type="nil"/>
              <w:left w:w="20" w:type="nil"/>
              <w:bottom w:w="20" w:type="nil"/>
              <w:right w:w="20" w:type="nil"/>
            </w:tcMar>
            <w:vAlign w:val="center"/>
          </w:tcPr>
          <w:p w14:paraId="274F7DCA" w14:textId="77777777" w:rsidR="00377AB6" w:rsidRPr="00377AB6" w:rsidRDefault="00377AB6" w:rsidP="00D93C32">
            <w:pPr>
              <w:spacing w:before="0"/>
              <w:rPr>
                <w:sz w:val="20"/>
                <w:lang w:val="en-US"/>
              </w:rPr>
            </w:pPr>
            <w:r w:rsidRPr="00377AB6">
              <w:rPr>
                <w:b/>
                <w:bCs/>
                <w:sz w:val="20"/>
                <w:lang w:val="en-US"/>
              </w:rPr>
              <w:t>CROSS-SECTORAL Safeguard system</w:t>
            </w:r>
          </w:p>
        </w:tc>
      </w:tr>
      <w:tr w:rsidR="00377AB6" w:rsidRPr="00377AB6" w14:paraId="0818BCCA" w14:textId="77777777" w:rsidTr="00D93C32">
        <w:tblPrEx>
          <w:tblCellMar>
            <w:top w:w="0" w:type="dxa"/>
            <w:bottom w:w="0" w:type="dxa"/>
          </w:tblCellMar>
        </w:tblPrEx>
        <w:tc>
          <w:tcPr>
            <w:tcW w:w="1242" w:type="dxa"/>
            <w:tcMar>
              <w:top w:w="20" w:type="nil"/>
              <w:left w:w="20" w:type="nil"/>
              <w:bottom w:w="20" w:type="nil"/>
              <w:right w:w="20" w:type="nil"/>
            </w:tcMar>
            <w:vAlign w:val="center"/>
          </w:tcPr>
          <w:p w14:paraId="2BCA5565" w14:textId="77777777" w:rsidR="00377AB6" w:rsidRPr="00377AB6" w:rsidRDefault="00377AB6" w:rsidP="00377AB6">
            <w:pPr>
              <w:rPr>
                <w:b/>
                <w:sz w:val="20"/>
                <w:lang w:val="en-US"/>
              </w:rPr>
            </w:pPr>
            <w:r w:rsidRPr="00377AB6">
              <w:rPr>
                <w:b/>
                <w:sz w:val="20"/>
                <w:lang w:val="en-US"/>
              </w:rPr>
              <w:t>Safeguard coverage</w:t>
            </w:r>
          </w:p>
        </w:tc>
        <w:tc>
          <w:tcPr>
            <w:tcW w:w="2552" w:type="dxa"/>
            <w:shd w:val="clear" w:color="auto" w:fill="81B76F"/>
            <w:tcMar>
              <w:top w:w="20" w:type="nil"/>
              <w:left w:w="20" w:type="nil"/>
              <w:bottom w:w="20" w:type="nil"/>
              <w:right w:w="20" w:type="nil"/>
            </w:tcMar>
            <w:vAlign w:val="center"/>
          </w:tcPr>
          <w:p w14:paraId="0C3AD212" w14:textId="77777777" w:rsidR="00377AB6" w:rsidRPr="00D93C32" w:rsidRDefault="00377AB6" w:rsidP="00DF0A81">
            <w:pPr>
              <w:spacing w:before="60"/>
              <w:rPr>
                <w:sz w:val="18"/>
                <w:szCs w:val="18"/>
                <w:lang w:val="en-US"/>
              </w:rPr>
            </w:pPr>
            <w:r w:rsidRPr="00D93C32">
              <w:rPr>
                <w:sz w:val="18"/>
                <w:szCs w:val="18"/>
                <w:lang w:val="en-US"/>
              </w:rPr>
              <w:t>+ Ensures compliance with REDD+ safeguards only when implementing REDD+ activities (as defined in Paragraph 70 1/CP.16)</w:t>
            </w:r>
          </w:p>
          <w:p w14:paraId="4799AFDD" w14:textId="49561ADF" w:rsidR="00377AB6" w:rsidRPr="00D93C32" w:rsidRDefault="00377AB6" w:rsidP="00DF0A81">
            <w:pPr>
              <w:spacing w:before="60"/>
              <w:rPr>
                <w:sz w:val="18"/>
                <w:szCs w:val="18"/>
                <w:lang w:val="en-US"/>
              </w:rPr>
            </w:pPr>
            <w:r w:rsidRPr="00D93C32">
              <w:rPr>
                <w:sz w:val="18"/>
                <w:szCs w:val="18"/>
                <w:lang w:val="en-US"/>
              </w:rPr>
              <w:t>- Does not ensure compliance with safeguards outside of the scope of REDD+ activities</w:t>
            </w:r>
          </w:p>
        </w:tc>
        <w:tc>
          <w:tcPr>
            <w:tcW w:w="2835" w:type="dxa"/>
            <w:tcMar>
              <w:top w:w="20" w:type="nil"/>
              <w:left w:w="20" w:type="nil"/>
              <w:bottom w:w="20" w:type="nil"/>
              <w:right w:w="20" w:type="nil"/>
            </w:tcMar>
            <w:vAlign w:val="center"/>
          </w:tcPr>
          <w:p w14:paraId="6DFC9B62" w14:textId="6D763F71" w:rsidR="00377AB6" w:rsidRPr="00D93C32" w:rsidRDefault="00377AB6" w:rsidP="00DF0A81">
            <w:pPr>
              <w:spacing w:before="60"/>
              <w:rPr>
                <w:sz w:val="18"/>
                <w:szCs w:val="18"/>
                <w:lang w:val="en-US"/>
              </w:rPr>
            </w:pPr>
            <w:r w:rsidRPr="00D93C32">
              <w:rPr>
                <w:sz w:val="18"/>
                <w:szCs w:val="18"/>
                <w:lang w:val="en-US"/>
              </w:rPr>
              <w:t>+ Ensures sector-wide compliance with safeguards in all operations and activities defined by the sector, which can go beyond REDD+ activities</w:t>
            </w:r>
          </w:p>
          <w:p w14:paraId="0EE1E03D" w14:textId="77777777" w:rsidR="00377AB6" w:rsidRPr="00D93C32" w:rsidRDefault="00377AB6" w:rsidP="00DF0A81">
            <w:pPr>
              <w:spacing w:before="60"/>
              <w:rPr>
                <w:sz w:val="18"/>
                <w:szCs w:val="18"/>
                <w:lang w:val="en-US"/>
              </w:rPr>
            </w:pPr>
            <w:r w:rsidRPr="00D93C32">
              <w:rPr>
                <w:sz w:val="18"/>
                <w:szCs w:val="18"/>
                <w:lang w:val="en-US"/>
              </w:rPr>
              <w:t>- Does not ensure the safeguards applied by the sector wide system are not undermined by another sector</w:t>
            </w:r>
          </w:p>
        </w:tc>
        <w:tc>
          <w:tcPr>
            <w:tcW w:w="3220" w:type="dxa"/>
            <w:shd w:val="clear" w:color="auto" w:fill="81B76F"/>
            <w:tcMar>
              <w:top w:w="20" w:type="nil"/>
              <w:left w:w="20" w:type="nil"/>
              <w:bottom w:w="20" w:type="nil"/>
              <w:right w:w="20" w:type="nil"/>
            </w:tcMar>
            <w:vAlign w:val="center"/>
          </w:tcPr>
          <w:p w14:paraId="0A642B5A" w14:textId="3056CE60" w:rsidR="00377AB6" w:rsidRPr="00377AB6" w:rsidRDefault="00DF0A81" w:rsidP="00DF0A81">
            <w:pPr>
              <w:spacing w:before="60"/>
              <w:rPr>
                <w:sz w:val="19"/>
                <w:szCs w:val="19"/>
                <w:lang w:val="en-US"/>
              </w:rPr>
            </w:pPr>
            <w:r>
              <w:rPr>
                <w:sz w:val="19"/>
                <w:szCs w:val="19"/>
                <w:lang w:val="en-US"/>
              </w:rPr>
              <w:t xml:space="preserve">+ Ensures </w:t>
            </w:r>
            <w:r w:rsidR="00377AB6" w:rsidRPr="00377AB6">
              <w:rPr>
                <w:sz w:val="19"/>
                <w:szCs w:val="19"/>
                <w:lang w:val="en-US"/>
              </w:rPr>
              <w:t>holistic and systematic compliance with safeguards from all sectors involved in the sys</w:t>
            </w:r>
            <w:r w:rsidR="00D93C32">
              <w:rPr>
                <w:sz w:val="19"/>
                <w:szCs w:val="19"/>
                <w:lang w:val="en-US"/>
              </w:rPr>
              <w:t xml:space="preserve">tem. This offers an </w:t>
            </w:r>
            <w:r w:rsidR="00377AB6" w:rsidRPr="00377AB6">
              <w:rPr>
                <w:sz w:val="19"/>
                <w:szCs w:val="19"/>
                <w:lang w:val="en-US"/>
              </w:rPr>
              <w:t>opportunity to ensure that the safeguards being applied by a sector are not undermined or inconsistently applied by other sectors</w:t>
            </w:r>
          </w:p>
          <w:p w14:paraId="3FDFCF19" w14:textId="77777777" w:rsidR="00377AB6" w:rsidRPr="00377AB6" w:rsidRDefault="00377AB6" w:rsidP="00DF0A81">
            <w:pPr>
              <w:spacing w:before="60"/>
              <w:rPr>
                <w:sz w:val="19"/>
                <w:szCs w:val="19"/>
                <w:lang w:val="en-US"/>
              </w:rPr>
            </w:pPr>
            <w:r w:rsidRPr="00377AB6">
              <w:rPr>
                <w:sz w:val="19"/>
                <w:szCs w:val="19"/>
                <w:lang w:val="en-US"/>
              </w:rPr>
              <w:t>- More challenging to coordinate its effective implementation</w:t>
            </w:r>
          </w:p>
        </w:tc>
      </w:tr>
      <w:tr w:rsidR="00377AB6" w:rsidRPr="00377AB6" w14:paraId="3173B0A2" w14:textId="77777777" w:rsidTr="00D93C32">
        <w:tblPrEx>
          <w:tblCellMar>
            <w:top w:w="0" w:type="dxa"/>
            <w:bottom w:w="0" w:type="dxa"/>
          </w:tblCellMar>
        </w:tblPrEx>
        <w:tc>
          <w:tcPr>
            <w:tcW w:w="1242" w:type="dxa"/>
            <w:tcMar>
              <w:top w:w="20" w:type="nil"/>
              <w:left w:w="20" w:type="nil"/>
              <w:bottom w:w="20" w:type="nil"/>
              <w:right w:w="20" w:type="nil"/>
            </w:tcMar>
            <w:vAlign w:val="center"/>
          </w:tcPr>
          <w:p w14:paraId="380F4888" w14:textId="0C69C257" w:rsidR="00377AB6" w:rsidRPr="00377AB6" w:rsidRDefault="00377AB6" w:rsidP="00377AB6">
            <w:pPr>
              <w:rPr>
                <w:b/>
                <w:sz w:val="20"/>
                <w:lang w:val="en-US"/>
              </w:rPr>
            </w:pPr>
            <w:r w:rsidRPr="00377AB6">
              <w:rPr>
                <w:b/>
                <w:sz w:val="20"/>
                <w:lang w:val="en-US"/>
              </w:rPr>
              <w:t>Compliance with inter</w:t>
            </w:r>
            <w:r>
              <w:rPr>
                <w:b/>
                <w:sz w:val="20"/>
                <w:lang w:val="en-US"/>
              </w:rPr>
              <w:t>-</w:t>
            </w:r>
            <w:r w:rsidRPr="00377AB6">
              <w:rPr>
                <w:b/>
                <w:sz w:val="20"/>
                <w:lang w:val="en-US"/>
              </w:rPr>
              <w:t>national legal obligations</w:t>
            </w:r>
          </w:p>
        </w:tc>
        <w:tc>
          <w:tcPr>
            <w:tcW w:w="2552" w:type="dxa"/>
            <w:shd w:val="clear" w:color="auto" w:fill="81B76F"/>
            <w:tcMar>
              <w:top w:w="20" w:type="nil"/>
              <w:left w:w="20" w:type="nil"/>
              <w:bottom w:w="20" w:type="nil"/>
              <w:right w:w="20" w:type="nil"/>
            </w:tcMar>
            <w:vAlign w:val="center"/>
          </w:tcPr>
          <w:p w14:paraId="3D5E5742" w14:textId="77777777" w:rsidR="00377AB6" w:rsidRPr="00D93C32" w:rsidRDefault="00377AB6" w:rsidP="00DF0A81">
            <w:pPr>
              <w:spacing w:before="60"/>
              <w:rPr>
                <w:sz w:val="18"/>
                <w:szCs w:val="18"/>
                <w:lang w:val="en-US"/>
              </w:rPr>
            </w:pPr>
            <w:r w:rsidRPr="00D93C32">
              <w:rPr>
                <w:sz w:val="18"/>
                <w:szCs w:val="18"/>
                <w:lang w:val="en-US"/>
              </w:rPr>
              <w:t>+ Promotes compliance with UNFCCC REDD+ safeguards and decisions</w:t>
            </w:r>
          </w:p>
          <w:p w14:paraId="67464E40" w14:textId="7B73E729" w:rsidR="00377AB6" w:rsidRPr="00D93C32" w:rsidRDefault="00377AB6" w:rsidP="00DF0A81">
            <w:pPr>
              <w:spacing w:before="60"/>
              <w:rPr>
                <w:sz w:val="18"/>
                <w:szCs w:val="18"/>
                <w:lang w:val="en-US"/>
              </w:rPr>
            </w:pPr>
            <w:r w:rsidRPr="00D93C32">
              <w:rPr>
                <w:sz w:val="18"/>
                <w:szCs w:val="18"/>
                <w:lang w:val="en-US"/>
              </w:rPr>
              <w:t xml:space="preserve">- Only ensures compliance with international obligations relevant and applicable to REDD+ safeguards </w:t>
            </w:r>
          </w:p>
        </w:tc>
        <w:tc>
          <w:tcPr>
            <w:tcW w:w="2835" w:type="dxa"/>
            <w:tcMar>
              <w:top w:w="20" w:type="nil"/>
              <w:left w:w="20" w:type="nil"/>
              <w:bottom w:w="20" w:type="nil"/>
              <w:right w:w="20" w:type="nil"/>
            </w:tcMar>
            <w:vAlign w:val="center"/>
          </w:tcPr>
          <w:p w14:paraId="0F34CDD6" w14:textId="77777777" w:rsidR="00377AB6" w:rsidRPr="00D93C32" w:rsidRDefault="00377AB6" w:rsidP="00DF0A81">
            <w:pPr>
              <w:spacing w:before="60"/>
              <w:rPr>
                <w:sz w:val="18"/>
                <w:szCs w:val="18"/>
                <w:lang w:val="en-US"/>
              </w:rPr>
            </w:pPr>
            <w:r w:rsidRPr="00D93C32">
              <w:rPr>
                <w:sz w:val="18"/>
                <w:szCs w:val="18"/>
                <w:lang w:val="en-US"/>
              </w:rPr>
              <w:t>+ Ensures sector-wide compliance with all international legal obligations relevant or applicable to the sector</w:t>
            </w:r>
          </w:p>
          <w:p w14:paraId="77C94363" w14:textId="39C89873" w:rsidR="00377AB6" w:rsidRPr="00D93C32" w:rsidRDefault="00DF0A81" w:rsidP="00D93C32">
            <w:pPr>
              <w:spacing w:before="60"/>
              <w:rPr>
                <w:sz w:val="18"/>
                <w:szCs w:val="18"/>
                <w:lang w:val="en-US"/>
              </w:rPr>
            </w:pPr>
            <w:r w:rsidRPr="00D93C32">
              <w:rPr>
                <w:sz w:val="18"/>
                <w:szCs w:val="18"/>
                <w:lang w:val="en-US"/>
              </w:rPr>
              <w:t>- C</w:t>
            </w:r>
            <w:r w:rsidR="00377AB6" w:rsidRPr="00D93C32">
              <w:rPr>
                <w:sz w:val="18"/>
                <w:szCs w:val="18"/>
                <w:lang w:val="en-US"/>
              </w:rPr>
              <w:t xml:space="preserve">oherent implementation of international legal obligations </w:t>
            </w:r>
            <w:r w:rsidR="00D93C32" w:rsidRPr="00D93C32">
              <w:rPr>
                <w:sz w:val="18"/>
                <w:szCs w:val="18"/>
                <w:lang w:val="en-US"/>
              </w:rPr>
              <w:t xml:space="preserve">in </w:t>
            </w:r>
            <w:r w:rsidR="00377AB6" w:rsidRPr="00D93C32">
              <w:rPr>
                <w:sz w:val="18"/>
                <w:szCs w:val="18"/>
                <w:lang w:val="en-US"/>
              </w:rPr>
              <w:t>sector can be undermined by other sectors</w:t>
            </w:r>
          </w:p>
        </w:tc>
        <w:tc>
          <w:tcPr>
            <w:tcW w:w="3220" w:type="dxa"/>
            <w:shd w:val="clear" w:color="auto" w:fill="81B76F"/>
            <w:tcMar>
              <w:top w:w="20" w:type="nil"/>
              <w:left w:w="20" w:type="nil"/>
              <w:bottom w:w="20" w:type="nil"/>
              <w:right w:w="20" w:type="nil"/>
            </w:tcMar>
            <w:vAlign w:val="center"/>
          </w:tcPr>
          <w:p w14:paraId="7F2B1317" w14:textId="77777777" w:rsidR="00377AB6" w:rsidRPr="00377AB6" w:rsidRDefault="00377AB6" w:rsidP="00DF0A81">
            <w:pPr>
              <w:spacing w:before="60"/>
              <w:rPr>
                <w:sz w:val="19"/>
                <w:szCs w:val="19"/>
                <w:lang w:val="en-US"/>
              </w:rPr>
            </w:pPr>
            <w:r w:rsidRPr="00377AB6">
              <w:rPr>
                <w:sz w:val="19"/>
                <w:szCs w:val="19"/>
                <w:lang w:val="en-US"/>
              </w:rPr>
              <w:t>+ Promotes a holistic, systematic and coherent implementation of international legal obligations that are relevant and applicable to the country</w:t>
            </w:r>
          </w:p>
          <w:p w14:paraId="32884960" w14:textId="77777777" w:rsidR="00377AB6" w:rsidRPr="00377AB6" w:rsidRDefault="00377AB6" w:rsidP="00DF0A81">
            <w:pPr>
              <w:spacing w:before="60"/>
              <w:rPr>
                <w:sz w:val="19"/>
                <w:szCs w:val="19"/>
                <w:lang w:val="en-US"/>
              </w:rPr>
            </w:pPr>
            <w:r w:rsidRPr="00377AB6">
              <w:rPr>
                <w:sz w:val="19"/>
                <w:szCs w:val="19"/>
                <w:lang w:val="en-US"/>
              </w:rPr>
              <w:t>- More challenging to coordinate its effective implementation</w:t>
            </w:r>
          </w:p>
        </w:tc>
      </w:tr>
      <w:tr w:rsidR="00377AB6" w:rsidRPr="00377AB6" w14:paraId="022C569D" w14:textId="77777777" w:rsidTr="00D93C32">
        <w:tblPrEx>
          <w:tblCellMar>
            <w:top w:w="0" w:type="dxa"/>
            <w:bottom w:w="0" w:type="dxa"/>
          </w:tblCellMar>
        </w:tblPrEx>
        <w:tc>
          <w:tcPr>
            <w:tcW w:w="1242" w:type="dxa"/>
            <w:tcMar>
              <w:top w:w="20" w:type="nil"/>
              <w:left w:w="20" w:type="nil"/>
              <w:bottom w:w="20" w:type="nil"/>
              <w:right w:w="20" w:type="nil"/>
            </w:tcMar>
            <w:vAlign w:val="center"/>
          </w:tcPr>
          <w:p w14:paraId="3E4BF8A4" w14:textId="77777777" w:rsidR="00377AB6" w:rsidRPr="00377AB6" w:rsidRDefault="00377AB6" w:rsidP="00377AB6">
            <w:pPr>
              <w:rPr>
                <w:b/>
                <w:sz w:val="20"/>
                <w:lang w:val="en-US"/>
              </w:rPr>
            </w:pPr>
            <w:r w:rsidRPr="00377AB6">
              <w:rPr>
                <w:b/>
                <w:sz w:val="20"/>
                <w:lang w:val="en-US"/>
              </w:rPr>
              <w:t>Compliance with legal and institutional frameworks</w:t>
            </w:r>
          </w:p>
        </w:tc>
        <w:tc>
          <w:tcPr>
            <w:tcW w:w="2552" w:type="dxa"/>
            <w:shd w:val="clear" w:color="auto" w:fill="81B76F"/>
            <w:tcMar>
              <w:top w:w="20" w:type="nil"/>
              <w:left w:w="20" w:type="nil"/>
              <w:bottom w:w="20" w:type="nil"/>
              <w:right w:w="20" w:type="nil"/>
            </w:tcMar>
            <w:vAlign w:val="center"/>
          </w:tcPr>
          <w:p w14:paraId="038E717E" w14:textId="77777777" w:rsidR="00377AB6" w:rsidRPr="00D93C32" w:rsidRDefault="00377AB6" w:rsidP="00DF0A81">
            <w:pPr>
              <w:spacing w:before="60"/>
              <w:rPr>
                <w:sz w:val="18"/>
                <w:szCs w:val="18"/>
                <w:lang w:val="en-US"/>
              </w:rPr>
            </w:pPr>
            <w:r w:rsidRPr="00D93C32">
              <w:rPr>
                <w:sz w:val="18"/>
                <w:szCs w:val="18"/>
                <w:lang w:val="en-US"/>
              </w:rPr>
              <w:t>+ Promotes compliance with legal and institutional frameworks relevant to the REDD+ safeguards</w:t>
            </w:r>
          </w:p>
          <w:p w14:paraId="0AA48DF2" w14:textId="482A17A0" w:rsidR="00377AB6" w:rsidRPr="00D93C32" w:rsidRDefault="00377AB6" w:rsidP="00DF0A81">
            <w:pPr>
              <w:spacing w:before="60"/>
              <w:rPr>
                <w:sz w:val="18"/>
                <w:szCs w:val="18"/>
                <w:lang w:val="en-US"/>
              </w:rPr>
            </w:pPr>
            <w:r w:rsidRPr="00D93C32">
              <w:rPr>
                <w:sz w:val="18"/>
                <w:szCs w:val="18"/>
                <w:lang w:val="en-US"/>
              </w:rPr>
              <w:t>- Only promotes compliance with the legal and institutional framework wh</w:t>
            </w:r>
            <w:r w:rsidR="00D93C32" w:rsidRPr="00D93C32">
              <w:rPr>
                <w:sz w:val="18"/>
                <w:szCs w:val="18"/>
                <w:lang w:val="en-US"/>
              </w:rPr>
              <w:t>en implementing REDD+.</w:t>
            </w:r>
          </w:p>
        </w:tc>
        <w:tc>
          <w:tcPr>
            <w:tcW w:w="2835" w:type="dxa"/>
            <w:tcMar>
              <w:top w:w="20" w:type="nil"/>
              <w:left w:w="20" w:type="nil"/>
              <w:bottom w:w="20" w:type="nil"/>
              <w:right w:w="20" w:type="nil"/>
            </w:tcMar>
            <w:vAlign w:val="center"/>
          </w:tcPr>
          <w:p w14:paraId="65E645F8" w14:textId="77777777" w:rsidR="00377AB6" w:rsidRPr="00D93C32" w:rsidRDefault="00377AB6" w:rsidP="00DF0A81">
            <w:pPr>
              <w:spacing w:before="60"/>
              <w:rPr>
                <w:sz w:val="18"/>
                <w:szCs w:val="18"/>
                <w:lang w:val="en-US"/>
              </w:rPr>
            </w:pPr>
            <w:r w:rsidRPr="00D93C32">
              <w:rPr>
                <w:sz w:val="18"/>
                <w:szCs w:val="18"/>
                <w:lang w:val="en-US"/>
              </w:rPr>
              <w:t>+ Promotes compliance with the legal and institutional framework relevant to the safeguards adopted by the sector</w:t>
            </w:r>
          </w:p>
          <w:p w14:paraId="4E1718C1" w14:textId="5D903BF2" w:rsidR="00377AB6" w:rsidRPr="00D93C32" w:rsidRDefault="00D93C32" w:rsidP="00DF0A81">
            <w:pPr>
              <w:spacing w:before="60"/>
              <w:rPr>
                <w:sz w:val="18"/>
                <w:szCs w:val="18"/>
                <w:lang w:val="en-US"/>
              </w:rPr>
            </w:pPr>
            <w:r w:rsidRPr="00D93C32">
              <w:rPr>
                <w:sz w:val="18"/>
                <w:szCs w:val="18"/>
                <w:lang w:val="en-US"/>
              </w:rPr>
              <w:t>- Compliance with</w:t>
            </w:r>
            <w:r w:rsidR="00377AB6" w:rsidRPr="00D93C32">
              <w:rPr>
                <w:sz w:val="18"/>
                <w:szCs w:val="18"/>
                <w:lang w:val="en-US"/>
              </w:rPr>
              <w:t xml:space="preserve"> legal and institut</w:t>
            </w:r>
            <w:r w:rsidRPr="00D93C32">
              <w:rPr>
                <w:sz w:val="18"/>
                <w:szCs w:val="18"/>
                <w:lang w:val="en-US"/>
              </w:rPr>
              <w:t xml:space="preserve">ional framework relevant to </w:t>
            </w:r>
            <w:r w:rsidR="00377AB6" w:rsidRPr="00D93C32">
              <w:rPr>
                <w:sz w:val="18"/>
                <w:szCs w:val="18"/>
                <w:lang w:val="en-US"/>
              </w:rPr>
              <w:t>safegu</w:t>
            </w:r>
            <w:r w:rsidRPr="00D93C32">
              <w:rPr>
                <w:sz w:val="18"/>
                <w:szCs w:val="18"/>
                <w:lang w:val="en-US"/>
              </w:rPr>
              <w:t>ards adopted by the sector can</w:t>
            </w:r>
            <w:r w:rsidR="00377AB6" w:rsidRPr="00D93C32">
              <w:rPr>
                <w:sz w:val="18"/>
                <w:szCs w:val="18"/>
                <w:lang w:val="en-US"/>
              </w:rPr>
              <w:t xml:space="preserve"> be undermined by other sectors</w:t>
            </w:r>
          </w:p>
        </w:tc>
        <w:tc>
          <w:tcPr>
            <w:tcW w:w="3220" w:type="dxa"/>
            <w:shd w:val="clear" w:color="auto" w:fill="81B76F"/>
            <w:tcMar>
              <w:top w:w="20" w:type="nil"/>
              <w:left w:w="20" w:type="nil"/>
              <w:bottom w:w="20" w:type="nil"/>
              <w:right w:w="20" w:type="nil"/>
            </w:tcMar>
            <w:vAlign w:val="center"/>
          </w:tcPr>
          <w:p w14:paraId="671D7FE6" w14:textId="77777777" w:rsidR="00377AB6" w:rsidRPr="00377AB6" w:rsidRDefault="00377AB6" w:rsidP="00DF0A81">
            <w:pPr>
              <w:spacing w:before="60"/>
              <w:rPr>
                <w:sz w:val="19"/>
                <w:szCs w:val="19"/>
                <w:lang w:val="en-US"/>
              </w:rPr>
            </w:pPr>
            <w:r w:rsidRPr="00377AB6">
              <w:rPr>
                <w:sz w:val="19"/>
                <w:szCs w:val="19"/>
                <w:lang w:val="en-US"/>
              </w:rPr>
              <w:t>+ Promotes compliance with the legal and institutional frameworks that are relevant and applicable to the safeguards, in a systematic and coherent manner by all sectors involved</w:t>
            </w:r>
          </w:p>
          <w:p w14:paraId="71C087F3" w14:textId="77777777" w:rsidR="00377AB6" w:rsidRPr="00377AB6" w:rsidRDefault="00377AB6" w:rsidP="00DF0A81">
            <w:pPr>
              <w:spacing w:before="60"/>
              <w:rPr>
                <w:sz w:val="19"/>
                <w:szCs w:val="19"/>
                <w:lang w:val="en-US"/>
              </w:rPr>
            </w:pPr>
            <w:r w:rsidRPr="00377AB6">
              <w:rPr>
                <w:sz w:val="19"/>
                <w:szCs w:val="19"/>
                <w:lang w:val="en-US"/>
              </w:rPr>
              <w:t>- Requires a robust legal and institutional framework applicable to all sectors involved</w:t>
            </w:r>
          </w:p>
        </w:tc>
      </w:tr>
      <w:tr w:rsidR="00377AB6" w:rsidRPr="00377AB6" w14:paraId="6F1AFE24" w14:textId="77777777" w:rsidTr="00D93C32">
        <w:tblPrEx>
          <w:tblCellMar>
            <w:top w:w="0" w:type="dxa"/>
            <w:bottom w:w="0" w:type="dxa"/>
          </w:tblCellMar>
        </w:tblPrEx>
        <w:tc>
          <w:tcPr>
            <w:tcW w:w="1242" w:type="dxa"/>
            <w:tcMar>
              <w:top w:w="20" w:type="nil"/>
              <w:left w:w="20" w:type="nil"/>
              <w:bottom w:w="20" w:type="nil"/>
              <w:right w:w="20" w:type="nil"/>
            </w:tcMar>
            <w:vAlign w:val="center"/>
          </w:tcPr>
          <w:p w14:paraId="7A0376B6" w14:textId="4F469F41" w:rsidR="00377AB6" w:rsidRPr="00377AB6" w:rsidRDefault="00377AB6" w:rsidP="00377AB6">
            <w:pPr>
              <w:rPr>
                <w:b/>
                <w:sz w:val="20"/>
                <w:lang w:val="en-US"/>
              </w:rPr>
            </w:pPr>
          </w:p>
          <w:p w14:paraId="71EE0E5D" w14:textId="77777777" w:rsidR="00377AB6" w:rsidRPr="00377AB6" w:rsidRDefault="00377AB6" w:rsidP="00377AB6">
            <w:pPr>
              <w:rPr>
                <w:b/>
                <w:sz w:val="20"/>
                <w:lang w:val="en-US"/>
              </w:rPr>
            </w:pPr>
            <w:r w:rsidRPr="00377AB6">
              <w:rPr>
                <w:b/>
                <w:sz w:val="20"/>
                <w:lang w:val="en-US"/>
              </w:rPr>
              <w:t>Monitoring and reporting</w:t>
            </w:r>
          </w:p>
        </w:tc>
        <w:tc>
          <w:tcPr>
            <w:tcW w:w="2552" w:type="dxa"/>
            <w:shd w:val="clear" w:color="auto" w:fill="81B76F"/>
            <w:tcMar>
              <w:top w:w="20" w:type="nil"/>
              <w:left w:w="20" w:type="nil"/>
              <w:bottom w:w="20" w:type="nil"/>
              <w:right w:w="20" w:type="nil"/>
            </w:tcMar>
            <w:vAlign w:val="center"/>
          </w:tcPr>
          <w:p w14:paraId="1AABC18A" w14:textId="77777777" w:rsidR="00377AB6" w:rsidRPr="00D93C32" w:rsidRDefault="00377AB6" w:rsidP="00DF0A81">
            <w:pPr>
              <w:spacing w:before="60"/>
              <w:rPr>
                <w:sz w:val="18"/>
                <w:szCs w:val="18"/>
                <w:lang w:val="en-US"/>
              </w:rPr>
            </w:pPr>
            <w:r w:rsidRPr="00D93C32">
              <w:rPr>
                <w:sz w:val="18"/>
                <w:szCs w:val="18"/>
                <w:lang w:val="en-US"/>
              </w:rPr>
              <w:t>+ Promotes a clear mechanism(s) to demonstrate compliance with the REDD+ safeguards and UNFCCC decisions</w:t>
            </w:r>
          </w:p>
          <w:p w14:paraId="4A2C7BFC" w14:textId="77777777" w:rsidR="00377AB6" w:rsidRPr="00D93C32" w:rsidRDefault="00377AB6" w:rsidP="00DF0A81">
            <w:pPr>
              <w:spacing w:before="60"/>
              <w:rPr>
                <w:sz w:val="18"/>
                <w:szCs w:val="18"/>
                <w:lang w:val="en-US"/>
              </w:rPr>
            </w:pPr>
            <w:r w:rsidRPr="00D93C32">
              <w:rPr>
                <w:sz w:val="18"/>
                <w:szCs w:val="18"/>
                <w:lang w:val="en-US"/>
              </w:rPr>
              <w:t>- Only demonstrates application of REDD+ safeguards through the implementation of REDD+ activities</w:t>
            </w:r>
          </w:p>
        </w:tc>
        <w:tc>
          <w:tcPr>
            <w:tcW w:w="2835" w:type="dxa"/>
            <w:tcMar>
              <w:top w:w="20" w:type="nil"/>
              <w:left w:w="20" w:type="nil"/>
              <w:bottom w:w="20" w:type="nil"/>
              <w:right w:w="20" w:type="nil"/>
            </w:tcMar>
            <w:vAlign w:val="center"/>
          </w:tcPr>
          <w:p w14:paraId="279D5CDF" w14:textId="1969D6FF" w:rsidR="00377AB6" w:rsidRPr="00D93C32" w:rsidRDefault="00377AB6" w:rsidP="00DF0A81">
            <w:pPr>
              <w:spacing w:before="60"/>
              <w:rPr>
                <w:sz w:val="18"/>
                <w:szCs w:val="18"/>
                <w:lang w:val="en-US"/>
              </w:rPr>
            </w:pPr>
            <w:r w:rsidRPr="00D93C32">
              <w:rPr>
                <w:sz w:val="18"/>
                <w:szCs w:val="18"/>
                <w:lang w:val="en-US"/>
              </w:rPr>
              <w:t>+ Promotes demonstration of compliance with safeguards in the activities and operations of the sector, which can go beyond REDD+ activities</w:t>
            </w:r>
          </w:p>
          <w:p w14:paraId="5B00A72F" w14:textId="77777777" w:rsidR="00377AB6" w:rsidRPr="00D93C32" w:rsidRDefault="00377AB6" w:rsidP="00DF0A81">
            <w:pPr>
              <w:spacing w:before="60"/>
              <w:rPr>
                <w:sz w:val="18"/>
                <w:szCs w:val="18"/>
                <w:lang w:val="en-US"/>
              </w:rPr>
            </w:pPr>
            <w:r w:rsidRPr="00D93C32">
              <w:rPr>
                <w:sz w:val="18"/>
                <w:szCs w:val="18"/>
                <w:lang w:val="en-US"/>
              </w:rPr>
              <w:t>- Monitoring and reporting could be more complex, in particular if safeguards effectively implemented by the sector are undermined by another sector</w:t>
            </w:r>
          </w:p>
        </w:tc>
        <w:tc>
          <w:tcPr>
            <w:tcW w:w="3220" w:type="dxa"/>
            <w:shd w:val="clear" w:color="auto" w:fill="81B76F"/>
            <w:tcMar>
              <w:top w:w="20" w:type="nil"/>
              <w:left w:w="20" w:type="nil"/>
              <w:bottom w:w="20" w:type="nil"/>
              <w:right w:w="20" w:type="nil"/>
            </w:tcMar>
            <w:vAlign w:val="center"/>
          </w:tcPr>
          <w:p w14:paraId="09E82965" w14:textId="7384A59D" w:rsidR="00377AB6" w:rsidRPr="00377AB6" w:rsidRDefault="00377AB6" w:rsidP="00DF0A81">
            <w:pPr>
              <w:spacing w:before="60"/>
              <w:rPr>
                <w:sz w:val="19"/>
                <w:szCs w:val="19"/>
                <w:lang w:val="en-US"/>
              </w:rPr>
            </w:pPr>
            <w:r w:rsidRPr="00377AB6">
              <w:rPr>
                <w:sz w:val="19"/>
                <w:szCs w:val="19"/>
                <w:lang w:val="en-US"/>
              </w:rPr>
              <w:t>+ Promotes a clear and consistent demonstration of compliance with the safeguards by all sectors involved</w:t>
            </w:r>
          </w:p>
          <w:p w14:paraId="2A88CAC1" w14:textId="77777777" w:rsidR="00377AB6" w:rsidRPr="00377AB6" w:rsidRDefault="00377AB6" w:rsidP="00DF0A81">
            <w:pPr>
              <w:spacing w:before="60"/>
              <w:rPr>
                <w:sz w:val="19"/>
                <w:szCs w:val="19"/>
                <w:lang w:val="en-US"/>
              </w:rPr>
            </w:pPr>
            <w:r w:rsidRPr="00377AB6">
              <w:rPr>
                <w:sz w:val="19"/>
                <w:szCs w:val="19"/>
                <w:lang w:val="en-US"/>
              </w:rPr>
              <w:t>- Monitoring and reporting from all sectors could be complex to coordinate</w:t>
            </w:r>
          </w:p>
          <w:p w14:paraId="431A9D8D" w14:textId="5175D016" w:rsidR="00377AB6" w:rsidRPr="00377AB6" w:rsidRDefault="00377AB6" w:rsidP="00DF0A81">
            <w:pPr>
              <w:spacing w:before="60"/>
              <w:rPr>
                <w:sz w:val="19"/>
                <w:szCs w:val="19"/>
                <w:lang w:val="en-US"/>
              </w:rPr>
            </w:pPr>
          </w:p>
        </w:tc>
      </w:tr>
    </w:tbl>
    <w:p w14:paraId="2EB8666A" w14:textId="7B58C19F" w:rsidR="00DF0A81" w:rsidRDefault="00DF0A81" w:rsidP="008F71C3">
      <w:r>
        <w:rPr>
          <w:i/>
          <w:noProof/>
          <w:lang w:val="en-US"/>
        </w:rPr>
        <mc:AlternateContent>
          <mc:Choice Requires="wps">
            <w:drawing>
              <wp:inline distT="0" distB="0" distL="0" distR="0" wp14:anchorId="1708E354" wp14:editId="16E79C66">
                <wp:extent cx="6184900" cy="991870"/>
                <wp:effectExtent l="50800" t="25400" r="88900" b="100330"/>
                <wp:docPr id="37" name="Down Arrow Callout 37"/>
                <wp:cNvGraphicFramePr/>
                <a:graphic xmlns:a="http://schemas.openxmlformats.org/drawingml/2006/main">
                  <a:graphicData uri="http://schemas.microsoft.com/office/word/2010/wordprocessingShape">
                    <wps:wsp>
                      <wps:cNvSpPr/>
                      <wps:spPr>
                        <a:xfrm>
                          <a:off x="0" y="0"/>
                          <a:ext cx="6184900" cy="991870"/>
                        </a:xfrm>
                        <a:prstGeom prst="downArrowCallout">
                          <a:avLst>
                            <a:gd name="adj1" fmla="val 25000"/>
                            <a:gd name="adj2" fmla="val 25000"/>
                            <a:gd name="adj3" fmla="val 19915"/>
                            <a:gd name="adj4" fmla="val 68367"/>
                          </a:avLst>
                        </a:prstGeom>
                        <a:gradFill flip="none" rotWithShape="1">
                          <a:gsLst>
                            <a:gs pos="0">
                              <a:schemeClr val="bg1">
                                <a:lumMod val="95000"/>
                              </a:schemeClr>
                            </a:gs>
                            <a:gs pos="100000">
                              <a:schemeClr val="bg1">
                                <a:lumMod val="75000"/>
                              </a:schemeClr>
                            </a:gs>
                          </a:gsLst>
                          <a:lin ang="0" scaled="1"/>
                          <a:tileRect/>
                        </a:gra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B27B056" w14:textId="77777777" w:rsidR="00AD59B0" w:rsidRPr="00AB53D0" w:rsidRDefault="00AD59B0" w:rsidP="00AB53D0">
                            <w:pPr>
                              <w:pStyle w:val="Heading3"/>
                              <w:numPr>
                                <w:ilvl w:val="0"/>
                                <w:numId w:val="0"/>
                              </w:numPr>
                              <w:spacing w:before="0"/>
                              <w:rPr>
                                <w:color w:val="000000" w:themeColor="text1"/>
                                <w:sz w:val="28"/>
                                <w:lang w:val="en-US"/>
                              </w:rPr>
                            </w:pPr>
                            <w:r w:rsidRPr="00AB53D0">
                              <w:rPr>
                                <w:color w:val="000000" w:themeColor="text1"/>
                                <w:sz w:val="28"/>
                                <w:lang w:val="en-US"/>
                              </w:rPr>
                              <w:t xml:space="preserve">Step Two: Analyse Gaps and Weaknesses in the legal, institutional and compliance frameworks and their application </w:t>
                            </w:r>
                          </w:p>
                          <w:p w14:paraId="0B70A438" w14:textId="77777777" w:rsidR="00AD59B0" w:rsidRDefault="00AD59B0" w:rsidP="00DF0A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wn Arrow Callout 37" o:spid="_x0000_s1040" type="#_x0000_t80" style="width:487pt;height:78.1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" adj="14767,9934,17298,10367" fillcolor="#f2f2f2 [3052]" strokecolor="black [3213]">
                <v:fill color2="#bfbfbf [2412]" rotate="t" angle="-90" focus="100%" type="gradient"/>
                <v:shadow on="t" opacity="22937f" mv:blur="40000f" origin=",.5" offset="0,23000emu"/>
                <v:textbox>
                  <w:txbxContent>
                    <w:p w14:paraId="5B27B056" w14:textId="77777777" w:rsidR="00AD59B0" w:rsidRPr="00AB53D0" w:rsidRDefault="00AD59B0" w:rsidP="00AB53D0">
                      <w:pPr>
                        <w:pStyle w:val="Heading3"/>
                        <w:numPr>
                          <w:ilvl w:val="0"/>
                          <w:numId w:val="0"/>
                        </w:numPr>
                        <w:spacing w:before="0"/>
                        <w:rPr>
                          <w:color w:val="000000" w:themeColor="text1"/>
                          <w:sz w:val="28"/>
                          <w:lang w:val="en-US"/>
                        </w:rPr>
                      </w:pPr>
                      <w:r w:rsidRPr="00AB53D0">
                        <w:rPr>
                          <w:color w:val="000000" w:themeColor="text1"/>
                          <w:sz w:val="28"/>
                          <w:lang w:val="en-US"/>
                        </w:rPr>
                        <w:t xml:space="preserve">Step Two: Analyse Gaps and Weaknesses in the legal, institutional and compliance frameworks and their application </w:t>
                      </w:r>
                    </w:p>
                    <w:p w14:paraId="0B70A438" w14:textId="77777777" w:rsidR="00AD59B0" w:rsidRDefault="00AD59B0" w:rsidP="00DF0A81">
                      <w:pPr>
                        <w:jc w:val="center"/>
                      </w:pPr>
                    </w:p>
                  </w:txbxContent>
                </v:textbox>
                <w10:anchorlock/>
              </v:shape>
            </w:pict>
          </mc:Fallback>
        </mc:AlternateContent>
      </w:r>
    </w:p>
    <w:p w14:paraId="230FC701" w14:textId="77777777" w:rsidR="00CE1C94" w:rsidRDefault="00CE1C94" w:rsidP="00CE1C94">
      <w:r>
        <w:t>This step requires an assessment of existing safeguard measures at the country level to identify in which areas the existing system matches international standards and in which areas there are weaknesses or gaps.</w:t>
      </w:r>
    </w:p>
    <w:p w14:paraId="02D9BE8B" w14:textId="26D25DAB" w:rsidR="00CE1C94" w:rsidRDefault="00CE1C94" w:rsidP="00CE1C94">
      <w:r>
        <w:t xml:space="preserve">Consideration should be given to: </w:t>
      </w:r>
    </w:p>
    <w:p w14:paraId="2D8A1EF5" w14:textId="53710AD5" w:rsidR="00CE1C94" w:rsidRDefault="00CE1C94" w:rsidP="006B087B">
      <w:pPr>
        <w:pStyle w:val="ListParagraph"/>
        <w:numPr>
          <w:ilvl w:val="0"/>
          <w:numId w:val="17"/>
        </w:numPr>
      </w:pPr>
      <w:r w:rsidRPr="003701EE">
        <w:rPr>
          <w:i/>
        </w:rPr>
        <w:t>The legal framework</w:t>
      </w:r>
      <w:r>
        <w:t xml:space="preserve">: - what policies, laws and regulations are in place that are relevant to the Cancun Safeguards and your national objectives. </w:t>
      </w:r>
      <w:r w:rsidR="00945200">
        <w:t xml:space="preserve">This should also consider international commitments made by the country such as commitments to the UNDRIP or the CBD. </w:t>
      </w:r>
    </w:p>
    <w:p w14:paraId="450109C4" w14:textId="202AFB98" w:rsidR="00CE1C94" w:rsidRDefault="003701EE" w:rsidP="006B087B">
      <w:pPr>
        <w:pStyle w:val="ListParagraph"/>
        <w:numPr>
          <w:ilvl w:val="0"/>
          <w:numId w:val="17"/>
        </w:numPr>
      </w:pPr>
      <w:r w:rsidRPr="003701EE">
        <w:rPr>
          <w:i/>
        </w:rPr>
        <w:t>The Institutional</w:t>
      </w:r>
      <w:r w:rsidR="00CE1C94" w:rsidRPr="003701EE">
        <w:rPr>
          <w:i/>
        </w:rPr>
        <w:t xml:space="preserve"> framework</w:t>
      </w:r>
      <w:r w:rsidR="00CE1C94">
        <w:t>: - what institutions are responsible for implementing the policies, laws and regulations, how much capacity do they have and is it sufficient for addressing the Cancun Safeguards</w:t>
      </w:r>
      <w:r>
        <w:t>.</w:t>
      </w:r>
    </w:p>
    <w:p w14:paraId="35AEBC6D" w14:textId="609C42F0" w:rsidR="003701EE" w:rsidRPr="003701EE" w:rsidRDefault="003701EE" w:rsidP="006B087B">
      <w:pPr>
        <w:pStyle w:val="ListParagraph"/>
        <w:numPr>
          <w:ilvl w:val="0"/>
          <w:numId w:val="17"/>
        </w:numPr>
        <w:rPr>
          <w:lang w:val="en-US"/>
        </w:rPr>
      </w:pPr>
      <w:r w:rsidRPr="003701EE">
        <w:rPr>
          <w:bCs/>
          <w:i/>
          <w:lang w:val="en-US"/>
        </w:rPr>
        <w:t>The Compliance framework</w:t>
      </w:r>
      <w:r w:rsidRPr="003701EE">
        <w:rPr>
          <w:bCs/>
          <w:lang w:val="en-US"/>
        </w:rPr>
        <w:t xml:space="preserve">: what elements are in place to ensure that the existing policies, laws and regulations are implemented and how is information provided on this. Key elements include: </w:t>
      </w:r>
      <w:r w:rsidRPr="003701EE">
        <w:rPr>
          <w:lang w:val="en-US"/>
        </w:rPr>
        <w:t xml:space="preserve">i) information system (including any monitoring provisions); ii) grievance and redress mechanisms, and iii) non- compliance mechanisms. </w:t>
      </w:r>
    </w:p>
    <w:p w14:paraId="7714E9F2" w14:textId="79AE6041" w:rsidR="00377AB6" w:rsidRDefault="00CE1C94" w:rsidP="00CE1C94">
      <w:r>
        <w:t xml:space="preserve">In many cases weaknesses may come not from the legal framework but from the institutional capacity or political will to fully implement existing legislation and guidelines. </w:t>
      </w:r>
    </w:p>
    <w:p w14:paraId="2D1D6862" w14:textId="5BD70676" w:rsidR="00EB5F6F" w:rsidRDefault="003701EE" w:rsidP="00CE1C94">
      <w:r>
        <w:t>Analysis of the existing context can be supported by use of an existing framework of safeguards, which provides a more structured breakdown of the requirements of the Cancun Principles. Use of an internationally recognised framework in this area can help to ensure that specific elements of the safeguards are not missed during the assessment.</w:t>
      </w:r>
    </w:p>
    <w:p w14:paraId="5389DF2D" w14:textId="631FCB9C" w:rsidR="00355716" w:rsidRDefault="00355716" w:rsidP="00CE1C94">
      <w:r>
        <w:rPr>
          <w:noProof/>
          <w:lang w:val="en-US"/>
        </w:rPr>
        <mc:AlternateContent>
          <mc:Choice Requires="wps">
            <w:drawing>
              <wp:anchor distT="0" distB="0" distL="114300" distR="114300" simplePos="0" relativeHeight="251674624" behindDoc="1" locked="0" layoutInCell="1" allowOverlap="1" wp14:anchorId="2CCB31CB" wp14:editId="775DF177">
                <wp:simplePos x="0" y="0"/>
                <wp:positionH relativeFrom="column">
                  <wp:posOffset>-114300</wp:posOffset>
                </wp:positionH>
                <wp:positionV relativeFrom="paragraph">
                  <wp:posOffset>118110</wp:posOffset>
                </wp:positionV>
                <wp:extent cx="6400800" cy="4000500"/>
                <wp:effectExtent l="0" t="0" r="25400" b="38100"/>
                <wp:wrapNone/>
                <wp:docPr id="48" name="Text Box 48"/>
                <wp:cNvGraphicFramePr/>
                <a:graphic xmlns:a="http://schemas.openxmlformats.org/drawingml/2006/main">
                  <a:graphicData uri="http://schemas.microsoft.com/office/word/2010/wordprocessingShape">
                    <wps:wsp>
                      <wps:cNvSpPr txBox="1"/>
                      <wps:spPr>
                        <a:xfrm>
                          <a:off x="0" y="0"/>
                          <a:ext cx="6400800" cy="4000500"/>
                        </a:xfrm>
                        <a:prstGeom prst="rect">
                          <a:avLst/>
                        </a:prstGeom>
                        <a:solidFill>
                          <a:schemeClr val="bg1">
                            <a:lumMod val="95000"/>
                          </a:schemeClr>
                        </a:solid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6BD185" w14:textId="77777777" w:rsidR="00AD59B0" w:rsidRDefault="00AD59B0" w:rsidP="003557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41" type="#_x0000_t202" style="position:absolute;left:0;text-align:left;margin-left:-8.95pt;margin-top:9.3pt;width:7in;height:3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" fillcolor="#f2f2f2 [3052]" strokecolor="black [3213]">
                <v:textbox>
                  <w:txbxContent>
                    <w:p w14:paraId="076BD185" w14:textId="77777777" w:rsidR="00AD59B0" w:rsidRDefault="00AD59B0" w:rsidP="00355716"/>
                  </w:txbxContent>
                </v:textbox>
              </v:shape>
            </w:pict>
          </mc:Fallback>
        </mc:AlternateContent>
      </w:r>
    </w:p>
    <w:p w14:paraId="31EB332D" w14:textId="77777777" w:rsidR="00355716" w:rsidRPr="008854FC" w:rsidRDefault="00355716" w:rsidP="00355716">
      <w:pPr>
        <w:rPr>
          <w:u w:val="single"/>
        </w:rPr>
      </w:pPr>
      <w:r w:rsidRPr="008854FC">
        <w:rPr>
          <w:u w:val="single"/>
        </w:rPr>
        <w:t>Existing Progress</w:t>
      </w:r>
    </w:p>
    <w:p w14:paraId="271700FE" w14:textId="77777777" w:rsidR="00355716" w:rsidRPr="008854FC" w:rsidRDefault="00355716" w:rsidP="00355716">
      <w:r w:rsidRPr="008854FC">
        <w:t xml:space="preserve">This process has been undertaken within the Solomon Islands utilising the UN-REDD Social and Environmental Principles and Criteria as a framework against which assessment can occur. The assessment focused on assessment three key items of legislation and their application. These are, the Forest Resource and Timber Utilisation (FRTU) Act, the Environment Act (EA) and the Protected Areas (PA) Act. Findings of this process are summarised in Annex 1. </w:t>
      </w:r>
    </w:p>
    <w:p w14:paraId="388DDA3A" w14:textId="062EECDA" w:rsidR="00355716" w:rsidRDefault="00355716" w:rsidP="00355716">
      <w:r w:rsidRPr="008854FC">
        <w:t>The process has identified weaknesses across the country safeguard system in existing policies, laws and regulations and the institutional capacity for their enforcement.  Key</w:t>
      </w:r>
      <w:r>
        <w:t xml:space="preserve"> limitations</w:t>
      </w:r>
      <w:r w:rsidR="00293771">
        <w:t>,</w:t>
      </w:r>
      <w:r>
        <w:t xml:space="preserve"> which</w:t>
      </w:r>
      <w:r w:rsidR="00293771">
        <w:t>,</w:t>
      </w:r>
      <w:r>
        <w:t xml:space="preserve"> cut across existing legislation include: </w:t>
      </w:r>
    </w:p>
    <w:p w14:paraId="6D6C15D2" w14:textId="5C4BDA70" w:rsidR="00355716" w:rsidRPr="00293771" w:rsidRDefault="00355716" w:rsidP="00355716">
      <w:pPr>
        <w:pStyle w:val="ListParagraph"/>
        <w:numPr>
          <w:ilvl w:val="0"/>
          <w:numId w:val="80"/>
        </w:numPr>
        <w:ind w:left="360"/>
        <w:rPr>
          <w:szCs w:val="22"/>
        </w:rPr>
      </w:pPr>
      <w:commentRangeStart w:id="21"/>
      <w:r w:rsidRPr="00293771">
        <w:rPr>
          <w:i/>
          <w:szCs w:val="22"/>
        </w:rPr>
        <w:t>Lack</w:t>
      </w:r>
      <w:commentRangeEnd w:id="21"/>
      <w:r w:rsidR="00293771">
        <w:rPr>
          <w:rStyle w:val="CommentReference"/>
          <w:rFonts w:eastAsia="MS Mincho"/>
        </w:rPr>
        <w:commentReference w:id="21"/>
      </w:r>
      <w:r w:rsidRPr="00293771">
        <w:rPr>
          <w:i/>
          <w:szCs w:val="22"/>
        </w:rPr>
        <w:t xml:space="preserve"> of transparent access to information</w:t>
      </w:r>
      <w:r w:rsidR="00AD59B0" w:rsidRPr="00293771">
        <w:rPr>
          <w:i/>
          <w:szCs w:val="22"/>
        </w:rPr>
        <w:t xml:space="preserve"> (related to C3)</w:t>
      </w:r>
      <w:r w:rsidR="00AD59B0">
        <w:rPr>
          <w:szCs w:val="22"/>
        </w:rPr>
        <w:t xml:space="preserve"> – there is no central framework within the Solomon Islands for transparency and access to information. The FRTUA provides limited requirements at national level for this </w:t>
      </w:r>
      <w:r w:rsidR="00293771">
        <w:rPr>
          <w:szCs w:val="22"/>
        </w:rPr>
        <w:t xml:space="preserve">with some obligations at site level but these are limited in their enforcement. Similarly requirements under the Environment Act are limited in their implementation with information on development consent processes not readily available to relevant stakeholders. Requirements under the PA Act are yet to be fully tested. </w:t>
      </w:r>
      <w:r>
        <w:rPr>
          <w:szCs w:val="22"/>
        </w:rPr>
        <w:t xml:space="preserve"> </w:t>
      </w:r>
      <w:r w:rsidRPr="008854FC">
        <w:rPr>
          <w:szCs w:val="22"/>
        </w:rPr>
        <w:t xml:space="preserve"> </w:t>
      </w:r>
    </w:p>
    <w:p w14:paraId="724FC125" w14:textId="697E0DB6" w:rsidR="00355716" w:rsidRPr="00293771" w:rsidRDefault="00355716" w:rsidP="00355716">
      <w:pPr>
        <w:pStyle w:val="ListParagraph"/>
        <w:numPr>
          <w:ilvl w:val="0"/>
          <w:numId w:val="80"/>
        </w:numPr>
        <w:ind w:left="360"/>
        <w:rPr>
          <w:i/>
          <w:szCs w:val="22"/>
        </w:rPr>
      </w:pPr>
      <w:r w:rsidRPr="00293771">
        <w:rPr>
          <w:i/>
          <w:szCs w:val="22"/>
        </w:rPr>
        <w:t>Processes for identification of representatives and ensuring ongoing participation</w:t>
      </w:r>
      <w:r w:rsidR="00293771">
        <w:rPr>
          <w:i/>
          <w:szCs w:val="22"/>
        </w:rPr>
        <w:t xml:space="preserve"> – </w:t>
      </w:r>
      <w:r w:rsidR="00293771">
        <w:rPr>
          <w:szCs w:val="22"/>
        </w:rPr>
        <w:t xml:space="preserve">processes for </w:t>
      </w:r>
    </w:p>
    <w:p w14:paraId="47CB321E" w14:textId="77777777" w:rsidR="00293771" w:rsidRPr="00293771" w:rsidRDefault="00355716" w:rsidP="00355716">
      <w:pPr>
        <w:pStyle w:val="ListParagraph"/>
        <w:numPr>
          <w:ilvl w:val="0"/>
          <w:numId w:val="80"/>
        </w:numPr>
        <w:ind w:left="360"/>
        <w:rPr>
          <w:i/>
          <w:szCs w:val="22"/>
        </w:rPr>
      </w:pPr>
      <w:r w:rsidRPr="00293771">
        <w:rPr>
          <w:i/>
          <w:szCs w:val="22"/>
        </w:rPr>
        <w:t xml:space="preserve">Protection of the rights of </w:t>
      </w:r>
      <w:r w:rsidR="00293771" w:rsidRPr="00293771">
        <w:rPr>
          <w:i/>
          <w:szCs w:val="22"/>
        </w:rPr>
        <w:t xml:space="preserve">indigenous peoples and local communities </w:t>
      </w:r>
    </w:p>
    <w:p w14:paraId="34C0B569" w14:textId="77777777" w:rsidR="00293771" w:rsidRPr="00293771" w:rsidRDefault="00293771" w:rsidP="00355716">
      <w:pPr>
        <w:pStyle w:val="ListParagraph"/>
        <w:numPr>
          <w:ilvl w:val="0"/>
          <w:numId w:val="80"/>
        </w:numPr>
        <w:ind w:left="360"/>
        <w:rPr>
          <w:i/>
          <w:szCs w:val="22"/>
        </w:rPr>
      </w:pPr>
      <w:r w:rsidRPr="00293771">
        <w:rPr>
          <w:i/>
          <w:szCs w:val="22"/>
        </w:rPr>
        <w:t xml:space="preserve">Conservation of biodiversity and environmental services </w:t>
      </w:r>
    </w:p>
    <w:p w14:paraId="5E81B18E" w14:textId="6A952740" w:rsidR="00805AD0" w:rsidRDefault="00805AD0" w:rsidP="00C944D5">
      <w:pPr>
        <w:sectPr w:rsidR="00805AD0" w:rsidSect="00AA4B89">
          <w:pgSz w:w="11900" w:h="16840"/>
          <w:pgMar w:top="1440" w:right="1080" w:bottom="1440" w:left="1080" w:header="708" w:footer="708" w:gutter="0"/>
          <w:cols w:space="708"/>
          <w:docGrid w:linePitch="360"/>
        </w:sectPr>
      </w:pPr>
    </w:p>
    <w:p w14:paraId="0C3639D0" w14:textId="23E827FC" w:rsidR="00355716" w:rsidRDefault="006C4D01" w:rsidP="002B1BC0">
      <w:r>
        <w:rPr>
          <w:noProof/>
          <w:lang w:val="en-US"/>
        </w:rPr>
        <mc:AlternateContent>
          <mc:Choice Requires="wps">
            <w:drawing>
              <wp:inline distT="0" distB="0" distL="0" distR="0" wp14:anchorId="39B34574" wp14:editId="457FE848">
                <wp:extent cx="6184900" cy="1560676"/>
                <wp:effectExtent l="50800" t="25400" r="88900" b="90805"/>
                <wp:docPr id="38" name="Down Arrow Callout 38"/>
                <wp:cNvGraphicFramePr/>
                <a:graphic xmlns:a="http://schemas.openxmlformats.org/drawingml/2006/main">
                  <a:graphicData uri="http://schemas.microsoft.com/office/word/2010/wordprocessingShape">
                    <wps:wsp>
                      <wps:cNvSpPr/>
                      <wps:spPr>
                        <a:xfrm>
                          <a:off x="0" y="0"/>
                          <a:ext cx="6184900" cy="1560676"/>
                        </a:xfrm>
                        <a:prstGeom prst="downArrowCallout">
                          <a:avLst>
                            <a:gd name="adj1" fmla="val 25000"/>
                            <a:gd name="adj2" fmla="val 25000"/>
                            <a:gd name="adj3" fmla="val 19915"/>
                            <a:gd name="adj4" fmla="val 68367"/>
                          </a:avLst>
                        </a:prstGeom>
                        <a:gradFill flip="none" rotWithShape="1">
                          <a:gsLst>
                            <a:gs pos="0">
                              <a:schemeClr val="bg1">
                                <a:lumMod val="95000"/>
                              </a:schemeClr>
                            </a:gs>
                            <a:gs pos="100000">
                              <a:schemeClr val="bg1">
                                <a:lumMod val="75000"/>
                              </a:schemeClr>
                            </a:gs>
                          </a:gsLst>
                          <a:lin ang="0" scaled="1"/>
                          <a:tileRect/>
                        </a:gra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25794BAE" w14:textId="5DDA12D9" w:rsidR="00AD59B0" w:rsidRPr="00AB53D0" w:rsidRDefault="00AD59B0" w:rsidP="00AB53D0">
                            <w:pPr>
                              <w:pStyle w:val="Heading3"/>
                              <w:numPr>
                                <w:ilvl w:val="0"/>
                                <w:numId w:val="0"/>
                              </w:numPr>
                              <w:spacing w:before="0"/>
                              <w:rPr>
                                <w:color w:val="000000" w:themeColor="text1"/>
                                <w:sz w:val="28"/>
                                <w:lang w:val="en-US"/>
                              </w:rPr>
                            </w:pPr>
                            <w:r w:rsidRPr="00AB53D0">
                              <w:rPr>
                                <w:color w:val="000000" w:themeColor="text1"/>
                                <w:sz w:val="28"/>
                                <w:lang w:val="en-US"/>
                              </w:rPr>
                              <w:t>Step Three: Develop a Workplan to Address and Respect Safeguards through a strengthened CSS:</w:t>
                            </w:r>
                          </w:p>
                          <w:p w14:paraId="3959120D" w14:textId="77777777" w:rsidR="00AD59B0" w:rsidRPr="006C4D01" w:rsidRDefault="00AD59B0" w:rsidP="006B087B">
                            <w:pPr>
                              <w:numPr>
                                <w:ilvl w:val="0"/>
                                <w:numId w:val="15"/>
                              </w:numPr>
                              <w:spacing w:before="60"/>
                              <w:ind w:left="357" w:hanging="357"/>
                              <w:jc w:val="left"/>
                              <w:rPr>
                                <w:color w:val="000000" w:themeColor="text1"/>
                                <w:lang w:val="en-US"/>
                              </w:rPr>
                            </w:pPr>
                            <w:r w:rsidRPr="006C4D01">
                              <w:rPr>
                                <w:color w:val="000000" w:themeColor="text1"/>
                                <w:lang w:val="en-US"/>
                              </w:rPr>
                              <w:t>What actions will be taken</w:t>
                            </w:r>
                          </w:p>
                          <w:p w14:paraId="29164D46" w14:textId="77777777" w:rsidR="00AD59B0" w:rsidRPr="006C4D01" w:rsidRDefault="00AD59B0" w:rsidP="006B087B">
                            <w:pPr>
                              <w:numPr>
                                <w:ilvl w:val="0"/>
                                <w:numId w:val="15"/>
                              </w:numPr>
                              <w:spacing w:before="60"/>
                              <w:ind w:left="357" w:hanging="357"/>
                              <w:jc w:val="left"/>
                              <w:rPr>
                                <w:color w:val="000000" w:themeColor="text1"/>
                                <w:lang w:val="en-US"/>
                              </w:rPr>
                            </w:pPr>
                            <w:r w:rsidRPr="006C4D01">
                              <w:rPr>
                                <w:color w:val="000000" w:themeColor="text1"/>
                                <w:lang w:val="en-US"/>
                              </w:rPr>
                              <w:t>How will progress be assessed</w:t>
                            </w:r>
                          </w:p>
                          <w:p w14:paraId="2E751767" w14:textId="77777777" w:rsidR="00AD59B0" w:rsidRDefault="00AD59B0" w:rsidP="006C4D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wn Arrow Callout 38" o:spid="_x0000_s1042" type="#_x0000_t80" style="width:487pt;height:122.9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" adj="14767,9437,17298,10119" fillcolor="#f2f2f2 [3052]" strokecolor="black [3213]">
                <v:fill color2="#bfbfbf [2412]" rotate="t" angle="-90" focus="100%" type="gradient"/>
                <v:shadow on="t" opacity="22937f" mv:blur="40000f" origin=",.5" offset="0,23000emu"/>
                <v:textbox>
                  <w:txbxContent>
                    <w:p w14:paraId="25794BAE" w14:textId="5DDA12D9" w:rsidR="00AD59B0" w:rsidRPr="00AB53D0" w:rsidRDefault="00AD59B0" w:rsidP="00AB53D0">
                      <w:pPr>
                        <w:pStyle w:val="Heading3"/>
                        <w:numPr>
                          <w:ilvl w:val="0"/>
                          <w:numId w:val="0"/>
                        </w:numPr>
                        <w:spacing w:before="0"/>
                        <w:rPr>
                          <w:color w:val="000000" w:themeColor="text1"/>
                          <w:sz w:val="28"/>
                          <w:lang w:val="en-US"/>
                        </w:rPr>
                      </w:pPr>
                      <w:r w:rsidRPr="00AB53D0">
                        <w:rPr>
                          <w:color w:val="000000" w:themeColor="text1"/>
                          <w:sz w:val="28"/>
                          <w:lang w:val="en-US"/>
                        </w:rPr>
                        <w:t>Step Three: Develop a Workplan to Address and Respect Safeguards through a strengthened CSS:</w:t>
                      </w:r>
                    </w:p>
                    <w:p w14:paraId="3959120D" w14:textId="77777777" w:rsidR="00AD59B0" w:rsidRPr="006C4D01" w:rsidRDefault="00AD59B0" w:rsidP="006B087B">
                      <w:pPr>
                        <w:numPr>
                          <w:ilvl w:val="0"/>
                          <w:numId w:val="15"/>
                        </w:numPr>
                        <w:spacing w:before="60"/>
                        <w:ind w:left="357" w:hanging="357"/>
                        <w:jc w:val="left"/>
                        <w:rPr>
                          <w:color w:val="000000" w:themeColor="text1"/>
                          <w:lang w:val="en-US"/>
                        </w:rPr>
                      </w:pPr>
                      <w:r w:rsidRPr="006C4D01">
                        <w:rPr>
                          <w:color w:val="000000" w:themeColor="text1"/>
                          <w:lang w:val="en-US"/>
                        </w:rPr>
                        <w:t>What actions will be taken</w:t>
                      </w:r>
                    </w:p>
                    <w:p w14:paraId="29164D46" w14:textId="77777777" w:rsidR="00AD59B0" w:rsidRPr="006C4D01" w:rsidRDefault="00AD59B0" w:rsidP="006B087B">
                      <w:pPr>
                        <w:numPr>
                          <w:ilvl w:val="0"/>
                          <w:numId w:val="15"/>
                        </w:numPr>
                        <w:spacing w:before="60"/>
                        <w:ind w:left="357" w:hanging="357"/>
                        <w:jc w:val="left"/>
                        <w:rPr>
                          <w:color w:val="000000" w:themeColor="text1"/>
                          <w:lang w:val="en-US"/>
                        </w:rPr>
                      </w:pPr>
                      <w:r w:rsidRPr="006C4D01">
                        <w:rPr>
                          <w:color w:val="000000" w:themeColor="text1"/>
                          <w:lang w:val="en-US"/>
                        </w:rPr>
                        <w:t>How will progress be assessed</w:t>
                      </w:r>
                    </w:p>
                    <w:p w14:paraId="2E751767" w14:textId="77777777" w:rsidR="00AD59B0" w:rsidRDefault="00AD59B0" w:rsidP="006C4D01">
                      <w:pPr>
                        <w:jc w:val="center"/>
                      </w:pPr>
                    </w:p>
                  </w:txbxContent>
                </v:textbox>
                <w10:anchorlock/>
              </v:shape>
            </w:pict>
          </mc:Fallback>
        </mc:AlternateContent>
      </w:r>
    </w:p>
    <w:p w14:paraId="76194EF7" w14:textId="43F75C8E" w:rsidR="002B1BC0" w:rsidRDefault="002B1BC0" w:rsidP="002B1BC0">
      <w:r w:rsidRPr="00355716">
        <w:t>Developing a workplan to ensure that the Solomon Islands can demonstrate that they are effectively addressing the Cancun Safeguards will require identification of a clear framework of safeguards that will make up a REDD+ CSS and how information will be provided on the strengthening and application of these safeguards.</w:t>
      </w:r>
    </w:p>
    <w:p w14:paraId="3145D6D0" w14:textId="6425763F" w:rsidR="006C3B24" w:rsidRPr="006C3B24" w:rsidRDefault="00805AD0" w:rsidP="00355716">
      <w:pPr>
        <w:pStyle w:val="Heading4"/>
      </w:pPr>
      <w:r>
        <w:t xml:space="preserve">Establishing a </w:t>
      </w:r>
      <w:r w:rsidR="0088411E">
        <w:t xml:space="preserve">REDD+ CSS Framework </w:t>
      </w:r>
    </w:p>
    <w:p w14:paraId="2E6842B8" w14:textId="15EA0D27" w:rsidR="006C3B24" w:rsidRDefault="006C3B24" w:rsidP="00945200">
      <w:r>
        <w:t>Through assessment undertaken in Step 2 the existing policies, laws and regulations relevant to the Cancun Safeguards should have been identified. Cons</w:t>
      </w:r>
      <w:r w:rsidR="0088411E">
        <w:t>ideration can now be given to</w:t>
      </w:r>
      <w:r>
        <w:t xml:space="preserve"> which areas the </w:t>
      </w:r>
      <w:r w:rsidR="0088411E">
        <w:t>REDD+ CSS will focus as well as</w:t>
      </w:r>
      <w:r>
        <w:t xml:space="preserve"> across what scope these policies, laws and regulations should be applied – REDD+ activities only, specific sectors or country wide. This will relate to what actions will need to be taken to further strengthen or add to the framework. </w:t>
      </w:r>
    </w:p>
    <w:p w14:paraId="26DC7952" w14:textId="77777777" w:rsidR="00C84530" w:rsidRDefault="0088411E" w:rsidP="00945200">
      <w:r>
        <w:t xml:space="preserve">During this prioritisation process consideration should be given to both the potential risks in implementing a mechanism on REDD+ and also the national and international </w:t>
      </w:r>
      <w:r w:rsidR="00C84530">
        <w:t>commitments</w:t>
      </w:r>
      <w:r>
        <w:t xml:space="preserve"> made by the country </w:t>
      </w:r>
      <w:r w:rsidR="00C84530">
        <w:t xml:space="preserve">and how work to strengthen to a REDD+ CSS can also help to deliver these national objectives and international commitments. </w:t>
      </w:r>
    </w:p>
    <w:p w14:paraId="2EFD28E1" w14:textId="77777777" w:rsidR="002E02C2" w:rsidRDefault="00C84530" w:rsidP="00C84530">
      <w:r>
        <w:t xml:space="preserve">Once this framework has been identified priority actions can be selected to strengthen the REDD+ CSS in terms of policies, laws and regulations and the systems by which they are implemented. These activities should be time bound occurring over either the short medium and long term depending on their levels of priority and complexity, and should also consider how information will be collected and provided on the performance of the CSS and its strengthening </w:t>
      </w:r>
      <w:r w:rsidR="005E4DBC">
        <w:t>(see below).</w:t>
      </w:r>
    </w:p>
    <w:p w14:paraId="0619E8E0" w14:textId="186B681E" w:rsidR="002E02C2" w:rsidRDefault="002E02C2" w:rsidP="00C84530">
      <w:r>
        <w:rPr>
          <w:noProof/>
          <w:lang w:val="en-US"/>
        </w:rPr>
        <mc:AlternateContent>
          <mc:Choice Requires="wps">
            <w:drawing>
              <wp:anchor distT="0" distB="0" distL="114300" distR="114300" simplePos="0" relativeHeight="251668480" behindDoc="1" locked="0" layoutInCell="1" allowOverlap="1" wp14:anchorId="6B8617AB" wp14:editId="36A80E76">
                <wp:simplePos x="0" y="0"/>
                <wp:positionH relativeFrom="column">
                  <wp:posOffset>-114300</wp:posOffset>
                </wp:positionH>
                <wp:positionV relativeFrom="paragraph">
                  <wp:posOffset>198755</wp:posOffset>
                </wp:positionV>
                <wp:extent cx="6400800" cy="2171700"/>
                <wp:effectExtent l="0" t="0" r="25400" b="38100"/>
                <wp:wrapNone/>
                <wp:docPr id="45" name="Text Box 45"/>
                <wp:cNvGraphicFramePr/>
                <a:graphic xmlns:a="http://schemas.openxmlformats.org/drawingml/2006/main">
                  <a:graphicData uri="http://schemas.microsoft.com/office/word/2010/wordprocessingShape">
                    <wps:wsp>
                      <wps:cNvSpPr txBox="1"/>
                      <wps:spPr>
                        <a:xfrm>
                          <a:off x="0" y="0"/>
                          <a:ext cx="6400800" cy="2171700"/>
                        </a:xfrm>
                        <a:prstGeom prst="rect">
                          <a:avLst/>
                        </a:prstGeom>
                        <a:solidFill>
                          <a:schemeClr val="bg1">
                            <a:lumMod val="95000"/>
                          </a:schemeClr>
                        </a:solid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0ABD93" w14:textId="77777777" w:rsidR="00AD59B0" w:rsidRDefault="00AD59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43" type="#_x0000_t202" style="position:absolute;left:0;text-align:left;margin-left:-8.95pt;margin-top:15.65pt;width:7in;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" fillcolor="#f2f2f2 [3052]" strokecolor="black [3213]">
                <v:textbox>
                  <w:txbxContent>
                    <w:p w14:paraId="470ABD93" w14:textId="77777777" w:rsidR="00AD59B0" w:rsidRDefault="00AD59B0"/>
                  </w:txbxContent>
                </v:textbox>
              </v:shape>
            </w:pict>
          </mc:Fallback>
        </mc:AlternateContent>
      </w:r>
    </w:p>
    <w:p w14:paraId="1226B220" w14:textId="77777777" w:rsidR="002E02C2" w:rsidRDefault="002E02C2" w:rsidP="002E02C2">
      <w:pPr>
        <w:pStyle w:val="Heading4"/>
      </w:pPr>
      <w:r>
        <w:t>Existing Progress</w:t>
      </w:r>
    </w:p>
    <w:p w14:paraId="718C3C21" w14:textId="50EEEF34" w:rsidR="002E02C2" w:rsidRDefault="002E02C2" w:rsidP="002E02C2">
      <w:r>
        <w:t>Analysis of existing legislation has identified that, with specific revisions to and strengthening of implementation of the Environment Act, the FRTU Act, the PA Act and the Land and Titles Act (XXX) the majority of the UN-REDD SEPC can be addressed. It is proposed that the process of undertaking these amendments and strengthening implementation occur through a phased process within and across ministries. This phased process should start with full implementation of existing legislation based on an interpretation of legislation that promotes best practice</w:t>
      </w:r>
      <w:r w:rsidR="00AF6FF9">
        <w:rPr>
          <w:rStyle w:val="FootnoteReference"/>
        </w:rPr>
        <w:footnoteReference w:id="8"/>
      </w:r>
      <w:r>
        <w:t>, to support this process guidelines should also be developed</w:t>
      </w:r>
      <w:r w:rsidR="008E70C9">
        <w:rPr>
          <w:rStyle w:val="FootnoteReference"/>
        </w:rPr>
        <w:footnoteReference w:id="9"/>
      </w:r>
      <w:r>
        <w:t xml:space="preserve"> that can then be utilised to provide consistent guidance for revisions in legislation. It is proposed that this process be initiated first for REDD+ specific projects before the scope is broadened to focus on sector and national level action: </w:t>
      </w:r>
    </w:p>
    <w:p w14:paraId="2BEBBB45" w14:textId="53015E33" w:rsidR="002E02C2" w:rsidRDefault="00B75122" w:rsidP="002E02C2">
      <w:pPr>
        <w:pStyle w:val="Heading5"/>
      </w:pPr>
      <w:r>
        <w:rPr>
          <w:noProof/>
          <w:lang w:val="en-US"/>
        </w:rPr>
        <mc:AlternateContent>
          <mc:Choice Requires="wps">
            <w:drawing>
              <wp:anchor distT="0" distB="0" distL="114300" distR="114300" simplePos="0" relativeHeight="251670528" behindDoc="1" locked="0" layoutInCell="1" allowOverlap="1" wp14:anchorId="77C8C3EB" wp14:editId="46CBB931">
                <wp:simplePos x="0" y="0"/>
                <wp:positionH relativeFrom="column">
                  <wp:posOffset>-114300</wp:posOffset>
                </wp:positionH>
                <wp:positionV relativeFrom="paragraph">
                  <wp:posOffset>-114300</wp:posOffset>
                </wp:positionV>
                <wp:extent cx="6400800" cy="8343900"/>
                <wp:effectExtent l="0" t="0" r="25400" b="38100"/>
                <wp:wrapNone/>
                <wp:docPr id="46" name="Text Box 46"/>
                <wp:cNvGraphicFramePr/>
                <a:graphic xmlns:a="http://schemas.openxmlformats.org/drawingml/2006/main">
                  <a:graphicData uri="http://schemas.microsoft.com/office/word/2010/wordprocessingShape">
                    <wps:wsp>
                      <wps:cNvSpPr txBox="1"/>
                      <wps:spPr>
                        <a:xfrm>
                          <a:off x="0" y="0"/>
                          <a:ext cx="6400800" cy="8343900"/>
                        </a:xfrm>
                        <a:prstGeom prst="rect">
                          <a:avLst/>
                        </a:prstGeom>
                        <a:solidFill>
                          <a:schemeClr val="bg1">
                            <a:lumMod val="95000"/>
                          </a:schemeClr>
                        </a:solid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47C04D" w14:textId="77777777" w:rsidR="00AD59B0" w:rsidRDefault="00AD59B0" w:rsidP="002E0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44" type="#_x0000_t202" style="position:absolute;left:0;text-align:left;margin-left:-8.95pt;margin-top:-8.95pt;width:7in;height:6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" fillcolor="#f2f2f2 [3052]" strokecolor="black [3213]">
                <v:textbox>
                  <w:txbxContent>
                    <w:p w14:paraId="7E47C04D" w14:textId="77777777" w:rsidR="00AD59B0" w:rsidRDefault="00AD59B0" w:rsidP="002E02C2"/>
                  </w:txbxContent>
                </v:textbox>
              </v:shape>
            </w:pict>
          </mc:Fallback>
        </mc:AlternateContent>
      </w:r>
      <w:r w:rsidR="002E02C2">
        <w:t xml:space="preserve">Priority Actions </w:t>
      </w:r>
      <w:commentRangeStart w:id="22"/>
      <w:r w:rsidR="002E02C2">
        <w:t>Environment</w:t>
      </w:r>
      <w:commentRangeEnd w:id="22"/>
      <w:r w:rsidR="00355716">
        <w:rPr>
          <w:rStyle w:val="CommentReference"/>
          <w:rFonts w:eastAsia="MS Mincho"/>
          <w:color w:val="auto"/>
        </w:rPr>
        <w:commentReference w:id="22"/>
      </w:r>
      <w:r w:rsidR="002E02C2">
        <w:t xml:space="preserve">: </w:t>
      </w:r>
    </w:p>
    <w:p w14:paraId="0D7C1485" w14:textId="77777777" w:rsidR="002E02C2" w:rsidRPr="002E02C2" w:rsidRDefault="002E02C2" w:rsidP="002E02C2">
      <w:pPr>
        <w:rPr>
          <w:i/>
        </w:rPr>
      </w:pPr>
      <w:r w:rsidRPr="002E02C2">
        <w:rPr>
          <w:i/>
        </w:rPr>
        <w:t xml:space="preserve">Development Consent Process: </w:t>
      </w:r>
    </w:p>
    <w:p w14:paraId="11248662" w14:textId="0AF6DA31" w:rsidR="0072428A" w:rsidRPr="002E02C2" w:rsidRDefault="002E02C2" w:rsidP="002E02C2">
      <w:pPr>
        <w:pStyle w:val="ListParagraph"/>
        <w:numPr>
          <w:ilvl w:val="0"/>
          <w:numId w:val="89"/>
        </w:numPr>
        <w:ind w:left="360"/>
        <w:rPr>
          <w:rStyle w:val="SubtleEmphasis"/>
          <w:iCs w:val="0"/>
          <w:shd w:val="clear" w:color="auto" w:fill="auto"/>
        </w:rPr>
      </w:pPr>
      <w:r>
        <w:t xml:space="preserve">An EIS should be submitted for all operations within the forest sector </w:t>
      </w:r>
      <w:r w:rsidR="00355716">
        <w:t>(felling, milling, reforestation and</w:t>
      </w:r>
      <w:r w:rsidR="008E70C9">
        <w:t xml:space="preserve"> plantation development) </w:t>
      </w:r>
      <w:r>
        <w:t>with information addressing all elements laid out in Section XX</w:t>
      </w:r>
      <w:r w:rsidR="008E70C9">
        <w:t>X</w:t>
      </w:r>
      <w:r>
        <w:t xml:space="preserve"> of the Act and 32 of the regulations </w:t>
      </w:r>
    </w:p>
    <w:p w14:paraId="4144204A" w14:textId="00A9D733" w:rsidR="0072428A" w:rsidRDefault="0072428A" w:rsidP="002E02C2">
      <w:pPr>
        <w:pStyle w:val="ListParagraph"/>
        <w:numPr>
          <w:ilvl w:val="0"/>
          <w:numId w:val="89"/>
        </w:numPr>
        <w:ind w:left="360"/>
      </w:pPr>
      <w:r>
        <w:t>Further guidance should for the Development Consent process should be developed to ensure that all relevant criteria are addressed effectively within the process</w:t>
      </w:r>
      <w:r>
        <w:rPr>
          <w:rStyle w:val="FootnoteReference"/>
        </w:rPr>
        <w:footnoteReference w:id="10"/>
      </w:r>
      <w:r>
        <w:t xml:space="preserve">. </w:t>
      </w:r>
    </w:p>
    <w:p w14:paraId="49DC0CD3" w14:textId="2512F8E5" w:rsidR="00A34034" w:rsidRDefault="00A34034" w:rsidP="002E02C2">
      <w:pPr>
        <w:pStyle w:val="ListParagraph"/>
        <w:numPr>
          <w:ilvl w:val="0"/>
          <w:numId w:val="89"/>
        </w:numPr>
        <w:ind w:left="360"/>
      </w:pPr>
      <w:r>
        <w:t>Information on Development Consent Applications should be made publically available through an easily accessible filling system and data-base.</w:t>
      </w:r>
    </w:p>
    <w:p w14:paraId="78CD38CF" w14:textId="37D5AEBB" w:rsidR="00A34034" w:rsidRDefault="00A34034" w:rsidP="002E02C2">
      <w:pPr>
        <w:pStyle w:val="ListParagraph"/>
        <w:numPr>
          <w:ilvl w:val="0"/>
          <w:numId w:val="89"/>
        </w:numPr>
        <w:ind w:left="360"/>
      </w:pPr>
      <w:r>
        <w:t xml:space="preserve">Stakeholder engagement and consultation related to the development consent process should be undertaken in line with Guidelines for Stakeholder Engagement on REDD+. </w:t>
      </w:r>
    </w:p>
    <w:p w14:paraId="63E32728" w14:textId="7B65DA5D" w:rsidR="00A34034" w:rsidRDefault="00A34034" w:rsidP="009903AE">
      <w:r>
        <w:t>Based on application of these approaches and testing of guidance on the Development Consent process and Stakeholder engagement within the context of the Development Consent Process revisions should be made to the act and its regulations</w:t>
      </w:r>
      <w:r w:rsidR="002E02C2">
        <w:t xml:space="preserve"> to strengthen explicit commitment to key criteria</w:t>
      </w:r>
      <w:r>
        <w:t xml:space="preserve">. </w:t>
      </w:r>
    </w:p>
    <w:p w14:paraId="0D770AFD" w14:textId="2AED4049" w:rsidR="002E02C2" w:rsidRPr="002E02C2" w:rsidRDefault="002E02C2" w:rsidP="009903AE">
      <w:pPr>
        <w:rPr>
          <w:i/>
        </w:rPr>
      </w:pPr>
      <w:r w:rsidRPr="002E02C2">
        <w:rPr>
          <w:i/>
        </w:rPr>
        <w:t>Protected Areas</w:t>
      </w:r>
    </w:p>
    <w:p w14:paraId="635CA4C8" w14:textId="7318DB69" w:rsidR="002E02C2" w:rsidRDefault="002E02C2" w:rsidP="002E02C2">
      <w:pPr>
        <w:pStyle w:val="ListParagraph"/>
        <w:numPr>
          <w:ilvl w:val="0"/>
          <w:numId w:val="90"/>
        </w:numPr>
      </w:pPr>
      <w:r>
        <w:t xml:space="preserve">Guidance should be provided for consideration of the social and economic impacts of establishing a PA and proposing mitigation measures within management plan. </w:t>
      </w:r>
    </w:p>
    <w:p w14:paraId="1F414297" w14:textId="6CE629D8" w:rsidR="00AF6FF9" w:rsidRDefault="002E02C2" w:rsidP="009903AE">
      <w:r>
        <w:t xml:space="preserve">Once guidance has been tested revisions to the PA Act and regulations should be undertaken. </w:t>
      </w:r>
    </w:p>
    <w:p w14:paraId="25A46509" w14:textId="2EC4DD5E" w:rsidR="00AF6FF9" w:rsidRDefault="00AF6FF9" w:rsidP="00AF6FF9">
      <w:pPr>
        <w:pStyle w:val="Heading5"/>
      </w:pPr>
      <w:r>
        <w:t>Priority Actions Forestry</w:t>
      </w:r>
    </w:p>
    <w:p w14:paraId="61701CC9" w14:textId="6AA90B43" w:rsidR="00B75122" w:rsidRPr="00B75122" w:rsidRDefault="00B75122" w:rsidP="00AF6FF9">
      <w:pPr>
        <w:rPr>
          <w:i/>
        </w:rPr>
      </w:pPr>
      <w:r>
        <w:rPr>
          <w:i/>
        </w:rPr>
        <w:t xml:space="preserve">Full Application of FRTU Act </w:t>
      </w:r>
    </w:p>
    <w:p w14:paraId="1B0E242D" w14:textId="38E4A294" w:rsidR="00B75122" w:rsidRDefault="00B75122" w:rsidP="00355716">
      <w:pPr>
        <w:pStyle w:val="ListParagraph"/>
        <w:numPr>
          <w:ilvl w:val="0"/>
          <w:numId w:val="90"/>
        </w:numPr>
      </w:pPr>
      <w:r>
        <w:t xml:space="preserve">All Timber Rights Hearings occur following procedural guidance within the Guidelines for Stakeholder engagement on REDD+ or </w:t>
      </w:r>
      <w:r w:rsidR="008E70C9">
        <w:t>best practice based on voluntary standards</w:t>
      </w:r>
    </w:p>
    <w:p w14:paraId="3051627D" w14:textId="1D13BB52" w:rsidR="00355716" w:rsidRDefault="00355716" w:rsidP="00355716">
      <w:pPr>
        <w:pStyle w:val="ListParagraph"/>
        <w:numPr>
          <w:ilvl w:val="0"/>
          <w:numId w:val="90"/>
        </w:numPr>
      </w:pPr>
      <w:r>
        <w:t xml:space="preserve">All Timber Rights Agreements are signed following full process outlined in FRTU Act Schedule Form 4   </w:t>
      </w:r>
    </w:p>
    <w:p w14:paraId="7B531386" w14:textId="25D01B6C" w:rsidR="008E70C9" w:rsidRDefault="008E70C9" w:rsidP="00355716">
      <w:pPr>
        <w:pStyle w:val="ListParagraph"/>
        <w:numPr>
          <w:ilvl w:val="0"/>
          <w:numId w:val="90"/>
        </w:numPr>
      </w:pPr>
      <w:r>
        <w:t>Consultations on establishment of Forest Reserves and plantations occur following procedural guidance within the Guidelines for Stakeholder engagement on REDD+ or best practice based on voluntary standards</w:t>
      </w:r>
    </w:p>
    <w:p w14:paraId="54E03881" w14:textId="363DC8F4" w:rsidR="008E70C9" w:rsidRDefault="008E70C9" w:rsidP="00355716">
      <w:pPr>
        <w:pStyle w:val="ListParagraph"/>
        <w:numPr>
          <w:ilvl w:val="0"/>
          <w:numId w:val="90"/>
        </w:numPr>
      </w:pPr>
      <w:r>
        <w:t xml:space="preserve">Guidance developed for identification of rights holders for use within timber concessions and </w:t>
      </w:r>
    </w:p>
    <w:p w14:paraId="62C11695" w14:textId="31F859A5" w:rsidR="00355716" w:rsidRPr="00355716" w:rsidRDefault="00355716" w:rsidP="00AF6FF9">
      <w:pPr>
        <w:rPr>
          <w:i/>
        </w:rPr>
      </w:pPr>
      <w:r w:rsidRPr="00355716">
        <w:rPr>
          <w:i/>
        </w:rPr>
        <w:t>Development of additional systems for access to information at national level</w:t>
      </w:r>
    </w:p>
    <w:p w14:paraId="250D3C9D" w14:textId="5E04D7A6" w:rsidR="00B75122" w:rsidRDefault="00355716" w:rsidP="00355716">
      <w:pPr>
        <w:pStyle w:val="ListParagraph"/>
        <w:numPr>
          <w:ilvl w:val="0"/>
          <w:numId w:val="93"/>
        </w:numPr>
      </w:pPr>
      <w:r>
        <w:t xml:space="preserve">SOLFRIS data-base updated with information made publically available during office hours and work done to link information to an web platform. </w:t>
      </w:r>
    </w:p>
    <w:p w14:paraId="2485835E" w14:textId="60BB8B83" w:rsidR="00355716" w:rsidRDefault="00355716" w:rsidP="009903AE">
      <w:r>
        <w:t xml:space="preserve">Work undertaken within these areas should then be used to strengthen the review process for the FRTU Act or new forestry bill.  </w:t>
      </w:r>
    </w:p>
    <w:p w14:paraId="604C9F88" w14:textId="77777777" w:rsidR="00355716" w:rsidRDefault="00355716" w:rsidP="009903AE"/>
    <w:p w14:paraId="769113F9" w14:textId="36B8230E" w:rsidR="00355716" w:rsidRPr="00355716" w:rsidRDefault="00355716" w:rsidP="00355716">
      <w:pPr>
        <w:pStyle w:val="Heading5"/>
      </w:pPr>
      <w:r w:rsidRPr="00355716">
        <w:t>Cross cutting Areas</w:t>
      </w:r>
    </w:p>
    <w:p w14:paraId="33963A03" w14:textId="41B8A6A9" w:rsidR="008E70C9" w:rsidRDefault="008E70C9" w:rsidP="009903AE">
      <w:r>
        <w:t xml:space="preserve">It is recognised however that these measures may not capture all REDD+ developments at national level. As such a series of REDD+ specific safeguards are proposed from </w:t>
      </w:r>
    </w:p>
    <w:p w14:paraId="13151A2D" w14:textId="77777777" w:rsidR="008E70C9" w:rsidRPr="00AF6FF9" w:rsidRDefault="008E70C9" w:rsidP="008E70C9">
      <w:pPr>
        <w:rPr>
          <w:i/>
        </w:rPr>
      </w:pPr>
      <w:r w:rsidRPr="00AF6FF9">
        <w:rPr>
          <w:i/>
        </w:rPr>
        <w:t xml:space="preserve">Access to information </w:t>
      </w:r>
    </w:p>
    <w:p w14:paraId="4C440A9D" w14:textId="19CCEEF7" w:rsidR="008E70C9" w:rsidRDefault="008E70C9" w:rsidP="00355716">
      <w:pPr>
        <w:pStyle w:val="ListParagraph"/>
        <w:numPr>
          <w:ilvl w:val="0"/>
          <w:numId w:val="91"/>
        </w:numPr>
      </w:pPr>
      <w:r>
        <w:t>Ensure that all REDD+ funds at national and site level keep budgets, are subject to annual audits, with both annual finance reports and audit reports publically available. (C1)</w:t>
      </w:r>
    </w:p>
    <w:p w14:paraId="4950DB6C" w14:textId="2724F99C" w:rsidR="00355716" w:rsidRDefault="00355716" w:rsidP="00355716">
      <w:pPr>
        <w:pStyle w:val="ListParagraph"/>
        <w:numPr>
          <w:ilvl w:val="0"/>
          <w:numId w:val="91"/>
        </w:numPr>
      </w:pPr>
      <w:r>
        <w:rPr>
          <w:noProof/>
          <w:lang w:val="en-US"/>
        </w:rPr>
        <mc:AlternateContent>
          <mc:Choice Requires="wps">
            <w:drawing>
              <wp:anchor distT="0" distB="0" distL="114300" distR="114300" simplePos="0" relativeHeight="251672576" behindDoc="1" locked="0" layoutInCell="1" allowOverlap="1" wp14:anchorId="41A30F6E" wp14:editId="246978AA">
                <wp:simplePos x="0" y="0"/>
                <wp:positionH relativeFrom="column">
                  <wp:posOffset>-114300</wp:posOffset>
                </wp:positionH>
                <wp:positionV relativeFrom="paragraph">
                  <wp:posOffset>-114300</wp:posOffset>
                </wp:positionV>
                <wp:extent cx="6400800" cy="1485900"/>
                <wp:effectExtent l="0" t="0" r="25400" b="38100"/>
                <wp:wrapNone/>
                <wp:docPr id="47" name="Text Box 47"/>
                <wp:cNvGraphicFramePr/>
                <a:graphic xmlns:a="http://schemas.openxmlformats.org/drawingml/2006/main">
                  <a:graphicData uri="http://schemas.microsoft.com/office/word/2010/wordprocessingShape">
                    <wps:wsp>
                      <wps:cNvSpPr txBox="1"/>
                      <wps:spPr>
                        <a:xfrm>
                          <a:off x="0" y="0"/>
                          <a:ext cx="6400800" cy="1485900"/>
                        </a:xfrm>
                        <a:prstGeom prst="rect">
                          <a:avLst/>
                        </a:prstGeom>
                        <a:solidFill>
                          <a:schemeClr val="bg1">
                            <a:lumMod val="95000"/>
                          </a:schemeClr>
                        </a:solid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618B63" w14:textId="77777777" w:rsidR="00AD59B0" w:rsidRDefault="00AD59B0" w:rsidP="003557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45" type="#_x0000_t202" style="position:absolute;left:0;text-align:left;margin-left:-8.95pt;margin-top:-8.95pt;width:7in;height:11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" fillcolor="#f2f2f2 [3052]" strokecolor="black [3213]">
                <v:textbox>
                  <w:txbxContent>
                    <w:p w14:paraId="45618B63" w14:textId="77777777" w:rsidR="00AD59B0" w:rsidRDefault="00AD59B0" w:rsidP="00355716"/>
                  </w:txbxContent>
                </v:textbox>
              </v:shape>
            </w:pict>
          </mc:Fallback>
        </mc:AlternateContent>
      </w:r>
      <w:r>
        <w:t>Establish a REDD+ website which provides basis for access to information on National REDD+ Programme</w:t>
      </w:r>
    </w:p>
    <w:p w14:paraId="69580844" w14:textId="77777777" w:rsidR="008E70C9" w:rsidRDefault="008E70C9" w:rsidP="008E70C9">
      <w:pPr>
        <w:pStyle w:val="ListParagraph"/>
        <w:numPr>
          <w:ilvl w:val="0"/>
          <w:numId w:val="91"/>
        </w:numPr>
      </w:pPr>
      <w:r>
        <w:t>Undertake an awareness-raising programme related to REDD+ and linked to other CC and sustainable development objectives.</w:t>
      </w:r>
    </w:p>
    <w:p w14:paraId="65F84508" w14:textId="4A2F7CCF" w:rsidR="00355716" w:rsidRDefault="00355716" w:rsidP="008E70C9">
      <w:pPr>
        <w:pStyle w:val="ListParagraph"/>
        <w:numPr>
          <w:ilvl w:val="0"/>
          <w:numId w:val="91"/>
        </w:numPr>
      </w:pPr>
      <w:r>
        <w:t xml:space="preserve">Ensure all REDD+ policies and programmes are subject to an environmental and social impact assessment.  </w:t>
      </w:r>
    </w:p>
    <w:p w14:paraId="0EFBF6E1" w14:textId="77777777" w:rsidR="008E70C9" w:rsidRPr="00AF6FF9" w:rsidRDefault="008E70C9" w:rsidP="008E70C9">
      <w:pPr>
        <w:pStyle w:val="ListParagraph"/>
        <w:numPr>
          <w:ilvl w:val="0"/>
          <w:numId w:val="91"/>
        </w:numPr>
      </w:pPr>
      <w:r>
        <w:t>Ensure National REDD+ Committee is in place with self selected multi-stakeholder members</w:t>
      </w:r>
    </w:p>
    <w:p w14:paraId="733AD8A5" w14:textId="77777777" w:rsidR="008E70C9" w:rsidRDefault="008E70C9" w:rsidP="008E70C9">
      <w:pPr>
        <w:pStyle w:val="Heading5"/>
      </w:pPr>
    </w:p>
    <w:p w14:paraId="3A42416D" w14:textId="5B963BA9" w:rsidR="00C84530" w:rsidRPr="006C3B24" w:rsidRDefault="00C84530" w:rsidP="002B1BC0">
      <w:pPr>
        <w:pStyle w:val="Heading4"/>
      </w:pPr>
      <w:r>
        <w:t>Establishing a Safeguards Information System</w:t>
      </w:r>
      <w:r w:rsidRPr="006C3B24">
        <w:t xml:space="preserve"> </w:t>
      </w:r>
    </w:p>
    <w:p w14:paraId="74A044F0" w14:textId="77777777" w:rsidR="00C84530" w:rsidRDefault="00C84530" w:rsidP="00C84530">
      <w:pPr>
        <w:spacing w:before="0"/>
        <w:rPr>
          <w:lang w:val="en-US"/>
        </w:rPr>
      </w:pPr>
    </w:p>
    <w:p w14:paraId="1A8C117F" w14:textId="60EF89FA" w:rsidR="00C84530" w:rsidRPr="00AA4B89" w:rsidRDefault="00C84530" w:rsidP="00C84530">
      <w:pPr>
        <w:spacing w:before="0"/>
        <w:rPr>
          <w:lang w:val="en-US"/>
        </w:rPr>
      </w:pPr>
      <w:r>
        <w:rPr>
          <w:lang w:val="en-US"/>
        </w:rPr>
        <w:t>Decision 12/CP.17 of the UNFCCC</w:t>
      </w:r>
      <w:r w:rsidRPr="00AA4B89">
        <w:rPr>
          <w:lang w:val="en-US"/>
        </w:rPr>
        <w:t xml:space="preserve"> Durban Outcome</w:t>
      </w:r>
      <w:r>
        <w:rPr>
          <w:lang w:val="en-US"/>
        </w:rPr>
        <w:t>, states</w:t>
      </w:r>
      <w:r w:rsidRPr="00AA4B89">
        <w:rPr>
          <w:lang w:val="en-US"/>
        </w:rPr>
        <w:t xml:space="preserve"> that countries undertaking REDD+ activities should</w:t>
      </w:r>
      <w:r>
        <w:rPr>
          <w:lang w:val="en-US"/>
        </w:rPr>
        <w:t xml:space="preserve">, provide a </w:t>
      </w:r>
      <w:r w:rsidRPr="00AA4B89">
        <w:rPr>
          <w:lang w:val="en-US"/>
        </w:rPr>
        <w:t xml:space="preserve">summary </w:t>
      </w:r>
      <w:r w:rsidRPr="00AA4B89">
        <w:rPr>
          <w:bCs/>
          <w:lang w:val="en-US"/>
        </w:rPr>
        <w:t xml:space="preserve">of information </w:t>
      </w:r>
      <w:r>
        <w:rPr>
          <w:lang w:val="en-US"/>
        </w:rPr>
        <w:t>on how the</w:t>
      </w:r>
      <w:r w:rsidRPr="00AA4B89">
        <w:rPr>
          <w:lang w:val="en-US"/>
        </w:rPr>
        <w:t> safeguards identified within the Cancun Agreemen</w:t>
      </w:r>
      <w:r>
        <w:rPr>
          <w:lang w:val="en-US"/>
        </w:rPr>
        <w:t>t are</w:t>
      </w:r>
      <w:r w:rsidRPr="00AA4B89">
        <w:rPr>
          <w:lang w:val="en-US"/>
        </w:rPr>
        <w:t xml:space="preserve"> being </w:t>
      </w:r>
      <w:r w:rsidRPr="00AA4B89">
        <w:rPr>
          <w:b/>
          <w:bCs/>
          <w:lang w:val="en-US"/>
        </w:rPr>
        <w:t xml:space="preserve">addressed and respected. </w:t>
      </w:r>
      <w:r w:rsidRPr="00AA4B89">
        <w:rPr>
          <w:lang w:val="en-US"/>
        </w:rPr>
        <w:t xml:space="preserve">It also notes that systems for </w:t>
      </w:r>
      <w:r w:rsidRPr="00AA4B89">
        <w:rPr>
          <w:bCs/>
          <w:lang w:val="en-US"/>
        </w:rPr>
        <w:t xml:space="preserve">providing information </w:t>
      </w:r>
      <w:r w:rsidRPr="00AA4B89">
        <w:rPr>
          <w:lang w:val="en-US"/>
        </w:rPr>
        <w:t xml:space="preserve">on how the </w:t>
      </w:r>
      <w:r w:rsidRPr="00AA4B89">
        <w:rPr>
          <w:bCs/>
          <w:lang w:val="en-US"/>
        </w:rPr>
        <w:t>safeguards</w:t>
      </w:r>
      <w:r w:rsidRPr="00AA4B89">
        <w:rPr>
          <w:lang w:val="en-US"/>
        </w:rPr>
        <w:t> are addressed and respected should;</w:t>
      </w:r>
    </w:p>
    <w:p w14:paraId="0A880277" w14:textId="77777777" w:rsidR="00C84530" w:rsidRPr="00AA4B89" w:rsidRDefault="00C84530" w:rsidP="00C84530">
      <w:pPr>
        <w:numPr>
          <w:ilvl w:val="0"/>
          <w:numId w:val="2"/>
        </w:numPr>
        <w:spacing w:before="60"/>
        <w:ind w:left="714" w:hanging="357"/>
        <w:rPr>
          <w:lang w:val="en-US"/>
        </w:rPr>
      </w:pPr>
      <w:r w:rsidRPr="00AA4B89">
        <w:rPr>
          <w:lang w:val="en-US"/>
        </w:rPr>
        <w:t xml:space="preserve">Be </w:t>
      </w:r>
      <w:r w:rsidRPr="00AA4B89">
        <w:rPr>
          <w:b/>
          <w:bCs/>
          <w:lang w:val="en-US"/>
        </w:rPr>
        <w:t xml:space="preserve">consistent </w:t>
      </w:r>
      <w:r w:rsidRPr="00AA4B89">
        <w:rPr>
          <w:lang w:val="en-US"/>
        </w:rPr>
        <w:t xml:space="preserve">with the guidance identified in decision 1/CP.16, appendix I, paragraph 1 </w:t>
      </w:r>
    </w:p>
    <w:p w14:paraId="1ED35418" w14:textId="77777777" w:rsidR="00C84530" w:rsidRPr="00AA4B89" w:rsidRDefault="00C84530" w:rsidP="00C84530">
      <w:pPr>
        <w:numPr>
          <w:ilvl w:val="0"/>
          <w:numId w:val="2"/>
        </w:numPr>
        <w:spacing w:before="60"/>
        <w:ind w:left="714" w:hanging="357"/>
        <w:rPr>
          <w:lang w:val="en-US"/>
        </w:rPr>
      </w:pPr>
      <w:r w:rsidRPr="00AA4B89">
        <w:rPr>
          <w:lang w:val="en-US"/>
        </w:rPr>
        <w:t xml:space="preserve">Provide </w:t>
      </w:r>
      <w:r w:rsidRPr="00AA4B89">
        <w:rPr>
          <w:b/>
          <w:bCs/>
          <w:lang w:val="en-US"/>
        </w:rPr>
        <w:t xml:space="preserve">transparent and consistent </w:t>
      </w:r>
      <w:r w:rsidRPr="00AA4B89">
        <w:rPr>
          <w:lang w:val="en-US"/>
        </w:rPr>
        <w:t xml:space="preserve">information that is </w:t>
      </w:r>
      <w:r w:rsidRPr="00AA4B89">
        <w:rPr>
          <w:b/>
          <w:bCs/>
          <w:lang w:val="en-US"/>
        </w:rPr>
        <w:t xml:space="preserve">accessible </w:t>
      </w:r>
      <w:r w:rsidRPr="00AA4B89">
        <w:rPr>
          <w:lang w:val="en-US"/>
        </w:rPr>
        <w:t xml:space="preserve">by all relevant stakeholders and updated on a regular basis </w:t>
      </w:r>
    </w:p>
    <w:p w14:paraId="2C4DCD6C" w14:textId="77777777" w:rsidR="00C84530" w:rsidRPr="00AA4B89" w:rsidRDefault="00C84530" w:rsidP="00C84530">
      <w:pPr>
        <w:numPr>
          <w:ilvl w:val="0"/>
          <w:numId w:val="2"/>
        </w:numPr>
        <w:spacing w:before="60"/>
        <w:ind w:left="714" w:hanging="357"/>
        <w:rPr>
          <w:lang w:val="en-US"/>
        </w:rPr>
      </w:pPr>
      <w:r w:rsidRPr="00AA4B89">
        <w:rPr>
          <w:lang w:val="en-US"/>
        </w:rPr>
        <w:t xml:space="preserve">Be </w:t>
      </w:r>
      <w:r w:rsidRPr="00AA4B89">
        <w:rPr>
          <w:b/>
          <w:bCs/>
          <w:lang w:val="en-US"/>
        </w:rPr>
        <w:t xml:space="preserve">transparent and flexible </w:t>
      </w:r>
      <w:r w:rsidRPr="00AA4B89">
        <w:rPr>
          <w:lang w:val="en-US"/>
        </w:rPr>
        <w:t>to allow for improvements over time</w:t>
      </w:r>
    </w:p>
    <w:p w14:paraId="3FCE849F" w14:textId="77777777" w:rsidR="00C84530" w:rsidRPr="00AA4B89" w:rsidRDefault="00C84530" w:rsidP="00C84530">
      <w:pPr>
        <w:numPr>
          <w:ilvl w:val="0"/>
          <w:numId w:val="2"/>
        </w:numPr>
        <w:spacing w:before="60"/>
        <w:ind w:left="714" w:hanging="357"/>
        <w:rPr>
          <w:lang w:val="en-US"/>
        </w:rPr>
      </w:pPr>
      <w:r w:rsidRPr="00AA4B89">
        <w:rPr>
          <w:b/>
          <w:bCs/>
          <w:lang w:val="en-US"/>
        </w:rPr>
        <w:t xml:space="preserve">Provide information </w:t>
      </w:r>
      <w:r w:rsidRPr="00AA4B89">
        <w:rPr>
          <w:lang w:val="en-US"/>
        </w:rPr>
        <w:t xml:space="preserve">on how all of the safeguards are being addressed and respected </w:t>
      </w:r>
    </w:p>
    <w:p w14:paraId="70C2A02D" w14:textId="77777777" w:rsidR="00C84530" w:rsidRPr="00AA4B89" w:rsidRDefault="00C84530" w:rsidP="00C84530">
      <w:pPr>
        <w:numPr>
          <w:ilvl w:val="0"/>
          <w:numId w:val="2"/>
        </w:numPr>
        <w:spacing w:before="60"/>
        <w:ind w:left="714" w:hanging="357"/>
        <w:rPr>
          <w:lang w:val="en-US"/>
        </w:rPr>
      </w:pPr>
      <w:r w:rsidRPr="00AA4B89">
        <w:rPr>
          <w:lang w:val="en-US"/>
        </w:rPr>
        <w:t xml:space="preserve">Be </w:t>
      </w:r>
      <w:r w:rsidRPr="00AA4B89">
        <w:rPr>
          <w:b/>
          <w:bCs/>
          <w:lang w:val="en-US"/>
        </w:rPr>
        <w:t xml:space="preserve">country-driven </w:t>
      </w:r>
      <w:r w:rsidRPr="00AA4B89">
        <w:rPr>
          <w:lang w:val="en-US"/>
        </w:rPr>
        <w:t xml:space="preserve">and implemented at the national level </w:t>
      </w:r>
    </w:p>
    <w:p w14:paraId="7587C512" w14:textId="77777777" w:rsidR="00C84530" w:rsidRPr="005D3E7A" w:rsidRDefault="00C84530" w:rsidP="00C84530">
      <w:pPr>
        <w:numPr>
          <w:ilvl w:val="0"/>
          <w:numId w:val="2"/>
        </w:numPr>
        <w:spacing w:before="60"/>
        <w:ind w:left="714" w:hanging="357"/>
        <w:rPr>
          <w:lang w:val="en-US"/>
        </w:rPr>
      </w:pPr>
      <w:r w:rsidRPr="00AA4B89">
        <w:rPr>
          <w:b/>
          <w:bCs/>
          <w:lang w:val="en-US"/>
        </w:rPr>
        <w:t xml:space="preserve">Build upon existing systems, </w:t>
      </w:r>
      <w:r w:rsidRPr="00AA4B89">
        <w:rPr>
          <w:lang w:val="en-US"/>
        </w:rPr>
        <w:t>as appropriate</w:t>
      </w:r>
    </w:p>
    <w:p w14:paraId="157BA19D" w14:textId="608D228C" w:rsidR="00C84530" w:rsidRDefault="00C84530" w:rsidP="00C84530">
      <w:r>
        <w:t xml:space="preserve">As such the REDD+ CSS Framework should also be accompanied with a system for providing information that is inline with guidance provided under the UN-FCCC. </w:t>
      </w:r>
    </w:p>
    <w:p w14:paraId="1AD4CB04" w14:textId="22741272" w:rsidR="00C84530" w:rsidRDefault="00C84530" w:rsidP="00C84530">
      <w:r>
        <w:t xml:space="preserve">A safeguard information system (SIS) is anticipated to take the form of a series of criteria, which represent the key focus areas of the CSS and performance indicators, which provide information on the application of safeguards and the impact they are having. These indicators can be grouped into three main categories: </w:t>
      </w:r>
    </w:p>
    <w:p w14:paraId="707D18D0" w14:textId="384FF0B5" w:rsidR="00C84530" w:rsidRPr="002F6513" w:rsidRDefault="00C84530" w:rsidP="006B087B">
      <w:pPr>
        <w:numPr>
          <w:ilvl w:val="0"/>
          <w:numId w:val="19"/>
        </w:numPr>
        <w:rPr>
          <w:lang w:val="en-US"/>
        </w:rPr>
      </w:pPr>
      <w:r w:rsidRPr="002F6513">
        <w:rPr>
          <w:i/>
          <w:lang w:val="en-US"/>
        </w:rPr>
        <w:t>Systems indicators:</w:t>
      </w:r>
      <w:r w:rsidRPr="002F6513">
        <w:rPr>
          <w:lang w:val="en-US"/>
        </w:rPr>
        <w:t xml:space="preserve"> </w:t>
      </w:r>
      <w:r>
        <w:rPr>
          <w:lang w:val="en-US"/>
        </w:rPr>
        <w:t>these provid</w:t>
      </w:r>
      <w:r w:rsidR="0075041E">
        <w:rPr>
          <w:lang w:val="en-US"/>
        </w:rPr>
        <w:t>e information on the presence of</w:t>
      </w:r>
      <w:r>
        <w:rPr>
          <w:lang w:val="en-US"/>
        </w:rPr>
        <w:t xml:space="preserve"> specific elements </w:t>
      </w:r>
      <w:r w:rsidRPr="002F6513">
        <w:rPr>
          <w:lang w:val="en-US"/>
        </w:rPr>
        <w:t xml:space="preserve">of the legal, institutional and compliance framework </w:t>
      </w:r>
      <w:r>
        <w:rPr>
          <w:lang w:val="en-US"/>
        </w:rPr>
        <w:t xml:space="preserve">which </w:t>
      </w:r>
      <w:r w:rsidRPr="002F6513">
        <w:rPr>
          <w:lang w:val="en-US"/>
        </w:rPr>
        <w:t xml:space="preserve">support the implementation of the safeguards. </w:t>
      </w:r>
    </w:p>
    <w:p w14:paraId="0A2DE4E4" w14:textId="77777777" w:rsidR="00C84530" w:rsidRPr="002F6513" w:rsidRDefault="00C84530" w:rsidP="006B087B">
      <w:pPr>
        <w:numPr>
          <w:ilvl w:val="0"/>
          <w:numId w:val="19"/>
        </w:numPr>
        <w:rPr>
          <w:lang w:val="en-US"/>
        </w:rPr>
      </w:pPr>
      <w:r w:rsidRPr="002F6513">
        <w:rPr>
          <w:i/>
          <w:lang w:val="en-US"/>
        </w:rPr>
        <w:t>Process indicators:</w:t>
      </w:r>
      <w:r w:rsidRPr="002F6513">
        <w:rPr>
          <w:lang w:val="en-US"/>
        </w:rPr>
        <w:t xml:space="preserve"> </w:t>
      </w:r>
      <w:r>
        <w:rPr>
          <w:lang w:val="en-US"/>
        </w:rPr>
        <w:t>these provide information on the application of the systems put in place as part of the CSS – for example number of EIS submitted</w:t>
      </w:r>
      <w:r w:rsidRPr="002F6513">
        <w:rPr>
          <w:lang w:val="en-US"/>
        </w:rPr>
        <w:t xml:space="preserve">. </w:t>
      </w:r>
    </w:p>
    <w:p w14:paraId="1DB2C616" w14:textId="77777777" w:rsidR="00C84530" w:rsidRPr="002F6513" w:rsidRDefault="00C84530" w:rsidP="006B087B">
      <w:pPr>
        <w:numPr>
          <w:ilvl w:val="0"/>
          <w:numId w:val="19"/>
        </w:numPr>
        <w:rPr>
          <w:lang w:val="en-US"/>
        </w:rPr>
      </w:pPr>
      <w:r w:rsidRPr="002F6513">
        <w:rPr>
          <w:i/>
          <w:lang w:val="en-US"/>
        </w:rPr>
        <w:t>Outcome indicators:</w:t>
      </w:r>
      <w:r w:rsidRPr="002F6513">
        <w:rPr>
          <w:lang w:val="en-US"/>
        </w:rPr>
        <w:t xml:space="preserve"> </w:t>
      </w:r>
      <w:r>
        <w:rPr>
          <w:lang w:val="en-US"/>
        </w:rPr>
        <w:t>these provide information on the actual results of the CSS in terms of ensuring no-harm is done and multiple benefits are realized (these are often some of the most challenging to realise).</w:t>
      </w:r>
      <w:r w:rsidRPr="002F6513">
        <w:rPr>
          <w:lang w:val="en-US"/>
        </w:rPr>
        <w:t xml:space="preserve"> </w:t>
      </w:r>
    </w:p>
    <w:p w14:paraId="6E6609DD" w14:textId="2DB46D5B" w:rsidR="00C84530" w:rsidRDefault="00C84530" w:rsidP="00C84530">
      <w:r>
        <w:t xml:space="preserve">Reporting on different types of indicator can occur on different time frames, systems indicators may often only need to be reported once (as the system is either in place or not), process indicators may need to be updated more regularly to demonstrate that systems are functioning, whereas outcome indicators may only be assessed over longer time periods (potentially several years) as it is only after this time that impact can truly be seen. Once again the process of identifying indicators should be linked with consideration of existing, activity, sector, national and international level reporting to commitments to identify where efficiencies can be achieved and work on REDD+ can further strengthen existing commitments.  </w:t>
      </w:r>
    </w:p>
    <w:p w14:paraId="7705A51E" w14:textId="6CF09E41" w:rsidR="00E67108" w:rsidRDefault="00C84530" w:rsidP="00945200">
      <w:r>
        <w:t>It is also recognised that achievement of a comprehensive, fully operational and effective CSS may take time to develop as capacities are built and legislation developed. As such it may also be relevant to identify indicators related to the strengthening of the CSS to reach the standards desired. Clear progress against such indicators will enable a country, whose CSS is still under development to illustrate that they are taking measures to address and respect the Cancun Safeguards.</w:t>
      </w:r>
      <w:r w:rsidR="000E7137">
        <w:t xml:space="preserve"> </w:t>
      </w:r>
    </w:p>
    <w:p w14:paraId="278EAEBF" w14:textId="4DA07B95" w:rsidR="002B1BC0" w:rsidRDefault="00814AD8" w:rsidP="002B1BC0">
      <w:pPr>
        <w:pStyle w:val="Heading4"/>
      </w:pPr>
      <w:r>
        <w:rPr>
          <w:noProof/>
          <w:lang w:val="en-US"/>
        </w:rPr>
        <mc:AlternateContent>
          <mc:Choice Requires="wps">
            <w:drawing>
              <wp:anchor distT="0" distB="0" distL="114300" distR="114300" simplePos="0" relativeHeight="251676672" behindDoc="1" locked="0" layoutInCell="1" allowOverlap="1" wp14:anchorId="7D959A58" wp14:editId="3079AC59">
                <wp:simplePos x="0" y="0"/>
                <wp:positionH relativeFrom="column">
                  <wp:posOffset>-114300</wp:posOffset>
                </wp:positionH>
                <wp:positionV relativeFrom="paragraph">
                  <wp:posOffset>-114300</wp:posOffset>
                </wp:positionV>
                <wp:extent cx="6400800" cy="6286500"/>
                <wp:effectExtent l="0" t="0" r="25400" b="38100"/>
                <wp:wrapNone/>
                <wp:docPr id="49" name="Text Box 49"/>
                <wp:cNvGraphicFramePr/>
                <a:graphic xmlns:a="http://schemas.openxmlformats.org/drawingml/2006/main">
                  <a:graphicData uri="http://schemas.microsoft.com/office/word/2010/wordprocessingShape">
                    <wps:wsp>
                      <wps:cNvSpPr txBox="1"/>
                      <wps:spPr>
                        <a:xfrm>
                          <a:off x="0" y="0"/>
                          <a:ext cx="6400800" cy="6286500"/>
                        </a:xfrm>
                        <a:prstGeom prst="rect">
                          <a:avLst/>
                        </a:prstGeom>
                        <a:solidFill>
                          <a:schemeClr val="bg1">
                            <a:lumMod val="95000"/>
                          </a:schemeClr>
                        </a:solid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14F35A" w14:textId="77777777" w:rsidR="00AD59B0" w:rsidRDefault="00AD59B0" w:rsidP="002B1B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46" type="#_x0000_t202" style="position:absolute;left:0;text-align:left;margin-left:-8.95pt;margin-top:-8.95pt;width:7in;height:4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" fillcolor="#f2f2f2 [3052]" strokecolor="black [3213]">
                <v:textbox>
                  <w:txbxContent>
                    <w:p w14:paraId="0514F35A" w14:textId="77777777" w:rsidR="00AD59B0" w:rsidRDefault="00AD59B0" w:rsidP="002B1BC0"/>
                  </w:txbxContent>
                </v:textbox>
              </v:shape>
            </w:pict>
          </mc:Fallback>
        </mc:AlternateContent>
      </w:r>
      <w:r w:rsidR="002B1BC0">
        <w:t>Existing Progress</w:t>
      </w:r>
    </w:p>
    <w:p w14:paraId="4E2322C7" w14:textId="15499234" w:rsidR="00945200" w:rsidRDefault="002B1BC0" w:rsidP="00945200">
      <w:r>
        <w:t xml:space="preserve">Provision of information on the implementation of the REDD+ CSS should be based on allocation of a series of indicators related to the framework of policies, laws and measures identified. As the REDD+ CSS is under development these are going to be a mixture of systems indicators (linked to the development of legislation and systems), process indicators (linked to application of the systems), and outcome indicators (related to the outcome of the application of safeguards). </w:t>
      </w:r>
    </w:p>
    <w:p w14:paraId="047BD142" w14:textId="283BBF18" w:rsidR="001F4370" w:rsidRDefault="001F4370" w:rsidP="00945200">
      <w:r>
        <w:t>Proposed indicators</w:t>
      </w:r>
      <w:r w:rsidR="002B1BC0">
        <w:t xml:space="preserve"> under each Criteria are provided in Annex 1</w:t>
      </w:r>
      <w:r>
        <w:t xml:space="preserve">. </w:t>
      </w:r>
      <w:r w:rsidR="002B1BC0">
        <w:t xml:space="preserve"> </w:t>
      </w:r>
      <w:r>
        <w:t xml:space="preserve">These cover all three areas but are focused on systems indicators, relating to delivery of recommendations for strengthening safeguards and their application, and process indicators related to the implementation of existing or recommended systems. In this latter category effective management of information within three areas will provide the majority of data relevant to process indicators. These are: </w:t>
      </w:r>
    </w:p>
    <w:p w14:paraId="5B108009" w14:textId="5748FD12" w:rsidR="001F4370" w:rsidRDefault="001F4370" w:rsidP="001F4370">
      <w:pPr>
        <w:pStyle w:val="ListParagraph"/>
        <w:numPr>
          <w:ilvl w:val="0"/>
          <w:numId w:val="94"/>
        </w:numPr>
      </w:pPr>
      <w:r w:rsidRPr="00A1210A">
        <w:rPr>
          <w:i/>
        </w:rPr>
        <w:t>Data-base on Development Consent Applications</w:t>
      </w:r>
      <w:r>
        <w:t xml:space="preserve"> – already mandated by the Environment a publically accessible data base of Development Consent information will provide</w:t>
      </w:r>
      <w:r w:rsidR="00A1210A">
        <w:t xml:space="preserve"> information on the safeguard processes providing public record that safeguards are being followed in line with legislation and guidance.</w:t>
      </w:r>
    </w:p>
    <w:p w14:paraId="3A317FFB" w14:textId="543459CD" w:rsidR="001F4370" w:rsidRDefault="001F4370" w:rsidP="001F4370">
      <w:pPr>
        <w:pStyle w:val="ListParagraph"/>
        <w:numPr>
          <w:ilvl w:val="0"/>
          <w:numId w:val="94"/>
        </w:numPr>
      </w:pPr>
      <w:r w:rsidRPr="00A1210A">
        <w:rPr>
          <w:i/>
        </w:rPr>
        <w:t>Data-base on Protected Areas</w:t>
      </w:r>
      <w:r>
        <w:t xml:space="preserve"> – </w:t>
      </w:r>
      <w:r w:rsidR="00A1210A">
        <w:t xml:space="preserve">the need to maintain a register of PAs is already a requirement of the PA Act. Providing public access to this information will both be part of achieving increased transparency and access to information and a means of showing the legislation and guidance on PA establishment is being followed.  </w:t>
      </w:r>
    </w:p>
    <w:p w14:paraId="5AAAC041" w14:textId="78315F8B" w:rsidR="001F4370" w:rsidRDefault="001F4370" w:rsidP="001F4370">
      <w:pPr>
        <w:pStyle w:val="ListParagraph"/>
        <w:numPr>
          <w:ilvl w:val="0"/>
          <w:numId w:val="94"/>
        </w:numPr>
      </w:pPr>
      <w:r w:rsidRPr="00A1210A">
        <w:rPr>
          <w:i/>
        </w:rPr>
        <w:t>Data-base on Forest Reserves</w:t>
      </w:r>
      <w:r w:rsidR="00A1210A">
        <w:rPr>
          <w:i/>
        </w:rPr>
        <w:t xml:space="preserve">, </w:t>
      </w:r>
      <w:r w:rsidRPr="00A1210A">
        <w:rPr>
          <w:i/>
        </w:rPr>
        <w:t>Timber Licenses (SOLFRIS)</w:t>
      </w:r>
      <w:r w:rsidR="00A1210A">
        <w:rPr>
          <w:i/>
        </w:rPr>
        <w:t xml:space="preserve"> and Forest Cover and Forest Carbon and Timber Stock</w:t>
      </w:r>
      <w:r>
        <w:t xml:space="preserve"> </w:t>
      </w:r>
      <w:r w:rsidR="00A1210A">
        <w:t>– not currently required under the FRTU Act a data base of information on forest reserves, timber licenses (felling and milling) and existing forest cover and carbon stock would also increase transparency and access to information while providing key information on application of safeguards under the existing act and potentially under a future revised Forestry Bill.</w:t>
      </w:r>
    </w:p>
    <w:p w14:paraId="1DE7D50C" w14:textId="192B3DC7" w:rsidR="001F4370" w:rsidRDefault="001F4370" w:rsidP="001F4370">
      <w:r>
        <w:t>These can be linked to provide a central database of information</w:t>
      </w:r>
      <w:r w:rsidR="00A1210A">
        <w:t xml:space="preserve"> on land-use and the application of safeguards across the country. </w:t>
      </w:r>
    </w:p>
    <w:p w14:paraId="62A8E23D" w14:textId="3641431B" w:rsidR="00A1210A" w:rsidRDefault="001F4370" w:rsidP="001F4370">
      <w:r>
        <w:t>Outcome indicator information can also be drawn from existing reporting requirements under both domestic and international commitments</w:t>
      </w:r>
      <w:r w:rsidR="00A1210A">
        <w:t xml:space="preserve">. Key existing domestic reporting requirements include: </w:t>
      </w:r>
    </w:p>
    <w:p w14:paraId="292B22B3" w14:textId="70352797" w:rsidR="00A1210A" w:rsidRDefault="00A1210A" w:rsidP="00814AD8">
      <w:pPr>
        <w:pStyle w:val="ListParagraph"/>
        <w:numPr>
          <w:ilvl w:val="0"/>
          <w:numId w:val="95"/>
        </w:numPr>
      </w:pPr>
      <w:commentRangeStart w:id="24"/>
      <w:r w:rsidRPr="00814AD8">
        <w:rPr>
          <w:i/>
        </w:rPr>
        <w:t>State</w:t>
      </w:r>
      <w:commentRangeEnd w:id="24"/>
      <w:r w:rsidR="00293771">
        <w:rPr>
          <w:rStyle w:val="CommentReference"/>
          <w:rFonts w:eastAsia="MS Mincho"/>
        </w:rPr>
        <w:commentReference w:id="24"/>
      </w:r>
      <w:r w:rsidRPr="00814AD8">
        <w:rPr>
          <w:i/>
        </w:rPr>
        <w:t xml:space="preserve"> of the Environment Report</w:t>
      </w:r>
      <w:r>
        <w:t xml:space="preserve"> – required under the Environment Act to be published on a tri</w:t>
      </w:r>
      <w:r w:rsidR="00814AD8">
        <w:t>-</w:t>
      </w:r>
      <w:r>
        <w:t xml:space="preserve">annual basis the report can provide updates on the state of the environment drawn from a range of different sources. </w:t>
      </w:r>
    </w:p>
    <w:p w14:paraId="2CAC8555" w14:textId="03FC3B4B" w:rsidR="001F4370" w:rsidRDefault="00A1210A" w:rsidP="001F4370">
      <w:r>
        <w:t xml:space="preserve">Further information on existing commitments at national and international levels is provided in Annex 3. </w:t>
      </w:r>
      <w:r w:rsidR="001F4370">
        <w:t xml:space="preserve"> </w:t>
      </w:r>
    </w:p>
    <w:p w14:paraId="490C2ACE" w14:textId="71546480" w:rsidR="002B1BC0" w:rsidRDefault="002B1BC0" w:rsidP="00945200"/>
    <w:p w14:paraId="72D30EAE" w14:textId="77777777" w:rsidR="002B1BC0" w:rsidRDefault="002B1BC0" w:rsidP="00945200"/>
    <w:p w14:paraId="25E70DFE" w14:textId="77777777" w:rsidR="002B1BC0" w:rsidRDefault="002B1BC0" w:rsidP="00945200"/>
    <w:p w14:paraId="25A3BE7A" w14:textId="6C74D7E7" w:rsidR="000E7137" w:rsidRDefault="000E7137" w:rsidP="00945200"/>
    <w:p w14:paraId="14F2B8C6" w14:textId="5EAF94CF" w:rsidR="00945200" w:rsidRDefault="00945200" w:rsidP="00945200"/>
    <w:p w14:paraId="4AD21727" w14:textId="6E49814F" w:rsidR="00945200" w:rsidRDefault="00945200" w:rsidP="00945200">
      <w:pPr>
        <w:sectPr w:rsidR="00945200" w:rsidSect="00AA4B89">
          <w:pgSz w:w="11900" w:h="16840"/>
          <w:pgMar w:top="1440" w:right="1080" w:bottom="1440" w:left="1080" w:header="708" w:footer="708" w:gutter="0"/>
          <w:cols w:space="708"/>
          <w:docGrid w:linePitch="360"/>
        </w:sectPr>
      </w:pPr>
    </w:p>
    <w:p w14:paraId="2011C85F" w14:textId="254107B9" w:rsidR="00945200" w:rsidRPr="00945200" w:rsidRDefault="00945200" w:rsidP="00945200">
      <w:r>
        <w:rPr>
          <w:i/>
          <w:noProof/>
          <w:lang w:val="en-US"/>
        </w:rPr>
        <mc:AlternateContent>
          <mc:Choice Requires="wps">
            <w:drawing>
              <wp:inline distT="0" distB="0" distL="0" distR="0" wp14:anchorId="6008A3EF" wp14:editId="14C728A5">
                <wp:extent cx="6184900" cy="1203325"/>
                <wp:effectExtent l="50800" t="25400" r="88900" b="92075"/>
                <wp:docPr id="39" name="Down Arrow Callout 39"/>
                <wp:cNvGraphicFramePr/>
                <a:graphic xmlns:a="http://schemas.openxmlformats.org/drawingml/2006/main">
                  <a:graphicData uri="http://schemas.microsoft.com/office/word/2010/wordprocessingShape">
                    <wps:wsp>
                      <wps:cNvSpPr/>
                      <wps:spPr>
                        <a:xfrm>
                          <a:off x="0" y="0"/>
                          <a:ext cx="6184900" cy="1203325"/>
                        </a:xfrm>
                        <a:prstGeom prst="downArrowCallout">
                          <a:avLst>
                            <a:gd name="adj1" fmla="val 25000"/>
                            <a:gd name="adj2" fmla="val 25000"/>
                            <a:gd name="adj3" fmla="val 19915"/>
                            <a:gd name="adj4" fmla="val 68367"/>
                          </a:avLst>
                        </a:prstGeom>
                        <a:gradFill flip="none" rotWithShape="1">
                          <a:gsLst>
                            <a:gs pos="0">
                              <a:schemeClr val="bg1">
                                <a:lumMod val="95000"/>
                              </a:schemeClr>
                            </a:gs>
                            <a:gs pos="100000">
                              <a:schemeClr val="bg1">
                                <a:lumMod val="75000"/>
                              </a:schemeClr>
                            </a:gs>
                          </a:gsLst>
                          <a:lin ang="0" scaled="1"/>
                          <a:tileRect/>
                        </a:grad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0C11B18" w14:textId="77777777" w:rsidR="00AD59B0" w:rsidRPr="00945200" w:rsidRDefault="00AD59B0" w:rsidP="00945200">
                            <w:pPr>
                              <w:spacing w:before="60"/>
                              <w:jc w:val="left"/>
                              <w:rPr>
                                <w:b/>
                                <w:color w:val="000000" w:themeColor="text1"/>
                                <w:sz w:val="28"/>
                                <w:lang w:val="en-US"/>
                              </w:rPr>
                            </w:pPr>
                            <w:r w:rsidRPr="00945200">
                              <w:rPr>
                                <w:b/>
                                <w:color w:val="000000" w:themeColor="text1"/>
                                <w:sz w:val="28"/>
                                <w:lang w:val="en-US"/>
                              </w:rPr>
                              <w:t>Step Four: Deliver Workplan:</w:t>
                            </w:r>
                          </w:p>
                          <w:p w14:paraId="43E8C0F7" w14:textId="77777777" w:rsidR="00AD59B0" w:rsidRPr="00945200" w:rsidRDefault="00AD59B0" w:rsidP="006B087B">
                            <w:pPr>
                              <w:numPr>
                                <w:ilvl w:val="0"/>
                                <w:numId w:val="16"/>
                              </w:numPr>
                              <w:spacing w:before="60"/>
                              <w:ind w:left="357" w:hanging="357"/>
                              <w:jc w:val="left"/>
                              <w:rPr>
                                <w:color w:val="000000" w:themeColor="text1"/>
                                <w:lang w:val="en-US"/>
                              </w:rPr>
                            </w:pPr>
                            <w:r w:rsidRPr="00945200">
                              <w:rPr>
                                <w:color w:val="000000" w:themeColor="text1"/>
                                <w:lang w:val="en-US"/>
                              </w:rPr>
                              <w:t>Implement workplan</w:t>
                            </w:r>
                          </w:p>
                          <w:p w14:paraId="533F9DA5" w14:textId="77777777" w:rsidR="00AD59B0" w:rsidRPr="00945200" w:rsidRDefault="00AD59B0" w:rsidP="006B087B">
                            <w:pPr>
                              <w:numPr>
                                <w:ilvl w:val="0"/>
                                <w:numId w:val="16"/>
                              </w:numPr>
                              <w:spacing w:before="60"/>
                              <w:ind w:left="357" w:hanging="357"/>
                              <w:jc w:val="left"/>
                              <w:rPr>
                                <w:color w:val="000000" w:themeColor="text1"/>
                                <w:lang w:val="en-US"/>
                              </w:rPr>
                            </w:pPr>
                            <w:r w:rsidRPr="00945200">
                              <w:rPr>
                                <w:color w:val="000000" w:themeColor="text1"/>
                                <w:lang w:val="en-US"/>
                              </w:rPr>
                              <w:t>Provide information on delivery of workplan progress be assessed</w:t>
                            </w:r>
                          </w:p>
                          <w:p w14:paraId="289F3F5D" w14:textId="77777777" w:rsidR="00AD59B0" w:rsidRDefault="00AD59B0" w:rsidP="00945200">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wn Arrow Callout 39" o:spid="_x0000_s1047" type="#_x0000_t80" style="width:487pt;height:94.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" adj="14767,9749,17298,10275" fillcolor="#f2f2f2 [3052]" strokecolor="black [3213]">
                <v:fill color2="#bfbfbf [2412]" rotate="t" angle="-90" focus="100%" type="gradient"/>
                <v:shadow on="t" opacity="22937f" mv:blur="40000f" origin=",.5" offset="0,23000emu"/>
                <v:textbox>
                  <w:txbxContent>
                    <w:p w14:paraId="70C11B18" w14:textId="77777777" w:rsidR="00AD59B0" w:rsidRPr="00945200" w:rsidRDefault="00AD59B0" w:rsidP="00945200">
                      <w:pPr>
                        <w:spacing w:before="60"/>
                        <w:jc w:val="left"/>
                        <w:rPr>
                          <w:b/>
                          <w:color w:val="000000" w:themeColor="text1"/>
                          <w:sz w:val="28"/>
                          <w:lang w:val="en-US"/>
                        </w:rPr>
                      </w:pPr>
                      <w:r w:rsidRPr="00945200">
                        <w:rPr>
                          <w:b/>
                          <w:color w:val="000000" w:themeColor="text1"/>
                          <w:sz w:val="28"/>
                          <w:lang w:val="en-US"/>
                        </w:rPr>
                        <w:t>Step Four: Deliver Workplan:</w:t>
                      </w:r>
                    </w:p>
                    <w:p w14:paraId="43E8C0F7" w14:textId="77777777" w:rsidR="00AD59B0" w:rsidRPr="00945200" w:rsidRDefault="00AD59B0" w:rsidP="006B087B">
                      <w:pPr>
                        <w:numPr>
                          <w:ilvl w:val="0"/>
                          <w:numId w:val="16"/>
                        </w:numPr>
                        <w:spacing w:before="60"/>
                        <w:ind w:left="357" w:hanging="357"/>
                        <w:jc w:val="left"/>
                        <w:rPr>
                          <w:color w:val="000000" w:themeColor="text1"/>
                          <w:lang w:val="en-US"/>
                        </w:rPr>
                      </w:pPr>
                      <w:r w:rsidRPr="00945200">
                        <w:rPr>
                          <w:color w:val="000000" w:themeColor="text1"/>
                          <w:lang w:val="en-US"/>
                        </w:rPr>
                        <w:t>Implement workplan</w:t>
                      </w:r>
                    </w:p>
                    <w:p w14:paraId="533F9DA5" w14:textId="77777777" w:rsidR="00AD59B0" w:rsidRPr="00945200" w:rsidRDefault="00AD59B0" w:rsidP="006B087B">
                      <w:pPr>
                        <w:numPr>
                          <w:ilvl w:val="0"/>
                          <w:numId w:val="16"/>
                        </w:numPr>
                        <w:spacing w:before="60"/>
                        <w:ind w:left="357" w:hanging="357"/>
                        <w:jc w:val="left"/>
                        <w:rPr>
                          <w:color w:val="000000" w:themeColor="text1"/>
                          <w:lang w:val="en-US"/>
                        </w:rPr>
                      </w:pPr>
                      <w:r w:rsidRPr="00945200">
                        <w:rPr>
                          <w:color w:val="000000" w:themeColor="text1"/>
                          <w:lang w:val="en-US"/>
                        </w:rPr>
                        <w:t>Provide information on delivery of workplan progress be assessed</w:t>
                      </w:r>
                    </w:p>
                    <w:p w14:paraId="289F3F5D" w14:textId="77777777" w:rsidR="00AD59B0" w:rsidRDefault="00AD59B0" w:rsidP="00945200">
                      <w:pPr>
                        <w:jc w:val="left"/>
                      </w:pPr>
                    </w:p>
                  </w:txbxContent>
                </v:textbox>
                <w10:anchorlock/>
              </v:shape>
            </w:pict>
          </mc:Fallback>
        </mc:AlternateContent>
      </w:r>
    </w:p>
    <w:p w14:paraId="6D928161" w14:textId="13B5BAED" w:rsidR="00C9559A" w:rsidRPr="00A6713A" w:rsidRDefault="005E4DBC" w:rsidP="00E56A3F">
      <w:r>
        <w:t xml:space="preserve">Delivery of the workplan will be undertaken by a range of different stakeholders but should be coordinated from a central point to ensure that progress can be effectively monitored and responsibility for actions clearly defined. </w:t>
      </w:r>
    </w:p>
    <w:p w14:paraId="13A1641E" w14:textId="6B2E5B63" w:rsidR="006D2E84" w:rsidRDefault="006D2E84" w:rsidP="006D2E84">
      <w:pPr>
        <w:sectPr w:rsidR="006D2E84" w:rsidSect="00014341">
          <w:pgSz w:w="11900" w:h="16840"/>
          <w:pgMar w:top="1440" w:right="1080" w:bottom="1440" w:left="1080" w:header="708" w:footer="708" w:gutter="0"/>
          <w:cols w:space="708"/>
          <w:docGrid w:linePitch="360"/>
        </w:sectPr>
      </w:pPr>
    </w:p>
    <w:p w14:paraId="318A9510" w14:textId="21E4B36E" w:rsidR="006D2E84" w:rsidRPr="0089366F" w:rsidRDefault="00132C73" w:rsidP="00132C73">
      <w:pPr>
        <w:pStyle w:val="Heading1"/>
        <w:numPr>
          <w:ilvl w:val="0"/>
          <w:numId w:val="0"/>
        </w:numPr>
        <w:ind w:left="432" w:hanging="432"/>
      </w:pPr>
      <w:bookmarkStart w:id="25" w:name="_Toc254892841"/>
      <w:r>
        <w:t>Annex 1: Assessment of Key National Safeguards and</w:t>
      </w:r>
      <w:r w:rsidR="006D2E84" w:rsidRPr="0089366F">
        <w:t xml:space="preserve">, UN-REDD </w:t>
      </w:r>
      <w:commentRangeStart w:id="26"/>
      <w:r w:rsidR="006D2E84" w:rsidRPr="0089366F">
        <w:t>SEP</w:t>
      </w:r>
      <w:r>
        <w:t>C</w:t>
      </w:r>
      <w:bookmarkEnd w:id="25"/>
      <w:commentRangeEnd w:id="26"/>
      <w:r w:rsidR="00293771">
        <w:rPr>
          <w:rStyle w:val="CommentReference"/>
          <w:rFonts w:eastAsia="MS Mincho"/>
          <w:b w:val="0"/>
          <w:bCs w:val="0"/>
          <w:color w:val="auto"/>
        </w:rPr>
        <w:commentReference w:id="26"/>
      </w:r>
    </w:p>
    <w:p w14:paraId="2C854933" w14:textId="77777777" w:rsidR="006D2E84" w:rsidRPr="0089366F" w:rsidRDefault="006D2E84" w:rsidP="006D2E84"/>
    <w:p w14:paraId="105600D2" w14:textId="77777777" w:rsidR="006D2E84" w:rsidRPr="0089366F" w:rsidRDefault="006D2E84" w:rsidP="00EB5F6F">
      <w:pPr>
        <w:pStyle w:val="Heading2"/>
        <w:numPr>
          <w:ilvl w:val="0"/>
          <w:numId w:val="0"/>
        </w:numPr>
        <w:ind w:left="576" w:hanging="576"/>
      </w:pPr>
      <w:bookmarkStart w:id="27" w:name="_Toc254892842"/>
      <w:r w:rsidRPr="0089366F">
        <w:t>Principle 1 – Apply norms of democratic governance, as reflected in national commitments and Multilateral Agreements</w:t>
      </w:r>
      <w:bookmarkEnd w:id="27"/>
    </w:p>
    <w:p w14:paraId="4E6A4338" w14:textId="77777777" w:rsidR="006D2E84" w:rsidRPr="0089366F" w:rsidRDefault="006D2E84" w:rsidP="00EB5F6F">
      <w:pPr>
        <w:pStyle w:val="Heading3"/>
        <w:numPr>
          <w:ilvl w:val="0"/>
          <w:numId w:val="0"/>
        </w:numPr>
      </w:pPr>
      <w:bookmarkStart w:id="28" w:name="_Toc254892843"/>
      <w:r w:rsidRPr="0089366F">
        <w:t>Criterion 1 – Ensure the transparency and accountability of fiduciary and fund management systems linked to REDD+ activities</w:t>
      </w:r>
      <w:bookmarkEnd w:id="28"/>
    </w:p>
    <w:p w14:paraId="5DA18765" w14:textId="77777777" w:rsidR="006D2E84" w:rsidRPr="0089366F" w:rsidRDefault="006D2E84" w:rsidP="006D2E84">
      <w:pPr>
        <w:pStyle w:val="Heading4"/>
      </w:pPr>
      <w:r w:rsidRPr="0089366F">
        <w:t xml:space="preserve">Potential Risks: </w:t>
      </w:r>
    </w:p>
    <w:p w14:paraId="18D4158B" w14:textId="77777777" w:rsidR="006D2E84" w:rsidRPr="0089366F" w:rsidRDefault="006D2E84" w:rsidP="006D2E84">
      <w:r w:rsidRPr="0089366F">
        <w:t>Funds coming from REDD+ could be miss-managed at national, provincial and local levels.</w:t>
      </w:r>
    </w:p>
    <w:p w14:paraId="1B4B45E6" w14:textId="77777777" w:rsidR="006D2E84" w:rsidRPr="0089366F" w:rsidRDefault="006D2E84" w:rsidP="006D2E84">
      <w:pPr>
        <w:pStyle w:val="Heading4"/>
      </w:pPr>
      <w:r w:rsidRPr="0089366F">
        <w:t xml:space="preserve">Summary of Existing Legislation and its Application: </w:t>
      </w:r>
    </w:p>
    <w:p w14:paraId="760A372C" w14:textId="23F72D7B" w:rsidR="006D2E84" w:rsidRPr="0089366F" w:rsidRDefault="006D2E84" w:rsidP="006D2E84">
      <w:r w:rsidRPr="0089366F">
        <w:t xml:space="preserve">The Solomon Islands have a significant national legislative framework with relation to ensuring the transparency and accountability of fiduciary and fund management systems with central legislation including: the </w:t>
      </w:r>
      <w:r w:rsidRPr="0089366F">
        <w:rPr>
          <w:i/>
          <w:color w:val="4F81BD" w:themeColor="accent1"/>
        </w:rPr>
        <w:t>Public Finance and Audit Act 2013</w:t>
      </w:r>
      <w:r w:rsidRPr="0089366F">
        <w:t xml:space="preserve">, the </w:t>
      </w:r>
      <w:r w:rsidRPr="0089366F">
        <w:rPr>
          <w:i/>
          <w:color w:val="4F81BD" w:themeColor="accent1"/>
        </w:rPr>
        <w:t>Leadership Code</w:t>
      </w:r>
      <w:r w:rsidRPr="0089366F">
        <w:t xml:space="preserve">, and the </w:t>
      </w:r>
      <w:r w:rsidRPr="0089366F">
        <w:rPr>
          <w:i/>
          <w:color w:val="4F81BD" w:themeColor="accent1"/>
        </w:rPr>
        <w:t>Financial Regulations</w:t>
      </w:r>
      <w:r w:rsidRPr="0089366F">
        <w:t>. A history of weak application of legislation within these areas, however, presents a significant risk for any REDD+ related finance.</w:t>
      </w:r>
    </w:p>
    <w:p w14:paraId="1851AD91" w14:textId="5C988067" w:rsidR="006D2E84" w:rsidRPr="0089366F" w:rsidRDefault="006D2E84" w:rsidP="006D2E84">
      <w:r w:rsidRPr="0089366F">
        <w:t xml:space="preserve">At the site level the </w:t>
      </w:r>
      <w:r w:rsidRPr="0089366F">
        <w:rPr>
          <w:i/>
          <w:color w:val="4F81BD" w:themeColor="accent1"/>
        </w:rPr>
        <w:t>PA Act</w:t>
      </w:r>
      <w:r w:rsidRPr="0089366F">
        <w:t xml:space="preserve"> also provides guidance for the management of funds within PA Management Committees including the maintenance of accounts, which are audited annually</w:t>
      </w:r>
      <w:r w:rsidRPr="0089366F">
        <w:rPr>
          <w:rStyle w:val="FootnoteReference"/>
        </w:rPr>
        <w:footnoteReference w:id="11"/>
      </w:r>
      <w:r w:rsidRPr="0089366F">
        <w:t>. The act also provides a set of principles to guide management decisions and the use of funds</w:t>
      </w:r>
      <w:r w:rsidRPr="0089366F">
        <w:rPr>
          <w:rStyle w:val="FootnoteReference"/>
        </w:rPr>
        <w:footnoteReference w:id="12"/>
      </w:r>
      <w:r w:rsidRPr="0089366F">
        <w:t xml:space="preserve"> as well as requiring three quarters of the management committee to approve the use of funds prior to it occurring</w:t>
      </w:r>
      <w:r w:rsidRPr="0089366F">
        <w:rPr>
          <w:rStyle w:val="FootnoteReference"/>
        </w:rPr>
        <w:footnoteReference w:id="13"/>
      </w:r>
      <w:r w:rsidRPr="0089366F">
        <w:t xml:space="preserve"> and for annual plans of expenditure to be submitted to the PA Advisory Committee on an annual basis. The act also mandates the establishment of a</w:t>
      </w:r>
      <w:r w:rsidRPr="0089366F">
        <w:rPr>
          <w:i/>
        </w:rPr>
        <w:t xml:space="preserve"> PA Trust fund </w:t>
      </w:r>
      <w:r w:rsidRPr="0089366F">
        <w:t>under section 100 of the Constitution. The fund is to be managed in accordance with the Public Finance and Audit Act (Cap.120) and any financial instructions issued under that Act. Use of funds within the Trust Fund shall, occur on the advice of the Advisory Committee</w:t>
      </w:r>
      <w:r w:rsidRPr="0089366F">
        <w:rPr>
          <w:rStyle w:val="FootnoteReference"/>
        </w:rPr>
        <w:footnoteReference w:id="14"/>
      </w:r>
      <w:r w:rsidRPr="0089366F">
        <w:t>, for the establishment, management and other matters relating to protected areas or for other purposes as are prescribed by regulations</w:t>
      </w:r>
      <w:r w:rsidRPr="0089366F">
        <w:rPr>
          <w:rStyle w:val="FootnoteReference"/>
        </w:rPr>
        <w:footnoteReference w:id="15"/>
      </w:r>
      <w:r w:rsidRPr="0089366F">
        <w:t>.</w:t>
      </w:r>
    </w:p>
    <w:p w14:paraId="0EA7F378" w14:textId="432D1880" w:rsidR="006D2E84" w:rsidRPr="0089366F" w:rsidRDefault="006D2E84" w:rsidP="006D2E84">
      <w:r w:rsidRPr="0089366F">
        <w:t xml:space="preserve">Management of natural resources revenues by resource owners under the </w:t>
      </w:r>
      <w:r w:rsidRPr="0089366F">
        <w:rPr>
          <w:i/>
          <w:color w:val="4F81BD" w:themeColor="accent1"/>
        </w:rPr>
        <w:t>FRTU Act</w:t>
      </w:r>
      <w:r w:rsidRPr="0089366F">
        <w:t xml:space="preserve"> ad the </w:t>
      </w:r>
      <w:r w:rsidRPr="0089366F">
        <w:rPr>
          <w:i/>
          <w:color w:val="4F81BD" w:themeColor="accent1"/>
        </w:rPr>
        <w:t>MM Act</w:t>
      </w:r>
      <w:r w:rsidRPr="0089366F">
        <w:t xml:space="preserve"> are less well regulated with resource owners being responsible for their own organisation and management. In the majority of cases a Charitable Trust is established for the purpose under the </w:t>
      </w:r>
      <w:r w:rsidRPr="0089366F">
        <w:rPr>
          <w:i/>
          <w:color w:val="4F81BD" w:themeColor="accent1"/>
        </w:rPr>
        <w:t>Charitable Trusts Act</w:t>
      </w:r>
      <w:r w:rsidRPr="0089366F">
        <w:t xml:space="preserve">. The Act however has no requirement for annual audits and provides limited guidance on financial management or the roles and responsibilities of trustees. Other mechanisms do exist for local management of funds including community companies under the Companies Act. This requires annual auditing of accounts as well as their public display and has been recommended as the mechanisms for use following land-recording processes. </w:t>
      </w:r>
    </w:p>
    <w:p w14:paraId="5C33F9B4" w14:textId="77777777" w:rsidR="006D2E84" w:rsidRPr="0089366F" w:rsidRDefault="006D2E84" w:rsidP="006D2E84">
      <w:pPr>
        <w:pStyle w:val="Heading4"/>
      </w:pPr>
      <w:r w:rsidRPr="0089366F">
        <w:t xml:space="preserve">Recommendations </w:t>
      </w:r>
    </w:p>
    <w:p w14:paraId="6D111ABD" w14:textId="6A6516EB" w:rsidR="006D2E84" w:rsidRPr="0089366F" w:rsidRDefault="006D2E84" w:rsidP="006D2E84">
      <w:r w:rsidRPr="0089366F">
        <w:t xml:space="preserve">Clear measures will be required to ensure that fiduciary and fund management systems linked to REDD+ activities will be required to ensure that they are fully transparent and accountable. </w:t>
      </w:r>
    </w:p>
    <w:p w14:paraId="443BBBB9" w14:textId="77777777" w:rsidR="006D2E84" w:rsidRPr="0089366F" w:rsidRDefault="006D2E84" w:rsidP="00B71EE3">
      <w:pPr>
        <w:pStyle w:val="Heading6"/>
        <w:numPr>
          <w:ilvl w:val="0"/>
          <w:numId w:val="0"/>
        </w:numPr>
        <w:ind w:left="1152" w:hanging="1152"/>
      </w:pPr>
      <w:r w:rsidRPr="0089366F">
        <w:t xml:space="preserve">National Level: </w:t>
      </w:r>
    </w:p>
    <w:p w14:paraId="071E9E02" w14:textId="77777777" w:rsidR="00B75122" w:rsidRDefault="00B75122" w:rsidP="006D2E84">
      <w:r w:rsidRPr="00B75122">
        <w:rPr>
          <w:u w:val="single"/>
        </w:rPr>
        <w:t>Cross Cutting</w:t>
      </w:r>
    </w:p>
    <w:p w14:paraId="31B6BAF6" w14:textId="77777777" w:rsidR="008E70C9" w:rsidRDefault="006D2E84" w:rsidP="008E70C9">
      <w:pPr>
        <w:pStyle w:val="ListParagraph"/>
        <w:numPr>
          <w:ilvl w:val="0"/>
          <w:numId w:val="90"/>
        </w:numPr>
      </w:pPr>
      <w:r w:rsidRPr="0089366F">
        <w:t xml:space="preserve">REDD+ finance should be subject to existing financial management structures. </w:t>
      </w:r>
    </w:p>
    <w:p w14:paraId="0EC2B9D9" w14:textId="77777777" w:rsidR="008E70C9" w:rsidRDefault="006D2E84" w:rsidP="008E70C9">
      <w:pPr>
        <w:pStyle w:val="ListParagraph"/>
        <w:numPr>
          <w:ilvl w:val="0"/>
          <w:numId w:val="90"/>
        </w:numPr>
      </w:pPr>
      <w:r w:rsidRPr="0089366F">
        <w:t xml:space="preserve">Financial information related to REDD+ </w:t>
      </w:r>
      <w:r w:rsidR="00BB247F">
        <w:t xml:space="preserve">(support provided) </w:t>
      </w:r>
      <w:r w:rsidRPr="0089366F">
        <w:t>should also be made publically available via at least two mediums (e.g. National REDD+ Website</w:t>
      </w:r>
      <w:r w:rsidR="00BB247F">
        <w:t>, and at RIU office</w:t>
      </w:r>
      <w:r w:rsidRPr="0089366F">
        <w:t xml:space="preserve">). </w:t>
      </w:r>
    </w:p>
    <w:p w14:paraId="429D73CF" w14:textId="5F607EB1" w:rsidR="006D2E84" w:rsidRDefault="006D2E84" w:rsidP="008E70C9">
      <w:pPr>
        <w:pStyle w:val="ListParagraph"/>
        <w:numPr>
          <w:ilvl w:val="0"/>
          <w:numId w:val="90"/>
        </w:numPr>
      </w:pPr>
      <w:r w:rsidRPr="0089366F">
        <w:t>Structures established for</w:t>
      </w:r>
      <w:r w:rsidR="00BB247F">
        <w:t xml:space="preserve"> (a National REDD+ Fund),</w:t>
      </w:r>
      <w:r w:rsidRPr="0089366F">
        <w:t xml:space="preserve"> or utilizing REDD+ funds </w:t>
      </w:r>
      <w:r w:rsidR="00BB247F">
        <w:t xml:space="preserve">(eg PA Trust Fund) </w:t>
      </w:r>
      <w:r w:rsidRPr="0089366F">
        <w:t xml:space="preserve">should also be subject to oversight by a multi-stakeholder body (In the case of the PA Trust Fund this could be the PA Advisory Committee) with reporting on the use of REDD+ funds also occurring on a quarterly basis to the National REDD+ Committee. </w:t>
      </w:r>
    </w:p>
    <w:p w14:paraId="70ABA87E" w14:textId="36C8DDF0" w:rsidR="00B75122" w:rsidRPr="00B75122" w:rsidRDefault="00B75122" w:rsidP="006D2E84">
      <w:pPr>
        <w:rPr>
          <w:u w:val="single"/>
        </w:rPr>
      </w:pPr>
      <w:r w:rsidRPr="00B75122">
        <w:rPr>
          <w:u w:val="single"/>
        </w:rPr>
        <w:t xml:space="preserve">Forestry: </w:t>
      </w:r>
    </w:p>
    <w:p w14:paraId="046BCDF5" w14:textId="2D9DF0E3" w:rsidR="00B75122" w:rsidRDefault="00B75122" w:rsidP="00B75122">
      <w:pPr>
        <w:pStyle w:val="ListParagraph"/>
        <w:numPr>
          <w:ilvl w:val="0"/>
          <w:numId w:val="90"/>
        </w:numPr>
      </w:pPr>
      <w:r>
        <w:t xml:space="preserve">Revisions to the FRTU Act (or bill) to: </w:t>
      </w:r>
    </w:p>
    <w:p w14:paraId="6E44F11D" w14:textId="57E3D245" w:rsidR="00B75122" w:rsidRDefault="00B75122" w:rsidP="00B75122">
      <w:pPr>
        <w:pStyle w:val="ListParagraph"/>
        <w:numPr>
          <w:ilvl w:val="1"/>
          <w:numId w:val="90"/>
        </w:numPr>
        <w:ind w:left="709"/>
      </w:pPr>
      <w:r>
        <w:t xml:space="preserve">Require all concessions, plantations or forest reserves to establish a site level management committee that provides annual accounts and audit reports on an annual basis which are kept in publically accessible locations at site, provincial and national levels.  </w:t>
      </w:r>
    </w:p>
    <w:p w14:paraId="52F700ED" w14:textId="68C95496" w:rsidR="00B75122" w:rsidRPr="00B75122" w:rsidRDefault="00B75122" w:rsidP="006D2E84">
      <w:pPr>
        <w:rPr>
          <w:u w:val="single"/>
        </w:rPr>
      </w:pPr>
      <w:r w:rsidRPr="00B75122">
        <w:rPr>
          <w:u w:val="single"/>
        </w:rPr>
        <w:t xml:space="preserve">Environment: </w:t>
      </w:r>
    </w:p>
    <w:p w14:paraId="1F2EFDBF" w14:textId="0C6671D5" w:rsidR="00B75122" w:rsidRPr="0089366F" w:rsidRDefault="00B75122" w:rsidP="00B75122">
      <w:pPr>
        <w:pStyle w:val="ListParagraph"/>
        <w:numPr>
          <w:ilvl w:val="0"/>
          <w:numId w:val="92"/>
        </w:numPr>
      </w:pPr>
      <w:r>
        <w:t xml:space="preserve">Ensure financial reporting under the PA Act at national and PAMC levels is undertaken fully.  </w:t>
      </w:r>
    </w:p>
    <w:p w14:paraId="2D70B09B" w14:textId="77777777" w:rsidR="006D2E84" w:rsidRPr="0089366F" w:rsidRDefault="006D2E84" w:rsidP="00B71EE3">
      <w:pPr>
        <w:pStyle w:val="Heading6"/>
        <w:numPr>
          <w:ilvl w:val="0"/>
          <w:numId w:val="0"/>
        </w:numPr>
        <w:ind w:left="1152" w:hanging="1152"/>
      </w:pPr>
      <w:r w:rsidRPr="0089366F">
        <w:t xml:space="preserve">Site level: </w:t>
      </w:r>
    </w:p>
    <w:p w14:paraId="5E5E7662" w14:textId="77777777" w:rsidR="006D2E84" w:rsidRPr="0089366F" w:rsidRDefault="006D2E84" w:rsidP="006D2E84">
      <w:pPr>
        <w:pStyle w:val="Heading4"/>
      </w:pPr>
      <w:r w:rsidRPr="0089366F">
        <w:t>Recommended Actions:</w:t>
      </w:r>
    </w:p>
    <w:p w14:paraId="68F081F7" w14:textId="32D5D7DE" w:rsidR="006D2E84" w:rsidRDefault="006D2E84" w:rsidP="009D70D7">
      <w:pPr>
        <w:pStyle w:val="ListParagraph"/>
        <w:numPr>
          <w:ilvl w:val="0"/>
          <w:numId w:val="67"/>
        </w:numPr>
        <w:spacing w:before="0"/>
      </w:pPr>
      <w:r w:rsidRPr="0089366F">
        <w:t>National level financial management structures should be establishe</w:t>
      </w:r>
      <w:r w:rsidR="00BB247F">
        <w:t>d with clear guidance on</w:t>
      </w:r>
      <w:r w:rsidRPr="0089366F">
        <w:t xml:space="preserve"> procedures and oversight. </w:t>
      </w:r>
    </w:p>
    <w:p w14:paraId="6DB6BDF0" w14:textId="24CE08B4" w:rsidR="006D2E84" w:rsidRDefault="006D2E84" w:rsidP="009D70D7">
      <w:pPr>
        <w:pStyle w:val="ListParagraph"/>
        <w:numPr>
          <w:ilvl w:val="0"/>
          <w:numId w:val="67"/>
        </w:numPr>
        <w:spacing w:before="0"/>
      </w:pPr>
      <w:r>
        <w:t>Establishment of set of guidelines for financial management within community based organisations that would be required for utilising royalties under FRTU Act and MM Act</w:t>
      </w:r>
      <w:r w:rsidR="00BB247F">
        <w:t xml:space="preserve"> – this could be linked to the Community Company structure</w:t>
      </w:r>
      <w:r>
        <w:t xml:space="preserve">. </w:t>
      </w:r>
    </w:p>
    <w:p w14:paraId="16A19EE5" w14:textId="77777777" w:rsidR="006D2E84" w:rsidRPr="0089366F" w:rsidRDefault="006D2E84" w:rsidP="009D70D7">
      <w:pPr>
        <w:pStyle w:val="ListParagraph"/>
        <w:numPr>
          <w:ilvl w:val="0"/>
          <w:numId w:val="67"/>
        </w:numPr>
        <w:spacing w:before="0"/>
      </w:pPr>
      <w:r>
        <w:t xml:space="preserve">Training provided to community level management committees on financial management prior to establishment of community based accounts. </w:t>
      </w:r>
    </w:p>
    <w:p w14:paraId="515970A9" w14:textId="77777777" w:rsidR="006D2E84" w:rsidRPr="0089366F" w:rsidRDefault="006D2E84" w:rsidP="006D2E84">
      <w:pPr>
        <w:pStyle w:val="Heading4"/>
      </w:pPr>
      <w:r w:rsidRPr="0089366F">
        <w:t xml:space="preserve">Potential Indicators </w:t>
      </w:r>
    </w:p>
    <w:p w14:paraId="6F43E972" w14:textId="77777777" w:rsidR="006D2E84" w:rsidRPr="0089366F" w:rsidRDefault="006D2E84" w:rsidP="006B087B">
      <w:pPr>
        <w:numPr>
          <w:ilvl w:val="0"/>
          <w:numId w:val="21"/>
        </w:numPr>
        <w:spacing w:before="0"/>
      </w:pPr>
      <w:r w:rsidRPr="0089366F">
        <w:t xml:space="preserve">National REDD+ Fund established with third party oversight. </w:t>
      </w:r>
    </w:p>
    <w:p w14:paraId="1B5FA364" w14:textId="77777777" w:rsidR="006D2E84" w:rsidRDefault="006D2E84" w:rsidP="006B087B">
      <w:pPr>
        <w:numPr>
          <w:ilvl w:val="0"/>
          <w:numId w:val="21"/>
        </w:numPr>
        <w:spacing w:before="0"/>
      </w:pPr>
      <w:r>
        <w:t>Guidelines for financial management of revenue from natural resource management developed</w:t>
      </w:r>
    </w:p>
    <w:p w14:paraId="3F0BF93D" w14:textId="77777777" w:rsidR="006D2E84" w:rsidRPr="0089366F" w:rsidRDefault="006D2E84" w:rsidP="006B087B">
      <w:pPr>
        <w:numPr>
          <w:ilvl w:val="0"/>
          <w:numId w:val="21"/>
        </w:numPr>
        <w:spacing w:before="0"/>
      </w:pPr>
      <w:r w:rsidRPr="0089366F">
        <w:t xml:space="preserve">All REDD+ related activities maintain accounts that are audited on an annual basis with accounts and audit reports easily available to the activity’s stakeholders. </w:t>
      </w:r>
    </w:p>
    <w:p w14:paraId="49655EB2" w14:textId="77777777" w:rsidR="006D2E84" w:rsidRPr="0089366F" w:rsidRDefault="006D2E84" w:rsidP="006D2E84">
      <w:pPr>
        <w:pStyle w:val="Heading4"/>
      </w:pPr>
      <w:r w:rsidRPr="0089366F">
        <w:t xml:space="preserve">Data Collection: </w:t>
      </w:r>
    </w:p>
    <w:p w14:paraId="50EE9BB8" w14:textId="77777777" w:rsidR="006D2E84" w:rsidRPr="0089366F" w:rsidRDefault="006D2E84" w:rsidP="006B087B">
      <w:pPr>
        <w:numPr>
          <w:ilvl w:val="0"/>
          <w:numId w:val="22"/>
        </w:numPr>
        <w:spacing w:before="0"/>
      </w:pPr>
      <w:r w:rsidRPr="0089366F">
        <w:t>Parliament decision on establishment of REDD+ Fund</w:t>
      </w:r>
    </w:p>
    <w:p w14:paraId="6CD8BF80" w14:textId="77777777" w:rsidR="006D2E84" w:rsidRPr="0089366F" w:rsidRDefault="006D2E84" w:rsidP="006B087B">
      <w:pPr>
        <w:numPr>
          <w:ilvl w:val="0"/>
          <w:numId w:val="22"/>
        </w:numPr>
        <w:spacing w:before="0"/>
      </w:pPr>
      <w:r w:rsidRPr="0089366F">
        <w:t xml:space="preserve">Audited accounts should be submitted with annual reports for all REDD+ related projects to REDD+ Implementation Unit. </w:t>
      </w:r>
    </w:p>
    <w:p w14:paraId="523793A6" w14:textId="77777777" w:rsidR="006D2E84" w:rsidRPr="0089366F" w:rsidRDefault="006D2E84" w:rsidP="006B087B">
      <w:pPr>
        <w:numPr>
          <w:ilvl w:val="0"/>
          <w:numId w:val="22"/>
        </w:numPr>
        <w:spacing w:before="0"/>
      </w:pPr>
      <w:r w:rsidRPr="0089366F">
        <w:t xml:space="preserve">Information on Community Companies would be stored in Companies House. </w:t>
      </w:r>
    </w:p>
    <w:p w14:paraId="392834C7" w14:textId="77777777" w:rsidR="006D2E84" w:rsidRPr="0089366F" w:rsidRDefault="006D2E84" w:rsidP="006D2E84"/>
    <w:p w14:paraId="267A4348" w14:textId="77777777" w:rsidR="006D2E84" w:rsidRPr="0089366F" w:rsidRDefault="006D2E84" w:rsidP="006D2E84"/>
    <w:p w14:paraId="3B73DE73" w14:textId="77777777" w:rsidR="006D2E84" w:rsidRPr="0089366F" w:rsidRDefault="006D2E84" w:rsidP="006D2E84"/>
    <w:p w14:paraId="6729AB94" w14:textId="77777777" w:rsidR="006D2E84" w:rsidRPr="0089366F" w:rsidRDefault="006D2E84" w:rsidP="006D2E84">
      <w:pPr>
        <w:pStyle w:val="Heading3"/>
        <w:sectPr w:rsidR="006D2E84" w:rsidRPr="0089366F" w:rsidSect="00B71EE3">
          <w:pgSz w:w="11900" w:h="16840"/>
          <w:pgMar w:top="1440" w:right="1080" w:bottom="1440" w:left="1080" w:header="708" w:footer="708" w:gutter="0"/>
          <w:cols w:space="708"/>
          <w:docGrid w:linePitch="360"/>
        </w:sectPr>
      </w:pPr>
    </w:p>
    <w:p w14:paraId="44A849BF" w14:textId="77777777" w:rsidR="006D2E84" w:rsidRPr="0089366F" w:rsidRDefault="006D2E84" w:rsidP="00B71EE3">
      <w:pPr>
        <w:pStyle w:val="Heading3"/>
        <w:numPr>
          <w:ilvl w:val="0"/>
          <w:numId w:val="0"/>
        </w:numPr>
      </w:pPr>
      <w:bookmarkStart w:id="29" w:name="_Toc254892844"/>
      <w:r w:rsidRPr="0089366F">
        <w:t>Criterion 2 – Ensure legitimacy and accountability of all bodies representing relevant stakeholders, including through establishing responsive feedback and grievance mechanisms</w:t>
      </w:r>
      <w:bookmarkEnd w:id="29"/>
    </w:p>
    <w:p w14:paraId="0721FD55" w14:textId="77777777" w:rsidR="006D2E84" w:rsidRPr="0089366F" w:rsidRDefault="006D2E84" w:rsidP="006D2E84"/>
    <w:p w14:paraId="73506FEC" w14:textId="77777777" w:rsidR="006D2E84" w:rsidRPr="0089366F" w:rsidRDefault="006D2E84" w:rsidP="00132C73">
      <w:pPr>
        <w:pStyle w:val="Heading4"/>
      </w:pPr>
      <w:r w:rsidRPr="0089366F">
        <w:t xml:space="preserve">Potential Risks: </w:t>
      </w:r>
    </w:p>
    <w:p w14:paraId="6FE2B5BB" w14:textId="77777777" w:rsidR="006D2E84" w:rsidRPr="0089366F" w:rsidRDefault="006D2E84" w:rsidP="00132C73">
      <w:pPr>
        <w:pStyle w:val="Heading5"/>
        <w:spacing w:before="0"/>
        <w:ind w:left="1008" w:hanging="1008"/>
      </w:pPr>
      <w:r w:rsidRPr="0089366F">
        <w:rPr>
          <w:rFonts w:eastAsiaTheme="minorEastAsia" w:cstheme="minorBidi"/>
          <w:color w:val="auto"/>
        </w:rPr>
        <w:t>Illegitimate actors are able to gain preferential access to decision-making and benefits from REDD+.</w:t>
      </w:r>
    </w:p>
    <w:p w14:paraId="6762B0A8" w14:textId="77777777" w:rsidR="006D2E84" w:rsidRPr="0089366F" w:rsidRDefault="006D2E84" w:rsidP="00132C73">
      <w:pPr>
        <w:pStyle w:val="Heading4"/>
        <w:ind w:left="864" w:hanging="864"/>
      </w:pPr>
      <w:r w:rsidRPr="0089366F">
        <w:t xml:space="preserve">Summary of Existing Legislation and its Application: </w:t>
      </w:r>
    </w:p>
    <w:p w14:paraId="50200242" w14:textId="77777777" w:rsidR="006D2E84" w:rsidRPr="0089366F" w:rsidRDefault="006D2E84" w:rsidP="00132C73">
      <w:pPr>
        <w:pStyle w:val="Heading5"/>
        <w:ind w:left="1008" w:hanging="1008"/>
      </w:pPr>
      <w:r w:rsidRPr="0089366F">
        <w:t>REDD+ Specific</w:t>
      </w:r>
    </w:p>
    <w:p w14:paraId="77038706" w14:textId="77777777" w:rsidR="006D2E84" w:rsidRPr="0089366F" w:rsidRDefault="006D2E84" w:rsidP="006D2E84">
      <w:r w:rsidRPr="0089366F">
        <w:t xml:space="preserve">The National REDD+ Taskforce was established through a participatory process with members identified through a number of multi-stakeholder meetings. The Programme Management Unit of the UN-REDD programme has been responsible for reporting on programme progress to both the Taskforce and the UN-REDD Programme Executive Board (PEB) a multi-stakeholder body responsible for project oversight. Grievances about programme activities could be raised with the Taskforce or the PEB. </w:t>
      </w:r>
    </w:p>
    <w:p w14:paraId="5D5FE458" w14:textId="77777777" w:rsidR="006D2E84" w:rsidRPr="0089366F" w:rsidRDefault="006D2E84" w:rsidP="006D2E84">
      <w:r w:rsidRPr="0089366F">
        <w:t xml:space="preserve">The National REDD+ Committee Proposed under the REDD+ Roadmap would form the central leadership role for future REDD+ developments – it would report to the National Climate Change Working Group. Government members are also accountable to their individual line ministries and ministers, while representatives of civil society and customary authorities will be accountable to their constituencies based operationalized through a grievance mechanisms and an annual review of membership. </w:t>
      </w:r>
    </w:p>
    <w:p w14:paraId="09A353B8" w14:textId="62CBED93" w:rsidR="006D2E84" w:rsidRPr="0089366F" w:rsidRDefault="006D2E84" w:rsidP="006D2E84">
      <w:r w:rsidRPr="0089366F">
        <w:t xml:space="preserve">Grievances with the work of the RIU, RFP or Committee should be addressed initially through written complaint to the RIU, grievances can then be escalated to the REDD+ Committee and finally to the Climate Change Working Group through line ministries. </w:t>
      </w:r>
    </w:p>
    <w:p w14:paraId="59CF691F" w14:textId="77777777" w:rsidR="006D2E84" w:rsidRPr="0089366F" w:rsidRDefault="006D2E84" w:rsidP="00132C73">
      <w:pPr>
        <w:pStyle w:val="Heading5"/>
        <w:ind w:left="1008" w:hanging="1008"/>
      </w:pPr>
      <w:r w:rsidRPr="0089366F">
        <w:t xml:space="preserve">Legitimacy and Accountability of Representatives </w:t>
      </w:r>
    </w:p>
    <w:p w14:paraId="0500BBB5" w14:textId="77777777" w:rsidR="006D2E84" w:rsidRPr="0089366F" w:rsidRDefault="006D2E84" w:rsidP="006D2E84">
      <w:r w:rsidRPr="0089366F">
        <w:t>The Solomon Islands are a multiparty democracy with legitimacy of governments decided through the election process. Government officials are required to discharge their duty in accordance with the Leadership Code</w:t>
      </w:r>
      <w:r w:rsidRPr="0089366F">
        <w:rPr>
          <w:rStyle w:val="FootnoteReference"/>
        </w:rPr>
        <w:footnoteReference w:id="16"/>
      </w:r>
      <w:r w:rsidRPr="0089366F">
        <w:t xml:space="preserve">. </w:t>
      </w:r>
      <w:r>
        <w:t>Highly personalised politics at national level combined with limited civil society and public oversight however has allowed some government offices to run with limited downward accountability</w:t>
      </w:r>
      <w:r>
        <w:rPr>
          <w:rStyle w:val="FootnoteReference"/>
        </w:rPr>
        <w:footnoteReference w:id="17"/>
      </w:r>
      <w:r>
        <w:t xml:space="preserve">. </w:t>
      </w:r>
    </w:p>
    <w:p w14:paraId="082DC262" w14:textId="77777777" w:rsidR="006D2E84" w:rsidRPr="0089366F" w:rsidRDefault="006D2E84" w:rsidP="006D2E84">
      <w:r w:rsidRPr="0089366F">
        <w:t xml:space="preserve">Outside of government the Solomon Islands are characterized by a highly diverse population across, which, coordinated representation is limited. Only a small number of civil society groups exist that have representation at the national level and there is no national level traditional authority body. </w:t>
      </w:r>
    </w:p>
    <w:p w14:paraId="5E86E2D8" w14:textId="77777777" w:rsidR="006D2E84" w:rsidRPr="0089366F" w:rsidRDefault="006D2E84" w:rsidP="006D2E84">
      <w:r w:rsidRPr="0089366F">
        <w:t>At the site level (on customary land) landuse decisions are governed by customary leaders or landowners. The exact roles and responsibilities, and levels of accountability of these groups vary significantly across the country with different customary laws. Case law has however indicated that when entering into agreements on the use of resources from the land landowners do become trustees and that it would be ‘</w:t>
      </w:r>
      <w:r w:rsidRPr="0089366F">
        <w:rPr>
          <w:i/>
        </w:rPr>
        <w:t>unjust and inequitable to allow the tribal representative to deal with the proceeds of tribal land in the absence of any concept of accountability</w:t>
      </w:r>
      <w:r w:rsidRPr="0089366F">
        <w:t>.’</w:t>
      </w:r>
      <w:r w:rsidRPr="0089366F">
        <w:rPr>
          <w:rStyle w:val="FootnoteReference"/>
        </w:rPr>
        <w:footnoteReference w:id="18"/>
      </w:r>
      <w:r w:rsidRPr="0089366F">
        <w:t xml:space="preserve"> No further information on how this process of accountability should be operationalized or how proceeds should be shared was provided.</w:t>
      </w:r>
    </w:p>
    <w:p w14:paraId="77B96FFA" w14:textId="77777777" w:rsidR="006D2E84" w:rsidRPr="0089366F" w:rsidRDefault="006D2E84" w:rsidP="006D2E84">
      <w:r w:rsidRPr="0089366F">
        <w:t xml:space="preserve">Processes for identifying representatives for engagement within key legislation is varied. The </w:t>
      </w:r>
      <w:r w:rsidRPr="0089366F">
        <w:rPr>
          <w:i/>
          <w:color w:val="4F81BD" w:themeColor="accent1"/>
        </w:rPr>
        <w:t>FRTU Act</w:t>
      </w:r>
      <w:r w:rsidRPr="0089366F">
        <w:t xml:space="preserve"> focuses on engagement with landowners to identify timber rights holders. Weaknesses in the legal requirements and application of this process have, however, led to a significant number of challenges to the legitimacy of representatives. Key weaknesses in the process include – limited notification of Timber Rights Hearings, a lack of requirements of attendance at hearings, a one-stage process of identification, and an incentive structure to encourage determination of rights by the Provincial executive. The responsibilities of rights holders once identified is also unclear. The act refers to them at points as representatives but does not do this consistently or identify responsibilities identified as part of this. Similarly existing legislation utilized to set up structures for managing royalty payments – the </w:t>
      </w:r>
      <w:r w:rsidRPr="0089366F">
        <w:rPr>
          <w:i/>
          <w:color w:val="4F81BD" w:themeColor="accent1"/>
        </w:rPr>
        <w:t>Charitable Trust Act</w:t>
      </w:r>
      <w:r w:rsidRPr="0089366F">
        <w:t xml:space="preserve"> provides limited guidance on the roles and responsibilities of trustees. </w:t>
      </w:r>
    </w:p>
    <w:p w14:paraId="2009BF29" w14:textId="27CFD5A2" w:rsidR="006D2E84" w:rsidRPr="0089366F" w:rsidRDefault="006D2E84" w:rsidP="006D2E84">
      <w:r w:rsidRPr="0089366F">
        <w:t>The timber company does however remain accountable to the rights holders and must provide monthly information on business operations and calculations of royalties. Should rights holders feel that the company is in breach of the TRA they can serve a one month’s after which the company should address the issues or cease operations. The rights holders however cannot cancel the agreement – only the timber firm can do this</w:t>
      </w:r>
      <w:r w:rsidRPr="0089366F">
        <w:rPr>
          <w:rStyle w:val="FootnoteReference"/>
        </w:rPr>
        <w:footnoteReference w:id="19"/>
      </w:r>
      <w:r w:rsidRPr="0089366F">
        <w:t>.  Further enforcement of the TRA beyond a notice must also be done through the High Court</w:t>
      </w:r>
      <w:r w:rsidRPr="0089366F">
        <w:rPr>
          <w:rStyle w:val="FootnoteReference"/>
        </w:rPr>
        <w:footnoteReference w:id="20"/>
      </w:r>
      <w:r w:rsidRPr="0089366F">
        <w:t xml:space="preserve"> – something that is financially and technically difficult </w:t>
      </w:r>
      <w:r w:rsidR="00EA2014">
        <w:t xml:space="preserve">for many landowners to achieve. This situation has resulted in a </w:t>
      </w:r>
      <w:r w:rsidR="00097C16">
        <w:t>prevalence</w:t>
      </w:r>
      <w:r w:rsidR="00EA2014">
        <w:t xml:space="preserve"> of out of court settlements</w:t>
      </w:r>
      <w:r w:rsidR="002B1BC0">
        <w:t>,</w:t>
      </w:r>
      <w:r w:rsidR="00EA2014">
        <w:t xml:space="preserve"> which often lack transparency and do not provide a sufficient deterrent to companies</w:t>
      </w:r>
      <w:r w:rsidR="00EA2014">
        <w:rPr>
          <w:rStyle w:val="FootnoteReference"/>
        </w:rPr>
        <w:footnoteReference w:id="21"/>
      </w:r>
      <w:r w:rsidR="00EA2014">
        <w:t xml:space="preserve">. </w:t>
      </w:r>
    </w:p>
    <w:p w14:paraId="1A485F2F" w14:textId="1613979D" w:rsidR="006D2E84" w:rsidRPr="0089366F" w:rsidRDefault="006D2E84" w:rsidP="006D2E84">
      <w:r w:rsidRPr="0089366F">
        <w:t>In an effort to address the challenges of a lack of formally accountable structures at the local level the Land Reform Unit is currently recommending that communities form Community Companies to lead land management issues during the recording process as a mechanism to manage funds from the land. It also requires that two women are members of this board</w:t>
      </w:r>
      <w:r w:rsidRPr="0089366F">
        <w:rPr>
          <w:rStyle w:val="FootnoteReference"/>
        </w:rPr>
        <w:footnoteReference w:id="22"/>
      </w:r>
      <w:r w:rsidRPr="0089366F">
        <w:t xml:space="preserve">. Community Companies, established under the </w:t>
      </w:r>
      <w:r w:rsidRPr="0089366F">
        <w:rPr>
          <w:i/>
          <w:color w:val="4F81BD" w:themeColor="accent1"/>
        </w:rPr>
        <w:t>Companies Act 2009</w:t>
      </w:r>
      <w:r w:rsidRPr="0089366F">
        <w:t xml:space="preserve"> have a more clearly regulated set of responsibilities for representatives relating to the duty of directors to shareholders (all of whom must be members of the community) as well as requiring regular reporting and consultation with community members</w:t>
      </w:r>
      <w:r w:rsidRPr="0089366F">
        <w:rPr>
          <w:rStyle w:val="FootnoteReference"/>
        </w:rPr>
        <w:footnoteReference w:id="23"/>
      </w:r>
      <w:r w:rsidRPr="0089366F">
        <w:t>. The act doesn’t however provide any guidance on how directors or shar</w:t>
      </w:r>
      <w:r w:rsidR="00132C73">
        <w:t xml:space="preserve">eholders should be identified. </w:t>
      </w:r>
    </w:p>
    <w:p w14:paraId="65784418" w14:textId="77777777" w:rsidR="006D2E84" w:rsidRPr="0089366F" w:rsidRDefault="006D2E84" w:rsidP="006D2E84">
      <w:r w:rsidRPr="0089366F">
        <w:t xml:space="preserve">The </w:t>
      </w:r>
      <w:r w:rsidRPr="0089366F">
        <w:rPr>
          <w:i/>
          <w:color w:val="4F81BD" w:themeColor="accent1"/>
        </w:rPr>
        <w:t>PA Act</w:t>
      </w:r>
      <w:r w:rsidRPr="0089366F">
        <w:t xml:space="preserve"> identifies the need to establish representative and accountable bodies at a number of levels. It requires the formation of the Protected Areas Advisory Committee,</w:t>
      </w:r>
      <w:r w:rsidRPr="0089366F">
        <w:rPr>
          <w:i/>
        </w:rPr>
        <w:t xml:space="preserve"> </w:t>
      </w:r>
      <w:r w:rsidRPr="0089366F">
        <w:t>which includes at least four members to represent non-governmental organisations</w:t>
      </w:r>
      <w:r w:rsidRPr="0089366F">
        <w:rPr>
          <w:rStyle w:val="FootnoteReference"/>
        </w:rPr>
        <w:footnoteReference w:id="24"/>
      </w:r>
      <w:r w:rsidRPr="0089366F">
        <w:t>. The PAAC has an overall advisory role with regard to implementation of the act and related international agreements</w:t>
      </w:r>
      <w:r w:rsidRPr="0089366F">
        <w:rPr>
          <w:rStyle w:val="FootnoteReference"/>
        </w:rPr>
        <w:footnoteReference w:id="25"/>
      </w:r>
      <w:r w:rsidRPr="0089366F">
        <w:t>. At the site level the act establishes PA management committees (PAMC) which should be appointed by the PA Advisory Committee (PAAC) either following nominations given to the Director of the ECD</w:t>
      </w:r>
      <w:r w:rsidRPr="0089366F">
        <w:rPr>
          <w:rStyle w:val="FootnoteReference"/>
        </w:rPr>
        <w:footnoteReference w:id="26"/>
      </w:r>
      <w:r w:rsidRPr="0089366F">
        <w:t xml:space="preserve"> or through designation of an existing management structure in the case of existing areas. While there are no stipulations for this body to be representative of landowners and communities, it should consist of those living in or responsible for the area</w:t>
      </w:r>
      <w:r w:rsidRPr="0089366F">
        <w:rPr>
          <w:rStyle w:val="FootnoteReference"/>
        </w:rPr>
        <w:footnoteReference w:id="27"/>
      </w:r>
      <w:r w:rsidRPr="0089366F">
        <w:t>, and should landowners disagree to the assignment they could remove their application or agreement for the area</w:t>
      </w:r>
      <w:r w:rsidRPr="0089366F">
        <w:rPr>
          <w:rStyle w:val="FootnoteReference"/>
        </w:rPr>
        <w:footnoteReference w:id="28"/>
      </w:r>
      <w:r w:rsidRPr="0089366F">
        <w:t xml:space="preserve">. No set procedures are provided for these committees but the act ‘identifies a number of principles for decision making </w:t>
      </w:r>
      <w:r>
        <w:t xml:space="preserve">including  – </w:t>
      </w:r>
      <w:r w:rsidRPr="0089366F">
        <w:t>decision-making processes should be transparent and accessible to members of dependent local communities and customary owners;’</w:t>
      </w:r>
      <w:r w:rsidRPr="0089366F">
        <w:rPr>
          <w:rStyle w:val="FootnoteReference"/>
        </w:rPr>
        <w:footnoteReference w:id="29"/>
      </w:r>
      <w:r w:rsidRPr="0089366F">
        <w:t>.</w:t>
      </w:r>
    </w:p>
    <w:p w14:paraId="18322DDE" w14:textId="437B1A65" w:rsidR="006D2E84" w:rsidRPr="0089366F" w:rsidRDefault="006D2E84" w:rsidP="006D2E84">
      <w:r w:rsidRPr="0089366F">
        <w:t>Should a person feel that decision making by the PAMC not be in line with the principles of management they ‘may appeal to the Minister, within twenty- eight days from the date of the decision, who shall hear and determine the appeal and if the appeal is allowed refer the matter to the Advisory Committee for its reconsideration’</w:t>
      </w:r>
      <w:r w:rsidRPr="0089366F">
        <w:rPr>
          <w:rStyle w:val="FootnoteReference"/>
        </w:rPr>
        <w:footnoteReference w:id="30"/>
      </w:r>
      <w:r w:rsidRPr="0089366F">
        <w:t xml:space="preserve"> The Minister may appoint a panel consisting of a legal practitioner and not more than two other members to hear the appeal and make a report to the Minister, including any recommendation on whether or not the appeal should be allowed.</w:t>
      </w:r>
    </w:p>
    <w:p w14:paraId="5816523F" w14:textId="77777777" w:rsidR="006D2E84" w:rsidRPr="0089366F" w:rsidRDefault="006D2E84" w:rsidP="006D2E84">
      <w:r w:rsidRPr="0089366F">
        <w:t xml:space="preserve">The </w:t>
      </w:r>
      <w:r w:rsidRPr="0089366F">
        <w:rPr>
          <w:i/>
          <w:color w:val="4F81BD" w:themeColor="accent1"/>
        </w:rPr>
        <w:t xml:space="preserve">EA </w:t>
      </w:r>
      <w:r w:rsidRPr="0089366F">
        <w:t>provides a framework for decision making on the environment particularly with regard to issuing of development consents and monitoring of pollution. The Act provides the Director of Environment with high levels of discretionary power to either exempt a developer from requiring Development Consent</w:t>
      </w:r>
      <w:r w:rsidRPr="0089366F">
        <w:rPr>
          <w:rStyle w:val="FootnoteReference"/>
        </w:rPr>
        <w:footnoteReference w:id="31"/>
      </w:r>
      <w:r w:rsidRPr="0089366F">
        <w:t xml:space="preserve"> or dispense with requirements for an EIA</w:t>
      </w:r>
      <w:r w:rsidRPr="0089366F">
        <w:rPr>
          <w:rStyle w:val="FootnoteReference"/>
        </w:rPr>
        <w:footnoteReference w:id="32"/>
      </w:r>
      <w:r w:rsidRPr="0089366F">
        <w:t>. Once a Development Consent application has occurred the Director is required to publish information on the application and the EIA report and follow this process up with a public meeting.  They must consider objections raised either in writing or at the meeting as well as a number of other factors in making their decision on whether to grant the development consent</w:t>
      </w:r>
      <w:r w:rsidRPr="0089366F">
        <w:rPr>
          <w:rStyle w:val="FootnoteReference"/>
        </w:rPr>
        <w:footnoteReference w:id="33"/>
      </w:r>
      <w:r w:rsidRPr="0089366F">
        <w:t xml:space="preserve"> but are not required to provide evidence of this process. Appeals against the decisions to grant or decline Development Consent can be lodged with the Environment Advisory Committee (EAC), by any person, within 30 days of the date of when the Director’s decision was published in a newspaper.</w:t>
      </w:r>
      <w:r w:rsidRPr="0089366F">
        <w:rPr>
          <w:vertAlign w:val="superscript"/>
        </w:rPr>
        <w:footnoteReference w:id="34"/>
      </w:r>
      <w:r w:rsidRPr="0089366F">
        <w:t xml:space="preserve"> The validity of a Development Consent is not affected by the simple lodging of an appeal.</w:t>
      </w:r>
      <w:r w:rsidRPr="0089366F">
        <w:rPr>
          <w:vertAlign w:val="superscript"/>
        </w:rPr>
        <w:footnoteReference w:id="35"/>
      </w:r>
      <w:r w:rsidRPr="0089366F">
        <w:t xml:space="preserve"> A copy of the appeal must be served on the Director and on any relevant public authority. A fee is payable for the appeal.</w:t>
      </w:r>
      <w:r w:rsidRPr="0089366F">
        <w:rPr>
          <w:vertAlign w:val="superscript"/>
        </w:rPr>
        <w:footnoteReference w:id="36"/>
      </w:r>
      <w:r w:rsidRPr="0089366F">
        <w:rPr>
          <w:i/>
        </w:rPr>
        <w:t xml:space="preserve"> </w:t>
      </w:r>
      <w:r w:rsidRPr="0089366F">
        <w:t xml:space="preserve">The appeal must be heard in public. </w:t>
      </w:r>
    </w:p>
    <w:p w14:paraId="0CD68445" w14:textId="2849D071" w:rsidR="006D2E84" w:rsidRDefault="006D2E84" w:rsidP="006D2E84">
      <w:r w:rsidRPr="0089366F">
        <w:t>Lodging an appeal against the decision of the Director is</w:t>
      </w:r>
      <w:r w:rsidR="00EA2014">
        <w:t>,</w:t>
      </w:r>
      <w:r w:rsidRPr="0089366F">
        <w:t xml:space="preserve"> however</w:t>
      </w:r>
      <w:r w:rsidR="00EA2014">
        <w:t>,</w:t>
      </w:r>
      <w:r w:rsidRPr="0089366F">
        <w:t xml:space="preserve"> difficult as there is no requirement to publish information on why a decision was made. The 30 day time period is also short to gain all information on a specific development consent process particularly for rural communities. </w:t>
      </w:r>
      <w:r w:rsidR="00EA2014">
        <w:t xml:space="preserve">There is also no capacity for appeals to be raised by landowners or communities during the operation of a project based on its environmental performance. </w:t>
      </w:r>
    </w:p>
    <w:p w14:paraId="130E18FF" w14:textId="2D275073" w:rsidR="00EA2014" w:rsidRPr="00EA2014" w:rsidRDefault="00EA2014" w:rsidP="00EA2014">
      <w:r w:rsidRPr="00EA2014">
        <w:t xml:space="preserve">Should making an appeal through these processes be ‘unreasonable’ an appeal can be raised with the </w:t>
      </w:r>
      <w:r w:rsidRPr="00EA2014">
        <w:rPr>
          <w:i/>
          <w:color w:val="4F81BD" w:themeColor="accent1"/>
        </w:rPr>
        <w:t>Ombudsman</w:t>
      </w:r>
      <w:r w:rsidRPr="00EA2014">
        <w:t xml:space="preserve">. The Ombudsman has the </w:t>
      </w:r>
      <w:r>
        <w:t>capacity to then investigate</w:t>
      </w:r>
      <w:r w:rsidRPr="00EA2014">
        <w:t xml:space="preserve"> actions undertaken </w:t>
      </w:r>
      <w:r>
        <w:t xml:space="preserve">by public bodies </w:t>
      </w:r>
      <w:r w:rsidRPr="00EA2014">
        <w:t>and provide recommendations.</w:t>
      </w:r>
    </w:p>
    <w:p w14:paraId="4F567B3A" w14:textId="77777777" w:rsidR="006D2E84" w:rsidRDefault="006D2E84" w:rsidP="006D2E84"/>
    <w:p w14:paraId="2E68B95C" w14:textId="77777777" w:rsidR="006D2E84" w:rsidRPr="0089366F" w:rsidRDefault="006D2E84" w:rsidP="00132C73">
      <w:pPr>
        <w:pStyle w:val="Heading4"/>
        <w:ind w:left="864" w:hanging="864"/>
      </w:pPr>
      <w:r w:rsidRPr="0089366F">
        <w:t xml:space="preserve">Recommendations </w:t>
      </w:r>
    </w:p>
    <w:p w14:paraId="029BC8D4" w14:textId="77777777" w:rsidR="006D2E84" w:rsidRPr="0089366F" w:rsidRDefault="006D2E84" w:rsidP="00132C73">
      <w:pPr>
        <w:pStyle w:val="Heading5"/>
        <w:ind w:left="1008" w:hanging="1008"/>
      </w:pPr>
      <w:r w:rsidRPr="0089366F">
        <w:t>National Level</w:t>
      </w:r>
    </w:p>
    <w:p w14:paraId="2D742EA7" w14:textId="77777777" w:rsidR="006D2E84" w:rsidRPr="0089366F" w:rsidRDefault="006D2E84" w:rsidP="006B087B">
      <w:pPr>
        <w:numPr>
          <w:ilvl w:val="0"/>
          <w:numId w:val="26"/>
        </w:numPr>
        <w:spacing w:before="0"/>
      </w:pPr>
      <w:r w:rsidRPr="0089366F">
        <w:t xml:space="preserve">National REDD+ Committee is established, membership is reviewed on an annual basis through a multi-stakeholder process. </w:t>
      </w:r>
    </w:p>
    <w:p w14:paraId="30271FB2" w14:textId="67B6EA88" w:rsidR="00305799" w:rsidRDefault="00305799" w:rsidP="006B087B">
      <w:pPr>
        <w:numPr>
          <w:ilvl w:val="0"/>
          <w:numId w:val="26"/>
        </w:numPr>
        <w:spacing w:before="0"/>
      </w:pPr>
      <w:r w:rsidRPr="0089366F">
        <w:t xml:space="preserve">Grievance mechanism for REDD+ at national level </w:t>
      </w:r>
      <w:r w:rsidR="00BC3C36">
        <w:t xml:space="preserve">focused on policy and programmes </w:t>
      </w:r>
      <w:r w:rsidRPr="0089366F">
        <w:t>clearly articulated on REDD+ website</w:t>
      </w:r>
    </w:p>
    <w:p w14:paraId="792FAE08" w14:textId="4D95AE66" w:rsidR="00BC3C36" w:rsidRDefault="00BC3C36" w:rsidP="006B087B">
      <w:pPr>
        <w:numPr>
          <w:ilvl w:val="0"/>
          <w:numId w:val="26"/>
        </w:numPr>
        <w:spacing w:before="0"/>
      </w:pPr>
      <w:r>
        <w:t xml:space="preserve">Establish cross cutting procedural rights and guidance on identification of representatives at site level and their responsibilities that can be mainstreamed into existing legislation. </w:t>
      </w:r>
    </w:p>
    <w:p w14:paraId="5D2E9B01" w14:textId="7AD8884E" w:rsidR="006D2E84" w:rsidRDefault="006D2E84" w:rsidP="006B087B">
      <w:pPr>
        <w:numPr>
          <w:ilvl w:val="0"/>
          <w:numId w:val="26"/>
        </w:numPr>
        <w:spacing w:before="0"/>
      </w:pPr>
      <w:r w:rsidRPr="0089366F">
        <w:t xml:space="preserve">Revisions made to FRTU Act </w:t>
      </w:r>
      <w:r w:rsidR="00305799">
        <w:t xml:space="preserve">to require effective grievance mechanism to be established </w:t>
      </w:r>
      <w:r w:rsidR="00BC3C36">
        <w:t>for all relevant stakeholders, with appropriate access redress should grievances not be addressed</w:t>
      </w:r>
    </w:p>
    <w:p w14:paraId="6F505CCA" w14:textId="2167B375" w:rsidR="00BC3C36" w:rsidRPr="0089366F" w:rsidRDefault="00305799" w:rsidP="00BC3C36">
      <w:pPr>
        <w:numPr>
          <w:ilvl w:val="0"/>
          <w:numId w:val="26"/>
        </w:numPr>
        <w:spacing w:before="0"/>
      </w:pPr>
      <w:r>
        <w:t>Revisions to EA to require EIS to include an effective grievance mechanism</w:t>
      </w:r>
      <w:r w:rsidR="00BC3C36">
        <w:t>, with appropriate access redress should grievances not be addressed</w:t>
      </w:r>
    </w:p>
    <w:p w14:paraId="1577FCAF" w14:textId="77777777" w:rsidR="006D2E84" w:rsidRPr="0089366F" w:rsidRDefault="006D2E84" w:rsidP="00132C73">
      <w:pPr>
        <w:pStyle w:val="Heading5"/>
        <w:ind w:left="1008" w:hanging="1008"/>
      </w:pPr>
      <w:r w:rsidRPr="0089366F">
        <w:t xml:space="preserve">Site Level </w:t>
      </w:r>
    </w:p>
    <w:p w14:paraId="14B2A07D" w14:textId="77777777" w:rsidR="006D2E84" w:rsidRPr="0089366F" w:rsidRDefault="006D2E84" w:rsidP="00132C73">
      <w:pPr>
        <w:pStyle w:val="Heading5"/>
        <w:ind w:left="1008" w:hanging="1008"/>
      </w:pPr>
      <w:r w:rsidRPr="0089366F">
        <w:t>Recommended Actions:</w:t>
      </w:r>
    </w:p>
    <w:p w14:paraId="23C39AE0" w14:textId="77777777" w:rsidR="006D2E84" w:rsidRPr="002B1BC0" w:rsidRDefault="006D2E84" w:rsidP="006B087B">
      <w:pPr>
        <w:numPr>
          <w:ilvl w:val="0"/>
          <w:numId w:val="22"/>
        </w:numPr>
        <w:spacing w:before="0"/>
      </w:pPr>
      <w:r w:rsidRPr="002B1BC0">
        <w:t>Establish National REDD+ Committee with appropriate ToR and membership requirements</w:t>
      </w:r>
    </w:p>
    <w:p w14:paraId="413C829C" w14:textId="131A4668" w:rsidR="006D2E84" w:rsidRPr="002B1BC0" w:rsidRDefault="006D2E84" w:rsidP="006B087B">
      <w:pPr>
        <w:numPr>
          <w:ilvl w:val="0"/>
          <w:numId w:val="22"/>
        </w:numPr>
        <w:spacing w:before="0"/>
      </w:pPr>
      <w:r w:rsidRPr="002B1BC0">
        <w:t>Develop guidance for identification of rights holders related to forest carbon to be included in potential future Forest Resources Act</w:t>
      </w:r>
    </w:p>
    <w:p w14:paraId="496B7E7A" w14:textId="77777777" w:rsidR="006D2E84" w:rsidRDefault="006D2E84" w:rsidP="00132C73">
      <w:pPr>
        <w:pStyle w:val="Heading5"/>
      </w:pPr>
      <w:r w:rsidRPr="0089366F">
        <w:t xml:space="preserve">Potential Indicators </w:t>
      </w:r>
    </w:p>
    <w:p w14:paraId="3BDFE610" w14:textId="77777777" w:rsidR="006D2E84" w:rsidRPr="0089366F" w:rsidRDefault="006D2E84" w:rsidP="006B087B">
      <w:pPr>
        <w:numPr>
          <w:ilvl w:val="0"/>
          <w:numId w:val="22"/>
        </w:numPr>
        <w:spacing w:before="0"/>
      </w:pPr>
      <w:r w:rsidRPr="0089366F">
        <w:t xml:space="preserve">Annual review of the National REDD+ Committee Membership </w:t>
      </w:r>
    </w:p>
    <w:p w14:paraId="1789C231" w14:textId="77777777" w:rsidR="006D2E84" w:rsidRPr="0089366F" w:rsidRDefault="006D2E84" w:rsidP="006B087B">
      <w:pPr>
        <w:numPr>
          <w:ilvl w:val="0"/>
          <w:numId w:val="22"/>
        </w:numPr>
        <w:spacing w:before="0"/>
      </w:pPr>
      <w:r w:rsidRPr="0089366F">
        <w:t>Regular reporting of the National REDD+ Committee to the National Climate Change Working Group</w:t>
      </w:r>
    </w:p>
    <w:p w14:paraId="1AEB8521" w14:textId="77777777" w:rsidR="006D2E84" w:rsidRPr="0089366F" w:rsidRDefault="006D2E84" w:rsidP="006B087B">
      <w:pPr>
        <w:numPr>
          <w:ilvl w:val="0"/>
          <w:numId w:val="22"/>
        </w:numPr>
        <w:spacing w:before="0"/>
      </w:pPr>
      <w:r w:rsidRPr="0089366F">
        <w:t xml:space="preserve">All site level REDD+ activities provide a clear basis structure for management and presence of a grievance mechanism </w:t>
      </w:r>
    </w:p>
    <w:p w14:paraId="585F06B9" w14:textId="77777777" w:rsidR="006D2E84" w:rsidRPr="0089366F" w:rsidRDefault="006D2E84" w:rsidP="006B087B">
      <w:pPr>
        <w:numPr>
          <w:ilvl w:val="0"/>
          <w:numId w:val="22"/>
        </w:numPr>
        <w:spacing w:before="0"/>
      </w:pPr>
      <w:r w:rsidRPr="0089366F">
        <w:t>Number of grievances raised with REDD+ Implementation Unit related to REDD+, number escalated to REDD+ Taskforce</w:t>
      </w:r>
    </w:p>
    <w:p w14:paraId="5091C8D7" w14:textId="77777777" w:rsidR="006D2E84" w:rsidRPr="0089366F" w:rsidRDefault="006D2E84" w:rsidP="00132C73">
      <w:pPr>
        <w:pStyle w:val="Heading5"/>
        <w:ind w:left="1008" w:hanging="1008"/>
      </w:pPr>
      <w:r w:rsidRPr="0089366F">
        <w:t xml:space="preserve">Data Collection: </w:t>
      </w:r>
    </w:p>
    <w:p w14:paraId="03D2AD96" w14:textId="77777777" w:rsidR="006D2E84" w:rsidRPr="0089366F" w:rsidRDefault="006D2E84" w:rsidP="006B087B">
      <w:pPr>
        <w:numPr>
          <w:ilvl w:val="0"/>
          <w:numId w:val="22"/>
        </w:numPr>
        <w:spacing w:before="0"/>
      </w:pPr>
      <w:r w:rsidRPr="0089366F">
        <w:t>Log of meetings kept by RIU and REDD+ Taskforce</w:t>
      </w:r>
    </w:p>
    <w:p w14:paraId="4459FFED" w14:textId="77777777" w:rsidR="006D2E84" w:rsidRPr="0089366F" w:rsidRDefault="006D2E84" w:rsidP="006B087B">
      <w:pPr>
        <w:numPr>
          <w:ilvl w:val="0"/>
          <w:numId w:val="22"/>
        </w:numPr>
        <w:spacing w:before="0"/>
      </w:pPr>
      <w:r w:rsidRPr="0089366F">
        <w:t xml:space="preserve">REDD+ Project Registration process </w:t>
      </w:r>
    </w:p>
    <w:p w14:paraId="4BBBF5EC" w14:textId="77777777" w:rsidR="006D2E84" w:rsidRPr="0089366F" w:rsidRDefault="006D2E84" w:rsidP="006D2E84"/>
    <w:p w14:paraId="29C3AB63" w14:textId="77777777" w:rsidR="006D2E84" w:rsidRPr="0089366F" w:rsidRDefault="006D2E84" w:rsidP="006D2E84"/>
    <w:p w14:paraId="5292B27B" w14:textId="77777777" w:rsidR="006D2E84" w:rsidRPr="0089366F" w:rsidRDefault="006D2E84" w:rsidP="006D2E84">
      <w:pPr>
        <w:pStyle w:val="Heading3"/>
        <w:sectPr w:rsidR="006D2E84" w:rsidRPr="0089366F" w:rsidSect="00014341">
          <w:pgSz w:w="11900" w:h="16840"/>
          <w:pgMar w:top="1440" w:right="1080" w:bottom="1440" w:left="1080" w:header="708" w:footer="708" w:gutter="0"/>
          <w:cols w:space="708"/>
          <w:docGrid w:linePitch="360"/>
        </w:sectPr>
      </w:pPr>
    </w:p>
    <w:p w14:paraId="0B80A7F3" w14:textId="720BBE86" w:rsidR="006D2E84" w:rsidRPr="0089366F" w:rsidRDefault="006D2E84" w:rsidP="00132C73">
      <w:pPr>
        <w:pStyle w:val="Heading3"/>
        <w:numPr>
          <w:ilvl w:val="0"/>
          <w:numId w:val="0"/>
        </w:numPr>
      </w:pPr>
      <w:bookmarkStart w:id="30" w:name="_Toc254892845"/>
      <w:r w:rsidRPr="0089366F">
        <w:t>Criterion 3 – Ensure transparency and accessibility of information related to REDD+, including active dissemination among relevant stakeholders</w:t>
      </w:r>
      <w:bookmarkEnd w:id="30"/>
    </w:p>
    <w:p w14:paraId="61B7C8FA" w14:textId="77777777" w:rsidR="006D2E84" w:rsidRPr="0089366F" w:rsidRDefault="006D2E84" w:rsidP="00132C73">
      <w:pPr>
        <w:pStyle w:val="Heading4"/>
        <w:ind w:left="864" w:hanging="864"/>
      </w:pPr>
      <w:r w:rsidRPr="0089366F">
        <w:t xml:space="preserve">Potential Risks: </w:t>
      </w:r>
    </w:p>
    <w:p w14:paraId="62A60565" w14:textId="77777777" w:rsidR="006D2E84" w:rsidRPr="0089366F" w:rsidRDefault="006D2E84" w:rsidP="006D2E84">
      <w:r w:rsidRPr="0089366F">
        <w:t xml:space="preserve">Limited awareness on REDD+ prevents stakeholders from engaging effectively in REDD+ developments. </w:t>
      </w:r>
    </w:p>
    <w:p w14:paraId="1629E715" w14:textId="77777777" w:rsidR="006D2E84" w:rsidRPr="0089366F" w:rsidRDefault="006D2E84" w:rsidP="006D2E84">
      <w:r w:rsidRPr="0089366F">
        <w:t>In appropriate awareness raising activities create unrealistic expectations of what a mechanism on REDD+ can deliver.</w:t>
      </w:r>
    </w:p>
    <w:p w14:paraId="6092DFFA" w14:textId="77777777" w:rsidR="006D2E84" w:rsidRPr="0089366F" w:rsidRDefault="006D2E84" w:rsidP="00132C73">
      <w:pPr>
        <w:pStyle w:val="Heading4"/>
        <w:ind w:left="864" w:hanging="864"/>
      </w:pPr>
      <w:r w:rsidRPr="0089366F">
        <w:t>Summary of Existing Legislation and its Application:</w:t>
      </w:r>
    </w:p>
    <w:p w14:paraId="7DA7615E" w14:textId="77777777" w:rsidR="006D2E84" w:rsidRPr="0089366F" w:rsidRDefault="006D2E84" w:rsidP="00132C73">
      <w:pPr>
        <w:pStyle w:val="Heading5"/>
        <w:ind w:left="1008" w:hanging="1008"/>
      </w:pPr>
      <w:r w:rsidRPr="0089366F">
        <w:t>REDD+</w:t>
      </w:r>
    </w:p>
    <w:p w14:paraId="1365B3A2" w14:textId="34F804DE" w:rsidR="006D2E84" w:rsidRPr="0089366F" w:rsidRDefault="006D2E84" w:rsidP="006D2E84">
      <w:r w:rsidRPr="0089366F">
        <w:t xml:space="preserve">Limited information is currently available on REDD+ within the Solomon Islands. Initial awareness raising has focused on two locations within the country and central national actors. A number of newspaper articles and printed information leaflets have also be produced. </w:t>
      </w:r>
    </w:p>
    <w:p w14:paraId="3FA91AE1" w14:textId="77777777" w:rsidR="006D2E84" w:rsidRPr="0089366F" w:rsidRDefault="006D2E84" w:rsidP="00132C73">
      <w:pPr>
        <w:pStyle w:val="Heading5"/>
        <w:ind w:left="1008" w:hanging="1008"/>
      </w:pPr>
      <w:r w:rsidRPr="0089366F">
        <w:t>Existing legislation and systems</w:t>
      </w:r>
    </w:p>
    <w:p w14:paraId="1CF8A88C" w14:textId="1D187E44" w:rsidR="006D2E84" w:rsidRPr="0089366F" w:rsidRDefault="006D2E84" w:rsidP="006D2E84">
      <w:r w:rsidRPr="0089366F">
        <w:t>Information on the forest and broader environment sector is limited with public access difficult in many cases. At the national level no overarching freedom of information legislation exists. Neither the MECDM or MoFR have websites and access to information on their operations is not readily available on-line. Recent efforts to update forestry legislation has undergone a process of national and provincial consultations with consultation events held at provincial centers. Processes of awareness raising on existing legislation have been undertaken by the LALSU although with a small staff team and limited resources their capacity to reach a large num</w:t>
      </w:r>
      <w:r w:rsidR="00132C73">
        <w:t xml:space="preserve">ber of communities is limited. </w:t>
      </w:r>
    </w:p>
    <w:p w14:paraId="0A66B763" w14:textId="77777777" w:rsidR="006D2E84" w:rsidRPr="0089366F" w:rsidRDefault="006D2E84" w:rsidP="006D2E84">
      <w:r w:rsidRPr="0089366F">
        <w:t xml:space="preserve">The </w:t>
      </w:r>
      <w:r w:rsidRPr="0089366F">
        <w:rPr>
          <w:i/>
          <w:color w:val="4F81BD" w:themeColor="accent1"/>
        </w:rPr>
        <w:t>FRTU Act</w:t>
      </w:r>
      <w:r w:rsidRPr="0089366F">
        <w:t xml:space="preserve"> provides no requirement for transparency or access to information at the national level, although a database of milling and felling licenses is maintained and information on license application and timber rights agreements can be obtained on request. </w:t>
      </w:r>
    </w:p>
    <w:p w14:paraId="151AFEDF" w14:textId="60A28B02" w:rsidR="006D2E84" w:rsidRPr="0097334D" w:rsidRDefault="006D2E84" w:rsidP="006D2E84">
      <w:pPr>
        <w:rPr>
          <w:szCs w:val="22"/>
        </w:rPr>
      </w:pPr>
      <w:r w:rsidRPr="0089366F">
        <w:t>At the site level the act requires information on the proposed operation to be provided initially to landowners and other representatives and then to timber rights holders in advance of the timber rights hearing</w:t>
      </w:r>
      <w:r w:rsidRPr="0089366F">
        <w:rPr>
          <w:rStyle w:val="FootnoteReference"/>
        </w:rPr>
        <w:footnoteReference w:id="37"/>
      </w:r>
      <w:r w:rsidRPr="0089366F">
        <w:t>, negotiations on the timber rights agreement</w:t>
      </w:r>
      <w:r w:rsidRPr="0089366F">
        <w:rPr>
          <w:rStyle w:val="FootnoteReference"/>
          <w:iCs/>
        </w:rPr>
        <w:footnoteReference w:id="38"/>
      </w:r>
      <w:r w:rsidRPr="0089366F">
        <w:t xml:space="preserve"> and then through the development consent process with notifications of decisions also being required to be made public during these stages. The level of detail of information is, however, often not sufficient for landowners and communities to make decision or sufficiently in advance to effectively engage in decision making or address decisions once made.  Once timber operations have commenced timber companies to provide information on their operations to Timber Rights Holders on a monthly basis at public meetings</w:t>
      </w:r>
      <w:r w:rsidRPr="0089366F">
        <w:rPr>
          <w:rStyle w:val="FootnoteReference"/>
          <w:szCs w:val="22"/>
        </w:rPr>
        <w:footnoteReference w:id="39"/>
      </w:r>
      <w:r w:rsidRPr="0089366F">
        <w:rPr>
          <w:szCs w:val="22"/>
        </w:rPr>
        <w:t xml:space="preserve">. It is understood, however, that many of these requirements are not fully complied with and access to information on the operations of timber firms and levels of royalty paid are often held by a very small number of people with limited public access. This process is further restricted by a lack of requirements for transparency for Charitable Trusts into which royalties are often paid. The act does however require copies of most documents to be held at both provincial and national levels making it easier for community members to access them. </w:t>
      </w:r>
    </w:p>
    <w:p w14:paraId="54178C13" w14:textId="4AA5340B" w:rsidR="006D2E84" w:rsidRPr="0089366F" w:rsidRDefault="006D2E84" w:rsidP="006D2E84">
      <w:r w:rsidRPr="0089366F">
        <w:t xml:space="preserve">The </w:t>
      </w:r>
      <w:r w:rsidRPr="0089366F">
        <w:rPr>
          <w:i/>
          <w:color w:val="4F81BD" w:themeColor="accent1"/>
        </w:rPr>
        <w:t>PA Act</w:t>
      </w:r>
      <w:r w:rsidRPr="0089366F">
        <w:t xml:space="preserve"> requires the Director to keep a record of all PAs</w:t>
      </w:r>
      <w:r w:rsidRPr="0089366F">
        <w:rPr>
          <w:rStyle w:val="FootnoteReference"/>
        </w:rPr>
        <w:footnoteReference w:id="40"/>
      </w:r>
      <w:r w:rsidRPr="0089366F">
        <w:t xml:space="preserve"> but provides no guidance on how this should be made available at national level. The act also contains limited guidance on what information should be provided during consultations for the establishment of PA.  Guidance is, however, provided to PAMCs with the act stating that ‘decision making processes should be transparent and accessible to members of dependent communities and customary owners.’</w:t>
      </w:r>
      <w:r w:rsidRPr="0089366F">
        <w:rPr>
          <w:rStyle w:val="FootnoteReference"/>
        </w:rPr>
        <w:footnoteReference w:id="41"/>
      </w:r>
      <w:r w:rsidRPr="0089366F">
        <w:t xml:space="preserve"> PAMCs must also maintain accounts that are audited on an annual basis with this information made available to local those living near the PA, other relevant stakeholders and Minister</w:t>
      </w:r>
      <w:r w:rsidRPr="0089366F">
        <w:rPr>
          <w:rStyle w:val="FootnoteReference"/>
        </w:rPr>
        <w:footnoteReference w:id="42"/>
      </w:r>
      <w:r w:rsidRPr="0089366F">
        <w:t>. A list of proposed PA can be accessed from the ECD at present and the ministry are also working on increasing awareness of PA legislation amongst landowners (REF). LALSU have also included awareness raising information on PA within their awareness raising activities and have recently release a PA Toolkit in partnership with the Environmental Defence Office New South Wales and wit</w:t>
      </w:r>
      <w:r w:rsidR="00132C73">
        <w:t xml:space="preserve">h support from AusAid and WWF. </w:t>
      </w:r>
    </w:p>
    <w:p w14:paraId="26659350" w14:textId="421FE5DC" w:rsidR="006D2E84" w:rsidRPr="0089366F" w:rsidRDefault="006D2E84" w:rsidP="006D2E84">
      <w:r w:rsidRPr="0089366F">
        <w:t xml:space="preserve">The </w:t>
      </w:r>
      <w:r w:rsidRPr="0089366F">
        <w:rPr>
          <w:i/>
          <w:color w:val="4F81BD" w:themeColor="accent1"/>
        </w:rPr>
        <w:t>E</w:t>
      </w:r>
      <w:r w:rsidR="00097C16">
        <w:rPr>
          <w:i/>
          <w:color w:val="4F81BD" w:themeColor="accent1"/>
        </w:rPr>
        <w:t xml:space="preserve">nvironment </w:t>
      </w:r>
      <w:r w:rsidRPr="0089366F">
        <w:rPr>
          <w:i/>
          <w:color w:val="4F81BD" w:themeColor="accent1"/>
        </w:rPr>
        <w:t>A</w:t>
      </w:r>
      <w:r w:rsidR="00097C16">
        <w:rPr>
          <w:i/>
          <w:color w:val="4F81BD" w:themeColor="accent1"/>
        </w:rPr>
        <w:t>ct</w:t>
      </w:r>
      <w:r w:rsidRPr="0089366F">
        <w:t xml:space="preserve"> provides more detailed information regarding access to information identifying the need to ensure freedom of and access to information on environmental matters, and conduct public education and awareness programmes about the environment</w:t>
      </w:r>
      <w:r w:rsidRPr="0089366F">
        <w:rPr>
          <w:vertAlign w:val="superscript"/>
        </w:rPr>
        <w:footnoteReference w:id="43"/>
      </w:r>
      <w:r w:rsidRPr="0089366F">
        <w:t xml:space="preserve"> as core functions of the ECD. It also requires the Director to keep proper records of all development applications, environmental impact assessments, public environmental reports and development consents</w:t>
      </w:r>
      <w:r w:rsidRPr="0089366F">
        <w:rPr>
          <w:rStyle w:val="FootnoteReference"/>
        </w:rPr>
        <w:footnoteReference w:id="44"/>
      </w:r>
      <w:r w:rsidRPr="0089366F">
        <w:t xml:space="preserve"> and that these should be available for perusal by the public during normal working hours</w:t>
      </w:r>
      <w:r w:rsidRPr="0089366F">
        <w:rPr>
          <w:rStyle w:val="FootnoteReference"/>
        </w:rPr>
        <w:footnoteReference w:id="45"/>
      </w:r>
      <w:r w:rsidRPr="0089366F">
        <w:t>. It also requires the ministry to produce a State of the Environment Report on a triennial basis, which is made available to the National Parliament</w:t>
      </w:r>
      <w:r w:rsidRPr="0089366F">
        <w:rPr>
          <w:rStyle w:val="FootnoteReference"/>
        </w:rPr>
        <w:footnoteReference w:id="46"/>
      </w:r>
      <w:r w:rsidRPr="0089366F">
        <w:t xml:space="preserve">.  </w:t>
      </w:r>
    </w:p>
    <w:p w14:paraId="21D138CF" w14:textId="77777777" w:rsidR="006D2E84" w:rsidRPr="0089366F" w:rsidRDefault="006D2E84" w:rsidP="006D2E84">
      <w:r w:rsidRPr="0089366F">
        <w:t>At the site level the Director is also required to provide information to communities during the development consent process. In particular ‘the notice of the application shall be published in a newspaper that is published regularly in Solomon Islands; in the communities where the proposed prescribed development is to be undertaken in rural area, the notice shall be posted at public places in the communities in which the proposed prescribed development is to be undertaken or in such manner as the director shall think appropriate.’</w:t>
      </w:r>
      <w:r w:rsidRPr="0089366F">
        <w:rPr>
          <w:rStyle w:val="FootnoteReference"/>
        </w:rPr>
        <w:t xml:space="preserve"> </w:t>
      </w:r>
      <w:r w:rsidRPr="0089366F">
        <w:rPr>
          <w:rStyle w:val="FootnoteReference"/>
        </w:rPr>
        <w:footnoteReference w:id="47"/>
      </w:r>
      <w:r w:rsidRPr="0089366F">
        <w:t xml:space="preserve"> The notice is required to occur in a standard format (Form 4) which includes amongst other things a date and venue for a meeting to be convened by the Director to receive representations from stakeholders, the form does not however require a map to be provided often making it difficult for stakeholders to clearly identify whether they will be impacted by a development. In advance of the meeting the ‘Director shall (also) make available to the public and in particular, in the communities,…. copies of the Public Environmental Report (PER) or the Environmental Impact Statement (EIS) as the case may be. Any cost associated with the publication of the Notice, Public Environmental Report or the Environmental Impact Statement shall be borne by the applicant.</w:t>
      </w:r>
      <w:r w:rsidRPr="0089366F">
        <w:rPr>
          <w:rStyle w:val="FootnoteReference"/>
        </w:rPr>
        <w:footnoteReference w:id="48"/>
      </w:r>
    </w:p>
    <w:p w14:paraId="457691AE" w14:textId="23EE24D6" w:rsidR="006D2E84" w:rsidRPr="0089366F" w:rsidRDefault="006D2E84" w:rsidP="006D2E84">
      <w:r w:rsidRPr="0089366F">
        <w:t xml:space="preserve">While this information is made available it is often either not supported by clear enough maps for stakeholders to be aware of the need to attend meetings or where EIS and PERs are involved these are supplied at such a late date as to make clear understanding of such documents difficult. Access to information being held within national offices, while useful also remains difficult to local stakeholders to access many of whom may have never been to Honiara. </w:t>
      </w:r>
    </w:p>
    <w:p w14:paraId="70BF9B65" w14:textId="77777777" w:rsidR="006D2E84" w:rsidRPr="0089366F" w:rsidRDefault="006D2E84" w:rsidP="00132C73">
      <w:pPr>
        <w:pStyle w:val="Heading4"/>
        <w:ind w:left="864" w:hanging="864"/>
      </w:pPr>
      <w:r w:rsidRPr="0089366F">
        <w:t xml:space="preserve">Recommendations </w:t>
      </w:r>
    </w:p>
    <w:p w14:paraId="01B97412" w14:textId="77777777" w:rsidR="006D2E84" w:rsidRPr="0089366F" w:rsidRDefault="006D2E84" w:rsidP="00132C73">
      <w:pPr>
        <w:pStyle w:val="Heading5"/>
        <w:ind w:left="1008" w:hanging="1008"/>
      </w:pPr>
      <w:r w:rsidRPr="0089366F">
        <w:t>National Level</w:t>
      </w:r>
    </w:p>
    <w:p w14:paraId="53F4E739" w14:textId="77777777" w:rsidR="007E031E" w:rsidRDefault="006D2E84" w:rsidP="006D2E84">
      <w:r w:rsidRPr="0089366F">
        <w:t>Systems to promote transparency and access to information need to be supported and developed within key government ministries. Key recommendations include:</w:t>
      </w:r>
    </w:p>
    <w:p w14:paraId="28944AF2" w14:textId="5046047A" w:rsidR="009F18A2" w:rsidRDefault="009F18A2" w:rsidP="006D2E84">
      <w:pPr>
        <w:rPr>
          <w:u w:val="single"/>
        </w:rPr>
      </w:pPr>
      <w:r>
        <w:rPr>
          <w:u w:val="single"/>
        </w:rPr>
        <w:t>Cross Cutting</w:t>
      </w:r>
    </w:p>
    <w:p w14:paraId="653E906B" w14:textId="735F2084" w:rsidR="009F18A2" w:rsidRPr="0089366F" w:rsidRDefault="009F18A2" w:rsidP="009F18A2">
      <w:pPr>
        <w:numPr>
          <w:ilvl w:val="0"/>
          <w:numId w:val="26"/>
        </w:numPr>
        <w:spacing w:before="0"/>
      </w:pPr>
      <w:r w:rsidRPr="0089366F">
        <w:t>An active programme of awareness raising and information sharing is undertaken linked with other programmes related to landuse planning and management</w:t>
      </w:r>
      <w:r w:rsidR="00997476">
        <w:t xml:space="preserve"> (</w:t>
      </w:r>
      <w:r w:rsidR="00997476" w:rsidRPr="00997476">
        <w:rPr>
          <w:i/>
        </w:rPr>
        <w:t>activity</w:t>
      </w:r>
      <w:r w:rsidR="00997476">
        <w:t>) - (ST)</w:t>
      </w:r>
    </w:p>
    <w:p w14:paraId="5C0BEB12" w14:textId="77777777" w:rsidR="009F18A2" w:rsidRDefault="009F18A2" w:rsidP="006D2E84">
      <w:pPr>
        <w:rPr>
          <w:u w:val="single"/>
        </w:rPr>
      </w:pPr>
    </w:p>
    <w:p w14:paraId="42A68C1D" w14:textId="32C711B2" w:rsidR="006D2E84" w:rsidRPr="007E031E" w:rsidRDefault="007E031E" w:rsidP="006D2E84">
      <w:pPr>
        <w:rPr>
          <w:u w:val="single"/>
        </w:rPr>
      </w:pPr>
      <w:r w:rsidRPr="007E031E">
        <w:rPr>
          <w:u w:val="single"/>
        </w:rPr>
        <w:t>Forestry:</w:t>
      </w:r>
      <w:r w:rsidR="006D2E84" w:rsidRPr="007E031E">
        <w:rPr>
          <w:u w:val="single"/>
        </w:rPr>
        <w:t xml:space="preserve">  </w:t>
      </w:r>
    </w:p>
    <w:p w14:paraId="0A5A0983" w14:textId="274162CE" w:rsidR="006D2E84" w:rsidRPr="0089366F" w:rsidRDefault="006D2E84" w:rsidP="006B087B">
      <w:pPr>
        <w:numPr>
          <w:ilvl w:val="0"/>
          <w:numId w:val="26"/>
        </w:numPr>
        <w:spacing w:before="0"/>
      </w:pPr>
      <w:r w:rsidRPr="0089366F">
        <w:t>A REDD+ website is established which provides information on REDD+ in general as well as activities and developments (this could form part of a MoFR Website)</w:t>
      </w:r>
      <w:r w:rsidR="009F18A2">
        <w:t xml:space="preserve"> (</w:t>
      </w:r>
      <w:r w:rsidR="009F18A2" w:rsidRPr="009F18A2">
        <w:rPr>
          <w:i/>
        </w:rPr>
        <w:t>system</w:t>
      </w:r>
      <w:r w:rsidR="009F18A2">
        <w:t>).</w:t>
      </w:r>
    </w:p>
    <w:p w14:paraId="42C35C19" w14:textId="589C5C9A" w:rsidR="009F18A2" w:rsidRDefault="009F18A2" w:rsidP="006B087B">
      <w:pPr>
        <w:numPr>
          <w:ilvl w:val="0"/>
          <w:numId w:val="26"/>
        </w:numPr>
        <w:spacing w:before="0"/>
      </w:pPr>
      <w:r>
        <w:t>SOLFRIS database is maintained up to date and with public access to information during office hours and information linked to web-platform (</w:t>
      </w:r>
      <w:r w:rsidRPr="009F18A2">
        <w:rPr>
          <w:i/>
        </w:rPr>
        <w:t>system</w:t>
      </w:r>
      <w:r>
        <w:t>).</w:t>
      </w:r>
    </w:p>
    <w:p w14:paraId="2C375481" w14:textId="2EF04550" w:rsidR="009F18A2" w:rsidRDefault="009F18A2" w:rsidP="009F18A2">
      <w:pPr>
        <w:numPr>
          <w:ilvl w:val="0"/>
          <w:numId w:val="26"/>
        </w:numPr>
        <w:spacing w:before="0"/>
      </w:pPr>
      <w:r>
        <w:t>Information on all forestry licenses also maintained at provincial level (</w:t>
      </w:r>
      <w:r w:rsidRPr="009F18A2">
        <w:rPr>
          <w:i/>
        </w:rPr>
        <w:t>system</w:t>
      </w:r>
      <w:r>
        <w:t>).</w:t>
      </w:r>
    </w:p>
    <w:p w14:paraId="10584BA8" w14:textId="0EA540E0" w:rsidR="006D2E84" w:rsidRPr="0089366F" w:rsidRDefault="006D2E84" w:rsidP="006B087B">
      <w:pPr>
        <w:numPr>
          <w:ilvl w:val="0"/>
          <w:numId w:val="26"/>
        </w:numPr>
        <w:spacing w:before="0"/>
      </w:pPr>
      <w:r w:rsidRPr="0089366F">
        <w:t xml:space="preserve">A National Forest Monitoring System is established which provides information on existing levels of forest cover </w:t>
      </w:r>
      <w:r w:rsidR="00997476">
        <w:t>– this should also link to SOLFRIS to provide information on licenses within those areas as well as information from da</w:t>
      </w:r>
      <w:r w:rsidR="00814AD8">
        <w:t>ta-</w:t>
      </w:r>
      <w:r w:rsidR="00997476">
        <w:t>bases on Development Consent and PA (</w:t>
      </w:r>
      <w:r w:rsidR="00997476" w:rsidRPr="00997476">
        <w:rPr>
          <w:i/>
        </w:rPr>
        <w:t>system</w:t>
      </w:r>
      <w:r w:rsidR="00997476">
        <w:t xml:space="preserve">). </w:t>
      </w:r>
    </w:p>
    <w:p w14:paraId="265B22BB" w14:textId="3BC85A15" w:rsidR="006D2E84" w:rsidRDefault="006D2E84" w:rsidP="006B087B">
      <w:pPr>
        <w:numPr>
          <w:ilvl w:val="0"/>
          <w:numId w:val="26"/>
        </w:numPr>
        <w:spacing w:before="0"/>
      </w:pPr>
      <w:r w:rsidRPr="0089366F">
        <w:t>Forest sector legislation is reviewed to require transparency and access to information</w:t>
      </w:r>
      <w:r w:rsidR="009F18A2">
        <w:t xml:space="preserve"> during process of developing </w:t>
      </w:r>
      <w:r w:rsidR="00997476">
        <w:t>(</w:t>
      </w:r>
      <w:r w:rsidR="00997476" w:rsidRPr="00997476">
        <w:rPr>
          <w:i/>
        </w:rPr>
        <w:t>legislation</w:t>
      </w:r>
      <w:r w:rsidR="00997476">
        <w:t>)</w:t>
      </w:r>
      <w:r w:rsidRPr="0089366F">
        <w:t xml:space="preserve">. </w:t>
      </w:r>
    </w:p>
    <w:p w14:paraId="00CDB0CF" w14:textId="77777777" w:rsidR="007E031E" w:rsidRDefault="007E031E" w:rsidP="007E031E">
      <w:pPr>
        <w:spacing w:before="0"/>
      </w:pPr>
    </w:p>
    <w:p w14:paraId="19FEA02D" w14:textId="189E025F" w:rsidR="007E031E" w:rsidRPr="00A364BE" w:rsidRDefault="007E031E" w:rsidP="007E031E">
      <w:pPr>
        <w:spacing w:before="0"/>
        <w:rPr>
          <w:u w:val="single"/>
        </w:rPr>
      </w:pPr>
      <w:r w:rsidRPr="00A364BE">
        <w:rPr>
          <w:u w:val="single"/>
        </w:rPr>
        <w:t>Environment</w:t>
      </w:r>
    </w:p>
    <w:p w14:paraId="58538EE6" w14:textId="0DCF3CC5" w:rsidR="007E031E" w:rsidRDefault="007E031E" w:rsidP="009D70D7">
      <w:pPr>
        <w:pStyle w:val="ListParagraph"/>
        <w:numPr>
          <w:ilvl w:val="0"/>
          <w:numId w:val="83"/>
        </w:numPr>
        <w:spacing w:before="0"/>
      </w:pPr>
      <w:r>
        <w:t>Effective data base on Development Consent applications and approvals is operationalized and linked to a web-platform to facilitate access to information</w:t>
      </w:r>
      <w:r w:rsidR="00A364BE">
        <w:t xml:space="preserve"> as well as being available for access within MECDM and at Provincial level (see next recommendation) (</w:t>
      </w:r>
      <w:r w:rsidR="00A364BE" w:rsidRPr="00A364BE">
        <w:rPr>
          <w:i/>
        </w:rPr>
        <w:t>systems</w:t>
      </w:r>
      <w:r w:rsidR="00A364BE">
        <w:t>)</w:t>
      </w:r>
    </w:p>
    <w:p w14:paraId="7E439BDF" w14:textId="0C3D403F" w:rsidR="007E031E" w:rsidRDefault="007E031E" w:rsidP="009D70D7">
      <w:pPr>
        <w:pStyle w:val="ListParagraph"/>
        <w:numPr>
          <w:ilvl w:val="0"/>
          <w:numId w:val="83"/>
        </w:numPr>
        <w:spacing w:before="0"/>
      </w:pPr>
      <w:r>
        <w:t xml:space="preserve">EA should </w:t>
      </w:r>
      <w:r w:rsidR="00A364BE">
        <w:t xml:space="preserve">be modified to </w:t>
      </w:r>
      <w:r>
        <w:t xml:space="preserve">require information on Development Consents and applications to be available at national, provincial and site levels </w:t>
      </w:r>
      <w:r w:rsidR="00A364BE">
        <w:t>sufficiently in advance of decisions and throughout life of project in line with guidance on procedural rights for FPIC.</w:t>
      </w:r>
      <w:r>
        <w:t xml:space="preserve"> </w:t>
      </w:r>
      <w:r w:rsidR="00A364BE">
        <w:t>(</w:t>
      </w:r>
      <w:r w:rsidR="00A364BE" w:rsidRPr="00A364BE">
        <w:rPr>
          <w:i/>
        </w:rPr>
        <w:t>legislation</w:t>
      </w:r>
      <w:r w:rsidR="00A364BE">
        <w:t>)</w:t>
      </w:r>
    </w:p>
    <w:p w14:paraId="0A3E0CF2" w14:textId="188E2581" w:rsidR="00A364BE" w:rsidRDefault="00A364BE" w:rsidP="009D70D7">
      <w:pPr>
        <w:pStyle w:val="ListParagraph"/>
        <w:numPr>
          <w:ilvl w:val="0"/>
          <w:numId w:val="83"/>
        </w:numPr>
        <w:spacing w:before="0"/>
      </w:pPr>
      <w:r>
        <w:t>System of information on PAs should be operationalized and made publically available at national and provincial levels (</w:t>
      </w:r>
      <w:r w:rsidRPr="00A364BE">
        <w:rPr>
          <w:i/>
        </w:rPr>
        <w:t>systems</w:t>
      </w:r>
      <w:r>
        <w:t>)</w:t>
      </w:r>
    </w:p>
    <w:p w14:paraId="625B0E52" w14:textId="02074F0C" w:rsidR="00A364BE" w:rsidRDefault="00A364BE" w:rsidP="009D70D7">
      <w:pPr>
        <w:pStyle w:val="ListParagraph"/>
        <w:numPr>
          <w:ilvl w:val="0"/>
          <w:numId w:val="83"/>
        </w:numPr>
        <w:spacing w:before="0"/>
      </w:pPr>
      <w:r>
        <w:t xml:space="preserve">PA should be modified to require public access to information on PAs as well as operations of trust fund </w:t>
      </w:r>
      <w:r w:rsidRPr="00A364BE">
        <w:rPr>
          <w:highlight w:val="magenta"/>
        </w:rPr>
        <w:t>XXX</w:t>
      </w:r>
      <w:r>
        <w:t xml:space="preserve"> (</w:t>
      </w:r>
      <w:r w:rsidRPr="00A364BE">
        <w:rPr>
          <w:i/>
        </w:rPr>
        <w:t>legislation</w:t>
      </w:r>
      <w:r>
        <w:t>)</w:t>
      </w:r>
    </w:p>
    <w:p w14:paraId="24D657A0" w14:textId="7C996AB5" w:rsidR="00A364BE" w:rsidRPr="0089366F" w:rsidRDefault="00A364BE" w:rsidP="009D70D7">
      <w:pPr>
        <w:pStyle w:val="ListParagraph"/>
        <w:numPr>
          <w:ilvl w:val="0"/>
          <w:numId w:val="83"/>
        </w:numPr>
        <w:spacing w:before="0"/>
      </w:pPr>
      <w:r>
        <w:t>New PAMCs should maintain access to information on operation of the PAMC at site level. (</w:t>
      </w:r>
      <w:r w:rsidRPr="00A364BE">
        <w:rPr>
          <w:i/>
        </w:rPr>
        <w:t>Systems</w:t>
      </w:r>
      <w:r>
        <w:t>)</w:t>
      </w:r>
    </w:p>
    <w:p w14:paraId="11502A57" w14:textId="77777777" w:rsidR="006D2E84" w:rsidRPr="0089366F" w:rsidRDefault="006D2E84" w:rsidP="00132C73">
      <w:pPr>
        <w:pStyle w:val="Heading5"/>
        <w:ind w:left="1008" w:hanging="1008"/>
      </w:pPr>
      <w:r w:rsidRPr="0089366F">
        <w:t xml:space="preserve">Site level: </w:t>
      </w:r>
    </w:p>
    <w:p w14:paraId="4B750D3E" w14:textId="77777777" w:rsidR="006D2E84" w:rsidRPr="00997476" w:rsidRDefault="006D2E84" w:rsidP="006B087B">
      <w:pPr>
        <w:numPr>
          <w:ilvl w:val="0"/>
          <w:numId w:val="27"/>
        </w:numPr>
        <w:spacing w:before="0"/>
        <w:rPr>
          <w:highlight w:val="lightGray"/>
        </w:rPr>
      </w:pPr>
      <w:r w:rsidRPr="00997476">
        <w:rPr>
          <w:highlight w:val="lightGray"/>
        </w:rPr>
        <w:t>Information on site based activities should be maintained at provincial, site and national levels</w:t>
      </w:r>
    </w:p>
    <w:p w14:paraId="6489E1DB" w14:textId="77777777" w:rsidR="006D2E84" w:rsidRPr="00997476" w:rsidRDefault="006D2E84" w:rsidP="006B087B">
      <w:pPr>
        <w:numPr>
          <w:ilvl w:val="0"/>
          <w:numId w:val="27"/>
        </w:numPr>
        <w:spacing w:before="0"/>
        <w:rPr>
          <w:highlight w:val="lightGray"/>
        </w:rPr>
      </w:pPr>
      <w:r w:rsidRPr="00997476">
        <w:rPr>
          <w:highlight w:val="lightGray"/>
        </w:rPr>
        <w:t xml:space="preserve">Activities at site level should follow guidance on stakeholder engagement </w:t>
      </w:r>
    </w:p>
    <w:p w14:paraId="18AA82B3" w14:textId="77777777" w:rsidR="006D2E84" w:rsidRPr="00997476" w:rsidRDefault="006D2E84" w:rsidP="006B087B">
      <w:pPr>
        <w:numPr>
          <w:ilvl w:val="0"/>
          <w:numId w:val="27"/>
        </w:numPr>
        <w:spacing w:before="0"/>
        <w:rPr>
          <w:highlight w:val="lightGray"/>
        </w:rPr>
      </w:pPr>
      <w:r w:rsidRPr="00997476">
        <w:rPr>
          <w:highlight w:val="lightGray"/>
        </w:rPr>
        <w:t xml:space="preserve">Management committees should provide information on past and future activities. </w:t>
      </w:r>
    </w:p>
    <w:p w14:paraId="6064D555" w14:textId="77777777" w:rsidR="006D2E84" w:rsidRPr="0089366F" w:rsidRDefault="006D2E84" w:rsidP="00132C73">
      <w:pPr>
        <w:pStyle w:val="Heading4"/>
        <w:ind w:left="864" w:hanging="864"/>
      </w:pPr>
      <w:r w:rsidRPr="0089366F">
        <w:t>Recommended Actions:</w:t>
      </w:r>
    </w:p>
    <w:p w14:paraId="17590296" w14:textId="77777777" w:rsidR="006D2E84" w:rsidRPr="0089366F" w:rsidRDefault="006D2E84" w:rsidP="006B087B">
      <w:pPr>
        <w:numPr>
          <w:ilvl w:val="0"/>
          <w:numId w:val="22"/>
        </w:numPr>
        <w:spacing w:before="0"/>
      </w:pPr>
      <w:r w:rsidRPr="0089366F">
        <w:t>Maintain REDD+ Website</w:t>
      </w:r>
    </w:p>
    <w:p w14:paraId="39BBDE7D" w14:textId="2D327827" w:rsidR="006D2E84" w:rsidRPr="0089366F" w:rsidRDefault="006D2E84" w:rsidP="006B087B">
      <w:pPr>
        <w:numPr>
          <w:ilvl w:val="0"/>
          <w:numId w:val="22"/>
        </w:numPr>
        <w:spacing w:before="0"/>
      </w:pPr>
      <w:r w:rsidRPr="0089366F">
        <w:t>Undertake active programme of awareness raising</w:t>
      </w:r>
    </w:p>
    <w:p w14:paraId="77533F98" w14:textId="77777777" w:rsidR="006D2E84" w:rsidRPr="0089366F" w:rsidRDefault="006D2E84" w:rsidP="00132C73">
      <w:pPr>
        <w:pStyle w:val="Heading4"/>
        <w:ind w:left="864" w:hanging="864"/>
      </w:pPr>
      <w:r w:rsidRPr="0089366F">
        <w:t xml:space="preserve">Potential Indicators </w:t>
      </w:r>
    </w:p>
    <w:p w14:paraId="4FBB906C" w14:textId="77777777" w:rsidR="006D2E84" w:rsidRPr="0089366F" w:rsidRDefault="006D2E84" w:rsidP="006B087B">
      <w:pPr>
        <w:numPr>
          <w:ilvl w:val="0"/>
          <w:numId w:val="32"/>
        </w:numPr>
        <w:spacing w:before="0"/>
      </w:pPr>
      <w:r w:rsidRPr="0089366F">
        <w:t>REDD+ webpage regularly updated with information on National REDD+ Developments</w:t>
      </w:r>
    </w:p>
    <w:p w14:paraId="69A04FC8" w14:textId="77777777" w:rsidR="006D2E84" w:rsidRPr="0089366F" w:rsidRDefault="006D2E84" w:rsidP="006B087B">
      <w:pPr>
        <w:numPr>
          <w:ilvl w:val="0"/>
          <w:numId w:val="32"/>
        </w:numPr>
        <w:spacing w:before="0"/>
      </w:pPr>
      <w:r w:rsidRPr="0089366F">
        <w:t>Awareness raising and consultation events held at provincial and local levels</w:t>
      </w:r>
    </w:p>
    <w:p w14:paraId="46218F9C" w14:textId="77777777" w:rsidR="006D2E84" w:rsidRPr="0089366F" w:rsidRDefault="006D2E84" w:rsidP="006B087B">
      <w:pPr>
        <w:numPr>
          <w:ilvl w:val="0"/>
          <w:numId w:val="32"/>
        </w:numPr>
        <w:spacing w:before="0"/>
      </w:pPr>
      <w:r w:rsidRPr="0089366F">
        <w:t>Information on REDD+ developments available from the RIU</w:t>
      </w:r>
    </w:p>
    <w:p w14:paraId="6197F7D4" w14:textId="77777777" w:rsidR="006D2E84" w:rsidRPr="0089366F" w:rsidRDefault="006D2E84" w:rsidP="00132C73">
      <w:pPr>
        <w:pStyle w:val="Heading4"/>
      </w:pPr>
      <w:r w:rsidRPr="0089366F">
        <w:t xml:space="preserve">Data Collection: </w:t>
      </w:r>
    </w:p>
    <w:p w14:paraId="1E0B5A75" w14:textId="77777777" w:rsidR="006D2E84" w:rsidRPr="0089366F" w:rsidRDefault="006D2E84" w:rsidP="006B087B">
      <w:pPr>
        <w:numPr>
          <w:ilvl w:val="0"/>
          <w:numId w:val="33"/>
        </w:numPr>
        <w:spacing w:before="0"/>
      </w:pPr>
      <w:r w:rsidRPr="0089366F">
        <w:t>Dates of updates to REDD+ website and assessment of content</w:t>
      </w:r>
    </w:p>
    <w:p w14:paraId="3499F732" w14:textId="77777777" w:rsidR="006D2E84" w:rsidRPr="0089366F" w:rsidRDefault="006D2E84" w:rsidP="006B087B">
      <w:pPr>
        <w:numPr>
          <w:ilvl w:val="0"/>
          <w:numId w:val="33"/>
        </w:numPr>
        <w:spacing w:before="0"/>
      </w:pPr>
      <w:r w:rsidRPr="0089366F">
        <w:t xml:space="preserve">Log of meetings kept by RIU </w:t>
      </w:r>
    </w:p>
    <w:p w14:paraId="11AD17F4" w14:textId="77777777" w:rsidR="006D2E84" w:rsidRPr="0089366F" w:rsidRDefault="006D2E84" w:rsidP="006B087B">
      <w:pPr>
        <w:pStyle w:val="ListParagraph"/>
        <w:numPr>
          <w:ilvl w:val="0"/>
          <w:numId w:val="33"/>
        </w:numPr>
        <w:spacing w:before="0"/>
      </w:pPr>
      <w:r w:rsidRPr="0089366F">
        <w:t>Log of information requests and speed of response from RIU</w:t>
      </w:r>
    </w:p>
    <w:p w14:paraId="387C9680" w14:textId="77777777" w:rsidR="006D2E84" w:rsidRPr="0089366F" w:rsidRDefault="006D2E84" w:rsidP="006D2E84">
      <w:pPr>
        <w:rPr>
          <w:highlight w:val="lightGray"/>
        </w:rPr>
      </w:pPr>
    </w:p>
    <w:p w14:paraId="5F5DBFDE" w14:textId="77777777" w:rsidR="006D2E84" w:rsidRPr="0089366F" w:rsidRDefault="006D2E84" w:rsidP="006D2E84"/>
    <w:p w14:paraId="2A9688D5" w14:textId="77777777" w:rsidR="006D2E84" w:rsidRPr="0089366F" w:rsidRDefault="006D2E84" w:rsidP="006D2E84">
      <w:pPr>
        <w:pStyle w:val="Heading3"/>
        <w:sectPr w:rsidR="006D2E84" w:rsidRPr="0089366F" w:rsidSect="00014341">
          <w:pgSz w:w="11900" w:h="16840"/>
          <w:pgMar w:top="1440" w:right="1080" w:bottom="1440" w:left="1080" w:header="708" w:footer="708" w:gutter="0"/>
          <w:cols w:space="708"/>
          <w:docGrid w:linePitch="360"/>
        </w:sectPr>
      </w:pPr>
    </w:p>
    <w:p w14:paraId="6C0C1D68" w14:textId="77777777" w:rsidR="006D2E84" w:rsidRPr="0089366F" w:rsidRDefault="006D2E84" w:rsidP="00132C73">
      <w:pPr>
        <w:pStyle w:val="Heading3"/>
        <w:numPr>
          <w:ilvl w:val="0"/>
          <w:numId w:val="0"/>
        </w:numPr>
      </w:pPr>
      <w:bookmarkStart w:id="31" w:name="_Toc254892846"/>
      <w:r w:rsidRPr="0089366F">
        <w:t>Criterion 4 – Ensure the full and effective participation of relevant stakeholders in design, planning and implementation of REDD+ activities, with particular attention to indigenous peoples, local communities and other vulnerable and marginalized groups</w:t>
      </w:r>
      <w:bookmarkEnd w:id="31"/>
    </w:p>
    <w:p w14:paraId="27D10A4E" w14:textId="77777777" w:rsidR="006D2E84" w:rsidRPr="0089366F" w:rsidRDefault="006D2E84" w:rsidP="00132C73">
      <w:pPr>
        <w:pStyle w:val="Heading4"/>
        <w:ind w:left="864" w:hanging="864"/>
      </w:pPr>
      <w:r w:rsidRPr="0089366F">
        <w:t xml:space="preserve">Potential Risks: </w:t>
      </w:r>
    </w:p>
    <w:p w14:paraId="19851EFE" w14:textId="77777777" w:rsidR="006D2E84" w:rsidRPr="0089366F" w:rsidRDefault="006D2E84" w:rsidP="006D2E84">
      <w:r w:rsidRPr="0089366F">
        <w:t xml:space="preserve">Relevant stake and rights holders are excluded from the development of REDD+. </w:t>
      </w:r>
    </w:p>
    <w:p w14:paraId="2302A2C8" w14:textId="77777777" w:rsidR="006D2E84" w:rsidRPr="0089366F" w:rsidRDefault="006D2E84" w:rsidP="00132C73">
      <w:pPr>
        <w:pStyle w:val="Heading4"/>
        <w:ind w:left="864" w:hanging="864"/>
      </w:pPr>
      <w:r w:rsidRPr="0089366F">
        <w:t>Summary of Existing Legislation and its Application:</w:t>
      </w:r>
    </w:p>
    <w:p w14:paraId="372BA873" w14:textId="77777777" w:rsidR="006D2E84" w:rsidRPr="0089366F" w:rsidRDefault="006D2E84" w:rsidP="00132C73">
      <w:pPr>
        <w:pStyle w:val="Heading5"/>
        <w:ind w:left="1008" w:hanging="1008"/>
      </w:pPr>
      <w:r w:rsidRPr="0089366F">
        <w:t>REDD+</w:t>
      </w:r>
    </w:p>
    <w:p w14:paraId="20EA1CCB" w14:textId="77777777" w:rsidR="006D2E84" w:rsidRPr="0089366F" w:rsidRDefault="006D2E84" w:rsidP="006D2E84">
      <w:r w:rsidRPr="0089366F">
        <w:t xml:space="preserve">At the national level initial REDD+ developments have fully engaged a range of stakeholders in the development of the REDD+ Roadmap through regular consultations with the National REDD+ Taskforce. The scope of stakeholders engaged will however need to be expanded significantly before communities can be fully engaged. </w:t>
      </w:r>
    </w:p>
    <w:p w14:paraId="505F697E" w14:textId="77777777" w:rsidR="006D2E84" w:rsidRPr="0089366F" w:rsidRDefault="006D2E84" w:rsidP="00132C73">
      <w:pPr>
        <w:pStyle w:val="Heading5"/>
        <w:ind w:left="1008" w:hanging="1008"/>
      </w:pPr>
      <w:r w:rsidRPr="0089366F">
        <w:t>Existing Laws and Systems</w:t>
      </w:r>
    </w:p>
    <w:p w14:paraId="775EE721" w14:textId="77777777" w:rsidR="006D2E84" w:rsidRPr="0089366F" w:rsidRDefault="006D2E84" w:rsidP="006D2E84">
      <w:r w:rsidRPr="0089366F">
        <w:t xml:space="preserve">Existing laws and regulations focus predominantly on processes of information sharing and consultation as opposed to full participation and are often hampered by weak implementation as well as the logistical and operational difficulties related to engaging rural communities with limited education. </w:t>
      </w:r>
    </w:p>
    <w:p w14:paraId="3B37CDB5" w14:textId="7D486E3C" w:rsidR="006D2E84" w:rsidRPr="0089366F" w:rsidRDefault="006D2E84" w:rsidP="006D2E84">
      <w:r w:rsidRPr="0089366F">
        <w:t xml:space="preserve">The </w:t>
      </w:r>
      <w:r w:rsidRPr="0089366F">
        <w:rPr>
          <w:i/>
          <w:color w:val="4F81BD" w:themeColor="accent1"/>
        </w:rPr>
        <w:t>FRTU Act</w:t>
      </w:r>
      <w:r w:rsidRPr="0089366F">
        <w:t xml:space="preserve"> provides a series of steps within which stakeholder participation can occur, moving through the timber rights hearing, negotiation of a timber rights agreement and then consultation on the development consent application (under the EA). The main mechanism used for participation are public meetings and there process actually a gradual progression from empowered decision making (at timber rights hearing) to joint decision making (during signing of TRA) and finally ends with providing information  (through monthly meetings on operations and royalties) as the process progresses gradually reducing the power of landowners and communities to engage and influence decision making. Given that this trajectory occurs in the opposite direction to that by which information on timber concessions becomes available can be seen as a significant contradiction that undermines the concepts of full and effective participation. Indeed levels of information provided during timber rights hearings can often be minimal as can warning of such meetings resulting in many relevant stakeholders either being excluded from the process (due to lack of knowledge) or unable to participate fully due to lack of awareness of the real nature of the activity. The act’s focus on landowners and resources owners also allows for the exclusion of vulnerable groups who may have a limited stake in resources or have limited access to customary decision making processes (eg women). The allocation of rights to a small group with no clear guidance on their responsibilities or how more vulnerable groups should be supported further exacerbates this exclusion of relevant stakeholders. The acts proposed process for negotiation of TRA</w:t>
      </w:r>
      <w:r w:rsidRPr="0089366F">
        <w:rPr>
          <w:rStyle w:val="FootnoteReference"/>
          <w:iCs/>
          <w:sz w:val="24"/>
        </w:rPr>
        <w:footnoteReference w:id="49"/>
      </w:r>
      <w:r w:rsidRPr="0089366F">
        <w:t xml:space="preserve"> provides the most comprehensive process but it is understood that this process is rarely followed correctly and as rights have already been allocated remains a process that can have excluded key stakeholders. It also provides no mandate for landowners to engage in the planning of activities allowing timber companies to develop plans and map activities without</w:t>
      </w:r>
      <w:r w:rsidR="00132C73">
        <w:t xml:space="preserve"> consultation with landowners. </w:t>
      </w:r>
    </w:p>
    <w:p w14:paraId="66DB682D" w14:textId="77777777" w:rsidR="006D2E84" w:rsidRPr="0089366F" w:rsidRDefault="006D2E84" w:rsidP="006D2E84">
      <w:r w:rsidRPr="0089366F">
        <w:t xml:space="preserve">The </w:t>
      </w:r>
      <w:r w:rsidRPr="0089366F">
        <w:rPr>
          <w:i/>
          <w:color w:val="4F81BD" w:themeColor="accent1"/>
        </w:rPr>
        <w:t>EA</w:t>
      </w:r>
      <w:r w:rsidRPr="0089366F">
        <w:t xml:space="preserve"> increases focus on a broader spectrum of stakeholders including rural communities. The act however only requires consultation with local communities during the feedback period for the development consent applications allowing comments to be provided either in writing or through public meetings at the site</w:t>
      </w:r>
      <w:r w:rsidRPr="0089366F">
        <w:rPr>
          <w:rStyle w:val="FootnoteReference"/>
        </w:rPr>
        <w:footnoteReference w:id="50"/>
      </w:r>
      <w:r w:rsidRPr="0089366F">
        <w:t xml:space="preserve">. No participation is required during the undertaking of EIS or PER assessments and there are no requirements for those applying for development consent to consult with stakeholders in advance of activities. </w:t>
      </w:r>
      <w:r>
        <w:t xml:space="preserve">The regulations do however require that an EIS document should </w:t>
      </w:r>
      <w:r w:rsidRPr="00823CF1">
        <w:rPr>
          <w:i/>
        </w:rPr>
        <w:t>ensure public participatio</w:t>
      </w:r>
      <w:r>
        <w:rPr>
          <w:i/>
        </w:rPr>
        <w:t>n in the prescribed development</w:t>
      </w:r>
      <w:r>
        <w:rPr>
          <w:rStyle w:val="FootnoteReference"/>
          <w:i/>
        </w:rPr>
        <w:footnoteReference w:id="51"/>
      </w:r>
      <w:r>
        <w:rPr>
          <w:i/>
        </w:rPr>
        <w:t xml:space="preserve">, </w:t>
      </w:r>
      <w:r>
        <w:t>although how this is done is not clarified.</w:t>
      </w:r>
      <w:r w:rsidRPr="00823CF1">
        <w:rPr>
          <w:i/>
        </w:rPr>
        <w:t xml:space="preserve"> </w:t>
      </w:r>
      <w:r>
        <w:t>L</w:t>
      </w:r>
      <w:r w:rsidRPr="0089366F">
        <w:t xml:space="preserve">ogistical and cost challenges often result in EIS or PER documents only being provided shortly before or at meetings to discuss development consent applications providing communities with little time to understand the documents and thus participate effectively in discussions on their validity. </w:t>
      </w:r>
    </w:p>
    <w:p w14:paraId="32E83F6B" w14:textId="1219458A" w:rsidR="006D2E84" w:rsidRPr="0089366F" w:rsidRDefault="006D2E84" w:rsidP="006D2E84">
      <w:r w:rsidRPr="0089366F">
        <w:t>At the national level the act does require the ECD to ‘promote the participation of the community in environmental decision-making’</w:t>
      </w:r>
      <w:r w:rsidRPr="0089366F">
        <w:rPr>
          <w:rStyle w:val="FootnoteReference"/>
        </w:rPr>
        <w:footnoteReference w:id="52"/>
      </w:r>
      <w:r w:rsidRPr="0089366F">
        <w:t xml:space="preserve"> as one of its 10 core functions although no further guidance on how</w:t>
      </w:r>
      <w:r w:rsidR="00132C73">
        <w:t xml:space="preserve"> this should occur is provided.</w:t>
      </w:r>
    </w:p>
    <w:p w14:paraId="12D5AC63" w14:textId="77777777" w:rsidR="006D2E84" w:rsidRDefault="006D2E84" w:rsidP="006D2E84">
      <w:r w:rsidRPr="0089366F">
        <w:t xml:space="preserve">The </w:t>
      </w:r>
      <w:r w:rsidRPr="00FD6A9E">
        <w:rPr>
          <w:i/>
          <w:color w:val="4F81BD" w:themeColor="accent1"/>
        </w:rPr>
        <w:t>PA Act</w:t>
      </w:r>
      <w:r w:rsidRPr="0089366F">
        <w:t xml:space="preserve"> provides a number of mechanisms to promote the participation of relevant stakeholders. At the national level the act requires the establishment of the Protected Areas Advisory Committee (PAAC), which consists of at least four members to represent non-governmental organisations</w:t>
      </w:r>
      <w:r w:rsidRPr="0089366F">
        <w:rPr>
          <w:vertAlign w:val="superscript"/>
        </w:rPr>
        <w:footnoteReference w:id="53"/>
      </w:r>
      <w:r w:rsidRPr="0089366F">
        <w:t>. The Act also lays out the functions of this committee which include full engagement in the implementation of the act as well as the design planning and implementation of related activities including the national biodiversity strategy which should be done ‘in collaboration with the relevant stakeholders, including non-governmental organisations’</w:t>
      </w:r>
      <w:r w:rsidRPr="0089366F">
        <w:rPr>
          <w:vertAlign w:val="superscript"/>
        </w:rPr>
        <w:footnoteReference w:id="54"/>
      </w:r>
      <w:r w:rsidRPr="0089366F">
        <w:t>.</w:t>
      </w:r>
    </w:p>
    <w:p w14:paraId="2A431481" w14:textId="77777777" w:rsidR="006D2E84" w:rsidRPr="00FD6A9E" w:rsidRDefault="006D2E84" w:rsidP="006D2E84">
      <w:pPr>
        <w:rPr>
          <w:i/>
          <w:iCs/>
        </w:rPr>
      </w:pPr>
      <w:r>
        <w:t xml:space="preserve">At the site level </w:t>
      </w:r>
      <w:r w:rsidRPr="00FD6A9E">
        <w:t>a</w:t>
      </w:r>
      <w:r w:rsidRPr="0089366F">
        <w:t>ct and its regulations provide a clear process for the development of a PA on customary land</w:t>
      </w:r>
      <w:r>
        <w:t xml:space="preserve"> which requires both joint decision making within and between customary groups to agree to initiate the development of a PA and to define its boundaries</w:t>
      </w:r>
      <w:r w:rsidRPr="0089366F">
        <w:rPr>
          <w:vertAlign w:val="superscript"/>
        </w:rPr>
        <w:footnoteReference w:id="55"/>
      </w:r>
      <w:r>
        <w:t>. The regulations also then require that ‘</w:t>
      </w:r>
      <w:r w:rsidRPr="00FD6A9E">
        <w:rPr>
          <w:i/>
        </w:rPr>
        <w:t>i</w:t>
      </w:r>
      <w:r w:rsidRPr="0089366F">
        <w:rPr>
          <w:i/>
          <w:iCs/>
        </w:rPr>
        <w:t>n the course of preparing a management plan, the Management Committee shall, as much as possible, consult with - ”</w:t>
      </w:r>
    </w:p>
    <w:p w14:paraId="6A7657BA" w14:textId="77777777" w:rsidR="006D2E84" w:rsidRPr="0089366F" w:rsidRDefault="006D2E84" w:rsidP="006B087B">
      <w:pPr>
        <w:numPr>
          <w:ilvl w:val="0"/>
          <w:numId w:val="19"/>
        </w:numPr>
        <w:spacing w:before="0"/>
      </w:pPr>
      <w:r w:rsidRPr="0089366F">
        <w:t xml:space="preserve">kastomary owners and local communities affected by or having an interest in the protected area; </w:t>
      </w:r>
    </w:p>
    <w:p w14:paraId="5910639E" w14:textId="77777777" w:rsidR="006D2E84" w:rsidRPr="0089366F" w:rsidRDefault="006D2E84" w:rsidP="006B087B">
      <w:pPr>
        <w:numPr>
          <w:ilvl w:val="0"/>
          <w:numId w:val="19"/>
        </w:numPr>
        <w:spacing w:before="0"/>
      </w:pPr>
      <w:r w:rsidRPr="0089366F">
        <w:t xml:space="preserve">community based and non-government organizations with experience in or engaging in similar biodiversity conservation initiatives; </w:t>
      </w:r>
    </w:p>
    <w:p w14:paraId="64CA9790" w14:textId="77777777" w:rsidR="006D2E84" w:rsidRPr="0089366F" w:rsidRDefault="006D2E84" w:rsidP="006B087B">
      <w:pPr>
        <w:numPr>
          <w:ilvl w:val="0"/>
          <w:numId w:val="19"/>
        </w:numPr>
        <w:spacing w:before="0"/>
      </w:pPr>
      <w:r w:rsidRPr="0089366F">
        <w:t xml:space="preserve">chiefs and other traditional leaders living within the vicinity of the protected area; </w:t>
      </w:r>
    </w:p>
    <w:p w14:paraId="4B25501F" w14:textId="77777777" w:rsidR="006D2E84" w:rsidRPr="0089366F" w:rsidRDefault="006D2E84" w:rsidP="006B087B">
      <w:pPr>
        <w:numPr>
          <w:ilvl w:val="0"/>
          <w:numId w:val="19"/>
        </w:numPr>
        <w:spacing w:before="0"/>
      </w:pPr>
      <w:r w:rsidRPr="0089366F">
        <w:t xml:space="preserve">development organizations and donor agencies with a focus on environmental conservation and protection; and </w:t>
      </w:r>
    </w:p>
    <w:p w14:paraId="717F82CF" w14:textId="77777777" w:rsidR="006D2E84" w:rsidRPr="0089366F" w:rsidRDefault="006D2E84" w:rsidP="006B087B">
      <w:pPr>
        <w:numPr>
          <w:ilvl w:val="0"/>
          <w:numId w:val="19"/>
        </w:numPr>
        <w:spacing w:before="0"/>
      </w:pPr>
      <w:r w:rsidRPr="0089366F">
        <w:t>the Director and any other relevant government agencies including provincial governments.</w:t>
      </w:r>
      <w:r w:rsidRPr="0089366F">
        <w:rPr>
          <w:vertAlign w:val="superscript"/>
        </w:rPr>
        <w:footnoteReference w:id="56"/>
      </w:r>
      <w:r w:rsidRPr="0089366F">
        <w:t xml:space="preserve"> </w:t>
      </w:r>
    </w:p>
    <w:p w14:paraId="43CA3F54" w14:textId="77777777" w:rsidR="006D2E84" w:rsidRPr="0089366F" w:rsidRDefault="006D2E84" w:rsidP="006D2E84">
      <w:r>
        <w:t xml:space="preserve">Under the Act the PAAC or Director must </w:t>
      </w:r>
      <w:r w:rsidRPr="00FD6A9E">
        <w:t xml:space="preserve">a Protected Area Management Committee (PAMC) </w:t>
      </w:r>
      <w:r w:rsidRPr="0089366F">
        <w:t>for each PA with the committee memb</w:t>
      </w:r>
      <w:r>
        <w:t>ers being appointed by the PAAC</w:t>
      </w:r>
      <w:r w:rsidRPr="0089366F">
        <w:t xml:space="preserve"> following recommendations from the Director (who can in turn take recommendations from communities and landowners)</w:t>
      </w:r>
      <w:r w:rsidRPr="0089366F">
        <w:rPr>
          <w:vertAlign w:val="superscript"/>
        </w:rPr>
        <w:footnoteReference w:id="57"/>
      </w:r>
      <w:r w:rsidRPr="0089366F">
        <w:t>. The PAMC can consist of owners of the Protected Area, public officers, Provincial Government</w:t>
      </w:r>
      <w:r w:rsidRPr="0089366F">
        <w:fldChar w:fldCharType="begin"/>
      </w:r>
      <w:r w:rsidRPr="0089366F">
        <w:instrText xml:space="preserve"> XE "Provincial Government" </w:instrText>
      </w:r>
      <w:r w:rsidRPr="0089366F">
        <w:fldChar w:fldCharType="end"/>
      </w:r>
      <w:r w:rsidRPr="0089366F">
        <w:t xml:space="preserve"> officers and other people.</w:t>
      </w:r>
      <w:r w:rsidRPr="0089366F">
        <w:rPr>
          <w:vertAlign w:val="superscript"/>
        </w:rPr>
        <w:footnoteReference w:id="58"/>
      </w:r>
      <w:r w:rsidRPr="0089366F">
        <w:t xml:space="preserve"> The PAMC’s functions are set out: </w:t>
      </w:r>
    </w:p>
    <w:p w14:paraId="40EC445F" w14:textId="77777777" w:rsidR="006D2E84" w:rsidRPr="0089366F" w:rsidRDefault="006D2E84" w:rsidP="006B087B">
      <w:pPr>
        <w:numPr>
          <w:ilvl w:val="0"/>
          <w:numId w:val="28"/>
        </w:numPr>
        <w:spacing w:before="0"/>
      </w:pPr>
      <w:r w:rsidRPr="0089366F">
        <w:t>to develop, formulate, implement, monitor and review conservation, protection or</w:t>
      </w:r>
    </w:p>
    <w:p w14:paraId="4307B599" w14:textId="77777777" w:rsidR="006D2E84" w:rsidRPr="0089366F" w:rsidRDefault="006D2E84" w:rsidP="006B087B">
      <w:pPr>
        <w:numPr>
          <w:ilvl w:val="0"/>
          <w:numId w:val="28"/>
        </w:numPr>
        <w:spacing w:before="0"/>
      </w:pPr>
      <w:r w:rsidRPr="0089366F">
        <w:t>Management committees</w:t>
      </w:r>
    </w:p>
    <w:p w14:paraId="19CE7431" w14:textId="77777777" w:rsidR="006D2E84" w:rsidRPr="0089366F" w:rsidRDefault="006D2E84" w:rsidP="006B087B">
      <w:pPr>
        <w:numPr>
          <w:ilvl w:val="0"/>
          <w:numId w:val="28"/>
        </w:numPr>
        <w:spacing w:before="0"/>
      </w:pPr>
      <w:r w:rsidRPr="0089366F">
        <w:t>management plan in respect of its protected area;</w:t>
      </w:r>
    </w:p>
    <w:p w14:paraId="204C4BD4" w14:textId="77777777" w:rsidR="006D2E84" w:rsidRPr="0089366F" w:rsidRDefault="006D2E84" w:rsidP="006B087B">
      <w:pPr>
        <w:numPr>
          <w:ilvl w:val="0"/>
          <w:numId w:val="28"/>
        </w:numPr>
        <w:spacing w:before="0"/>
      </w:pPr>
      <w:r w:rsidRPr="0089366F">
        <w:t xml:space="preserve">to manage the protected area under its control and supervision; </w:t>
      </w:r>
    </w:p>
    <w:p w14:paraId="2A05B731" w14:textId="77777777" w:rsidR="006D2E84" w:rsidRPr="0089366F" w:rsidRDefault="006D2E84" w:rsidP="006B087B">
      <w:pPr>
        <w:numPr>
          <w:ilvl w:val="0"/>
          <w:numId w:val="28"/>
        </w:numPr>
        <w:spacing w:before="0"/>
      </w:pPr>
      <w:r w:rsidRPr="0089366F">
        <w:t>to perform any other function the Advisory Committee may assign in writing to the management committee or given to the management committee under this Act or any other written law</w:t>
      </w:r>
      <w:r w:rsidRPr="0089366F">
        <w:rPr>
          <w:vertAlign w:val="superscript"/>
        </w:rPr>
        <w:footnoteReference w:id="59"/>
      </w:r>
      <w:r w:rsidRPr="0089366F">
        <w:t xml:space="preserve">. </w:t>
      </w:r>
    </w:p>
    <w:p w14:paraId="3851AEF7" w14:textId="77777777" w:rsidR="006D2E84" w:rsidRDefault="006D2E84" w:rsidP="006D2E84">
      <w:r w:rsidRPr="0089366F">
        <w:t>The operation of the PAMC is guided by a series of principles set out in the PA regulations including that ‘decision making processes should be transparent and accessible to members of dependent communities and customary owners.’</w:t>
      </w:r>
      <w:r w:rsidRPr="0089366F">
        <w:rPr>
          <w:vertAlign w:val="superscript"/>
        </w:rPr>
        <w:footnoteReference w:id="60"/>
      </w:r>
      <w:r w:rsidRPr="0089366F">
        <w:t xml:space="preserve"> Any stakeholder to the PA who feels that these principles have not been followed in the decision making process can lodge a complaint with the Director</w:t>
      </w:r>
      <w:r w:rsidRPr="0089366F">
        <w:rPr>
          <w:vertAlign w:val="superscript"/>
        </w:rPr>
        <w:footnoteReference w:id="61"/>
      </w:r>
      <w:r w:rsidRPr="0089366F">
        <w:t xml:space="preserve">. </w:t>
      </w:r>
    </w:p>
    <w:p w14:paraId="374D0040" w14:textId="301006D4" w:rsidR="006D2E84" w:rsidRDefault="006D2E84" w:rsidP="006D2E84">
      <w:r>
        <w:t>These processes provided a much stronger basis for effective participation of all relevant stakeholders although there remains no explicit requirement for the engagement of women or other vulnera</w:t>
      </w:r>
      <w:r w:rsidR="00132C73">
        <w:t xml:space="preserve">ble groups within the process. </w:t>
      </w:r>
    </w:p>
    <w:p w14:paraId="200F7117" w14:textId="77777777" w:rsidR="006D2E84" w:rsidRDefault="006D2E84" w:rsidP="006D2E84">
      <w:r>
        <w:t xml:space="preserve">Customary decision making processes vary across the country and there is a very high diversity of customary structures and procedures within the Solomon Islands. One common factor however across the majority of practices is the limited engagement of women within decision-making processes. </w:t>
      </w:r>
    </w:p>
    <w:p w14:paraId="4CC1F80B" w14:textId="47226A19" w:rsidR="00006488" w:rsidRDefault="00006488" w:rsidP="006D2E84">
      <w:r w:rsidRPr="00006488">
        <w:rPr>
          <w:highlight w:val="yellow"/>
        </w:rPr>
        <w:t>POTENTIAL FOR EIS TO REQUIRE MORE DETAIL ON THIS IN ENVIRONMENTAL MANAGEMENT PLAN INCLUDING GRIEVANCE PROCEDURE</w:t>
      </w:r>
      <w:r>
        <w:t xml:space="preserve"> XXX</w:t>
      </w:r>
    </w:p>
    <w:p w14:paraId="4855A074" w14:textId="77777777" w:rsidR="00006488" w:rsidRDefault="00006488" w:rsidP="006D2E84"/>
    <w:p w14:paraId="50C9690C" w14:textId="7621AA3C" w:rsidR="006D2E84" w:rsidRPr="0089366F" w:rsidRDefault="006D2E84" w:rsidP="00132C73">
      <w:pPr>
        <w:pStyle w:val="Heading4"/>
      </w:pPr>
      <w:r w:rsidRPr="0089366F">
        <w:t>Recommendations</w:t>
      </w:r>
      <w:r w:rsidR="00997476">
        <w:t xml:space="preserve"> to</w:t>
      </w:r>
      <w:r w:rsidRPr="0089366F">
        <w:t xml:space="preserve"> </w:t>
      </w:r>
      <w:r w:rsidR="000C66D1">
        <w:t>e</w:t>
      </w:r>
      <w:r w:rsidR="000C66D1" w:rsidRPr="000C66D1">
        <w:t>nsure the full and effective participation of relevant stakeholders in design, planning and implementation of REDD+ activities, with particular attention to indigenous peoples, local communities and other vulnerable and marginalized groups</w:t>
      </w:r>
    </w:p>
    <w:p w14:paraId="59CFE379" w14:textId="77777777" w:rsidR="006D2E84" w:rsidRPr="0089366F" w:rsidRDefault="006D2E84" w:rsidP="00132C73">
      <w:pPr>
        <w:pStyle w:val="Heading5"/>
        <w:ind w:left="1008" w:hanging="1008"/>
      </w:pPr>
      <w:r w:rsidRPr="0089366F">
        <w:t xml:space="preserve">National level </w:t>
      </w:r>
    </w:p>
    <w:p w14:paraId="236F4D7C" w14:textId="4940607A" w:rsidR="00997476" w:rsidRPr="00997476" w:rsidRDefault="00997476" w:rsidP="00997476">
      <w:pPr>
        <w:spacing w:before="0"/>
        <w:rPr>
          <w:u w:val="single"/>
        </w:rPr>
      </w:pPr>
      <w:r w:rsidRPr="00997476">
        <w:rPr>
          <w:u w:val="single"/>
        </w:rPr>
        <w:t xml:space="preserve">Cross Cutting </w:t>
      </w:r>
    </w:p>
    <w:p w14:paraId="17568B4D" w14:textId="77777777" w:rsidR="006D2E84" w:rsidRPr="0089366F" w:rsidRDefault="006D2E84" w:rsidP="006B087B">
      <w:pPr>
        <w:pStyle w:val="ListParagraph"/>
        <w:numPr>
          <w:ilvl w:val="0"/>
          <w:numId w:val="25"/>
        </w:numPr>
        <w:spacing w:before="0"/>
      </w:pPr>
      <w:r w:rsidRPr="0089366F">
        <w:t xml:space="preserve">Participation of different stakeholders continues to be promoted through the National REDD+ Taskforce (Committee). </w:t>
      </w:r>
    </w:p>
    <w:p w14:paraId="2E039849" w14:textId="0A08ACEA" w:rsidR="00997476" w:rsidRDefault="006D2E84" w:rsidP="00997476">
      <w:pPr>
        <w:pStyle w:val="ListParagraph"/>
        <w:numPr>
          <w:ilvl w:val="0"/>
          <w:numId w:val="25"/>
        </w:numPr>
        <w:spacing w:before="0"/>
      </w:pPr>
      <w:r w:rsidRPr="0089366F">
        <w:t>Active awareness campaigns are supported to increase stakeholder awareness of REDD+ and its re</w:t>
      </w:r>
      <w:r w:rsidR="000C66D1">
        <w:t>lationship to other activities.</w:t>
      </w:r>
    </w:p>
    <w:p w14:paraId="799A8D4A" w14:textId="6C310A79" w:rsidR="006D2E84" w:rsidRDefault="006D2E84" w:rsidP="006B087B">
      <w:pPr>
        <w:pStyle w:val="ListParagraph"/>
        <w:numPr>
          <w:ilvl w:val="0"/>
          <w:numId w:val="25"/>
        </w:numPr>
        <w:spacing w:before="0"/>
      </w:pPr>
      <w:r w:rsidRPr="0089366F">
        <w:t xml:space="preserve">Increased access to information </w:t>
      </w:r>
      <w:r w:rsidR="000C66D1">
        <w:t xml:space="preserve">(covered under C3). </w:t>
      </w:r>
    </w:p>
    <w:p w14:paraId="5AF5FC96" w14:textId="77777777" w:rsidR="00997476" w:rsidRDefault="00997476" w:rsidP="00997476">
      <w:pPr>
        <w:spacing w:before="0"/>
      </w:pPr>
    </w:p>
    <w:p w14:paraId="74523769" w14:textId="11249FD3" w:rsidR="00997476" w:rsidRPr="00997476" w:rsidRDefault="00997476" w:rsidP="00997476">
      <w:pPr>
        <w:spacing w:before="0"/>
        <w:rPr>
          <w:u w:val="single"/>
        </w:rPr>
      </w:pPr>
      <w:r w:rsidRPr="00997476">
        <w:rPr>
          <w:u w:val="single"/>
        </w:rPr>
        <w:t xml:space="preserve">Forestry </w:t>
      </w:r>
    </w:p>
    <w:p w14:paraId="306BB660" w14:textId="5C83A6BC" w:rsidR="000C66D1" w:rsidRDefault="000C66D1" w:rsidP="004D3F7E">
      <w:pPr>
        <w:numPr>
          <w:ilvl w:val="0"/>
          <w:numId w:val="25"/>
        </w:numPr>
        <w:spacing w:before="0"/>
      </w:pPr>
      <w:r>
        <w:t>Ensure access to legal advice is provided to all timber rights holders prior to ente</w:t>
      </w:r>
      <w:r w:rsidR="004022BF">
        <w:t>ring into contractual agreements. (</w:t>
      </w:r>
      <w:r w:rsidR="004022BF" w:rsidRPr="004022BF">
        <w:rPr>
          <w:i/>
        </w:rPr>
        <w:t>system</w:t>
      </w:r>
      <w:r w:rsidR="004022BF">
        <w:t xml:space="preserve"> / </w:t>
      </w:r>
      <w:r w:rsidR="004022BF" w:rsidRPr="004022BF">
        <w:rPr>
          <w:i/>
        </w:rPr>
        <w:t>implementation</w:t>
      </w:r>
      <w:r w:rsidR="004022BF">
        <w:t xml:space="preserve">) </w:t>
      </w:r>
    </w:p>
    <w:p w14:paraId="2B90D258" w14:textId="77777777" w:rsidR="00997476" w:rsidRDefault="004D3F7E" w:rsidP="004D3F7E">
      <w:pPr>
        <w:numPr>
          <w:ilvl w:val="0"/>
          <w:numId w:val="25"/>
        </w:numPr>
        <w:spacing w:before="0"/>
      </w:pPr>
      <w:r>
        <w:t xml:space="preserve">Revisions to FRTU Act </w:t>
      </w:r>
      <w:r w:rsidR="00997476">
        <w:t xml:space="preserve">(or new bill) </w:t>
      </w:r>
      <w:r>
        <w:t>to</w:t>
      </w:r>
      <w:r w:rsidR="00997476">
        <w:t>:</w:t>
      </w:r>
    </w:p>
    <w:p w14:paraId="433976F8" w14:textId="14360C8A" w:rsidR="004D3F7E" w:rsidRDefault="00997476" w:rsidP="000C66D1">
      <w:pPr>
        <w:numPr>
          <w:ilvl w:val="1"/>
          <w:numId w:val="25"/>
        </w:numPr>
        <w:spacing w:before="0"/>
        <w:ind w:left="709"/>
      </w:pPr>
      <w:r>
        <w:t xml:space="preserve">Make special mention of need to engage </w:t>
      </w:r>
      <w:r w:rsidR="004D3F7E" w:rsidRPr="004D3F7E">
        <w:t>indigenous peoples, local communities and other vulnerable and marginalized groups</w:t>
      </w:r>
      <w:r w:rsidR="004D3F7E">
        <w:t xml:space="preserve"> </w:t>
      </w:r>
      <w:r w:rsidR="000C66D1">
        <w:t>through out design, development and implementation of timber concession acquisition and management – identification of rights holders, planning of concession and implementation</w:t>
      </w:r>
      <w:r>
        <w:t>.</w:t>
      </w:r>
    </w:p>
    <w:p w14:paraId="5DAB0B4B" w14:textId="5BA36F58" w:rsidR="00997476" w:rsidRPr="0089366F" w:rsidRDefault="000C66D1" w:rsidP="000C66D1">
      <w:pPr>
        <w:numPr>
          <w:ilvl w:val="1"/>
          <w:numId w:val="25"/>
        </w:numPr>
        <w:spacing w:before="0"/>
        <w:ind w:left="709"/>
      </w:pPr>
      <w:r>
        <w:t xml:space="preserve">Include requirement for ongoing participation of </w:t>
      </w:r>
      <w:r w:rsidRPr="004D3F7E">
        <w:t>indigenous peoples, local communities and other vulnerable and marginalized groups</w:t>
      </w:r>
      <w:r>
        <w:t xml:space="preserve"> during implementation of felling and milling licenses. </w:t>
      </w:r>
    </w:p>
    <w:p w14:paraId="788BC34D" w14:textId="77777777" w:rsidR="000C66D1" w:rsidRDefault="000C66D1" w:rsidP="000C66D1">
      <w:pPr>
        <w:spacing w:before="0"/>
      </w:pPr>
    </w:p>
    <w:p w14:paraId="6EA4250F" w14:textId="2A2EACAF" w:rsidR="000C66D1" w:rsidRPr="000C66D1" w:rsidRDefault="000C66D1" w:rsidP="000C66D1">
      <w:pPr>
        <w:spacing w:before="0"/>
        <w:rPr>
          <w:u w:val="single"/>
        </w:rPr>
      </w:pPr>
      <w:r w:rsidRPr="000C66D1">
        <w:rPr>
          <w:u w:val="single"/>
        </w:rPr>
        <w:t>Environment</w:t>
      </w:r>
    </w:p>
    <w:p w14:paraId="69B66FF5" w14:textId="16B366E9" w:rsidR="000C66D1" w:rsidRPr="000C66D1" w:rsidRDefault="000C66D1" w:rsidP="000C66D1">
      <w:pPr>
        <w:pStyle w:val="ListParagraph"/>
        <w:numPr>
          <w:ilvl w:val="0"/>
          <w:numId w:val="25"/>
        </w:numPr>
        <w:spacing w:before="0"/>
      </w:pPr>
      <w:r>
        <w:t>Operationalise requirement for EIS to identify process to ‘</w:t>
      </w:r>
      <w:r w:rsidRPr="000C66D1">
        <w:rPr>
          <w:i/>
        </w:rPr>
        <w:t>ensure public participation in the prescribed development</w:t>
      </w:r>
      <w:r>
        <w:rPr>
          <w:rStyle w:val="FootnoteReference"/>
          <w:i/>
        </w:rPr>
        <w:footnoteReference w:id="62"/>
      </w:r>
      <w:r>
        <w:rPr>
          <w:i/>
        </w:rPr>
        <w:t>.</w:t>
      </w:r>
      <w:r>
        <w:t xml:space="preserve"> (</w:t>
      </w:r>
      <w:r w:rsidRPr="000C66D1">
        <w:rPr>
          <w:i/>
        </w:rPr>
        <w:t>system</w:t>
      </w:r>
      <w:r>
        <w:t>)</w:t>
      </w:r>
    </w:p>
    <w:p w14:paraId="798E9DE8" w14:textId="0D913538" w:rsidR="000C66D1" w:rsidRDefault="000C66D1" w:rsidP="000C66D1">
      <w:pPr>
        <w:numPr>
          <w:ilvl w:val="0"/>
          <w:numId w:val="25"/>
        </w:numPr>
        <w:spacing w:before="0"/>
      </w:pPr>
      <w:r>
        <w:t>Revisions to Environment Act to:</w:t>
      </w:r>
    </w:p>
    <w:p w14:paraId="29533E6D" w14:textId="6C5C9134" w:rsidR="000C66D1" w:rsidRDefault="000C66D1" w:rsidP="004022BF">
      <w:pPr>
        <w:numPr>
          <w:ilvl w:val="1"/>
          <w:numId w:val="25"/>
        </w:numPr>
        <w:spacing w:before="0"/>
        <w:ind w:left="709"/>
      </w:pPr>
      <w:r>
        <w:t xml:space="preserve">Make special mention of need to engage </w:t>
      </w:r>
      <w:r w:rsidRPr="004D3F7E">
        <w:t>indigenous peoples, local communities and other vulnerable and marginalized groups</w:t>
      </w:r>
      <w:r>
        <w:t xml:space="preserve"> through out design, development and implementation of timber concession acquisition and management – identification of rights holders, planning of concession and implementation. (</w:t>
      </w:r>
      <w:r w:rsidRPr="000C66D1">
        <w:rPr>
          <w:i/>
        </w:rPr>
        <w:t>legislation</w:t>
      </w:r>
      <w:r>
        <w:t>)</w:t>
      </w:r>
    </w:p>
    <w:p w14:paraId="28AD5CB9" w14:textId="293040B0" w:rsidR="003A1F83" w:rsidRDefault="003A1F83" w:rsidP="003A1F83">
      <w:pPr>
        <w:numPr>
          <w:ilvl w:val="0"/>
          <w:numId w:val="25"/>
        </w:numPr>
        <w:spacing w:before="0"/>
      </w:pPr>
      <w:r>
        <w:t>Revisions to PA Act to:</w:t>
      </w:r>
    </w:p>
    <w:p w14:paraId="7E85086D" w14:textId="1DCADBD5" w:rsidR="003A1F83" w:rsidRDefault="003A1F83" w:rsidP="003A1F83">
      <w:pPr>
        <w:pStyle w:val="ListParagraph"/>
        <w:numPr>
          <w:ilvl w:val="1"/>
          <w:numId w:val="25"/>
        </w:numPr>
        <w:spacing w:before="0"/>
        <w:ind w:left="709" w:hanging="283"/>
      </w:pPr>
      <w:r>
        <w:t xml:space="preserve">Make special mention of need to engage </w:t>
      </w:r>
      <w:r w:rsidRPr="004D3F7E">
        <w:t>indigenous peoples, local communities and other vulnerable and marginalized groups</w:t>
      </w:r>
      <w:r>
        <w:t xml:space="preserve"> through out design, development and implementation of timber concession acquisition and management – identification of rights holders, planning of concession and implementation. (</w:t>
      </w:r>
      <w:r w:rsidRPr="003A1F83">
        <w:rPr>
          <w:i/>
        </w:rPr>
        <w:t>legislation</w:t>
      </w:r>
      <w:r>
        <w:t>)</w:t>
      </w:r>
    </w:p>
    <w:p w14:paraId="4D0B34FB" w14:textId="77777777" w:rsidR="006D2E84" w:rsidRPr="0089366F" w:rsidRDefault="006D2E84" w:rsidP="004022BF">
      <w:pPr>
        <w:pStyle w:val="Heading5"/>
      </w:pPr>
      <w:r w:rsidRPr="0089366F">
        <w:t>Site Level</w:t>
      </w:r>
    </w:p>
    <w:p w14:paraId="41FC6224" w14:textId="77777777" w:rsidR="006D2E84" w:rsidRPr="0089366F" w:rsidRDefault="006D2E84" w:rsidP="006B087B">
      <w:pPr>
        <w:pStyle w:val="ListParagraph"/>
        <w:numPr>
          <w:ilvl w:val="0"/>
          <w:numId w:val="29"/>
        </w:numPr>
        <w:spacing w:before="0"/>
      </w:pPr>
      <w:r>
        <w:t>All site-</w:t>
      </w:r>
      <w:r w:rsidRPr="0089366F">
        <w:t xml:space="preserve">based activities provide a clear log of their stakeholder engagement process which is submitted to the RIU. </w:t>
      </w:r>
    </w:p>
    <w:p w14:paraId="0A4DDA92" w14:textId="77777777" w:rsidR="006D2E84" w:rsidRPr="0089366F" w:rsidRDefault="006D2E84" w:rsidP="006D2E84"/>
    <w:p w14:paraId="4E7B75FB" w14:textId="71E2C163" w:rsidR="006D2E84" w:rsidRDefault="006D2E84" w:rsidP="00132C73">
      <w:pPr>
        <w:pStyle w:val="Heading4"/>
      </w:pPr>
      <w:r w:rsidRPr="0089366F">
        <w:t>Recommended Actions:</w:t>
      </w:r>
    </w:p>
    <w:p w14:paraId="2321F305" w14:textId="77777777" w:rsidR="00132C73" w:rsidRPr="00132C73" w:rsidRDefault="00132C73" w:rsidP="00132C73"/>
    <w:p w14:paraId="7169F4A6" w14:textId="77777777" w:rsidR="006D2E84" w:rsidRPr="0089366F" w:rsidRDefault="006D2E84" w:rsidP="00132C73">
      <w:pPr>
        <w:pStyle w:val="Heading4"/>
        <w:ind w:left="864" w:hanging="864"/>
      </w:pPr>
      <w:r w:rsidRPr="0089366F">
        <w:t xml:space="preserve">Potential Indicators </w:t>
      </w:r>
    </w:p>
    <w:p w14:paraId="08DB75AD" w14:textId="77777777" w:rsidR="006D2E84" w:rsidRPr="0089366F" w:rsidRDefault="006D2E84" w:rsidP="006B087B">
      <w:pPr>
        <w:pStyle w:val="ListParagraph"/>
        <w:numPr>
          <w:ilvl w:val="0"/>
          <w:numId w:val="34"/>
        </w:numPr>
        <w:spacing w:before="0"/>
      </w:pPr>
      <w:r w:rsidRPr="0089366F">
        <w:t>Regular Taskforce meetings</w:t>
      </w:r>
    </w:p>
    <w:p w14:paraId="663E1A94" w14:textId="77777777" w:rsidR="006D2E84" w:rsidRPr="0089366F" w:rsidRDefault="006D2E84" w:rsidP="006B087B">
      <w:pPr>
        <w:pStyle w:val="ListParagraph"/>
        <w:numPr>
          <w:ilvl w:val="0"/>
          <w:numId w:val="34"/>
        </w:numPr>
        <w:spacing w:before="0"/>
      </w:pPr>
      <w:r w:rsidRPr="0089366F">
        <w:t>Number of national / provincial level awareness raising and consultation meetings held</w:t>
      </w:r>
    </w:p>
    <w:p w14:paraId="778E8A76" w14:textId="77777777" w:rsidR="006D2E84" w:rsidRPr="0089366F" w:rsidRDefault="006D2E84" w:rsidP="006B087B">
      <w:pPr>
        <w:pStyle w:val="ListParagraph"/>
        <w:numPr>
          <w:ilvl w:val="0"/>
          <w:numId w:val="34"/>
        </w:numPr>
        <w:spacing w:before="0"/>
      </w:pPr>
      <w:r w:rsidRPr="0089366F">
        <w:t xml:space="preserve">Pilot sites undertake effective consultation with stakeholders and establish participatory management structures. </w:t>
      </w:r>
    </w:p>
    <w:p w14:paraId="3262C3E2" w14:textId="77777777" w:rsidR="006D2E84" w:rsidRPr="0089366F" w:rsidRDefault="006D2E84" w:rsidP="00132C73">
      <w:pPr>
        <w:pStyle w:val="Heading4"/>
        <w:ind w:left="864" w:hanging="864"/>
      </w:pPr>
      <w:r w:rsidRPr="0089366F">
        <w:t xml:space="preserve">Data Collection: </w:t>
      </w:r>
    </w:p>
    <w:p w14:paraId="1201880D" w14:textId="77777777" w:rsidR="006D2E84" w:rsidRPr="0089366F" w:rsidRDefault="006D2E84" w:rsidP="006B087B">
      <w:pPr>
        <w:pStyle w:val="ListParagraph"/>
        <w:numPr>
          <w:ilvl w:val="0"/>
          <w:numId w:val="35"/>
        </w:numPr>
        <w:spacing w:before="0"/>
      </w:pPr>
      <w:r w:rsidRPr="0089366F">
        <w:t>Log of Taskforce meetings kept by RIU</w:t>
      </w:r>
    </w:p>
    <w:p w14:paraId="5FCD111E" w14:textId="77777777" w:rsidR="006D2E84" w:rsidRPr="0089366F" w:rsidRDefault="006D2E84" w:rsidP="006B087B">
      <w:pPr>
        <w:pStyle w:val="ListParagraph"/>
        <w:numPr>
          <w:ilvl w:val="0"/>
          <w:numId w:val="35"/>
        </w:numPr>
        <w:spacing w:before="0"/>
      </w:pPr>
      <w:r w:rsidRPr="0089366F">
        <w:t>Log of consultation events kept by RIU</w:t>
      </w:r>
    </w:p>
    <w:p w14:paraId="5916A727" w14:textId="77777777" w:rsidR="006D2E84" w:rsidRPr="0089366F" w:rsidRDefault="006D2E84" w:rsidP="006B087B">
      <w:pPr>
        <w:pStyle w:val="ListParagraph"/>
        <w:numPr>
          <w:ilvl w:val="0"/>
          <w:numId w:val="35"/>
        </w:numPr>
        <w:spacing w:before="0"/>
      </w:pPr>
      <w:r w:rsidRPr="0089366F">
        <w:t>Information on pilot site management committee establishment kept through annual reporting on pilot sites</w:t>
      </w:r>
    </w:p>
    <w:p w14:paraId="55177BA7" w14:textId="77777777" w:rsidR="006D2E84" w:rsidRPr="0089366F" w:rsidRDefault="006D2E84" w:rsidP="00132C73">
      <w:pPr>
        <w:pStyle w:val="Heading4"/>
        <w:ind w:left="864" w:hanging="864"/>
      </w:pPr>
      <w:r w:rsidRPr="0089366F">
        <w:t>Links with Cancun Safeguards</w:t>
      </w:r>
    </w:p>
    <w:p w14:paraId="00EF9282" w14:textId="77777777" w:rsidR="006D2E84" w:rsidRPr="0089366F" w:rsidRDefault="006D2E84" w:rsidP="006D2E84">
      <w:pPr>
        <w:rPr>
          <w:highlight w:val="lightGray"/>
        </w:rPr>
      </w:pPr>
    </w:p>
    <w:p w14:paraId="01D43ABB" w14:textId="77777777" w:rsidR="006D2E84" w:rsidRPr="0089366F" w:rsidRDefault="006D2E84" w:rsidP="006D2E84">
      <w:r w:rsidRPr="0089366F">
        <w:t xml:space="preserve"> </w:t>
      </w:r>
    </w:p>
    <w:p w14:paraId="45DDBF92" w14:textId="77777777" w:rsidR="006D2E84" w:rsidRPr="0089366F" w:rsidRDefault="006D2E84" w:rsidP="006D2E84"/>
    <w:p w14:paraId="670B2CBF" w14:textId="77777777" w:rsidR="006D2E84" w:rsidRPr="0089366F" w:rsidRDefault="006D2E84" w:rsidP="006D2E84">
      <w:pPr>
        <w:pStyle w:val="Heading3"/>
        <w:sectPr w:rsidR="006D2E84" w:rsidRPr="0089366F" w:rsidSect="00014341">
          <w:pgSz w:w="11900" w:h="16840"/>
          <w:pgMar w:top="1440" w:right="1080" w:bottom="1440" w:left="1080" w:header="708" w:footer="708" w:gutter="0"/>
          <w:cols w:space="708"/>
          <w:docGrid w:linePitch="360"/>
        </w:sectPr>
      </w:pPr>
    </w:p>
    <w:p w14:paraId="32C091C6" w14:textId="77777777" w:rsidR="006D2E84" w:rsidRPr="0089366F" w:rsidRDefault="006D2E84" w:rsidP="00132C73">
      <w:pPr>
        <w:pStyle w:val="Heading3"/>
        <w:numPr>
          <w:ilvl w:val="0"/>
          <w:numId w:val="0"/>
        </w:numPr>
      </w:pPr>
      <w:bookmarkStart w:id="32" w:name="_Toc254892847"/>
      <w:r w:rsidRPr="0089366F">
        <w:t>Criterion 5 – Promote coordination, efficiency and effectiveness among all agencies and implementing bodies relevant to REDD+</w:t>
      </w:r>
      <w:bookmarkEnd w:id="32"/>
    </w:p>
    <w:p w14:paraId="20A53279" w14:textId="77777777" w:rsidR="006D2E84" w:rsidRPr="0089366F" w:rsidRDefault="006D2E84" w:rsidP="00132C73">
      <w:pPr>
        <w:pStyle w:val="Heading4"/>
        <w:ind w:left="864" w:hanging="864"/>
      </w:pPr>
      <w:r w:rsidRPr="0089366F">
        <w:t xml:space="preserve">Potential Risks: </w:t>
      </w:r>
    </w:p>
    <w:p w14:paraId="7C8E01C1" w14:textId="77777777" w:rsidR="006D2E84" w:rsidRPr="0089366F" w:rsidRDefault="006D2E84" w:rsidP="006D2E84">
      <w:r w:rsidRPr="0089366F">
        <w:t xml:space="preserve">REDD+ develops as an independent initiative separate from all other areas, creating confusions amongst stakeholders and wasting resources. </w:t>
      </w:r>
    </w:p>
    <w:p w14:paraId="6EE632FC" w14:textId="77777777" w:rsidR="006D2E84" w:rsidRPr="0089366F" w:rsidRDefault="006D2E84" w:rsidP="006D2E84">
      <w:r w:rsidRPr="0089366F">
        <w:t xml:space="preserve">REDD+ developments do not work with existing programmes resulting in duplication of many efforts and inefficient use of resources. </w:t>
      </w:r>
    </w:p>
    <w:p w14:paraId="103EE0B7" w14:textId="77777777" w:rsidR="006D2E84" w:rsidRPr="0089366F" w:rsidRDefault="006D2E84" w:rsidP="00132C73">
      <w:pPr>
        <w:pStyle w:val="Heading4"/>
        <w:ind w:left="864" w:hanging="864"/>
      </w:pPr>
      <w:r>
        <w:t>Summary Review</w:t>
      </w:r>
      <w:r w:rsidRPr="0089366F">
        <w:t xml:space="preserve"> of Existing Legislation and its Application:</w:t>
      </w:r>
    </w:p>
    <w:p w14:paraId="573F8700" w14:textId="77777777" w:rsidR="006D2E84" w:rsidRPr="0089366F" w:rsidRDefault="006D2E84" w:rsidP="00132C73">
      <w:pPr>
        <w:pStyle w:val="Heading5"/>
        <w:ind w:left="1008" w:hanging="1008"/>
      </w:pPr>
      <w:r w:rsidRPr="0089366F">
        <w:t>REDD+</w:t>
      </w:r>
    </w:p>
    <w:p w14:paraId="76CDC6F5" w14:textId="26649F9D" w:rsidR="006D2E84" w:rsidRPr="0089366F" w:rsidRDefault="006D2E84" w:rsidP="006D2E84">
      <w:r w:rsidRPr="0089366F">
        <w:t xml:space="preserve">The REDD+ Taskforce has provided a central point for coordination on REDD+. Establishment of a central group of stakeholders engaged in consultations and discussions has also facilitated coordination across ministries and stakeholder groups. Some initial pilot activities have however been initiated with limited engagement with national or provincial government. </w:t>
      </w:r>
    </w:p>
    <w:p w14:paraId="4F569672" w14:textId="77777777" w:rsidR="006D2E84" w:rsidRPr="0089366F" w:rsidRDefault="006D2E84" w:rsidP="00132C73">
      <w:pPr>
        <w:pStyle w:val="Heading5"/>
      </w:pPr>
      <w:r>
        <w:rPr>
          <w:noProof/>
          <w:lang w:val="en-US"/>
        </w:rPr>
        <w:drawing>
          <wp:anchor distT="0" distB="0" distL="114300" distR="114300" simplePos="0" relativeHeight="251667456" behindDoc="0" locked="0" layoutInCell="1" allowOverlap="1" wp14:anchorId="69C99C71" wp14:editId="7683921C">
            <wp:simplePos x="0" y="0"/>
            <wp:positionH relativeFrom="column">
              <wp:posOffset>2514600</wp:posOffset>
            </wp:positionH>
            <wp:positionV relativeFrom="paragraph">
              <wp:posOffset>320675</wp:posOffset>
            </wp:positionV>
            <wp:extent cx="3543300" cy="2186305"/>
            <wp:effectExtent l="0" t="0" r="12700" b="0"/>
            <wp:wrapSquare wrapText="bothSides"/>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543300" cy="2186305"/>
                    </a:xfrm>
                    <a:prstGeom prst="rect">
                      <a:avLst/>
                    </a:prstGeom>
                  </pic:spPr>
                </pic:pic>
              </a:graphicData>
            </a:graphic>
          </wp:anchor>
        </w:drawing>
      </w:r>
      <w:r w:rsidRPr="0089366F">
        <w:t xml:space="preserve">Existing Policies, Laws and Measures </w:t>
      </w:r>
    </w:p>
    <w:p w14:paraId="0835A7C6" w14:textId="6BA4AA15" w:rsidR="006D2E84" w:rsidRDefault="006D2E84" w:rsidP="006D2E84">
      <w:r w:rsidRPr="003A4672">
        <w:t>The SI have been continuing to re-establish an effective framework for development planning following the period of the tensions with the first National Development Strategy (NDS) produced in 2011. This strategy provides the overarching framework for development of Provincial, Sector and medium term development plans as show</w:t>
      </w:r>
      <w:r>
        <w:t>n adjacent.  The strength of this planning framework is however still underdevelopment and there are significant gaps between coordination at national and provincial levels in terms of both programme d</w:t>
      </w:r>
      <w:r w:rsidR="00132C73">
        <w:t xml:space="preserve">evelopment and implementation. </w:t>
      </w:r>
    </w:p>
    <w:p w14:paraId="687C66AE" w14:textId="271DCD75" w:rsidR="006D2E84" w:rsidRDefault="006D2E84" w:rsidP="006D2E84">
      <w:r>
        <w:t xml:space="preserve">The </w:t>
      </w:r>
      <w:r w:rsidRPr="004935B1">
        <w:rPr>
          <w:i/>
          <w:color w:val="4F81BD" w:themeColor="accent1"/>
        </w:rPr>
        <w:t>FRTU Act</w:t>
      </w:r>
      <w:r>
        <w:t xml:space="preserve"> promotes coordination between national level and provincial authorities requiring the PE to lead the process of timber rights hearings</w:t>
      </w:r>
      <w:r w:rsidRPr="0089366F">
        <w:rPr>
          <w:rStyle w:val="FootnoteReference"/>
        </w:rPr>
        <w:footnoteReference w:id="63"/>
      </w:r>
      <w:r>
        <w:t xml:space="preserve"> and to be present with forestry officials during negotiations related to the timber rights agreement</w:t>
      </w:r>
      <w:r w:rsidRPr="0089366F">
        <w:rPr>
          <w:rStyle w:val="FootnoteReference"/>
        </w:rPr>
        <w:footnoteReference w:id="64"/>
      </w:r>
      <w:r w:rsidRPr="0089366F">
        <w:t>.</w:t>
      </w:r>
      <w:r>
        <w:t xml:space="preserve"> Copies of licenses, certificates of determination and other documents must also be held by both the PE and the MoFR. </w:t>
      </w:r>
    </w:p>
    <w:p w14:paraId="077C053E" w14:textId="77777777" w:rsidR="006D2E84" w:rsidRPr="0089366F" w:rsidRDefault="006D2E84" w:rsidP="006D2E84">
      <w:r>
        <w:t xml:space="preserve">The </w:t>
      </w:r>
      <w:r w:rsidRPr="004935B1">
        <w:rPr>
          <w:i/>
          <w:color w:val="4F81BD" w:themeColor="accent1"/>
        </w:rPr>
        <w:t>EA</w:t>
      </w:r>
      <w:r>
        <w:t xml:space="preserve"> </w:t>
      </w:r>
      <w:r w:rsidRPr="0089366F">
        <w:t>has a number of elements, which promote coordination, efficiency and effectiveness among all agencies and implementing bodies</w:t>
      </w:r>
      <w:r>
        <w:t>. It</w:t>
      </w:r>
      <w:r w:rsidRPr="0089366F">
        <w:t xml:space="preserve"> identifies the Director as having powers to ‘promote co-ordination among Ministries and government divisions’</w:t>
      </w:r>
      <w:r w:rsidRPr="0089366F">
        <w:rPr>
          <w:rStyle w:val="FootnoteReference"/>
        </w:rPr>
        <w:footnoteReference w:id="65"/>
      </w:r>
      <w:r w:rsidRPr="0089366F">
        <w:t xml:space="preserve">. </w:t>
      </w:r>
      <w:r>
        <w:t xml:space="preserve">The Director </w:t>
      </w:r>
      <w:r w:rsidRPr="0089366F">
        <w:t>may also</w:t>
      </w:r>
      <w:r>
        <w:t>,</w:t>
      </w:r>
      <w:r w:rsidRPr="0089366F">
        <w:t xml:space="preserve"> in</w:t>
      </w:r>
      <w:r>
        <w:t xml:space="preserve"> consultation with the Minister and </w:t>
      </w:r>
      <w:r w:rsidRPr="0089366F">
        <w:t>where he deems it necessary</w:t>
      </w:r>
      <w:r>
        <w:t>,</w:t>
      </w:r>
      <w:r w:rsidRPr="0089366F">
        <w:t xml:space="preserve"> direct any public authority -</w:t>
      </w:r>
    </w:p>
    <w:p w14:paraId="3BE1E1CF" w14:textId="77777777" w:rsidR="006D2E84" w:rsidRPr="0089366F" w:rsidRDefault="006D2E84" w:rsidP="006D2E84">
      <w:pPr>
        <w:rPr>
          <w:i/>
        </w:rPr>
      </w:pPr>
      <w:r w:rsidRPr="0089366F">
        <w:t>(a) to do anything within the powers of that public authority which, in the opinion of the Director, contributes to the achievement of the objects of the Act; or (b) to refrain from doing any act which, in the opinion of the Director, detracts from the achievements of the objects of the Act</w:t>
      </w:r>
      <w:r w:rsidRPr="0089366F">
        <w:rPr>
          <w:rStyle w:val="FootnoteReference"/>
        </w:rPr>
        <w:footnoteReference w:id="66"/>
      </w:r>
      <w:r w:rsidRPr="0089366F">
        <w:t>. The act also requires assessment of existing programmes and activities within the State of Environment Report</w:t>
      </w:r>
      <w:r w:rsidRPr="0089366F">
        <w:rPr>
          <w:rStyle w:val="FootnoteReference"/>
        </w:rPr>
        <w:footnoteReference w:id="67"/>
      </w:r>
      <w:r w:rsidRPr="0089366F">
        <w:t>.</w:t>
      </w:r>
    </w:p>
    <w:p w14:paraId="63A08436" w14:textId="77777777" w:rsidR="006D2E84" w:rsidRPr="00823CF1" w:rsidRDefault="006D2E84" w:rsidP="006D2E84">
      <w:pPr>
        <w:rPr>
          <w:lang w:val="en-US"/>
        </w:rPr>
      </w:pPr>
      <w:r>
        <w:rPr>
          <w:lang w:val="en-US"/>
        </w:rPr>
        <w:t xml:space="preserve">The establishment of the EAC also provides a potential mechanism for coordination although no information is provided on the membership of this body and the author is unaware of it undertaking regular meetings as such it is unclear how effective this mechanisms is. More recently the Climate Change Policy has mandated the establishment of the National Climate Change Working Group (NCCWG) and two subgroups focused on mitigation and adaptation. While still in development the NCCWG provides potential to coordinate work across climate change adaptation, elements of disaster risk reduction and climate change mitigation. </w:t>
      </w:r>
    </w:p>
    <w:p w14:paraId="1FFCE66F" w14:textId="77777777" w:rsidR="006D2E84" w:rsidRPr="002366B4" w:rsidRDefault="006D2E84" w:rsidP="006D2E84">
      <w:pPr>
        <w:rPr>
          <w:lang w:val="en-US"/>
        </w:rPr>
      </w:pPr>
      <w:r>
        <w:t xml:space="preserve">At the site level the development consent process provides a mechanisms for coordination and consultation at requiring the director to provide information to </w:t>
      </w:r>
      <w:r w:rsidRPr="00823CF1">
        <w:rPr>
          <w:lang w:val="en-US"/>
        </w:rPr>
        <w:t>the communities within that rural area, if the proposed development is to be undertaken in a rural area;</w:t>
      </w:r>
      <w:r>
        <w:rPr>
          <w:lang w:val="en-US"/>
        </w:rPr>
        <w:t xml:space="preserve"> </w:t>
      </w:r>
      <w:r w:rsidRPr="00823CF1">
        <w:rPr>
          <w:lang w:val="en-US"/>
        </w:rPr>
        <w:t>the Provincial Government</w:t>
      </w:r>
      <w:r w:rsidRPr="00823CF1">
        <w:rPr>
          <w:lang w:val="en-US"/>
        </w:rPr>
        <w:fldChar w:fldCharType="begin"/>
      </w:r>
      <w:r w:rsidRPr="00823CF1">
        <w:rPr>
          <w:lang w:val="en-US"/>
        </w:rPr>
        <w:instrText xml:space="preserve"> XE "Provincial Government" </w:instrText>
      </w:r>
      <w:r w:rsidRPr="00823CF1">
        <w:rPr>
          <w:lang w:val="en-US"/>
        </w:rPr>
        <w:fldChar w:fldCharType="end"/>
      </w:r>
      <w:r w:rsidRPr="00823CF1">
        <w:rPr>
          <w:lang w:val="en-US"/>
        </w:rPr>
        <w:t xml:space="preserve"> of the Province in which the proposed prescribed development is to be undertaken; any other relevant organization whom the Director believes would provide useful contribution to the proposed development; and</w:t>
      </w:r>
      <w:r>
        <w:rPr>
          <w:lang w:val="en-US"/>
        </w:rPr>
        <w:t xml:space="preserve"> </w:t>
      </w:r>
      <w:r w:rsidRPr="00823CF1">
        <w:rPr>
          <w:lang w:val="en-US"/>
        </w:rPr>
        <w:t>any other person whom the Director believes may be affected by the proposed development.</w:t>
      </w:r>
      <w:r w:rsidRPr="00823CF1">
        <w:rPr>
          <w:vertAlign w:val="superscript"/>
          <w:lang w:val="en-US"/>
        </w:rPr>
        <w:footnoteReference w:id="68"/>
      </w:r>
      <w:r>
        <w:rPr>
          <w:lang w:val="en-US"/>
        </w:rPr>
        <w:t xml:space="preserve"> Once the review process has been undertaken with feedback gained from public authorities the Director must make a decision on whether to approve the application. </w:t>
      </w:r>
      <w:r w:rsidRPr="002366B4">
        <w:rPr>
          <w:lang w:val="en-US"/>
        </w:rPr>
        <w:t xml:space="preserve">The Director </w:t>
      </w:r>
      <w:r w:rsidRPr="002366B4">
        <w:rPr>
          <w:i/>
          <w:lang w:val="en-US"/>
        </w:rPr>
        <w:t>must not</w:t>
      </w:r>
      <w:r w:rsidRPr="002366B4">
        <w:rPr>
          <w:lang w:val="en-US"/>
        </w:rPr>
        <w:t xml:space="preserve"> grant a </w:t>
      </w:r>
      <w:r>
        <w:rPr>
          <w:lang w:val="en-US"/>
        </w:rPr>
        <w:t>development consent unless</w:t>
      </w:r>
      <w:r w:rsidRPr="002366B4">
        <w:rPr>
          <w:lang w:val="en-US"/>
        </w:rPr>
        <w:t xml:space="preserve"> satisfied that</w:t>
      </w:r>
      <w:r>
        <w:rPr>
          <w:lang w:val="en-US"/>
        </w:rPr>
        <w:t xml:space="preserve"> a number of criteria are met including that</w:t>
      </w:r>
      <w:r w:rsidRPr="002366B4">
        <w:rPr>
          <w:lang w:val="en-US"/>
        </w:rPr>
        <w:t xml:space="preserve">: </w:t>
      </w:r>
    </w:p>
    <w:p w14:paraId="4420E97F" w14:textId="77777777" w:rsidR="006D2E84" w:rsidRPr="002366B4" w:rsidRDefault="006D2E84" w:rsidP="006B087B">
      <w:pPr>
        <w:pStyle w:val="ListParagraph"/>
        <w:numPr>
          <w:ilvl w:val="0"/>
          <w:numId w:val="29"/>
        </w:numPr>
        <w:spacing w:before="0"/>
        <w:rPr>
          <w:i/>
          <w:lang w:val="en-US"/>
        </w:rPr>
      </w:pPr>
      <w:r w:rsidRPr="002366B4">
        <w:rPr>
          <w:i/>
          <w:lang w:val="en-US"/>
        </w:rPr>
        <w:t xml:space="preserve">the proposed development will be carried out in a manner consistent with all relevant environmental policies and regulations; </w:t>
      </w:r>
    </w:p>
    <w:p w14:paraId="3DAA7751" w14:textId="77777777" w:rsidR="006D2E84" w:rsidRPr="002366B4" w:rsidRDefault="006D2E84" w:rsidP="006B087B">
      <w:pPr>
        <w:pStyle w:val="ListParagraph"/>
        <w:numPr>
          <w:ilvl w:val="0"/>
          <w:numId w:val="29"/>
        </w:numPr>
        <w:spacing w:before="0"/>
        <w:rPr>
          <w:lang w:val="en-US"/>
        </w:rPr>
      </w:pPr>
      <w:r w:rsidRPr="002366B4">
        <w:rPr>
          <w:i/>
          <w:lang w:val="en-US"/>
        </w:rPr>
        <w:t>the proposed development will not contravene any relevant environmental obligation under any international treaty, convention or instrument to which Solomon Islands is a party.</w:t>
      </w:r>
      <w:r w:rsidRPr="002366B4">
        <w:rPr>
          <w:vertAlign w:val="superscript"/>
          <w:lang w:val="en-US"/>
        </w:rPr>
        <w:footnoteReference w:id="69"/>
      </w:r>
      <w:r w:rsidRPr="002366B4">
        <w:rPr>
          <w:lang w:val="en-US"/>
        </w:rPr>
        <w:t xml:space="preserve"> </w:t>
      </w:r>
    </w:p>
    <w:p w14:paraId="3568A604" w14:textId="03A2C897" w:rsidR="006D2E84" w:rsidRPr="00132C73" w:rsidRDefault="006D2E84" w:rsidP="006D2E84">
      <w:pPr>
        <w:rPr>
          <w:lang w:val="en-US"/>
        </w:rPr>
      </w:pPr>
      <w:r>
        <w:rPr>
          <w:lang w:val="en-US"/>
        </w:rPr>
        <w:t>While this only provides for coordination across environmental commitments it should require other sectors to abide by environmental legi</w:t>
      </w:r>
      <w:r w:rsidR="00132C73">
        <w:rPr>
          <w:lang w:val="en-US"/>
        </w:rPr>
        <w:t xml:space="preserve">slation and policy objectives. </w:t>
      </w:r>
    </w:p>
    <w:p w14:paraId="0AB5B41C" w14:textId="77777777" w:rsidR="006D2E84" w:rsidRPr="0089366F" w:rsidRDefault="006D2E84" w:rsidP="006D2E84">
      <w:r w:rsidRPr="0089366F">
        <w:t xml:space="preserve">The </w:t>
      </w:r>
      <w:r w:rsidRPr="002366B4">
        <w:rPr>
          <w:i/>
          <w:color w:val="4F81BD" w:themeColor="accent1"/>
        </w:rPr>
        <w:t>PA Act</w:t>
      </w:r>
      <w:r w:rsidRPr="0089366F">
        <w:t xml:space="preserve"> has a number of elements, which promote coordination, efficiency and effectiveness among all agencies and implementing bodies</w:t>
      </w:r>
      <w:r>
        <w:t>. At the national level the a</w:t>
      </w:r>
      <w:r w:rsidRPr="0089366F">
        <w:t>ct identifies the PAAC as a ten person committee with at least four non-government representatives and identifies the committee as undertaking a</w:t>
      </w:r>
      <w:r>
        <w:t xml:space="preserve"> number of functions related to delivery of the act through collaboration with other stakeholders</w:t>
      </w:r>
      <w:r w:rsidRPr="0089366F">
        <w:rPr>
          <w:rStyle w:val="FootnoteReference"/>
        </w:rPr>
        <w:footnoteReference w:id="70"/>
      </w:r>
      <w:r w:rsidRPr="0089366F">
        <w:t xml:space="preserve">. </w:t>
      </w:r>
      <w:r>
        <w:t>Prior to designation of a PA consultation must occur across a range of stakeholders groups in the development of a management plan</w:t>
      </w:r>
      <w:r w:rsidRPr="0089366F">
        <w:rPr>
          <w:rStyle w:val="FootnoteReference"/>
        </w:rPr>
        <w:footnoteReference w:id="71"/>
      </w:r>
      <w:r>
        <w:t xml:space="preserve"> and the</w:t>
      </w:r>
      <w:r w:rsidRPr="0089366F">
        <w:t xml:space="preserve"> Director must undertake a number of steps that facilitate coordination </w:t>
      </w:r>
      <w:r>
        <w:t xml:space="preserve">prior to giving recommendations to the Minister, </w:t>
      </w:r>
      <w:r w:rsidRPr="0089366F">
        <w:t xml:space="preserve">including: </w:t>
      </w:r>
    </w:p>
    <w:p w14:paraId="77CB42AD" w14:textId="77777777" w:rsidR="006D2E84" w:rsidRPr="0089366F" w:rsidRDefault="006D2E84" w:rsidP="006D2E84">
      <w:pPr>
        <w:ind w:left="720"/>
      </w:pPr>
      <w:r w:rsidRPr="0089366F">
        <w:t xml:space="preserve">(a)  conduct meetings and consultation with the owners of the area or other persons who may be affected by the proposed declaration; </w:t>
      </w:r>
    </w:p>
    <w:p w14:paraId="4BC9E301" w14:textId="77777777" w:rsidR="006D2E84" w:rsidRPr="0089366F" w:rsidRDefault="006D2E84" w:rsidP="006D2E84">
      <w:pPr>
        <w:ind w:left="720"/>
      </w:pPr>
      <w:r w:rsidRPr="0089366F">
        <w:t>(b)  undertake consultation with the relevant Ministries and relevant provincial government</w:t>
      </w:r>
      <w:r w:rsidRPr="0089366F">
        <w:rPr>
          <w:rStyle w:val="FootnoteReference"/>
        </w:rPr>
        <w:footnoteReference w:id="72"/>
      </w:r>
      <w:r w:rsidRPr="0089366F">
        <w:t xml:space="preserve">; </w:t>
      </w:r>
    </w:p>
    <w:p w14:paraId="1B167675" w14:textId="77777777" w:rsidR="006D2E84" w:rsidRPr="0089366F" w:rsidRDefault="006D2E84" w:rsidP="006D2E84">
      <w:r w:rsidRPr="0089366F">
        <w:t>A</w:t>
      </w:r>
      <w:r>
        <w:t>t site level the</w:t>
      </w:r>
      <w:r w:rsidRPr="0089366F">
        <w:t xml:space="preserve"> PAMC can consist of owners of the Protected Area, public officers, Provincial Government</w:t>
      </w:r>
      <w:r w:rsidRPr="0089366F">
        <w:fldChar w:fldCharType="begin"/>
      </w:r>
      <w:r w:rsidRPr="0089366F">
        <w:instrText xml:space="preserve"> XE "Provincial Government" </w:instrText>
      </w:r>
      <w:r w:rsidRPr="0089366F">
        <w:fldChar w:fldCharType="end"/>
      </w:r>
      <w:r w:rsidRPr="0089366F">
        <w:t xml:space="preserve"> officers and other people.</w:t>
      </w:r>
      <w:r w:rsidRPr="0089366F">
        <w:rPr>
          <w:vertAlign w:val="superscript"/>
        </w:rPr>
        <w:footnoteReference w:id="73"/>
      </w:r>
      <w:r w:rsidRPr="0089366F">
        <w:t xml:space="preserve"> </w:t>
      </w:r>
    </w:p>
    <w:p w14:paraId="47CB18DB" w14:textId="77777777" w:rsidR="006D2E84" w:rsidRPr="0089366F" w:rsidRDefault="006D2E84" w:rsidP="006D2E84">
      <w:pPr>
        <w:rPr>
          <w:i/>
        </w:rPr>
      </w:pPr>
      <w:r>
        <w:t xml:space="preserve">During initial consultations undertaken as part of the REDD+ Roadmap development process Provincial Authorities have raised concerns that they are engaged only late in the development and designation of PAs. </w:t>
      </w:r>
    </w:p>
    <w:p w14:paraId="558565CB" w14:textId="77777777" w:rsidR="006D2E84" w:rsidRDefault="006D2E84" w:rsidP="006D2E84"/>
    <w:p w14:paraId="799F0D96" w14:textId="77777777" w:rsidR="006D2E84" w:rsidRDefault="006D2E84" w:rsidP="006D2E84">
      <w:r>
        <w:t xml:space="preserve">At the national level efforts to promote cross sector initiatives have often struggled and working groups for the CBD and the CCD/SLM have been limited in their operational effectiveness. </w:t>
      </w:r>
      <w:r w:rsidRPr="0089366F">
        <w:t>A number of programmes and initiatives have tried to strengthen coordinated action at the local level including the development of Constituency development funds and the Choiseul Integrated Climate Change Programme.</w:t>
      </w:r>
      <w:r>
        <w:t xml:space="preserve"> The Constituency Development process has yet to show evidence on delivering in a coordinated fashion the objectives of different ministries and the Choiseul Integrated Climate Change Programme remains at an early stage in its development. </w:t>
      </w:r>
    </w:p>
    <w:p w14:paraId="560BE328" w14:textId="422E0B3B" w:rsidR="006D2E84" w:rsidRPr="0089366F" w:rsidRDefault="006D2E84" w:rsidP="006D2E84">
      <w:r>
        <w:t xml:space="preserve">Coordination at provincial level by MECDM would be greatly supported by establishment of provincial offices for the ministry and / or provincial environment officers. </w:t>
      </w:r>
    </w:p>
    <w:p w14:paraId="21164AA7" w14:textId="28F49F10" w:rsidR="006D2E84" w:rsidRPr="0089366F" w:rsidRDefault="006D2E84" w:rsidP="003A1F83">
      <w:pPr>
        <w:pStyle w:val="Heading4"/>
      </w:pPr>
      <w:r w:rsidRPr="0089366F">
        <w:t xml:space="preserve">Recommendations </w:t>
      </w:r>
      <w:r w:rsidR="003A1F83">
        <w:t>to p</w:t>
      </w:r>
      <w:r w:rsidR="003A1F83" w:rsidRPr="003A1F83">
        <w:t>romote coordination, efficiency and effec</w:t>
      </w:r>
      <w:r w:rsidR="003A1F83">
        <w:t xml:space="preserve">tiveness among all agencies and </w:t>
      </w:r>
      <w:r w:rsidR="003A1F83" w:rsidRPr="003A1F83">
        <w:t>implementing bodies relevant to REDD+</w:t>
      </w:r>
    </w:p>
    <w:p w14:paraId="6F3AA954" w14:textId="77777777" w:rsidR="006D2E84" w:rsidRPr="0089366F" w:rsidRDefault="006D2E84" w:rsidP="00132C73">
      <w:pPr>
        <w:pStyle w:val="Heading5"/>
        <w:ind w:left="1008" w:hanging="1008"/>
      </w:pPr>
      <w:r w:rsidRPr="0089366F">
        <w:t xml:space="preserve">National level </w:t>
      </w:r>
    </w:p>
    <w:p w14:paraId="225CE3B0" w14:textId="239D3C20" w:rsidR="007A0F3F" w:rsidRPr="007A0F3F" w:rsidRDefault="007A0F3F" w:rsidP="007A0F3F">
      <w:pPr>
        <w:spacing w:before="0"/>
        <w:rPr>
          <w:u w:val="single"/>
        </w:rPr>
      </w:pPr>
      <w:r w:rsidRPr="007A0F3F">
        <w:rPr>
          <w:u w:val="single"/>
        </w:rPr>
        <w:t>Cross Cutting</w:t>
      </w:r>
    </w:p>
    <w:p w14:paraId="387EF25A" w14:textId="77777777" w:rsidR="006D2E84" w:rsidRPr="0089366F" w:rsidRDefault="006D2E84" w:rsidP="006B087B">
      <w:pPr>
        <w:pStyle w:val="ListParagraph"/>
        <w:numPr>
          <w:ilvl w:val="0"/>
          <w:numId w:val="25"/>
        </w:numPr>
        <w:spacing w:before="0"/>
      </w:pPr>
      <w:r w:rsidRPr="0089366F">
        <w:t xml:space="preserve">The National REDD+ Taskforce (Committee) continues to act as a central point for coordination for REDD+. </w:t>
      </w:r>
    </w:p>
    <w:p w14:paraId="7F4B13BF" w14:textId="09859C7F" w:rsidR="006D2E84" w:rsidRDefault="006D2E84" w:rsidP="006B087B">
      <w:pPr>
        <w:pStyle w:val="ListParagraph"/>
        <w:numPr>
          <w:ilvl w:val="0"/>
          <w:numId w:val="25"/>
        </w:numPr>
        <w:spacing w:before="0"/>
      </w:pPr>
      <w:r w:rsidRPr="0089366F">
        <w:t>Regular reporting by the REDD+ Committee to the National Climate Change Working group facilitates coordination between work on climate change adaptation and mitigation and REDD+</w:t>
      </w:r>
    </w:p>
    <w:p w14:paraId="4B86E175" w14:textId="398AAF6F" w:rsidR="003A1F83" w:rsidRDefault="003A1F83" w:rsidP="006B087B">
      <w:pPr>
        <w:pStyle w:val="ListParagraph"/>
        <w:numPr>
          <w:ilvl w:val="0"/>
          <w:numId w:val="25"/>
        </w:numPr>
        <w:spacing w:before="0"/>
      </w:pPr>
      <w:r>
        <w:t xml:space="preserve">Regular meetings between RIU and RFP. </w:t>
      </w:r>
    </w:p>
    <w:p w14:paraId="415F840D" w14:textId="4977B4E8" w:rsidR="003A1F83" w:rsidRDefault="003A1F83" w:rsidP="006B087B">
      <w:pPr>
        <w:pStyle w:val="ListParagraph"/>
        <w:numPr>
          <w:ilvl w:val="0"/>
          <w:numId w:val="25"/>
        </w:numPr>
        <w:spacing w:before="0"/>
      </w:pPr>
      <w:r>
        <w:t xml:space="preserve">Requirement for forestry or agriculture based funds utilised within the Constituency Development process to require an assessment of how activities link with existing sector and provincial priorities. </w:t>
      </w:r>
    </w:p>
    <w:p w14:paraId="17B8FFD5" w14:textId="2F3B3DF6" w:rsidR="003A1F83" w:rsidRDefault="003A1F83" w:rsidP="006B087B">
      <w:pPr>
        <w:pStyle w:val="ListParagraph"/>
        <w:numPr>
          <w:ilvl w:val="0"/>
          <w:numId w:val="25"/>
        </w:numPr>
        <w:spacing w:before="0"/>
      </w:pPr>
      <w:r w:rsidRPr="0089366F">
        <w:t>Awareness raising at site level focuses on the potential for landuse planning across areas, and integrates REDD+ with climate change adaptation and disaster risk management.</w:t>
      </w:r>
    </w:p>
    <w:p w14:paraId="0EC4C6F5" w14:textId="27F4544F" w:rsidR="003A1F83" w:rsidRDefault="003A1F83" w:rsidP="006B087B">
      <w:pPr>
        <w:pStyle w:val="ListParagraph"/>
        <w:numPr>
          <w:ilvl w:val="0"/>
          <w:numId w:val="25"/>
        </w:numPr>
        <w:spacing w:before="0"/>
      </w:pPr>
      <w:r>
        <w:t>An initial REDD+ activity registration process established to promote coordination with all project development activities requested to</w:t>
      </w:r>
      <w:r w:rsidR="007A0F3F">
        <w:t xml:space="preserve"> register and have an MoU with the</w:t>
      </w:r>
      <w:r>
        <w:t xml:space="preserve"> relevant M</w:t>
      </w:r>
      <w:r w:rsidR="007A0F3F">
        <w:t>inistry and Provincial Authority</w:t>
      </w:r>
      <w:r>
        <w:t xml:space="preserve">. </w:t>
      </w:r>
    </w:p>
    <w:p w14:paraId="73A9F992" w14:textId="77777777" w:rsidR="003A1F83" w:rsidRDefault="003A1F83" w:rsidP="003A1F83">
      <w:pPr>
        <w:spacing w:before="0"/>
      </w:pPr>
    </w:p>
    <w:p w14:paraId="761FF5EA" w14:textId="432A1B20" w:rsidR="003A1F83" w:rsidRPr="003A1F83" w:rsidRDefault="003A1F83" w:rsidP="003A1F83">
      <w:pPr>
        <w:spacing w:before="0"/>
        <w:rPr>
          <w:u w:val="single"/>
        </w:rPr>
      </w:pPr>
      <w:r w:rsidRPr="003A1F83">
        <w:rPr>
          <w:u w:val="single"/>
        </w:rPr>
        <w:t>Environment</w:t>
      </w:r>
    </w:p>
    <w:p w14:paraId="10842BA2" w14:textId="1878F70A" w:rsidR="003A1F83" w:rsidRPr="00132C73" w:rsidRDefault="003A1F83" w:rsidP="006B087B">
      <w:pPr>
        <w:pStyle w:val="ListParagraph"/>
        <w:numPr>
          <w:ilvl w:val="0"/>
          <w:numId w:val="25"/>
        </w:numPr>
        <w:spacing w:before="0"/>
      </w:pPr>
      <w:r>
        <w:t>Revisions made to EA to require EIS to consider existing policies and regulations when assessing developments</w:t>
      </w:r>
    </w:p>
    <w:p w14:paraId="7E4190C7" w14:textId="77777777" w:rsidR="006D2E84" w:rsidRPr="0089366F" w:rsidRDefault="006D2E84" w:rsidP="00132C73">
      <w:pPr>
        <w:pStyle w:val="Heading5"/>
        <w:ind w:left="1008" w:hanging="1008"/>
      </w:pPr>
      <w:r w:rsidRPr="0089366F">
        <w:t>Site Level</w:t>
      </w:r>
    </w:p>
    <w:p w14:paraId="4AB8D582" w14:textId="2C3F6957" w:rsidR="006D2E84" w:rsidRPr="0089366F" w:rsidRDefault="006D2E84" w:rsidP="006B087B">
      <w:pPr>
        <w:pStyle w:val="ListParagraph"/>
        <w:numPr>
          <w:ilvl w:val="0"/>
          <w:numId w:val="29"/>
        </w:numPr>
        <w:spacing w:before="0"/>
      </w:pPr>
    </w:p>
    <w:p w14:paraId="0A19FF1E" w14:textId="77777777" w:rsidR="007A0F3F" w:rsidRDefault="007A0F3F" w:rsidP="007A0F3F">
      <w:pPr>
        <w:spacing w:before="0"/>
      </w:pPr>
    </w:p>
    <w:p w14:paraId="30BF25A6" w14:textId="63531045" w:rsidR="006D2E84" w:rsidRPr="007A0F3F" w:rsidRDefault="006D2E84" w:rsidP="007A0F3F">
      <w:pPr>
        <w:pStyle w:val="Heading4"/>
        <w:rPr>
          <w:highlight w:val="lightGray"/>
        </w:rPr>
      </w:pPr>
      <w:r w:rsidRPr="007A0F3F">
        <w:rPr>
          <w:highlight w:val="lightGray"/>
        </w:rPr>
        <w:t>Recommended Actions:</w:t>
      </w:r>
    </w:p>
    <w:p w14:paraId="30140C46" w14:textId="77777777" w:rsidR="006D2E84" w:rsidRPr="007A0F3F" w:rsidRDefault="006D2E84" w:rsidP="006B087B">
      <w:pPr>
        <w:pStyle w:val="ListParagraph"/>
        <w:numPr>
          <w:ilvl w:val="0"/>
          <w:numId w:val="30"/>
        </w:numPr>
        <w:spacing w:before="0"/>
        <w:rPr>
          <w:highlight w:val="lightGray"/>
        </w:rPr>
      </w:pPr>
      <w:r w:rsidRPr="007A0F3F">
        <w:rPr>
          <w:highlight w:val="lightGray"/>
        </w:rPr>
        <w:t xml:space="preserve">Operation of National REDD+ Taskforce </w:t>
      </w:r>
    </w:p>
    <w:p w14:paraId="0C27B166" w14:textId="77777777" w:rsidR="006D2E84" w:rsidRPr="007A0F3F" w:rsidRDefault="006D2E84" w:rsidP="006B087B">
      <w:pPr>
        <w:pStyle w:val="ListParagraph"/>
        <w:numPr>
          <w:ilvl w:val="0"/>
          <w:numId w:val="30"/>
        </w:numPr>
        <w:spacing w:before="0"/>
        <w:rPr>
          <w:highlight w:val="lightGray"/>
        </w:rPr>
      </w:pPr>
      <w:r w:rsidRPr="007A0F3F">
        <w:rPr>
          <w:highlight w:val="lightGray"/>
        </w:rPr>
        <w:t>Implementation of a coordinated awareness raising campaign</w:t>
      </w:r>
    </w:p>
    <w:p w14:paraId="04F4E7C9" w14:textId="00B7D018" w:rsidR="006D2E84" w:rsidRPr="007A0F3F" w:rsidRDefault="006D2E84" w:rsidP="006D2E84">
      <w:pPr>
        <w:pStyle w:val="ListParagraph"/>
        <w:numPr>
          <w:ilvl w:val="0"/>
          <w:numId w:val="30"/>
        </w:numPr>
        <w:spacing w:before="0"/>
        <w:rPr>
          <w:highlight w:val="lightGray"/>
        </w:rPr>
      </w:pPr>
      <w:r w:rsidRPr="007A0F3F">
        <w:rPr>
          <w:highlight w:val="lightGray"/>
        </w:rPr>
        <w:t>Implementation of site based activities registration process</w:t>
      </w:r>
    </w:p>
    <w:p w14:paraId="426CCEE1" w14:textId="77777777" w:rsidR="006D2E84" w:rsidRPr="0089366F" w:rsidRDefault="006D2E84" w:rsidP="00132C73">
      <w:pPr>
        <w:pStyle w:val="Heading4"/>
        <w:ind w:left="864" w:hanging="864"/>
      </w:pPr>
      <w:r w:rsidRPr="0089366F">
        <w:t xml:space="preserve">Potential Indicators </w:t>
      </w:r>
    </w:p>
    <w:p w14:paraId="634964CE" w14:textId="77777777" w:rsidR="006D2E84" w:rsidRPr="0089366F" w:rsidRDefault="006D2E84" w:rsidP="006B087B">
      <w:pPr>
        <w:pStyle w:val="ListParagraph"/>
        <w:numPr>
          <w:ilvl w:val="0"/>
          <w:numId w:val="36"/>
        </w:numPr>
        <w:spacing w:before="0"/>
      </w:pPr>
      <w:r w:rsidRPr="0089366F">
        <w:t>Regular Taskforce meetings</w:t>
      </w:r>
    </w:p>
    <w:p w14:paraId="11AD0F3A" w14:textId="77777777" w:rsidR="006D2E84" w:rsidRPr="0089366F" w:rsidRDefault="006D2E84" w:rsidP="006B087B">
      <w:pPr>
        <w:pStyle w:val="ListParagraph"/>
        <w:numPr>
          <w:ilvl w:val="0"/>
          <w:numId w:val="36"/>
        </w:numPr>
        <w:spacing w:before="0"/>
      </w:pPr>
      <w:r w:rsidRPr="0089366F">
        <w:t>Number of national / provincial level awareness raising and consultation meetings held</w:t>
      </w:r>
    </w:p>
    <w:p w14:paraId="372DD620" w14:textId="77777777" w:rsidR="006D2E84" w:rsidRPr="0089366F" w:rsidRDefault="006D2E84" w:rsidP="006B087B">
      <w:pPr>
        <w:pStyle w:val="ListParagraph"/>
        <w:numPr>
          <w:ilvl w:val="0"/>
          <w:numId w:val="36"/>
        </w:numPr>
        <w:spacing w:before="0"/>
      </w:pPr>
      <w:r w:rsidRPr="0089366F">
        <w:t>Site level project registration process in operation</w:t>
      </w:r>
    </w:p>
    <w:p w14:paraId="747C49FC" w14:textId="77777777" w:rsidR="006D2E84" w:rsidRPr="0089366F" w:rsidRDefault="006D2E84" w:rsidP="00132C73">
      <w:pPr>
        <w:pStyle w:val="Heading4"/>
        <w:ind w:left="864" w:hanging="864"/>
      </w:pPr>
      <w:r w:rsidRPr="0089366F">
        <w:t xml:space="preserve">Data Collection: </w:t>
      </w:r>
    </w:p>
    <w:p w14:paraId="5F2F49DF" w14:textId="77777777" w:rsidR="006D2E84" w:rsidRPr="0089366F" w:rsidRDefault="006D2E84" w:rsidP="006B087B">
      <w:pPr>
        <w:pStyle w:val="ListParagraph"/>
        <w:numPr>
          <w:ilvl w:val="0"/>
          <w:numId w:val="37"/>
        </w:numPr>
        <w:spacing w:before="0"/>
      </w:pPr>
      <w:r w:rsidRPr="0089366F">
        <w:t>Log of Taskforce meetings kept by RIU</w:t>
      </w:r>
    </w:p>
    <w:p w14:paraId="3431DDA2" w14:textId="77777777" w:rsidR="006D2E84" w:rsidRPr="0089366F" w:rsidRDefault="006D2E84" w:rsidP="006B087B">
      <w:pPr>
        <w:pStyle w:val="ListParagraph"/>
        <w:numPr>
          <w:ilvl w:val="0"/>
          <w:numId w:val="37"/>
        </w:numPr>
        <w:spacing w:before="0"/>
      </w:pPr>
      <w:r w:rsidRPr="0089366F">
        <w:t>Log of consultation events kept by RIU</w:t>
      </w:r>
    </w:p>
    <w:p w14:paraId="78105FB9" w14:textId="77777777" w:rsidR="006D2E84" w:rsidRPr="0089366F" w:rsidRDefault="006D2E84" w:rsidP="006B087B">
      <w:pPr>
        <w:pStyle w:val="ListParagraph"/>
        <w:numPr>
          <w:ilvl w:val="0"/>
          <w:numId w:val="37"/>
        </w:numPr>
        <w:spacing w:before="0"/>
      </w:pPr>
      <w:r w:rsidRPr="0089366F">
        <w:t>Projects registered with RIU</w:t>
      </w:r>
    </w:p>
    <w:p w14:paraId="3351C8F6" w14:textId="77777777" w:rsidR="006D2E84" w:rsidRPr="0089366F" w:rsidRDefault="006D2E84" w:rsidP="006D2E84">
      <w:pPr>
        <w:rPr>
          <w:highlight w:val="lightGray"/>
        </w:rPr>
      </w:pPr>
    </w:p>
    <w:p w14:paraId="63975504" w14:textId="77777777" w:rsidR="006D2E84" w:rsidRDefault="006D2E84" w:rsidP="006D2E84">
      <w:pPr>
        <w:pStyle w:val="Heading3"/>
        <w:sectPr w:rsidR="006D2E84" w:rsidSect="00014341">
          <w:pgSz w:w="11900" w:h="16840"/>
          <w:pgMar w:top="1440" w:right="1080" w:bottom="1440" w:left="1080" w:header="708" w:footer="708" w:gutter="0"/>
          <w:cols w:space="708"/>
          <w:docGrid w:linePitch="360"/>
        </w:sectPr>
      </w:pPr>
    </w:p>
    <w:p w14:paraId="3FA55784" w14:textId="77777777" w:rsidR="006D2E84" w:rsidRPr="0089366F" w:rsidRDefault="006D2E84" w:rsidP="00132C73">
      <w:pPr>
        <w:pStyle w:val="Heading3"/>
        <w:numPr>
          <w:ilvl w:val="0"/>
          <w:numId w:val="0"/>
        </w:numPr>
      </w:pPr>
      <w:bookmarkStart w:id="33" w:name="_Toc254892848"/>
      <w:r w:rsidRPr="0089366F">
        <w:t>Criterion 6 – Promote and support the rule of law, access to justice and effective remedies</w:t>
      </w:r>
      <w:bookmarkEnd w:id="33"/>
    </w:p>
    <w:p w14:paraId="451B2D5B" w14:textId="77777777" w:rsidR="006D2E84" w:rsidRPr="0089366F" w:rsidRDefault="006D2E84" w:rsidP="00132C73">
      <w:pPr>
        <w:pStyle w:val="Heading4"/>
        <w:ind w:left="864" w:hanging="864"/>
      </w:pPr>
      <w:r w:rsidRPr="0089366F">
        <w:t xml:space="preserve">Potential Risks: </w:t>
      </w:r>
    </w:p>
    <w:p w14:paraId="3EA7E40F" w14:textId="77777777" w:rsidR="006D2E84" w:rsidRPr="0089366F" w:rsidRDefault="006D2E84" w:rsidP="006D2E84">
      <w:r w:rsidRPr="0089366F">
        <w:t>REDD+ activities undermine existing legislation and provide limited access to justice.</w:t>
      </w:r>
    </w:p>
    <w:p w14:paraId="49E4F1C9" w14:textId="77777777" w:rsidR="006D2E84" w:rsidRPr="0089366F" w:rsidRDefault="006D2E84" w:rsidP="006D2E84">
      <w:r w:rsidRPr="0089366F">
        <w:t xml:space="preserve">Early agreements are signed between landowners and project developers that are not legally binding. </w:t>
      </w:r>
    </w:p>
    <w:p w14:paraId="6F1C79CB" w14:textId="77777777" w:rsidR="006D2E84" w:rsidRPr="0089366F" w:rsidRDefault="006D2E84" w:rsidP="00132C73">
      <w:pPr>
        <w:pStyle w:val="Heading4"/>
        <w:ind w:left="864" w:hanging="864"/>
      </w:pPr>
      <w:r w:rsidRPr="0089366F">
        <w:t>Review of Existing Legislation and its Application:</w:t>
      </w:r>
    </w:p>
    <w:p w14:paraId="32794F6B" w14:textId="77777777" w:rsidR="006D2E84" w:rsidRPr="0089366F" w:rsidRDefault="006D2E84" w:rsidP="00132C73">
      <w:pPr>
        <w:pStyle w:val="Heading5"/>
        <w:ind w:left="1008" w:hanging="1008"/>
      </w:pPr>
      <w:r w:rsidRPr="0089366F">
        <w:t>REDD+</w:t>
      </w:r>
    </w:p>
    <w:p w14:paraId="72E87A49" w14:textId="77777777" w:rsidR="006D2E84" w:rsidRPr="0089366F" w:rsidRDefault="006D2E84" w:rsidP="006D2E84">
      <w:r w:rsidRPr="0089366F">
        <w:t xml:space="preserve">Existing approaches to REDD+ have focused on working with Government ministries and other stakeholders to assess and further strengthen the understanding of the potential interactions between REDD+ and the existing legal framework. </w:t>
      </w:r>
    </w:p>
    <w:p w14:paraId="5BA8281F" w14:textId="77777777" w:rsidR="006D2E84" w:rsidRPr="0089366F" w:rsidRDefault="006D2E84" w:rsidP="00132C73">
      <w:pPr>
        <w:pStyle w:val="Heading5"/>
        <w:ind w:left="1008" w:hanging="1008"/>
      </w:pPr>
      <w:r w:rsidRPr="0089366F">
        <w:t>Existing Legislation</w:t>
      </w:r>
    </w:p>
    <w:p w14:paraId="5D1812CA" w14:textId="77777777" w:rsidR="006D2E84" w:rsidRDefault="006D2E84" w:rsidP="006D2E84">
      <w:r w:rsidRPr="0089366F">
        <w:t xml:space="preserve">Within existing legislation clear mechanisms to provide access to justice exist. These are however often expensive to undertake with rural communities having limited capacity (financial or technical) to raise court cases related to breaches of contract or their environments, land or property. In many cases penalties for wrong doing are also minimal compared to the offence or there is limited guidance on how penalties should be applied weakening the capacity of enforcement agencies to implement actions. This issue is compounded by the limited capacity and resources within enforcing ministries, the Solomon Islands Police Force, the Public Solicitors Office and the Court system combined with a lack of political and ‘local’ will to enforce laws has limited the effectiveness of this legislation where it is present.   </w:t>
      </w:r>
    </w:p>
    <w:p w14:paraId="7F95ADF0" w14:textId="77777777" w:rsidR="006D2E84" w:rsidRDefault="006D2E84" w:rsidP="006D2E84"/>
    <w:p w14:paraId="2C3ED93C" w14:textId="77777777" w:rsidR="006D2E84" w:rsidRPr="003A111F" w:rsidRDefault="006D2E84" w:rsidP="006D2E84">
      <w:pPr>
        <w:rPr>
          <w:u w:val="single"/>
        </w:rPr>
      </w:pPr>
      <w:r w:rsidRPr="003A111F">
        <w:rPr>
          <w:u w:val="single"/>
        </w:rPr>
        <w:t xml:space="preserve">Administrative proceedings </w:t>
      </w:r>
    </w:p>
    <w:p w14:paraId="02208ED2" w14:textId="77777777" w:rsidR="006D2E84" w:rsidRPr="002520F5" w:rsidRDefault="006D2E84" w:rsidP="006D2E84">
      <w:r>
        <w:t xml:space="preserve">The </w:t>
      </w:r>
      <w:r w:rsidRPr="0048445A">
        <w:rPr>
          <w:i/>
          <w:color w:val="4F81BD" w:themeColor="accent1"/>
        </w:rPr>
        <w:t>FRTU Act</w:t>
      </w:r>
      <w:r>
        <w:t xml:space="preserve"> provides limited mechanisms for recourse and access to justice. </w:t>
      </w:r>
      <w:r>
        <w:rPr>
          <w:lang w:val="en-US"/>
        </w:rPr>
        <w:t>During the process of timber rights allocation landowners have 30days to dispute certificates of determination with court proceedings only being possible if the timber company is willing to pay for them</w:t>
      </w:r>
      <w:r>
        <w:rPr>
          <w:rStyle w:val="FootnoteReference"/>
          <w:lang w:val="en-US"/>
        </w:rPr>
        <w:footnoteReference w:id="74"/>
      </w:r>
      <w:r>
        <w:rPr>
          <w:lang w:val="en-US"/>
        </w:rPr>
        <w:t>. During the process of negotiating a TRA timber rights holders should have access to a legal advisor to support the negotiation process</w:t>
      </w:r>
      <w:r w:rsidRPr="0089366F">
        <w:rPr>
          <w:rStyle w:val="FootnoteReference"/>
          <w:iCs/>
          <w:sz w:val="24"/>
        </w:rPr>
        <w:footnoteReference w:id="75"/>
      </w:r>
      <w:r>
        <w:rPr>
          <w:lang w:val="en-US"/>
        </w:rPr>
        <w:t xml:space="preserve"> there is however limited guidance on how advisor should be selected to ensure independence and, it is understood by the author, that this process is rarely followed. Once signed the </w:t>
      </w:r>
      <w:r>
        <w:t xml:space="preserve">TRA provides for disputes to be addressed to a local level Landowners Association and for enforcement to be undertaken by the </w:t>
      </w:r>
      <w:r w:rsidRPr="0048445A">
        <w:rPr>
          <w:i/>
          <w:lang w:val="en-US"/>
        </w:rPr>
        <w:t>Forestry Officers of the Ministry of Natural Resources (now the MoFR) together with all officers of the Public Solicitor's office and the Provincial Secretary to Province to be their agents</w:t>
      </w:r>
      <w:r>
        <w:rPr>
          <w:lang w:val="en-US"/>
        </w:rPr>
        <w:t xml:space="preserve"> with enforcement occurring through the High Court</w:t>
      </w:r>
      <w:r>
        <w:rPr>
          <w:rStyle w:val="FootnoteReference"/>
        </w:rPr>
        <w:footnoteReference w:id="76"/>
      </w:r>
      <w:r>
        <w:rPr>
          <w:lang w:val="en-US"/>
        </w:rPr>
        <w:t xml:space="preserve">. Timber rights holders are able to serve a notice of a breach of contract to timber companies, which, should be addressed within one month or the company should cease operations. However with no provision for the rights holders to cancel the agreement this process provides limited benefits for the landowners. Further efforts to enforce the agreement through the High Court is also difficult as the majority of landowners have limited technical or financial capacity to carry a case forward. </w:t>
      </w:r>
    </w:p>
    <w:p w14:paraId="2C14CF60" w14:textId="72641EA4" w:rsidR="006D2E84" w:rsidRDefault="006D2E84" w:rsidP="006D2E84">
      <w:pPr>
        <w:rPr>
          <w:lang w:val="en-US"/>
        </w:rPr>
      </w:pPr>
      <w:r>
        <w:rPr>
          <w:lang w:val="en-US"/>
        </w:rPr>
        <w:t xml:space="preserve">As a result many landowners are forced to attempt to address poor practices by timber companies </w:t>
      </w:r>
      <w:r w:rsidR="00132C73">
        <w:rPr>
          <w:lang w:val="en-US"/>
        </w:rPr>
        <w:t xml:space="preserve">through other means including: </w:t>
      </w:r>
    </w:p>
    <w:p w14:paraId="65BA7835" w14:textId="05F88001" w:rsidR="006D2E84" w:rsidRPr="009A4C98" w:rsidRDefault="006D2E84" w:rsidP="006D2E84">
      <w:pPr>
        <w:rPr>
          <w:lang w:val="en-US"/>
        </w:rPr>
      </w:pPr>
      <w:r w:rsidRPr="009A4C98">
        <w:rPr>
          <w:lang w:val="en-US"/>
        </w:rPr>
        <w:t xml:space="preserve">The </w:t>
      </w:r>
      <w:r w:rsidRPr="009A4C98">
        <w:rPr>
          <w:i/>
          <w:color w:val="4F81BD" w:themeColor="accent1"/>
          <w:lang w:val="en-US"/>
        </w:rPr>
        <w:t>EA</w:t>
      </w:r>
      <w:r w:rsidRPr="009A4C98">
        <w:rPr>
          <w:lang w:val="en-US"/>
        </w:rPr>
        <w:t xml:space="preserve"> provides for an inspector, appointed under the act, to be able to serve a notice on any person who is carrying out a ‘prescribed development’ without a ‘development consent’. The notice can require the people involved with the development to stop the development immediately.</w:t>
      </w:r>
      <w:r w:rsidRPr="009A4C98">
        <w:rPr>
          <w:vertAlign w:val="superscript"/>
          <w:lang w:val="en-US"/>
        </w:rPr>
        <w:footnoteReference w:id="77"/>
      </w:r>
      <w:r w:rsidRPr="009A4C98">
        <w:rPr>
          <w:lang w:val="en-US"/>
        </w:rPr>
        <w:t xml:space="preserve"> While the act does not specify any consequences if a person fails to comply with such a notice, the person could be the subject of criminal or civil proceedings. During their work the LALSU have identified a number of </w:t>
      </w:r>
      <w:bookmarkStart w:id="34" w:name="IndexLALSU13"/>
      <w:r w:rsidRPr="009A4C98">
        <w:rPr>
          <w:lang w:val="en-US"/>
        </w:rPr>
        <w:t>logging companies operating without development consents, indicating that this process is not fully enforced. The act also authorises the service of Pollution Abatement Notice</w:t>
      </w:r>
      <w:r w:rsidRPr="009A4C98">
        <w:rPr>
          <w:lang w:val="en-US"/>
        </w:rPr>
        <w:fldChar w:fldCharType="begin"/>
      </w:r>
      <w:r w:rsidRPr="009A4C98">
        <w:rPr>
          <w:lang w:val="en-US"/>
        </w:rPr>
        <w:instrText xml:space="preserve"> XE "</w:instrText>
      </w:r>
      <w:r w:rsidRPr="009A4C98">
        <w:rPr>
          <w:lang w:val="en-AU"/>
        </w:rPr>
        <w:instrText>Environmental laws:Pollution Abatement Notice</w:instrText>
      </w:r>
      <w:r w:rsidRPr="009A4C98">
        <w:rPr>
          <w:lang w:val="en-US"/>
        </w:rPr>
        <w:instrText xml:space="preserve">" </w:instrText>
      </w:r>
      <w:r w:rsidRPr="009A4C98">
        <w:rPr>
          <w:lang w:val="en-US"/>
        </w:rPr>
        <w:fldChar w:fldCharType="end"/>
      </w:r>
      <w:r w:rsidRPr="009A4C98">
        <w:rPr>
          <w:lang w:val="en-US"/>
        </w:rPr>
        <w:t>s (PANs) and Stop Notices, for prescribed offences and specifies the consequences of failing to comply with such notices.</w:t>
      </w:r>
      <w:r w:rsidRPr="009A4C98">
        <w:rPr>
          <w:vertAlign w:val="superscript"/>
          <w:lang w:val="en-US"/>
        </w:rPr>
        <w:footnoteReference w:id="78"/>
      </w:r>
      <w:r w:rsidRPr="009A4C98">
        <w:rPr>
          <w:lang w:val="en-US"/>
        </w:rPr>
        <w:t xml:space="preserve">However the application of these notices is extremely rare and there is limited evidence of them being enforced. </w:t>
      </w:r>
    </w:p>
    <w:p w14:paraId="1C38C4F1" w14:textId="7CE6E791" w:rsidR="006D2E84" w:rsidRPr="009A4C98" w:rsidRDefault="006D2E84" w:rsidP="006D2E84">
      <w:pPr>
        <w:rPr>
          <w:lang w:val="en-US"/>
        </w:rPr>
      </w:pPr>
      <w:r w:rsidRPr="009A4C98">
        <w:rPr>
          <w:lang w:val="en-US"/>
        </w:rPr>
        <w:t xml:space="preserve">The </w:t>
      </w:r>
      <w:r w:rsidRPr="009A4C98">
        <w:rPr>
          <w:color w:val="4F81BD" w:themeColor="accent1"/>
          <w:lang w:val="en-US"/>
        </w:rPr>
        <w:t>Protected Areas Regulations</w:t>
      </w:r>
      <w:r w:rsidRPr="009A4C98">
        <w:rPr>
          <w:lang w:val="en-US"/>
        </w:rPr>
        <w:t xml:space="preserve"> also provide for the service of administrative notices on a person who has committed an offence under the Regulations.</w:t>
      </w:r>
      <w:r w:rsidRPr="009A4C98">
        <w:rPr>
          <w:vertAlign w:val="superscript"/>
          <w:lang w:val="en-US"/>
        </w:rPr>
        <w:footnoteReference w:id="79"/>
      </w:r>
      <w:r w:rsidRPr="009A4C98">
        <w:rPr>
          <w:lang w:val="en-US"/>
        </w:rPr>
        <w:t xml:space="preserve">  The notice must set out the offender, the offence and the fixed penalty.</w:t>
      </w:r>
      <w:r w:rsidRPr="009A4C98">
        <w:rPr>
          <w:vertAlign w:val="superscript"/>
          <w:lang w:val="en-US"/>
        </w:rPr>
        <w:footnoteReference w:id="80"/>
      </w:r>
      <w:r w:rsidRPr="009A4C98">
        <w:rPr>
          <w:lang w:val="en-US"/>
        </w:rPr>
        <w:t xml:space="preserve"> If the person served with the infringement notice pays the fixed penalty and incidental costs, no proceedings will be instituted against him for the offence.</w:t>
      </w:r>
      <w:r w:rsidRPr="009A4C98">
        <w:rPr>
          <w:vertAlign w:val="superscript"/>
          <w:lang w:val="en-US"/>
        </w:rPr>
        <w:footnoteReference w:id="81"/>
      </w:r>
      <w:r w:rsidRPr="009A4C98">
        <w:rPr>
          <w:lang w:val="en-US"/>
        </w:rPr>
        <w:t xml:space="preserve"> If the person does not pay the penalty or disputes the charge, he may be prosecuted. As no Protected Areas have been set up under the act the effectiveness of this </w:t>
      </w:r>
      <w:r w:rsidR="00132C73">
        <w:rPr>
          <w:lang w:val="en-US"/>
        </w:rPr>
        <w:t xml:space="preserve">process can not be determined. </w:t>
      </w:r>
    </w:p>
    <w:p w14:paraId="48E812AA" w14:textId="77777777" w:rsidR="006D2E84" w:rsidRPr="009A4C98" w:rsidRDefault="006D2E84" w:rsidP="006D2E84">
      <w:pPr>
        <w:rPr>
          <w:u w:val="single"/>
          <w:lang w:val="en-US"/>
        </w:rPr>
      </w:pPr>
      <w:r w:rsidRPr="009A4C98">
        <w:rPr>
          <w:u w:val="single"/>
          <w:lang w:val="en-US"/>
        </w:rPr>
        <w:t>Criminal Offences</w:t>
      </w:r>
    </w:p>
    <w:p w14:paraId="28FEF279" w14:textId="414EB11E" w:rsidR="006D2E84" w:rsidRPr="009A4C98" w:rsidRDefault="006D2E84" w:rsidP="006D2E84">
      <w:pPr>
        <w:rPr>
          <w:lang w:val="en-US"/>
        </w:rPr>
      </w:pPr>
      <w:r w:rsidRPr="009A4C98">
        <w:rPr>
          <w:lang w:val="en-US"/>
        </w:rPr>
        <w:t xml:space="preserve">Criminal cases within the Solomon Islands can be bought by both the Director of Public Prosecutions (or a delegate) or a private person. A lack of understanding of environmental law, combined with limited capacity and a lack of political will however has meant that criminal proceedings for environmental crime are extremely rare – indeed an assessment by the LALSU in 2012 indicated that no such cases had occurred. </w:t>
      </w:r>
    </w:p>
    <w:p w14:paraId="57A8D1A4" w14:textId="77777777" w:rsidR="006D2E84" w:rsidRPr="009A4C98" w:rsidRDefault="006D2E84" w:rsidP="006D2E84">
      <w:pPr>
        <w:rPr>
          <w:u w:val="single"/>
          <w:lang w:val="en-US"/>
        </w:rPr>
      </w:pPr>
      <w:r w:rsidRPr="009A4C98">
        <w:rPr>
          <w:u w:val="single"/>
          <w:lang w:val="en-US"/>
        </w:rPr>
        <w:t xml:space="preserve">Civil Enforcement </w:t>
      </w:r>
    </w:p>
    <w:p w14:paraId="027F5793" w14:textId="77777777" w:rsidR="006D2E84" w:rsidRPr="009A4C98" w:rsidRDefault="006D2E84" w:rsidP="006D2E84">
      <w:pPr>
        <w:rPr>
          <w:lang w:val="en-US"/>
        </w:rPr>
      </w:pPr>
      <w:r w:rsidRPr="009A4C98">
        <w:rPr>
          <w:lang w:val="en-US"/>
        </w:rPr>
        <w:t>Civil enforcement</w:t>
      </w:r>
      <w:r w:rsidRPr="009A4C98">
        <w:rPr>
          <w:lang w:val="en-US"/>
        </w:rPr>
        <w:fldChar w:fldCharType="begin"/>
      </w:r>
      <w:r w:rsidRPr="009A4C98">
        <w:rPr>
          <w:lang w:val="en-US"/>
        </w:rPr>
        <w:instrText xml:space="preserve"> XE "</w:instrText>
      </w:r>
      <w:r w:rsidRPr="009A4C98">
        <w:rPr>
          <w:lang w:val="en-AU"/>
        </w:rPr>
        <w:instrText>Environmental laws:Civil enforcement</w:instrText>
      </w:r>
      <w:r w:rsidRPr="009A4C98">
        <w:rPr>
          <w:lang w:val="en-US"/>
        </w:rPr>
        <w:instrText xml:space="preserve">" \r "IndexEnv_law_Civil_enforcement" </w:instrText>
      </w:r>
      <w:r w:rsidRPr="009A4C98">
        <w:rPr>
          <w:lang w:val="en-US"/>
        </w:rPr>
        <w:fldChar w:fldCharType="end"/>
      </w:r>
      <w:r w:rsidRPr="009A4C98">
        <w:rPr>
          <w:lang w:val="en-US"/>
        </w:rPr>
        <w:t xml:space="preserve"> can occur following:   </w:t>
      </w:r>
    </w:p>
    <w:p w14:paraId="6A4F5174" w14:textId="77777777" w:rsidR="006D2E84" w:rsidRPr="009A4C98" w:rsidRDefault="006D2E84" w:rsidP="009D70D7">
      <w:pPr>
        <w:numPr>
          <w:ilvl w:val="0"/>
          <w:numId w:val="66"/>
        </w:numPr>
        <w:spacing w:before="0"/>
        <w:rPr>
          <w:lang w:val="en-US"/>
        </w:rPr>
      </w:pPr>
      <w:r w:rsidRPr="009A4C98">
        <w:rPr>
          <w:lang w:val="en-US"/>
        </w:rPr>
        <w:t>Breaches of environmental legislation</w:t>
      </w:r>
      <w:r w:rsidRPr="009A4C98">
        <w:rPr>
          <w:lang w:val="en-US"/>
        </w:rPr>
        <w:fldChar w:fldCharType="begin"/>
      </w:r>
      <w:r w:rsidRPr="009A4C98">
        <w:rPr>
          <w:lang w:val="en-US"/>
        </w:rPr>
        <w:instrText xml:space="preserve"> XE "</w:instrText>
      </w:r>
      <w:r w:rsidRPr="009A4C98">
        <w:rPr>
          <w:lang w:val="en-AU"/>
        </w:rPr>
        <w:instrText>Breach of legislation</w:instrText>
      </w:r>
      <w:r w:rsidRPr="009A4C98">
        <w:rPr>
          <w:lang w:val="en-US"/>
        </w:rPr>
        <w:instrText xml:space="preserve">" </w:instrText>
      </w:r>
      <w:r w:rsidRPr="009A4C98">
        <w:rPr>
          <w:lang w:val="en-US"/>
        </w:rPr>
        <w:fldChar w:fldCharType="end"/>
      </w:r>
      <w:r w:rsidRPr="009A4C98">
        <w:rPr>
          <w:lang w:val="en-US"/>
        </w:rPr>
        <w:t xml:space="preserve"> - for example undertaking felling operations without obtaining a development consent under the Environment Act</w:t>
      </w:r>
      <w:r w:rsidRPr="009A4C98">
        <w:rPr>
          <w:lang w:val="en-US"/>
        </w:rPr>
        <w:fldChar w:fldCharType="begin"/>
      </w:r>
      <w:r w:rsidRPr="009A4C98">
        <w:rPr>
          <w:lang w:val="en-US"/>
        </w:rPr>
        <w:instrText xml:space="preserve"> XE "</w:instrText>
      </w:r>
      <w:r w:rsidRPr="009A4C98">
        <w:rPr>
          <w:lang w:val="en-AU"/>
        </w:rPr>
        <w:instrText>Civil proceedings</w:instrText>
      </w:r>
      <w:r w:rsidRPr="009A4C98">
        <w:rPr>
          <w:lang w:val="en-US"/>
        </w:rPr>
        <w:instrText xml:space="preserve">" </w:instrText>
      </w:r>
      <w:r w:rsidRPr="009A4C98">
        <w:rPr>
          <w:lang w:val="en-US"/>
        </w:rPr>
        <w:fldChar w:fldCharType="end"/>
      </w:r>
      <w:r w:rsidRPr="009A4C98">
        <w:rPr>
          <w:lang w:val="en-US"/>
        </w:rPr>
        <w:t xml:space="preserve">. The proceedings could be commenced by the Attorney General or any person who has ‘standing’. </w:t>
      </w:r>
    </w:p>
    <w:p w14:paraId="7FF4D20A" w14:textId="77777777" w:rsidR="006D2E84" w:rsidRPr="009A4C98" w:rsidRDefault="006D2E84" w:rsidP="009D70D7">
      <w:pPr>
        <w:numPr>
          <w:ilvl w:val="0"/>
          <w:numId w:val="66"/>
        </w:numPr>
        <w:spacing w:before="0"/>
        <w:rPr>
          <w:lang w:val="en-US"/>
        </w:rPr>
      </w:pPr>
      <w:r w:rsidRPr="009A4C98">
        <w:rPr>
          <w:lang w:val="en-US"/>
        </w:rPr>
        <w:t>Common law causes of action – for example trespass, conversion, nuisance and negligence.</w:t>
      </w:r>
    </w:p>
    <w:p w14:paraId="6E2AC6FC" w14:textId="77777777" w:rsidR="006D2E84" w:rsidRPr="009A4C98" w:rsidRDefault="006D2E84" w:rsidP="009D70D7">
      <w:pPr>
        <w:numPr>
          <w:ilvl w:val="0"/>
          <w:numId w:val="66"/>
        </w:numPr>
        <w:spacing w:before="0"/>
        <w:rPr>
          <w:lang w:val="en-US"/>
        </w:rPr>
      </w:pPr>
      <w:r w:rsidRPr="009A4C98">
        <w:rPr>
          <w:lang w:val="en-US"/>
        </w:rPr>
        <w:t>Judicial review claims – for example challenging environmental decision-making. To bring a judicial review claim it must be established that the person has standing</w:t>
      </w:r>
      <w:r w:rsidRPr="009A4C98">
        <w:rPr>
          <w:rStyle w:val="FootnoteReference"/>
          <w:lang w:val="en-US"/>
        </w:rPr>
        <w:footnoteReference w:id="82"/>
      </w:r>
      <w:r w:rsidRPr="009A4C98">
        <w:rPr>
          <w:lang w:val="en-US"/>
        </w:rPr>
        <w:t xml:space="preserve">. </w:t>
      </w:r>
    </w:p>
    <w:p w14:paraId="52A92BFF" w14:textId="02EDA717" w:rsidR="006D2E84" w:rsidRPr="009A4C98" w:rsidRDefault="006D2E84" w:rsidP="006D2E84">
      <w:pPr>
        <w:rPr>
          <w:lang w:val="en-US"/>
        </w:rPr>
      </w:pPr>
      <w:r w:rsidRPr="009A4C98">
        <w:rPr>
          <w:lang w:val="en-US"/>
        </w:rPr>
        <w:t>Civil claims must be brought within six years from the date on which the cause of action accrued.</w:t>
      </w:r>
      <w:r w:rsidRPr="009A4C98">
        <w:rPr>
          <w:vertAlign w:val="superscript"/>
          <w:lang w:val="en-US"/>
        </w:rPr>
        <w:footnoteReference w:id="83"/>
      </w:r>
    </w:p>
    <w:p w14:paraId="3F09BEE9" w14:textId="77777777" w:rsidR="006D2E84" w:rsidRPr="009A4C98" w:rsidRDefault="006D2E84" w:rsidP="006D2E84">
      <w:pPr>
        <w:rPr>
          <w:u w:val="single"/>
          <w:lang w:val="en-US"/>
        </w:rPr>
      </w:pPr>
      <w:r w:rsidRPr="009A4C98">
        <w:rPr>
          <w:u w:val="single"/>
          <w:lang w:val="en-US"/>
        </w:rPr>
        <w:t>Common Law cases;</w:t>
      </w:r>
    </w:p>
    <w:p w14:paraId="73EDD259" w14:textId="77777777" w:rsidR="006D2E84" w:rsidRPr="009A4C98" w:rsidRDefault="006D2E84" w:rsidP="006D2E84">
      <w:pPr>
        <w:rPr>
          <w:lang w:val="en-US"/>
        </w:rPr>
      </w:pPr>
      <w:r w:rsidRPr="009A4C98">
        <w:rPr>
          <w:lang w:val="en-US"/>
        </w:rPr>
        <w:t>Trespass – this is one of the most common cases related to infringement of areas by logging. Critical to success in such cases is the ability to show landownership for the area affected</w:t>
      </w:r>
      <w:r w:rsidRPr="009A4C98">
        <w:rPr>
          <w:rStyle w:val="FootnoteReference"/>
        </w:rPr>
        <w:footnoteReference w:id="84"/>
      </w:r>
      <w:r w:rsidRPr="009A4C98">
        <w:rPr>
          <w:lang w:val="en-US"/>
        </w:rPr>
        <w:t xml:space="preserve">. </w:t>
      </w:r>
    </w:p>
    <w:p w14:paraId="05AB9B25" w14:textId="77777777" w:rsidR="006D2E84" w:rsidRPr="009A4C98" w:rsidRDefault="006D2E84" w:rsidP="006D2E84">
      <w:pPr>
        <w:rPr>
          <w:lang w:val="en-US"/>
        </w:rPr>
      </w:pPr>
      <w:r w:rsidRPr="009A4C98">
        <w:rPr>
          <w:lang w:val="en-US"/>
        </w:rPr>
        <w:t xml:space="preserve">Conversion – in many cases claims for conversion and trespass will be submitted together with relation to extraction of timber from someone’s land. </w:t>
      </w:r>
    </w:p>
    <w:p w14:paraId="236B82D4" w14:textId="77777777" w:rsidR="006D2E84" w:rsidRDefault="006D2E84" w:rsidP="006D2E84">
      <w:pPr>
        <w:rPr>
          <w:lang w:val="en-US"/>
        </w:rPr>
      </w:pPr>
    </w:p>
    <w:p w14:paraId="6E86D52E" w14:textId="77777777" w:rsidR="006D2E84" w:rsidRDefault="006D2E84" w:rsidP="006D2E84">
      <w:pPr>
        <w:rPr>
          <w:lang w:val="en-US"/>
        </w:rPr>
      </w:pPr>
      <w:r w:rsidRPr="009A4C98">
        <w:rPr>
          <w:lang w:val="en-US"/>
        </w:rPr>
        <w:t xml:space="preserve">At present there are a large number of </w:t>
      </w:r>
      <w:r>
        <w:rPr>
          <w:lang w:val="en-US"/>
        </w:rPr>
        <w:t xml:space="preserve">cases related primarily to logging and mining operations within </w:t>
      </w:r>
      <w:r w:rsidRPr="009A4C98">
        <w:rPr>
          <w:lang w:val="en-US"/>
        </w:rPr>
        <w:t xml:space="preserve">the courts of the Solomon Islands. A lack of resources within the court system however makes proceedings slow with resolution often taking significant time. </w:t>
      </w:r>
      <w:r>
        <w:rPr>
          <w:lang w:val="en-US"/>
        </w:rPr>
        <w:t xml:space="preserve">The RSIPF and PPO also have limited experience or knowledge of working on environmental crime with anecdotal evidence of Police Officers providing support to companies over a period of time only to subsequently become aware that the companies are actually the ones at fault. </w:t>
      </w:r>
      <w:bookmarkEnd w:id="34"/>
      <w:r>
        <w:rPr>
          <w:lang w:val="en-US"/>
        </w:rPr>
        <w:t>The resent establishment of an environmental crimes unit within the PSO should help improve the capacity of this office to pursue environmental issues but this capacity is still limited when compared to current level of natural resource use.</w:t>
      </w:r>
    </w:p>
    <w:p w14:paraId="7241B236" w14:textId="729EB6B7" w:rsidR="006D2E84" w:rsidRPr="0089366F" w:rsidRDefault="006D2E84" w:rsidP="002C5EDB">
      <w:pPr>
        <w:pStyle w:val="Heading4"/>
      </w:pPr>
      <w:r w:rsidRPr="0089366F">
        <w:t>Recommendations</w:t>
      </w:r>
      <w:r w:rsidR="007A0F3F">
        <w:t xml:space="preserve"> to p</w:t>
      </w:r>
      <w:r w:rsidR="007A0F3F" w:rsidRPr="007A0F3F">
        <w:t>romote and support the rule of law, access to justice and effective remedies</w:t>
      </w:r>
      <w:r w:rsidRPr="0089366F">
        <w:t xml:space="preserve"> </w:t>
      </w:r>
    </w:p>
    <w:p w14:paraId="5D5EC950" w14:textId="77777777" w:rsidR="006D2E84" w:rsidRPr="0089366F" w:rsidRDefault="006D2E84" w:rsidP="002C5EDB">
      <w:pPr>
        <w:pStyle w:val="Heading5"/>
        <w:ind w:left="1008" w:hanging="1008"/>
      </w:pPr>
      <w:r w:rsidRPr="0089366F">
        <w:t xml:space="preserve">National </w:t>
      </w:r>
    </w:p>
    <w:p w14:paraId="4B967FAB" w14:textId="4B7E6452" w:rsidR="007A0F3F" w:rsidRPr="007A0F3F" w:rsidRDefault="007A0F3F" w:rsidP="007A0F3F">
      <w:pPr>
        <w:spacing w:before="0"/>
        <w:rPr>
          <w:u w:val="single"/>
        </w:rPr>
      </w:pPr>
      <w:r w:rsidRPr="007A0F3F">
        <w:rPr>
          <w:u w:val="single"/>
        </w:rPr>
        <w:t>Cross Cutting</w:t>
      </w:r>
    </w:p>
    <w:p w14:paraId="185DDA1B" w14:textId="4DD48D61" w:rsidR="006D2E84" w:rsidRPr="0089366F" w:rsidRDefault="006D2E84" w:rsidP="006B087B">
      <w:pPr>
        <w:pStyle w:val="ListParagraph"/>
        <w:numPr>
          <w:ilvl w:val="0"/>
          <w:numId w:val="31"/>
        </w:numPr>
        <w:spacing w:before="0"/>
      </w:pPr>
      <w:r w:rsidRPr="0089366F">
        <w:t xml:space="preserve">Further training on environmental crimes provided to the Royal Solomon Island Police Force (RSIPF) </w:t>
      </w:r>
    </w:p>
    <w:p w14:paraId="638501B1" w14:textId="41936736" w:rsidR="006D2E84" w:rsidRPr="0089366F" w:rsidRDefault="007A0F3F" w:rsidP="006B087B">
      <w:pPr>
        <w:pStyle w:val="ListParagraph"/>
        <w:numPr>
          <w:ilvl w:val="0"/>
          <w:numId w:val="31"/>
        </w:numPr>
        <w:spacing w:before="0"/>
      </w:pPr>
      <w:r>
        <w:t>Further support</w:t>
      </w:r>
      <w:r w:rsidR="006D2E84" w:rsidRPr="0089366F">
        <w:t xml:space="preserve"> provided to the PSO to develop their environmental crimes unit</w:t>
      </w:r>
    </w:p>
    <w:p w14:paraId="009ED2E0" w14:textId="77777777" w:rsidR="006D2E84" w:rsidRDefault="006D2E84" w:rsidP="006B087B">
      <w:pPr>
        <w:pStyle w:val="ListParagraph"/>
        <w:numPr>
          <w:ilvl w:val="0"/>
          <w:numId w:val="31"/>
        </w:numPr>
        <w:spacing w:before="0"/>
      </w:pPr>
      <w:r w:rsidRPr="0089366F">
        <w:t>Further support is provided to LALSU to support landowners in addressing environmental crime</w:t>
      </w:r>
    </w:p>
    <w:p w14:paraId="4ADB6AE4" w14:textId="5EA08325" w:rsidR="007A0F3F" w:rsidRPr="0089366F" w:rsidRDefault="007A0F3F" w:rsidP="006B087B">
      <w:pPr>
        <w:pStyle w:val="ListParagraph"/>
        <w:numPr>
          <w:ilvl w:val="0"/>
          <w:numId w:val="31"/>
        </w:numPr>
        <w:spacing w:before="0"/>
      </w:pPr>
      <w:r>
        <w:t>Enhanced access to information facilitates access to justice by landowners and communities (see C1,2,3,4)</w:t>
      </w:r>
    </w:p>
    <w:p w14:paraId="4EEB5A5C" w14:textId="77777777" w:rsidR="007A0F3F" w:rsidRDefault="007A0F3F" w:rsidP="007A0F3F">
      <w:pPr>
        <w:spacing w:before="0"/>
      </w:pPr>
    </w:p>
    <w:p w14:paraId="368FF428" w14:textId="4ED405DF" w:rsidR="007A0F3F" w:rsidRPr="007A0F3F" w:rsidRDefault="007A0F3F" w:rsidP="007A0F3F">
      <w:pPr>
        <w:spacing w:before="0"/>
        <w:rPr>
          <w:u w:val="single"/>
        </w:rPr>
      </w:pPr>
      <w:r w:rsidRPr="007A0F3F">
        <w:rPr>
          <w:u w:val="single"/>
        </w:rPr>
        <w:t>Forestry</w:t>
      </w:r>
    </w:p>
    <w:p w14:paraId="7B916890" w14:textId="4A0D0905" w:rsidR="00360377" w:rsidRDefault="00360377" w:rsidP="006B087B">
      <w:pPr>
        <w:pStyle w:val="ListParagraph"/>
        <w:numPr>
          <w:ilvl w:val="0"/>
          <w:numId w:val="31"/>
        </w:numPr>
        <w:spacing w:before="0"/>
      </w:pPr>
      <w:r>
        <w:t xml:space="preserve">Ensure that legal advice is provided to all timber rights holders prior to signature of TRA and TRA is negotiated and signed in accordance with </w:t>
      </w:r>
      <w:r w:rsidRPr="00360377">
        <w:t xml:space="preserve">FRTU Act Schedule 1 </w:t>
      </w:r>
      <w:r w:rsidRPr="00360377">
        <w:rPr>
          <w:lang w:val="en-US"/>
        </w:rPr>
        <w:t>Paragraph (4).</w:t>
      </w:r>
      <w:r>
        <w:rPr>
          <w:lang w:val="en-US"/>
        </w:rPr>
        <w:t xml:space="preserve"> (</w:t>
      </w:r>
      <w:r w:rsidRPr="00360377">
        <w:rPr>
          <w:i/>
          <w:lang w:val="en-US"/>
        </w:rPr>
        <w:t>System</w:t>
      </w:r>
      <w:r>
        <w:rPr>
          <w:lang w:val="en-US"/>
        </w:rPr>
        <w:t>)</w:t>
      </w:r>
    </w:p>
    <w:p w14:paraId="0073BB6A" w14:textId="69657FD4" w:rsidR="007A0F3F" w:rsidRDefault="006D2E84" w:rsidP="006B087B">
      <w:pPr>
        <w:pStyle w:val="ListParagraph"/>
        <w:numPr>
          <w:ilvl w:val="0"/>
          <w:numId w:val="31"/>
        </w:numPr>
        <w:spacing w:before="0"/>
      </w:pPr>
      <w:r w:rsidRPr="0089366F">
        <w:t>Revisions to the FRTU</w:t>
      </w:r>
      <w:r w:rsidR="007A0F3F">
        <w:t xml:space="preserve"> </w:t>
      </w:r>
      <w:r w:rsidRPr="0089366F">
        <w:t>A</w:t>
      </w:r>
      <w:r w:rsidR="007A0F3F">
        <w:t>ct or new bill</w:t>
      </w:r>
      <w:r w:rsidR="00360377">
        <w:t xml:space="preserve"> to (</w:t>
      </w:r>
      <w:r w:rsidR="00360377" w:rsidRPr="00360377">
        <w:rPr>
          <w:i/>
        </w:rPr>
        <w:t>legislation</w:t>
      </w:r>
      <w:r w:rsidR="00360377">
        <w:t>)</w:t>
      </w:r>
      <w:r w:rsidR="007A0F3F">
        <w:t xml:space="preserve">: </w:t>
      </w:r>
    </w:p>
    <w:p w14:paraId="3C834D34" w14:textId="77777777" w:rsidR="007A0F3F" w:rsidRDefault="007A0F3F" w:rsidP="007A0F3F">
      <w:pPr>
        <w:pStyle w:val="ListParagraph"/>
        <w:numPr>
          <w:ilvl w:val="1"/>
          <w:numId w:val="31"/>
        </w:numPr>
        <w:spacing w:before="0"/>
      </w:pPr>
      <w:r>
        <w:t>Allow infringements in TRA to be addressed by Magistrates courts</w:t>
      </w:r>
    </w:p>
    <w:p w14:paraId="199CADDA" w14:textId="77777777" w:rsidR="007A0F3F" w:rsidRDefault="007A0F3F" w:rsidP="007A0F3F">
      <w:pPr>
        <w:pStyle w:val="ListParagraph"/>
        <w:numPr>
          <w:ilvl w:val="1"/>
          <w:numId w:val="31"/>
        </w:numPr>
        <w:spacing w:before="0"/>
      </w:pPr>
      <w:r>
        <w:t>Provide specific and appropriate penalties for felling or degradation of forests outside of concession areas</w:t>
      </w:r>
    </w:p>
    <w:p w14:paraId="127098AC" w14:textId="77777777" w:rsidR="00360377" w:rsidRDefault="007A0F3F" w:rsidP="007A0F3F">
      <w:pPr>
        <w:pStyle w:val="ListParagraph"/>
        <w:numPr>
          <w:ilvl w:val="1"/>
          <w:numId w:val="31"/>
        </w:numPr>
        <w:spacing w:before="0"/>
      </w:pPr>
      <w:r>
        <w:t xml:space="preserve">Provide a mechanism </w:t>
      </w:r>
      <w:r w:rsidR="00360377">
        <w:t>for communities to raise cases</w:t>
      </w:r>
      <w:r>
        <w:t xml:space="preserve"> for cutting or degradation outside of </w:t>
      </w:r>
      <w:r w:rsidR="00360377">
        <w:t>concessions without having to prove landownership</w:t>
      </w:r>
    </w:p>
    <w:p w14:paraId="58B2888C" w14:textId="6AAF7D44" w:rsidR="00360377" w:rsidRDefault="00360377" w:rsidP="00360377">
      <w:pPr>
        <w:pStyle w:val="ListParagraph"/>
        <w:numPr>
          <w:ilvl w:val="1"/>
          <w:numId w:val="31"/>
        </w:numPr>
        <w:spacing w:before="0"/>
      </w:pPr>
      <w:r>
        <w:t xml:space="preserve">Require establishment of an effective grievance and redress mechanism that can be accessed by relevant stakeholders during implementation of the concession – including potential for landowners to cancel TRA for bad practice. </w:t>
      </w:r>
    </w:p>
    <w:p w14:paraId="78F2E34C" w14:textId="77777777" w:rsidR="007A0F3F" w:rsidRDefault="007A0F3F" w:rsidP="00360377">
      <w:pPr>
        <w:spacing w:before="0"/>
      </w:pPr>
    </w:p>
    <w:p w14:paraId="75E5D7F5" w14:textId="0D9ABA15" w:rsidR="00360377" w:rsidRPr="00360377" w:rsidRDefault="00360377" w:rsidP="00360377">
      <w:pPr>
        <w:spacing w:before="0"/>
        <w:rPr>
          <w:u w:val="single"/>
        </w:rPr>
      </w:pPr>
      <w:r w:rsidRPr="00360377">
        <w:rPr>
          <w:u w:val="single"/>
        </w:rPr>
        <w:t>Environment</w:t>
      </w:r>
    </w:p>
    <w:p w14:paraId="680C7A3E" w14:textId="03E176A6" w:rsidR="006D2E84" w:rsidRDefault="00360377" w:rsidP="006B087B">
      <w:pPr>
        <w:pStyle w:val="ListParagraph"/>
        <w:numPr>
          <w:ilvl w:val="0"/>
          <w:numId w:val="31"/>
        </w:numPr>
        <w:spacing w:before="0"/>
      </w:pPr>
      <w:r>
        <w:t>Revisions to EA</w:t>
      </w:r>
      <w:r w:rsidR="006D2E84" w:rsidRPr="0089366F">
        <w:t xml:space="preserve">, and PA to ensure penalties for enforcement are a significant deterrent </w:t>
      </w:r>
    </w:p>
    <w:p w14:paraId="2E29F392" w14:textId="77777777" w:rsidR="006D2E84" w:rsidRPr="0061210D" w:rsidRDefault="006D2E84" w:rsidP="002C5EDB">
      <w:pPr>
        <w:pStyle w:val="Heading5"/>
        <w:ind w:left="1008" w:hanging="1008"/>
      </w:pPr>
      <w:r w:rsidRPr="0061210D">
        <w:t>Site level</w:t>
      </w:r>
    </w:p>
    <w:p w14:paraId="7E982C15" w14:textId="77777777" w:rsidR="004D3F7E" w:rsidRPr="004D3F7E" w:rsidRDefault="004D3F7E" w:rsidP="004D3F7E">
      <w:pPr>
        <w:spacing w:before="0"/>
      </w:pPr>
    </w:p>
    <w:p w14:paraId="0ED25C95" w14:textId="77777777" w:rsidR="006D2E84" w:rsidRPr="00360377" w:rsidRDefault="006D2E84" w:rsidP="002C5EDB">
      <w:pPr>
        <w:pStyle w:val="Heading4"/>
        <w:ind w:left="864" w:hanging="864"/>
        <w:rPr>
          <w:highlight w:val="lightGray"/>
        </w:rPr>
      </w:pPr>
      <w:r w:rsidRPr="00360377">
        <w:rPr>
          <w:highlight w:val="lightGray"/>
        </w:rPr>
        <w:t>Recommended Actions:</w:t>
      </w:r>
    </w:p>
    <w:p w14:paraId="37366884" w14:textId="77777777" w:rsidR="006D2E84" w:rsidRPr="00360377" w:rsidRDefault="006D2E84" w:rsidP="006B087B">
      <w:pPr>
        <w:numPr>
          <w:ilvl w:val="0"/>
          <w:numId w:val="23"/>
        </w:numPr>
        <w:spacing w:before="0"/>
        <w:rPr>
          <w:highlight w:val="lightGray"/>
        </w:rPr>
      </w:pPr>
      <w:r w:rsidRPr="00360377">
        <w:rPr>
          <w:highlight w:val="lightGray"/>
        </w:rPr>
        <w:t>Requirements for legal support included within guidelines for project development.</w:t>
      </w:r>
    </w:p>
    <w:p w14:paraId="3D54661F" w14:textId="77777777" w:rsidR="006D2E84" w:rsidRPr="00360377" w:rsidRDefault="006D2E84" w:rsidP="006B087B">
      <w:pPr>
        <w:numPr>
          <w:ilvl w:val="0"/>
          <w:numId w:val="23"/>
        </w:numPr>
        <w:spacing w:before="0"/>
        <w:rPr>
          <w:highlight w:val="lightGray"/>
        </w:rPr>
      </w:pPr>
      <w:r w:rsidRPr="00360377">
        <w:rPr>
          <w:highlight w:val="lightGray"/>
        </w:rPr>
        <w:t>Regular meetings between LALSU and RIU</w:t>
      </w:r>
    </w:p>
    <w:p w14:paraId="1931379F" w14:textId="26E38441" w:rsidR="006D2E84" w:rsidRPr="00360377" w:rsidRDefault="006D2E84" w:rsidP="006D2E84">
      <w:pPr>
        <w:numPr>
          <w:ilvl w:val="0"/>
          <w:numId w:val="23"/>
        </w:numPr>
        <w:spacing w:before="0"/>
        <w:rPr>
          <w:highlight w:val="lightGray"/>
        </w:rPr>
      </w:pPr>
      <w:r w:rsidRPr="00360377">
        <w:rPr>
          <w:highlight w:val="lightGray"/>
        </w:rPr>
        <w:t>Training on REDD+ provided to new environmental crimes Unit within the Public Prosecution office as well as the RSIPF</w:t>
      </w:r>
    </w:p>
    <w:p w14:paraId="102F8AA2" w14:textId="77777777" w:rsidR="006D2E84" w:rsidRPr="0089366F" w:rsidRDefault="006D2E84" w:rsidP="002C5EDB">
      <w:pPr>
        <w:pStyle w:val="Heading4"/>
        <w:ind w:left="864" w:hanging="864"/>
      </w:pPr>
      <w:r w:rsidRPr="0089366F">
        <w:t xml:space="preserve">Potential Indicators </w:t>
      </w:r>
    </w:p>
    <w:p w14:paraId="0AE6215A" w14:textId="77777777" w:rsidR="006D2E84" w:rsidRPr="0089366F" w:rsidRDefault="006D2E84" w:rsidP="006B087B">
      <w:pPr>
        <w:numPr>
          <w:ilvl w:val="0"/>
          <w:numId w:val="38"/>
        </w:numPr>
        <w:spacing w:before="0"/>
      </w:pPr>
      <w:r w:rsidRPr="0089366F">
        <w:t xml:space="preserve">Evidence of independent legal advice provided with project documents. </w:t>
      </w:r>
    </w:p>
    <w:p w14:paraId="399A2B86" w14:textId="77777777" w:rsidR="006D2E84" w:rsidRPr="0089366F" w:rsidRDefault="006D2E84" w:rsidP="006B087B">
      <w:pPr>
        <w:numPr>
          <w:ilvl w:val="0"/>
          <w:numId w:val="38"/>
        </w:numPr>
        <w:spacing w:before="0"/>
      </w:pPr>
      <w:r w:rsidRPr="0089366F">
        <w:t xml:space="preserve">Number of complaints regarding REDD+ received by LALSU. </w:t>
      </w:r>
    </w:p>
    <w:p w14:paraId="6A848580" w14:textId="77777777" w:rsidR="006D2E84" w:rsidRPr="0089366F" w:rsidRDefault="006D2E84" w:rsidP="002C5EDB">
      <w:pPr>
        <w:pStyle w:val="Heading4"/>
        <w:ind w:left="864" w:hanging="864"/>
      </w:pPr>
      <w:r w:rsidRPr="0089366F">
        <w:t xml:space="preserve">Data Collection: </w:t>
      </w:r>
    </w:p>
    <w:p w14:paraId="790266D3" w14:textId="77777777" w:rsidR="006D2E84" w:rsidRPr="0089366F" w:rsidRDefault="006D2E84" w:rsidP="006B087B">
      <w:pPr>
        <w:pStyle w:val="ListParagraph"/>
        <w:numPr>
          <w:ilvl w:val="0"/>
          <w:numId w:val="39"/>
        </w:numPr>
        <w:spacing w:before="0"/>
      </w:pPr>
      <w:r w:rsidRPr="0089366F">
        <w:t xml:space="preserve">Project documents provided during project registration process </w:t>
      </w:r>
    </w:p>
    <w:p w14:paraId="6C2F98FF" w14:textId="77777777" w:rsidR="006D2E84" w:rsidRPr="0089366F" w:rsidRDefault="006D2E84" w:rsidP="006B087B">
      <w:pPr>
        <w:pStyle w:val="ListParagraph"/>
        <w:numPr>
          <w:ilvl w:val="0"/>
          <w:numId w:val="39"/>
        </w:numPr>
        <w:spacing w:before="0"/>
      </w:pPr>
      <w:r w:rsidRPr="0089366F">
        <w:t>Log of landowner complaints compiled by LALSU</w:t>
      </w:r>
    </w:p>
    <w:p w14:paraId="2D42F660" w14:textId="77777777" w:rsidR="006D2E84" w:rsidRPr="0089366F" w:rsidRDefault="006D2E84" w:rsidP="00360377">
      <w:pPr>
        <w:pStyle w:val="Heading2"/>
        <w:numPr>
          <w:ilvl w:val="0"/>
          <w:numId w:val="0"/>
        </w:numPr>
        <w:sectPr w:rsidR="006D2E84" w:rsidRPr="0089366F" w:rsidSect="00014341">
          <w:pgSz w:w="11900" w:h="16840"/>
          <w:pgMar w:top="1440" w:right="1080" w:bottom="1440" w:left="1080" w:header="708" w:footer="708" w:gutter="0"/>
          <w:cols w:space="708"/>
          <w:docGrid w:linePitch="360"/>
        </w:sectPr>
      </w:pPr>
    </w:p>
    <w:p w14:paraId="7CF29E15" w14:textId="77777777" w:rsidR="006D2E84" w:rsidRPr="0089366F" w:rsidRDefault="006D2E84" w:rsidP="002C5EDB">
      <w:pPr>
        <w:pStyle w:val="Heading2"/>
        <w:numPr>
          <w:ilvl w:val="0"/>
          <w:numId w:val="0"/>
        </w:numPr>
      </w:pPr>
      <w:bookmarkStart w:id="35" w:name="_Toc254892849"/>
      <w:r w:rsidRPr="0089366F">
        <w:t>Principle 2 – Respect and protect stakeholder rights in accordance with international obligations</w:t>
      </w:r>
      <w:bookmarkEnd w:id="35"/>
    </w:p>
    <w:p w14:paraId="02A78A56" w14:textId="77777777" w:rsidR="006D2E84" w:rsidRPr="0089366F" w:rsidRDefault="006D2E84" w:rsidP="00360377">
      <w:pPr>
        <w:pStyle w:val="Heading3"/>
        <w:numPr>
          <w:ilvl w:val="0"/>
          <w:numId w:val="0"/>
        </w:numPr>
      </w:pPr>
      <w:bookmarkStart w:id="36" w:name="_Toc254892850"/>
      <w:r w:rsidRPr="0089366F">
        <w:t>Criterion 7 – Respect and promote the recognition and exercise of the rights of indigenous peoples, local communities and other vulnerable and marginalized groups to land, territories and resources, including carbon</w:t>
      </w:r>
      <w:bookmarkEnd w:id="36"/>
    </w:p>
    <w:p w14:paraId="0EBFED8B" w14:textId="77777777" w:rsidR="006D2E84" w:rsidRPr="0089366F" w:rsidRDefault="006D2E84" w:rsidP="002C5EDB">
      <w:pPr>
        <w:pStyle w:val="Heading4"/>
        <w:ind w:left="864" w:hanging="864"/>
      </w:pPr>
      <w:r w:rsidRPr="0089366F">
        <w:t xml:space="preserve">Potential Risks: </w:t>
      </w:r>
    </w:p>
    <w:p w14:paraId="7408B1E7" w14:textId="77777777" w:rsidR="006D2E84" w:rsidRPr="0089366F" w:rsidRDefault="006D2E84" w:rsidP="006D2E84">
      <w:r w:rsidRPr="0089366F">
        <w:t xml:space="preserve">The rights of indigenous peoples, local communities and other vulnerable and marginalized groups to land, territories and resources, including carbon are negatively affected by development of REDD+ activities.  </w:t>
      </w:r>
    </w:p>
    <w:p w14:paraId="0C9DE4E8" w14:textId="77777777" w:rsidR="006D2E84" w:rsidRPr="0089366F" w:rsidRDefault="006D2E84" w:rsidP="002C5EDB">
      <w:pPr>
        <w:pStyle w:val="Heading4"/>
        <w:ind w:left="864" w:hanging="864"/>
      </w:pPr>
      <w:r w:rsidRPr="0089366F">
        <w:t>Review of Existing Legislation and its Application:</w:t>
      </w:r>
    </w:p>
    <w:p w14:paraId="206340AB" w14:textId="77777777" w:rsidR="006D2E84" w:rsidRPr="0089366F" w:rsidRDefault="006D2E84" w:rsidP="002C5EDB">
      <w:pPr>
        <w:pStyle w:val="Heading5"/>
        <w:ind w:left="1008" w:hanging="1008"/>
      </w:pPr>
      <w:r w:rsidRPr="0089366F">
        <w:t>REDD+</w:t>
      </w:r>
    </w:p>
    <w:p w14:paraId="1AB4B64B" w14:textId="77777777" w:rsidR="006D2E84" w:rsidRPr="0089366F" w:rsidRDefault="006D2E84" w:rsidP="006D2E84">
      <w:r w:rsidRPr="0089366F">
        <w:t xml:space="preserve">Existing REDD+ developments have focused on the inclusion of indigenous representatives within the multi-stakeholder oversight body of the UN-REDD programme (the REDD+ Taskforce). </w:t>
      </w:r>
    </w:p>
    <w:p w14:paraId="21C20A61" w14:textId="77777777" w:rsidR="006D2E84" w:rsidRPr="0089366F" w:rsidRDefault="006D2E84" w:rsidP="002C5EDB">
      <w:pPr>
        <w:pStyle w:val="Heading5"/>
        <w:ind w:left="1008" w:hanging="1008"/>
      </w:pPr>
      <w:r w:rsidRPr="0089366F">
        <w:t>Existing Legislation</w:t>
      </w:r>
    </w:p>
    <w:p w14:paraId="3923B378" w14:textId="5A7A55D6" w:rsidR="006D2E84" w:rsidRDefault="006D2E84" w:rsidP="006D2E84">
      <w:r>
        <w:t xml:space="preserve">The role of customary groups within Solomon Islands society is significant. The </w:t>
      </w:r>
      <w:r w:rsidRPr="004D4289">
        <w:rPr>
          <w:i/>
          <w:color w:val="4F81BD" w:themeColor="accent1"/>
        </w:rPr>
        <w:t>Constitution</w:t>
      </w:r>
      <w:r>
        <w:t xml:space="preserve"> recognises the legitimacy of customary law as long as it is not in contradiction with the </w:t>
      </w:r>
      <w:r w:rsidRPr="00160C28">
        <w:rPr>
          <w:lang w:val="en-US"/>
        </w:rPr>
        <w:t>Constitution or an Act of Parliament</w:t>
      </w:r>
      <w:r>
        <w:rPr>
          <w:rStyle w:val="FootnoteReference"/>
          <w:lang w:val="en-US"/>
        </w:rPr>
        <w:footnoteReference w:id="85"/>
      </w:r>
      <w:r>
        <w:t>.  It also provides protection from discrimination on the grounds of race, sex, place of origin, disability or any other basis</w:t>
      </w:r>
      <w:r>
        <w:rPr>
          <w:rStyle w:val="FootnoteReference"/>
        </w:rPr>
        <w:footnoteReference w:id="86"/>
      </w:r>
      <w:r>
        <w:t xml:space="preserve"> as well as the right to freedom of association</w:t>
      </w:r>
      <w:r>
        <w:rPr>
          <w:rStyle w:val="FootnoteReference"/>
        </w:rPr>
        <w:footnoteReference w:id="87"/>
      </w:r>
      <w:r w:rsidR="002C5EDB">
        <w:t xml:space="preserve">. </w:t>
      </w:r>
    </w:p>
    <w:p w14:paraId="29A8E174" w14:textId="77777777" w:rsidR="006D2E84" w:rsidRDefault="006D2E84" w:rsidP="006D2E84">
      <w:r>
        <w:t xml:space="preserve">The </w:t>
      </w:r>
      <w:r w:rsidRPr="004D4289">
        <w:rPr>
          <w:i/>
          <w:color w:val="4F81BD" w:themeColor="accent1"/>
        </w:rPr>
        <w:t>FRTU Act</w:t>
      </w:r>
      <w:r>
        <w:t xml:space="preserve"> has at its centre a recognition of the rights of customary groups through requirements for timber rights holders to be identified and TRAs to be signed prior to a license being issued for felling or milling on customary land. The act also recognises the potential for collective title over an area of resources allowing for there to be multiple signatories to a TRA – there is however no further guidance on how collective rights to royalties should be organised. </w:t>
      </w:r>
    </w:p>
    <w:p w14:paraId="4EDDF755" w14:textId="77777777" w:rsidR="006D2E84" w:rsidRDefault="006D2E84" w:rsidP="006D2E84">
      <w:r>
        <w:t xml:space="preserve">The </w:t>
      </w:r>
      <w:r w:rsidRPr="004D4289">
        <w:rPr>
          <w:i/>
          <w:color w:val="4F81BD" w:themeColor="accent1"/>
        </w:rPr>
        <w:t>Environment Act</w:t>
      </w:r>
      <w:r>
        <w:t xml:space="preserve"> notes that unless land is registered ‘landowners’ are defined by those that are ‘</w:t>
      </w:r>
      <w:r w:rsidRPr="00007A39">
        <w:rPr>
          <w:i/>
          <w:lang w:val="en-US"/>
        </w:rPr>
        <w:t>regarded as the owner or owners of the land according to existing customary usage;</w:t>
      </w:r>
      <w:r>
        <w:t xml:space="preserve">’ with consultation required with landowners and communities prior to the issuing of a development consent. Although the implementation of this process may not be well protected. </w:t>
      </w:r>
    </w:p>
    <w:p w14:paraId="346649B4" w14:textId="77777777" w:rsidR="006D2E84" w:rsidRDefault="006D2E84" w:rsidP="006D2E84">
      <w:r>
        <w:t xml:space="preserve">The </w:t>
      </w:r>
      <w:r w:rsidRPr="00C91FA5">
        <w:rPr>
          <w:i/>
          <w:color w:val="4F81BD" w:themeColor="accent1"/>
        </w:rPr>
        <w:t>PA Act</w:t>
      </w:r>
      <w:r>
        <w:t xml:space="preserve"> also recognises the prominence of traditional authorities allowing communities to make applications for the designation of PA and requiring boundary agreements to be signed between traditional authorities prior to an application from a landowner being accepted. The Act, however, is less clear on ensuring that consent is provided for designation of PAs that are initiated my the MECDM. </w:t>
      </w:r>
    </w:p>
    <w:p w14:paraId="53263F5A" w14:textId="77777777" w:rsidR="006D2E84" w:rsidRDefault="006D2E84" w:rsidP="006D2E84"/>
    <w:p w14:paraId="7D594C0A" w14:textId="77777777" w:rsidR="006D2E84" w:rsidRPr="00C91FA5" w:rsidRDefault="006D2E84" w:rsidP="006D2E84">
      <w:pPr>
        <w:rPr>
          <w:highlight w:val="magenta"/>
        </w:rPr>
      </w:pPr>
      <w:r w:rsidRPr="00C91FA5">
        <w:rPr>
          <w:highlight w:val="magenta"/>
        </w:rPr>
        <w:t>Collective land title</w:t>
      </w:r>
    </w:p>
    <w:p w14:paraId="65C70E7F" w14:textId="77777777" w:rsidR="006D2E84" w:rsidRPr="00C91FA5" w:rsidRDefault="006D2E84" w:rsidP="006D2E84">
      <w:pPr>
        <w:rPr>
          <w:highlight w:val="magenta"/>
        </w:rPr>
      </w:pPr>
      <w:r w:rsidRPr="00C91FA5">
        <w:rPr>
          <w:highlight w:val="magenta"/>
        </w:rPr>
        <w:t xml:space="preserve">Land and Titles Act </w:t>
      </w:r>
    </w:p>
    <w:p w14:paraId="68365B53" w14:textId="4EA8E711" w:rsidR="006D2E84" w:rsidRDefault="006D2E84" w:rsidP="006D2E84">
      <w:r w:rsidRPr="00C91FA5">
        <w:rPr>
          <w:highlight w:val="magenta"/>
        </w:rPr>
        <w:t>Customary Land Recording Act</w:t>
      </w:r>
      <w:r>
        <w:t xml:space="preserve"> </w:t>
      </w:r>
      <w:r w:rsidR="00006488">
        <w:t>XXX</w:t>
      </w:r>
    </w:p>
    <w:p w14:paraId="085A6416" w14:textId="2450E689" w:rsidR="006D2E84" w:rsidRPr="00C91FA5" w:rsidRDefault="00006488" w:rsidP="006D2E84">
      <w:r w:rsidRPr="00006488">
        <w:rPr>
          <w:highlight w:val="yellow"/>
        </w:rPr>
        <w:t>SEE RECOMMENDATIONS WITHIN THE ADB WORK</w:t>
      </w:r>
      <w:r>
        <w:t xml:space="preserve"> </w:t>
      </w:r>
    </w:p>
    <w:p w14:paraId="0EBE46CF" w14:textId="571296B5" w:rsidR="006D2E84" w:rsidRPr="0089366F" w:rsidRDefault="006D2E84" w:rsidP="00360377">
      <w:pPr>
        <w:pStyle w:val="Heading4"/>
      </w:pPr>
      <w:r w:rsidRPr="0089366F">
        <w:t xml:space="preserve">Recommendations </w:t>
      </w:r>
      <w:r w:rsidR="00360377">
        <w:t>to r</w:t>
      </w:r>
      <w:r w:rsidR="00360377" w:rsidRPr="00360377">
        <w:t>espect and promote the recognition and exercise of the rights of indigenous peoples, local communities and other vulnerable and marginalized groups to land, territories and resources, including carbon</w:t>
      </w:r>
    </w:p>
    <w:p w14:paraId="34AF2A1F" w14:textId="77777777" w:rsidR="006D2E84" w:rsidRPr="0089366F" w:rsidRDefault="006D2E84" w:rsidP="002C5EDB">
      <w:pPr>
        <w:pStyle w:val="Heading5"/>
        <w:ind w:left="1008" w:hanging="1008"/>
      </w:pPr>
      <w:r w:rsidRPr="0089366F">
        <w:t xml:space="preserve">National </w:t>
      </w:r>
    </w:p>
    <w:p w14:paraId="7F2C8F44" w14:textId="6B812B05" w:rsidR="00360377" w:rsidRPr="00360377" w:rsidRDefault="00360377" w:rsidP="00360377">
      <w:pPr>
        <w:spacing w:before="0"/>
        <w:rPr>
          <w:u w:val="single"/>
        </w:rPr>
      </w:pPr>
      <w:r w:rsidRPr="00360377">
        <w:rPr>
          <w:u w:val="single"/>
        </w:rPr>
        <w:t>Cross cutting</w:t>
      </w:r>
    </w:p>
    <w:p w14:paraId="3EEFC692" w14:textId="77777777" w:rsidR="006D2E84" w:rsidRPr="0089366F" w:rsidRDefault="006D2E84" w:rsidP="006B087B">
      <w:pPr>
        <w:numPr>
          <w:ilvl w:val="0"/>
          <w:numId w:val="23"/>
        </w:numPr>
        <w:spacing w:before="0"/>
      </w:pPr>
      <w:r w:rsidRPr="0089366F">
        <w:t xml:space="preserve">Focused awareness raising and consultation events held with traditional authorities. </w:t>
      </w:r>
    </w:p>
    <w:p w14:paraId="0FA1AAAE" w14:textId="77777777" w:rsidR="006D2E84" w:rsidRPr="0089366F" w:rsidRDefault="006D2E84" w:rsidP="006B087B">
      <w:pPr>
        <w:numPr>
          <w:ilvl w:val="0"/>
          <w:numId w:val="23"/>
        </w:numPr>
        <w:spacing w:before="0"/>
      </w:pPr>
      <w:r w:rsidRPr="0089366F">
        <w:t xml:space="preserve">Membership of National REDD+ Committee includes traditional authorities </w:t>
      </w:r>
    </w:p>
    <w:p w14:paraId="555C60D1" w14:textId="77777777" w:rsidR="00360377" w:rsidRDefault="00360377" w:rsidP="00360377">
      <w:pPr>
        <w:spacing w:before="0"/>
      </w:pPr>
    </w:p>
    <w:p w14:paraId="53FB1175" w14:textId="61D9A60B" w:rsidR="00360377" w:rsidRPr="00360377" w:rsidRDefault="00360377" w:rsidP="00360377">
      <w:pPr>
        <w:spacing w:before="0"/>
        <w:rPr>
          <w:u w:val="single"/>
        </w:rPr>
      </w:pPr>
      <w:r w:rsidRPr="00360377">
        <w:rPr>
          <w:u w:val="single"/>
        </w:rPr>
        <w:t>Forestry</w:t>
      </w:r>
    </w:p>
    <w:p w14:paraId="61A7E9A9" w14:textId="77777777" w:rsidR="002D7633" w:rsidRDefault="002D7633" w:rsidP="006B087B">
      <w:pPr>
        <w:numPr>
          <w:ilvl w:val="0"/>
          <w:numId w:val="23"/>
        </w:numPr>
        <w:spacing w:before="0"/>
      </w:pPr>
      <w:r>
        <w:t>Revisions to the FRTU Act (or bill) to:</w:t>
      </w:r>
    </w:p>
    <w:p w14:paraId="481D8E4E" w14:textId="34E03389" w:rsidR="006D2E84" w:rsidRDefault="002D7633" w:rsidP="002D7633">
      <w:pPr>
        <w:pStyle w:val="ListParagraph"/>
        <w:numPr>
          <w:ilvl w:val="1"/>
          <w:numId w:val="23"/>
        </w:numPr>
        <w:spacing w:before="0"/>
        <w:ind w:left="709"/>
      </w:pPr>
      <w:r>
        <w:t xml:space="preserve">Provide a more effective mechanism for identifying representatives of communities within forest areas responsible for providing permission for felling or milling to occur that </w:t>
      </w:r>
      <w:r w:rsidRPr="002D7633">
        <w:t>respect and promote the recognition and exercise of the rights of indigenous peoples, local communities and other vulnerable and marginalized groups to land, territories and resources, including carbon</w:t>
      </w:r>
      <w:r>
        <w:t>.</w:t>
      </w:r>
    </w:p>
    <w:p w14:paraId="62A78230" w14:textId="1825DF2C" w:rsidR="002D7633" w:rsidRDefault="002D7633" w:rsidP="002D7633">
      <w:pPr>
        <w:pStyle w:val="ListParagraph"/>
        <w:numPr>
          <w:ilvl w:val="1"/>
          <w:numId w:val="23"/>
        </w:numPr>
        <w:spacing w:before="0"/>
        <w:ind w:left="709"/>
      </w:pPr>
      <w:r>
        <w:t xml:space="preserve">Rights to forest carbon should also be linked to landuse management approaches. </w:t>
      </w:r>
    </w:p>
    <w:p w14:paraId="7FEF4AA3" w14:textId="77777777" w:rsidR="002D7633" w:rsidRDefault="002D7633" w:rsidP="002D7633">
      <w:pPr>
        <w:spacing w:before="0"/>
      </w:pPr>
    </w:p>
    <w:p w14:paraId="270ED6FE" w14:textId="4EAC0EDC" w:rsidR="002D7633" w:rsidRDefault="002D7633" w:rsidP="002D7633">
      <w:pPr>
        <w:spacing w:before="0"/>
      </w:pPr>
      <w:r w:rsidRPr="002D7633">
        <w:rPr>
          <w:highlight w:val="magenta"/>
        </w:rPr>
        <w:t>Forest reserves?</w:t>
      </w:r>
      <w:r>
        <w:t xml:space="preserve"> XXX</w:t>
      </w:r>
    </w:p>
    <w:p w14:paraId="3AFDA66C" w14:textId="77777777" w:rsidR="00786443" w:rsidRDefault="00786443" w:rsidP="00786443">
      <w:pPr>
        <w:spacing w:before="0"/>
      </w:pPr>
    </w:p>
    <w:p w14:paraId="2FE659FF" w14:textId="33176088" w:rsidR="00786443" w:rsidRDefault="00786443" w:rsidP="00786443">
      <w:pPr>
        <w:spacing w:before="0"/>
        <w:rPr>
          <w:u w:val="single"/>
        </w:rPr>
      </w:pPr>
      <w:r w:rsidRPr="00786443">
        <w:rPr>
          <w:u w:val="single"/>
        </w:rPr>
        <w:t>Environment</w:t>
      </w:r>
    </w:p>
    <w:p w14:paraId="22DF1388" w14:textId="3021917D" w:rsidR="00786443" w:rsidRDefault="00786443" w:rsidP="00786443">
      <w:pPr>
        <w:pStyle w:val="ListParagraph"/>
        <w:numPr>
          <w:ilvl w:val="0"/>
          <w:numId w:val="23"/>
        </w:numPr>
        <w:spacing w:before="0"/>
      </w:pPr>
      <w:r w:rsidRPr="00786443">
        <w:t xml:space="preserve">Revisions </w:t>
      </w:r>
      <w:r>
        <w:t xml:space="preserve">to the EA to: </w:t>
      </w:r>
    </w:p>
    <w:p w14:paraId="609786F7" w14:textId="5AB6B8E0" w:rsidR="00786443" w:rsidRDefault="00786443" w:rsidP="00786443">
      <w:pPr>
        <w:pStyle w:val="ListParagraph"/>
        <w:numPr>
          <w:ilvl w:val="1"/>
          <w:numId w:val="23"/>
        </w:numPr>
        <w:spacing w:before="0"/>
        <w:ind w:left="709"/>
      </w:pPr>
      <w:r>
        <w:t xml:space="preserve">Require EIS process to consider impacts on the </w:t>
      </w:r>
      <w:r w:rsidRPr="00786443">
        <w:t>rights of indigenous peoples, local communities and other vulnerable and marginalized groups to land, territories and resources, including carbon</w:t>
      </w:r>
      <w:r>
        <w:t xml:space="preserve"> and to identify how any impacts can be addressed within an EMP.</w:t>
      </w:r>
    </w:p>
    <w:p w14:paraId="62FCFEE1" w14:textId="77777777" w:rsidR="00786443" w:rsidRDefault="00786443" w:rsidP="00786443">
      <w:pPr>
        <w:spacing w:before="0"/>
      </w:pPr>
    </w:p>
    <w:p w14:paraId="1881FF4C" w14:textId="4E2BC8C5" w:rsidR="00786443" w:rsidRDefault="00786443" w:rsidP="00786443">
      <w:pPr>
        <w:spacing w:before="0"/>
        <w:rPr>
          <w:u w:val="single"/>
        </w:rPr>
      </w:pPr>
      <w:r w:rsidRPr="00786443">
        <w:rPr>
          <w:u w:val="single"/>
        </w:rPr>
        <w:t>Land and Title Act</w:t>
      </w:r>
    </w:p>
    <w:p w14:paraId="00C21652" w14:textId="39C2F5FF" w:rsidR="00786443" w:rsidRDefault="002D7633" w:rsidP="00786443">
      <w:pPr>
        <w:spacing w:before="0"/>
        <w:rPr>
          <w:u w:val="single"/>
        </w:rPr>
      </w:pPr>
      <w:r w:rsidRPr="002D7633">
        <w:rPr>
          <w:highlight w:val="magenta"/>
          <w:u w:val="single"/>
        </w:rPr>
        <w:t>XXX</w:t>
      </w:r>
    </w:p>
    <w:p w14:paraId="30DEF8B8" w14:textId="77777777" w:rsidR="00786443" w:rsidRPr="00786443" w:rsidRDefault="00786443" w:rsidP="00786443">
      <w:pPr>
        <w:spacing w:before="0"/>
        <w:rPr>
          <w:u w:val="single"/>
        </w:rPr>
      </w:pPr>
    </w:p>
    <w:p w14:paraId="30E92FE9" w14:textId="77777777" w:rsidR="006D2E84" w:rsidRPr="003171A0" w:rsidRDefault="006D2E84" w:rsidP="002C5EDB">
      <w:pPr>
        <w:pStyle w:val="Heading5"/>
        <w:ind w:left="1008" w:hanging="1008"/>
      </w:pPr>
      <w:r w:rsidRPr="003171A0">
        <w:t>Site level</w:t>
      </w:r>
    </w:p>
    <w:p w14:paraId="418ECF23" w14:textId="77777777" w:rsidR="006D2E84" w:rsidRPr="0089366F" w:rsidRDefault="006D2E84" w:rsidP="006D2E84">
      <w:pPr>
        <w:rPr>
          <w:highlight w:val="lightGray"/>
        </w:rPr>
      </w:pPr>
    </w:p>
    <w:p w14:paraId="1EAD39CC" w14:textId="77777777" w:rsidR="006D2E84" w:rsidRPr="0089366F" w:rsidRDefault="006D2E84" w:rsidP="002C5EDB">
      <w:pPr>
        <w:pStyle w:val="Heading4"/>
        <w:ind w:left="864" w:hanging="864"/>
      </w:pPr>
      <w:r w:rsidRPr="0089366F">
        <w:t>Recommended Actions:</w:t>
      </w:r>
    </w:p>
    <w:p w14:paraId="768F16E8" w14:textId="77777777" w:rsidR="006D2E84" w:rsidRPr="0089366F" w:rsidRDefault="006D2E84" w:rsidP="006D2E84">
      <w:pPr>
        <w:rPr>
          <w:highlight w:val="lightGray"/>
        </w:rPr>
      </w:pPr>
    </w:p>
    <w:p w14:paraId="6A6EAD47" w14:textId="77777777" w:rsidR="006D2E84" w:rsidRPr="0089366F" w:rsidRDefault="006D2E84" w:rsidP="002C5EDB">
      <w:pPr>
        <w:pStyle w:val="Heading4"/>
        <w:ind w:left="864" w:hanging="864"/>
      </w:pPr>
      <w:r w:rsidRPr="0089366F">
        <w:t xml:space="preserve">Potential Indicators </w:t>
      </w:r>
    </w:p>
    <w:p w14:paraId="32FA6552" w14:textId="77777777" w:rsidR="006D2E84" w:rsidRPr="0089366F" w:rsidRDefault="006D2E84" w:rsidP="006B087B">
      <w:pPr>
        <w:numPr>
          <w:ilvl w:val="0"/>
          <w:numId w:val="40"/>
        </w:numPr>
        <w:spacing w:before="0"/>
      </w:pPr>
      <w:r w:rsidRPr="0089366F">
        <w:t xml:space="preserve">Clear guidance provided on rights to carbon emissions reductions and landownership and management </w:t>
      </w:r>
    </w:p>
    <w:p w14:paraId="4B0DBD2D" w14:textId="77777777" w:rsidR="006D2E84" w:rsidRPr="0089366F" w:rsidRDefault="006D2E84" w:rsidP="006B087B">
      <w:pPr>
        <w:pStyle w:val="ListParagraph"/>
        <w:numPr>
          <w:ilvl w:val="0"/>
          <w:numId w:val="40"/>
        </w:numPr>
        <w:spacing w:before="0"/>
      </w:pPr>
      <w:r w:rsidRPr="0089366F">
        <w:t>Potential impact of developments on forest dependent communities included with Development Consent Process</w:t>
      </w:r>
    </w:p>
    <w:p w14:paraId="691F3EA3" w14:textId="77777777" w:rsidR="006D2E84" w:rsidRPr="0089366F" w:rsidRDefault="006D2E84" w:rsidP="006B087B">
      <w:pPr>
        <w:pStyle w:val="ListParagraph"/>
        <w:numPr>
          <w:ilvl w:val="0"/>
          <w:numId w:val="40"/>
        </w:numPr>
        <w:spacing w:before="0"/>
      </w:pPr>
      <w:r w:rsidRPr="0089366F">
        <w:t>All site based project provide information on how local communities have been engaged and continue to be engaged in site based activities</w:t>
      </w:r>
    </w:p>
    <w:p w14:paraId="6EB2E481" w14:textId="77777777" w:rsidR="006D2E84" w:rsidRPr="0089366F" w:rsidRDefault="006D2E84" w:rsidP="002C5EDB">
      <w:pPr>
        <w:pStyle w:val="Heading4"/>
        <w:ind w:left="864" w:hanging="864"/>
      </w:pPr>
      <w:r w:rsidRPr="0089366F">
        <w:t xml:space="preserve">Data Collection: </w:t>
      </w:r>
    </w:p>
    <w:p w14:paraId="5FF51B47" w14:textId="77777777" w:rsidR="006D2E84" w:rsidRPr="0089366F" w:rsidRDefault="006D2E84" w:rsidP="006B087B">
      <w:pPr>
        <w:pStyle w:val="ListParagraph"/>
        <w:numPr>
          <w:ilvl w:val="0"/>
          <w:numId w:val="41"/>
        </w:numPr>
        <w:spacing w:before="0"/>
      </w:pPr>
      <w:r w:rsidRPr="0089366F">
        <w:t>Guidance document and log of process to develop it held by RIU</w:t>
      </w:r>
    </w:p>
    <w:p w14:paraId="59245AB8" w14:textId="77777777" w:rsidR="006D2E84" w:rsidRPr="0089366F" w:rsidRDefault="006D2E84" w:rsidP="006B087B">
      <w:pPr>
        <w:pStyle w:val="ListParagraph"/>
        <w:numPr>
          <w:ilvl w:val="0"/>
          <w:numId w:val="41"/>
        </w:numPr>
        <w:spacing w:before="0"/>
      </w:pPr>
      <w:r w:rsidRPr="0089366F">
        <w:t>Development consent guidelines and subsequent development consent applications</w:t>
      </w:r>
    </w:p>
    <w:p w14:paraId="1D5230E3" w14:textId="735B1A05" w:rsidR="006D2E84" w:rsidRPr="0089366F" w:rsidRDefault="006D2E84" w:rsidP="006B087B">
      <w:pPr>
        <w:pStyle w:val="ListParagraph"/>
        <w:numPr>
          <w:ilvl w:val="0"/>
          <w:numId w:val="41"/>
        </w:numPr>
        <w:spacing w:before="0"/>
      </w:pPr>
      <w:r w:rsidRPr="0089366F">
        <w:t>Project registration documents submitted to RIU</w:t>
      </w:r>
    </w:p>
    <w:p w14:paraId="752A3653" w14:textId="77777777" w:rsidR="006D2E84" w:rsidRPr="0089366F" w:rsidRDefault="006D2E84" w:rsidP="006D2E84">
      <w:pPr>
        <w:pStyle w:val="Heading3"/>
        <w:sectPr w:rsidR="006D2E84" w:rsidRPr="0089366F" w:rsidSect="00014341">
          <w:pgSz w:w="11900" w:h="16840"/>
          <w:pgMar w:top="1440" w:right="1080" w:bottom="1440" w:left="1080" w:header="708" w:footer="708" w:gutter="0"/>
          <w:cols w:space="708"/>
          <w:docGrid w:linePitch="360"/>
        </w:sectPr>
      </w:pPr>
    </w:p>
    <w:p w14:paraId="6F730164" w14:textId="77777777" w:rsidR="006D2E84" w:rsidRPr="0089366F" w:rsidRDefault="006D2E84" w:rsidP="002C5EDB">
      <w:pPr>
        <w:pStyle w:val="Heading3"/>
        <w:numPr>
          <w:ilvl w:val="0"/>
          <w:numId w:val="0"/>
        </w:numPr>
      </w:pPr>
      <w:bookmarkStart w:id="37" w:name="_Toc254892851"/>
      <w:r w:rsidRPr="0089366F">
        <w:t>Criterion 8 – Promote and enhance gender equality, gender equity and women’s empowerment</w:t>
      </w:r>
      <w:bookmarkEnd w:id="37"/>
    </w:p>
    <w:p w14:paraId="2A094141" w14:textId="77777777" w:rsidR="006D2E84" w:rsidRPr="0089366F" w:rsidRDefault="006D2E84" w:rsidP="002C5EDB">
      <w:pPr>
        <w:pStyle w:val="Heading4"/>
        <w:ind w:left="864" w:hanging="864"/>
      </w:pPr>
      <w:r w:rsidRPr="0089366F">
        <w:t xml:space="preserve">Potential Risks: </w:t>
      </w:r>
    </w:p>
    <w:p w14:paraId="4019320E" w14:textId="77777777" w:rsidR="006D2E84" w:rsidRPr="0089366F" w:rsidRDefault="006D2E84" w:rsidP="006D2E84">
      <w:r w:rsidRPr="0089366F">
        <w:t xml:space="preserve">Women are particularly marginalised within Solomon Island society and decision making processes but are extremely reliant on natural resources as part of the livelihood strategies as such they could be disproportionately impacted by changes caused by REDD+ initiatives. </w:t>
      </w:r>
    </w:p>
    <w:p w14:paraId="63172373" w14:textId="25A049D0" w:rsidR="006D2E84" w:rsidRPr="0089366F" w:rsidRDefault="006D2E84" w:rsidP="00A540C0">
      <w:pPr>
        <w:pStyle w:val="Heading3"/>
        <w:numPr>
          <w:ilvl w:val="0"/>
          <w:numId w:val="0"/>
        </w:numPr>
        <w:ind w:left="720" w:hanging="720"/>
      </w:pPr>
      <w:r>
        <w:t xml:space="preserve">Summary </w:t>
      </w:r>
      <w:r w:rsidRPr="0089366F">
        <w:t>Review of Existing Legislation and its Application:</w:t>
      </w:r>
    </w:p>
    <w:p w14:paraId="09B7DB62" w14:textId="77777777" w:rsidR="006D2E84" w:rsidRPr="0089366F" w:rsidRDefault="006D2E84" w:rsidP="002C5EDB">
      <w:pPr>
        <w:pStyle w:val="Heading5"/>
        <w:ind w:left="1008" w:hanging="1008"/>
      </w:pPr>
      <w:r w:rsidRPr="0089366F">
        <w:t>REDD+</w:t>
      </w:r>
    </w:p>
    <w:p w14:paraId="6D67E197" w14:textId="77777777" w:rsidR="006D2E84" w:rsidRPr="0089366F" w:rsidRDefault="006D2E84" w:rsidP="006D2E84">
      <w:r w:rsidRPr="0089366F">
        <w:t xml:space="preserve">Existing REDD+ developments have focused on including women within consultation and training events. </w:t>
      </w:r>
    </w:p>
    <w:p w14:paraId="45465764" w14:textId="77777777" w:rsidR="006D2E84" w:rsidRPr="0089366F" w:rsidRDefault="006D2E84" w:rsidP="002C5EDB">
      <w:pPr>
        <w:pStyle w:val="Heading5"/>
        <w:ind w:left="1008" w:hanging="1008"/>
      </w:pPr>
      <w:r w:rsidRPr="0089366F">
        <w:t>Existing Legislation</w:t>
      </w:r>
    </w:p>
    <w:p w14:paraId="369362C8" w14:textId="072AC1A6" w:rsidR="006D2E84" w:rsidRPr="002C5EDB" w:rsidRDefault="006D2E84" w:rsidP="006D2E84">
      <w:pPr>
        <w:rPr>
          <w:lang w:val="en-US"/>
        </w:rPr>
      </w:pPr>
      <w:r w:rsidRPr="0089366F">
        <w:t xml:space="preserve">At the national level </w:t>
      </w:r>
      <w:r>
        <w:t xml:space="preserve">the right to non-discrimination based on sex (as well as other factors) is enshrined in the </w:t>
      </w:r>
      <w:r w:rsidRPr="00EF2F80">
        <w:rPr>
          <w:i/>
          <w:color w:val="4F81BD" w:themeColor="accent1"/>
        </w:rPr>
        <w:t>Constitution</w:t>
      </w:r>
      <w:r>
        <w:rPr>
          <w:rStyle w:val="FootnoteReference"/>
        </w:rPr>
        <w:footnoteReference w:id="88"/>
      </w:r>
      <w:r>
        <w:t xml:space="preserve">. </w:t>
      </w:r>
      <w:r w:rsidRPr="0089366F">
        <w:t xml:space="preserve">The </w:t>
      </w:r>
      <w:r w:rsidRPr="00C6384B">
        <w:rPr>
          <w:i/>
          <w:color w:val="4F81BD" w:themeColor="accent1"/>
        </w:rPr>
        <w:t>NDS</w:t>
      </w:r>
      <w:r w:rsidRPr="0089366F">
        <w:t xml:space="preserve"> also notes the need for the vulnerable members of society (identified as women, children and youth in particular) to be supported with objective 2 of the strategy being ‘To support the vulnerable’</w:t>
      </w:r>
      <w:r>
        <w:rPr>
          <w:rStyle w:val="FootnoteReference"/>
        </w:rPr>
        <w:footnoteReference w:id="89"/>
      </w:r>
      <w:r w:rsidRPr="0089366F">
        <w:t xml:space="preserve">. </w:t>
      </w:r>
      <w:r>
        <w:t xml:space="preserve">The government also has in place a </w:t>
      </w:r>
      <w:r w:rsidRPr="00EF2F80">
        <w:rPr>
          <w:i/>
          <w:color w:val="4F81BD" w:themeColor="accent1"/>
        </w:rPr>
        <w:t>P</w:t>
      </w:r>
      <w:r w:rsidRPr="00EF2F80">
        <w:rPr>
          <w:bCs/>
          <w:i/>
          <w:iCs/>
          <w:color w:val="4F81BD" w:themeColor="accent1"/>
          <w:lang w:val="en-US"/>
        </w:rPr>
        <w:t>olicy on Gender Equality and Women's Development</w:t>
      </w:r>
      <w:r>
        <w:rPr>
          <w:bCs/>
          <w:i/>
          <w:iCs/>
          <w:color w:val="4F81BD" w:themeColor="accent1"/>
          <w:lang w:val="en-US"/>
        </w:rPr>
        <w:t xml:space="preserve"> </w:t>
      </w:r>
      <w:r>
        <w:rPr>
          <w:bCs/>
          <w:iCs/>
          <w:lang w:val="en-US"/>
        </w:rPr>
        <w:t xml:space="preserve">led by the </w:t>
      </w:r>
      <w:r w:rsidRPr="00EF2F80">
        <w:rPr>
          <w:bCs/>
          <w:iCs/>
          <w:highlight w:val="magenta"/>
          <w:lang w:val="en-US"/>
        </w:rPr>
        <w:t>MWYCFA</w:t>
      </w:r>
      <w:r>
        <w:rPr>
          <w:bCs/>
          <w:iCs/>
          <w:lang w:val="en-US"/>
        </w:rPr>
        <w:t xml:space="preserve"> XXX. </w:t>
      </w:r>
      <w:r w:rsidR="002C5EDB">
        <w:rPr>
          <w:lang w:val="en-US"/>
        </w:rPr>
        <w:t xml:space="preserve">As part of the MDGs the Solomon Islands are also committed to </w:t>
      </w:r>
      <w:r w:rsidR="002C5EDB" w:rsidRPr="00EF2F80">
        <w:rPr>
          <w:lang w:val="en-US"/>
        </w:rPr>
        <w:t xml:space="preserve">“Promote Gender Equality and Empower Women”. The 2010 MDG Progress Report </w:t>
      </w:r>
      <w:r w:rsidR="002C5EDB">
        <w:rPr>
          <w:lang w:val="en-US"/>
        </w:rPr>
        <w:t xml:space="preserve">however </w:t>
      </w:r>
      <w:r w:rsidR="002C5EDB" w:rsidRPr="00EF2F80">
        <w:rPr>
          <w:lang w:val="en-US"/>
        </w:rPr>
        <w:t>concludes that performance has been mixed and that the probability of meeting this</w:t>
      </w:r>
      <w:r w:rsidR="002C5EDB">
        <w:rPr>
          <w:lang w:val="en-US"/>
        </w:rPr>
        <w:t xml:space="preserve"> MDG by 2015 is considered low.</w:t>
      </w:r>
    </w:p>
    <w:p w14:paraId="4F41691F" w14:textId="77777777" w:rsidR="006D2E84" w:rsidRPr="0089366F" w:rsidRDefault="006D2E84" w:rsidP="006D2E84">
      <w:r>
        <w:t xml:space="preserve">Legislation focused on the environment and forest sector provide less specific reference to the role of women. </w:t>
      </w:r>
      <w:r w:rsidRPr="0089366F">
        <w:t xml:space="preserve">The </w:t>
      </w:r>
      <w:r w:rsidRPr="00EF2F80">
        <w:rPr>
          <w:i/>
          <w:color w:val="4F81BD" w:themeColor="accent1"/>
        </w:rPr>
        <w:t>Environment Act</w:t>
      </w:r>
      <w:r>
        <w:t xml:space="preserve"> does require</w:t>
      </w:r>
      <w:r w:rsidRPr="0089366F">
        <w:t xml:space="preserve"> that the impact of any development on women be assessed as part of an EIS document</w:t>
      </w:r>
      <w:r>
        <w:rPr>
          <w:rStyle w:val="FootnoteReference"/>
        </w:rPr>
        <w:footnoteReference w:id="90"/>
      </w:r>
      <w:r w:rsidRPr="0089366F">
        <w:t xml:space="preserve">. </w:t>
      </w:r>
    </w:p>
    <w:p w14:paraId="6F87DF48" w14:textId="0E53B342" w:rsidR="006D2E84" w:rsidRPr="0089366F" w:rsidRDefault="006D2E84" w:rsidP="006D2E84">
      <w:r>
        <w:t xml:space="preserve">Despite these considerations </w:t>
      </w:r>
      <w:r w:rsidRPr="0089366F">
        <w:t xml:space="preserve">women remain largely excluded from decision-making processes at the local level. Similarly existing systems of consultation or rights allocation are vulnerable to exploitation by a minority of individuals at the local level excluding other community members from access to resources and the benefits of resource exploitation. </w:t>
      </w:r>
    </w:p>
    <w:p w14:paraId="4A8DC365" w14:textId="60212E22" w:rsidR="006D2E84" w:rsidRPr="0089366F" w:rsidRDefault="006D2E84" w:rsidP="002C5EDB">
      <w:pPr>
        <w:pStyle w:val="Heading4"/>
      </w:pPr>
      <w:r w:rsidRPr="0089366F">
        <w:t xml:space="preserve">Recommendations </w:t>
      </w:r>
      <w:r w:rsidR="00002507">
        <w:t>to p</w:t>
      </w:r>
      <w:r w:rsidR="00002507" w:rsidRPr="002D7633">
        <w:t>romote and enhance gender equality, gender equity and women’s empowerment</w:t>
      </w:r>
    </w:p>
    <w:p w14:paraId="3B8DD0D5" w14:textId="77777777" w:rsidR="006D2E84" w:rsidRPr="0089366F" w:rsidRDefault="006D2E84" w:rsidP="002C5EDB">
      <w:pPr>
        <w:pStyle w:val="Heading5"/>
        <w:ind w:left="1008" w:hanging="1008"/>
      </w:pPr>
      <w:r w:rsidRPr="0089366F">
        <w:t xml:space="preserve">National </w:t>
      </w:r>
    </w:p>
    <w:p w14:paraId="405DAF8C" w14:textId="652465C0" w:rsidR="00002507" w:rsidRPr="00002507" w:rsidRDefault="00002507" w:rsidP="00002507">
      <w:pPr>
        <w:spacing w:before="0"/>
        <w:rPr>
          <w:u w:val="single"/>
        </w:rPr>
      </w:pPr>
      <w:r w:rsidRPr="00002507">
        <w:rPr>
          <w:u w:val="single"/>
        </w:rPr>
        <w:t>Cross Cutting</w:t>
      </w:r>
    </w:p>
    <w:p w14:paraId="4A915EBC" w14:textId="77777777" w:rsidR="006D2E84" w:rsidRPr="0089366F" w:rsidRDefault="006D2E84" w:rsidP="006B087B">
      <w:pPr>
        <w:numPr>
          <w:ilvl w:val="0"/>
          <w:numId w:val="23"/>
        </w:numPr>
        <w:spacing w:before="0"/>
      </w:pPr>
      <w:r w:rsidRPr="0089366F">
        <w:t xml:space="preserve">Focused awareness raising and consultation events held (separately) with traditional authorities, and women’s groups and youth groups. </w:t>
      </w:r>
    </w:p>
    <w:p w14:paraId="45EC2697" w14:textId="77777777" w:rsidR="006D2E84" w:rsidRDefault="006D2E84" w:rsidP="006B087B">
      <w:pPr>
        <w:numPr>
          <w:ilvl w:val="0"/>
          <w:numId w:val="23"/>
        </w:numPr>
        <w:spacing w:before="0"/>
      </w:pPr>
      <w:r w:rsidRPr="0089366F">
        <w:t>Membership of National REDD+ Committee includes women</w:t>
      </w:r>
    </w:p>
    <w:p w14:paraId="40605310" w14:textId="77777777" w:rsidR="00002507" w:rsidRDefault="00002507" w:rsidP="00002507">
      <w:pPr>
        <w:spacing w:before="0"/>
      </w:pPr>
    </w:p>
    <w:p w14:paraId="4A5F5E42" w14:textId="47AFF4D3" w:rsidR="00002507" w:rsidRPr="00002507" w:rsidRDefault="00002507" w:rsidP="00002507">
      <w:pPr>
        <w:spacing w:before="0"/>
        <w:rPr>
          <w:u w:val="single"/>
        </w:rPr>
      </w:pPr>
      <w:r w:rsidRPr="00002507">
        <w:rPr>
          <w:u w:val="single"/>
        </w:rPr>
        <w:t>Forestry</w:t>
      </w:r>
    </w:p>
    <w:p w14:paraId="094161FB" w14:textId="77777777" w:rsidR="00422234" w:rsidRDefault="00422234" w:rsidP="00422234">
      <w:pPr>
        <w:numPr>
          <w:ilvl w:val="0"/>
          <w:numId w:val="23"/>
        </w:numPr>
        <w:spacing w:before="0"/>
      </w:pPr>
      <w:r>
        <w:t>Revisions to Environment Act to: (</w:t>
      </w:r>
      <w:r w:rsidRPr="00002507">
        <w:rPr>
          <w:i/>
        </w:rPr>
        <w:t>legislation</w:t>
      </w:r>
      <w:r>
        <w:t>)</w:t>
      </w:r>
    </w:p>
    <w:p w14:paraId="69D6AF37" w14:textId="2C58881E" w:rsidR="00002507" w:rsidRDefault="00422234" w:rsidP="00422234">
      <w:pPr>
        <w:pStyle w:val="ListParagraph"/>
        <w:numPr>
          <w:ilvl w:val="1"/>
          <w:numId w:val="23"/>
        </w:numPr>
        <w:spacing w:before="0"/>
        <w:ind w:left="709"/>
      </w:pPr>
      <w:r>
        <w:t>ensure that requirements for the effective measures are in place to p</w:t>
      </w:r>
      <w:r w:rsidRPr="002D7633">
        <w:t>romote and enhance gender equality, gender equity and women’s empowerment</w:t>
      </w:r>
    </w:p>
    <w:p w14:paraId="5B6AA7A3" w14:textId="77777777" w:rsidR="00422234" w:rsidRDefault="00422234" w:rsidP="00422234">
      <w:pPr>
        <w:spacing w:before="0"/>
      </w:pPr>
    </w:p>
    <w:p w14:paraId="6C0CD108" w14:textId="42BC0A01" w:rsidR="00002507" w:rsidRPr="00002507" w:rsidRDefault="00002507" w:rsidP="00002507">
      <w:pPr>
        <w:spacing w:before="0"/>
        <w:rPr>
          <w:u w:val="single"/>
        </w:rPr>
      </w:pPr>
      <w:r w:rsidRPr="00002507">
        <w:rPr>
          <w:u w:val="single"/>
        </w:rPr>
        <w:t>Environment</w:t>
      </w:r>
    </w:p>
    <w:p w14:paraId="5AFD9BB4" w14:textId="33EB7D6B" w:rsidR="00002507" w:rsidRDefault="00002507" w:rsidP="00002507">
      <w:pPr>
        <w:numPr>
          <w:ilvl w:val="0"/>
          <w:numId w:val="23"/>
        </w:numPr>
        <w:spacing w:before="0"/>
      </w:pPr>
      <w:r>
        <w:t>Ensure existing EIS documents include clear assessments of impacts by gender as well as approaches to mitigating any negative impacts (</w:t>
      </w:r>
      <w:r w:rsidRPr="00002507">
        <w:rPr>
          <w:i/>
        </w:rPr>
        <w:t>system</w:t>
      </w:r>
      <w:r>
        <w:t xml:space="preserve">) </w:t>
      </w:r>
    </w:p>
    <w:p w14:paraId="6C372F63" w14:textId="75012DB1" w:rsidR="00002507" w:rsidRDefault="00002507" w:rsidP="00002507">
      <w:pPr>
        <w:numPr>
          <w:ilvl w:val="0"/>
          <w:numId w:val="23"/>
        </w:numPr>
        <w:spacing w:before="0"/>
      </w:pPr>
      <w:r>
        <w:t>Revisions to Environment Act to: (</w:t>
      </w:r>
      <w:r w:rsidRPr="00002507">
        <w:rPr>
          <w:i/>
        </w:rPr>
        <w:t>legislation</w:t>
      </w:r>
      <w:r>
        <w:t>)</w:t>
      </w:r>
    </w:p>
    <w:p w14:paraId="507E9E27" w14:textId="7A124DA9" w:rsidR="00002507" w:rsidRDefault="00002507" w:rsidP="00002507">
      <w:pPr>
        <w:numPr>
          <w:ilvl w:val="1"/>
          <w:numId w:val="23"/>
        </w:numPr>
        <w:spacing w:before="0"/>
        <w:ind w:left="851"/>
      </w:pPr>
      <w:r>
        <w:t>ensure that requirements for the effective measures are in place to p</w:t>
      </w:r>
      <w:r w:rsidRPr="002D7633">
        <w:t>romote and enhance gender equality, gender equity and women’s empowerment</w:t>
      </w:r>
    </w:p>
    <w:p w14:paraId="2B3A41F5" w14:textId="01F1BD05" w:rsidR="00002507" w:rsidRDefault="006D2E84" w:rsidP="00422234">
      <w:pPr>
        <w:pStyle w:val="Heading5"/>
        <w:ind w:left="1008" w:hanging="1008"/>
      </w:pPr>
      <w:r w:rsidRPr="00CE6EB2">
        <w:t>Site level</w:t>
      </w:r>
    </w:p>
    <w:p w14:paraId="21EF3C3C" w14:textId="74610E30" w:rsidR="006D2E84" w:rsidRPr="00A540C0" w:rsidRDefault="006D2E84" w:rsidP="002D7633">
      <w:pPr>
        <w:pStyle w:val="Heading4"/>
      </w:pPr>
      <w:r w:rsidRPr="0089366F">
        <w:t>Recommend</w:t>
      </w:r>
      <w:r w:rsidR="002D7633">
        <w:t xml:space="preserve">ed Actions </w:t>
      </w:r>
    </w:p>
    <w:p w14:paraId="71E69D0A" w14:textId="77777777" w:rsidR="006D2E84" w:rsidRPr="0089366F" w:rsidRDefault="006D2E84" w:rsidP="002C5EDB">
      <w:pPr>
        <w:pStyle w:val="Heading4"/>
        <w:ind w:left="864" w:hanging="864"/>
      </w:pPr>
      <w:r w:rsidRPr="0089366F">
        <w:t xml:space="preserve">Potential Indicators </w:t>
      </w:r>
    </w:p>
    <w:p w14:paraId="37238145" w14:textId="77777777" w:rsidR="006D2E84" w:rsidRPr="0089366F" w:rsidRDefault="006D2E84" w:rsidP="006B087B">
      <w:pPr>
        <w:numPr>
          <w:ilvl w:val="0"/>
          <w:numId w:val="42"/>
        </w:numPr>
        <w:spacing w:before="0"/>
      </w:pPr>
      <w:r w:rsidRPr="0089366F">
        <w:t>Number of women specific consultation events held</w:t>
      </w:r>
    </w:p>
    <w:p w14:paraId="6822F8A0" w14:textId="77777777" w:rsidR="006D2E84" w:rsidRPr="0089366F" w:rsidRDefault="006D2E84" w:rsidP="006B087B">
      <w:pPr>
        <w:numPr>
          <w:ilvl w:val="0"/>
          <w:numId w:val="42"/>
        </w:numPr>
        <w:spacing w:before="0"/>
      </w:pPr>
      <w:r w:rsidRPr="0089366F">
        <w:t xml:space="preserve">Gender balance in participation in awareness raising and consultation events for REDD+ </w:t>
      </w:r>
    </w:p>
    <w:p w14:paraId="20A8F3AF" w14:textId="77777777" w:rsidR="006D2E84" w:rsidRPr="0089366F" w:rsidRDefault="006D2E84" w:rsidP="006B087B">
      <w:pPr>
        <w:numPr>
          <w:ilvl w:val="0"/>
          <w:numId w:val="42"/>
        </w:numPr>
        <w:spacing w:before="0"/>
      </w:pPr>
      <w:r w:rsidRPr="0089366F">
        <w:t xml:space="preserve">Clear guidance provided on rights to carbon emissions reductions and landownership and management </w:t>
      </w:r>
    </w:p>
    <w:p w14:paraId="0C994716" w14:textId="77777777" w:rsidR="006D2E84" w:rsidRPr="0089366F" w:rsidRDefault="006D2E84" w:rsidP="006B087B">
      <w:pPr>
        <w:pStyle w:val="ListParagraph"/>
        <w:numPr>
          <w:ilvl w:val="0"/>
          <w:numId w:val="42"/>
        </w:numPr>
        <w:spacing w:before="0"/>
      </w:pPr>
      <w:r w:rsidRPr="0089366F">
        <w:t>Potential impact of developments on women included with Development Consent Process</w:t>
      </w:r>
    </w:p>
    <w:p w14:paraId="6F48C78B" w14:textId="77777777" w:rsidR="006D2E84" w:rsidRPr="0089366F" w:rsidRDefault="006D2E84" w:rsidP="006B087B">
      <w:pPr>
        <w:pStyle w:val="ListParagraph"/>
        <w:numPr>
          <w:ilvl w:val="0"/>
          <w:numId w:val="42"/>
        </w:numPr>
        <w:spacing w:before="0"/>
      </w:pPr>
      <w:r w:rsidRPr="0089366F">
        <w:t>Number of women engaged in consultation events at site level and mechanism established to support their ongoing participation in project</w:t>
      </w:r>
    </w:p>
    <w:p w14:paraId="561C144F" w14:textId="77777777" w:rsidR="006D2E84" w:rsidRPr="0089366F" w:rsidRDefault="006D2E84" w:rsidP="002C5EDB">
      <w:pPr>
        <w:pStyle w:val="Heading4"/>
        <w:ind w:left="864" w:hanging="864"/>
      </w:pPr>
      <w:r w:rsidRPr="0089366F">
        <w:t xml:space="preserve">Data Collection: </w:t>
      </w:r>
    </w:p>
    <w:p w14:paraId="0E43FB6F" w14:textId="77777777" w:rsidR="006D2E84" w:rsidRPr="0089366F" w:rsidRDefault="006D2E84" w:rsidP="006B087B">
      <w:pPr>
        <w:pStyle w:val="ListParagraph"/>
        <w:numPr>
          <w:ilvl w:val="0"/>
          <w:numId w:val="43"/>
        </w:numPr>
        <w:spacing w:before="0"/>
      </w:pPr>
      <w:r w:rsidRPr="0089366F">
        <w:t xml:space="preserve">Log of consultation events kept by RIU </w:t>
      </w:r>
    </w:p>
    <w:p w14:paraId="611197E8" w14:textId="77777777" w:rsidR="006D2E84" w:rsidRPr="0089366F" w:rsidRDefault="006D2E84" w:rsidP="006B087B">
      <w:pPr>
        <w:pStyle w:val="ListParagraph"/>
        <w:numPr>
          <w:ilvl w:val="0"/>
          <w:numId w:val="43"/>
        </w:numPr>
        <w:spacing w:before="0"/>
      </w:pPr>
      <w:r w:rsidRPr="0089366F">
        <w:t xml:space="preserve">Log of consultation events kept by RIU </w:t>
      </w:r>
    </w:p>
    <w:p w14:paraId="7AFD7D2A" w14:textId="77777777" w:rsidR="006D2E84" w:rsidRPr="0089366F" w:rsidRDefault="006D2E84" w:rsidP="006B087B">
      <w:pPr>
        <w:pStyle w:val="ListParagraph"/>
        <w:numPr>
          <w:ilvl w:val="0"/>
          <w:numId w:val="43"/>
        </w:numPr>
        <w:spacing w:before="0"/>
      </w:pPr>
      <w:r w:rsidRPr="0089366F">
        <w:t>Guidance document and log of process to develop it held by RIU</w:t>
      </w:r>
    </w:p>
    <w:p w14:paraId="69B7A4F3" w14:textId="77777777" w:rsidR="006D2E84" w:rsidRPr="0089366F" w:rsidRDefault="006D2E84" w:rsidP="006B087B">
      <w:pPr>
        <w:pStyle w:val="ListParagraph"/>
        <w:numPr>
          <w:ilvl w:val="0"/>
          <w:numId w:val="43"/>
        </w:numPr>
        <w:spacing w:before="0"/>
      </w:pPr>
      <w:r w:rsidRPr="0089366F">
        <w:t>Development consent guidelines and subsequent development consent applications</w:t>
      </w:r>
    </w:p>
    <w:p w14:paraId="453FDF4F" w14:textId="77777777" w:rsidR="006D2E84" w:rsidRPr="0089366F" w:rsidRDefault="006D2E84" w:rsidP="006B087B">
      <w:pPr>
        <w:pStyle w:val="ListParagraph"/>
        <w:numPr>
          <w:ilvl w:val="0"/>
          <w:numId w:val="43"/>
        </w:numPr>
        <w:spacing w:before="0"/>
      </w:pPr>
      <w:r w:rsidRPr="0089366F">
        <w:t>Project registration documents submitted to RIU</w:t>
      </w:r>
    </w:p>
    <w:p w14:paraId="064D17F0" w14:textId="77777777" w:rsidR="006D2E84" w:rsidRPr="0089366F" w:rsidRDefault="006D2E84" w:rsidP="006D2E84"/>
    <w:p w14:paraId="569BF7A7" w14:textId="77777777" w:rsidR="006D2E84" w:rsidRPr="0089366F" w:rsidRDefault="006D2E84" w:rsidP="006D2E84"/>
    <w:p w14:paraId="3878949D" w14:textId="77777777" w:rsidR="006D2E84" w:rsidRPr="0089366F" w:rsidRDefault="006D2E84" w:rsidP="006D2E84">
      <w:pPr>
        <w:pStyle w:val="Heading3"/>
        <w:sectPr w:rsidR="006D2E84" w:rsidRPr="0089366F" w:rsidSect="00014341">
          <w:pgSz w:w="11900" w:h="16840"/>
          <w:pgMar w:top="1440" w:right="1080" w:bottom="1440" w:left="1080" w:header="708" w:footer="708" w:gutter="0"/>
          <w:cols w:space="708"/>
          <w:docGrid w:linePitch="360"/>
        </w:sectPr>
      </w:pPr>
    </w:p>
    <w:p w14:paraId="04EA27CD" w14:textId="77777777" w:rsidR="006D2E84" w:rsidRPr="0089366F" w:rsidRDefault="006D2E84" w:rsidP="002C5EDB">
      <w:pPr>
        <w:pStyle w:val="Heading3"/>
        <w:numPr>
          <w:ilvl w:val="0"/>
          <w:numId w:val="0"/>
        </w:numPr>
      </w:pPr>
      <w:bookmarkStart w:id="38" w:name="_Toc254892852"/>
      <w:r w:rsidRPr="0089366F">
        <w:t>Criterion 9 – Seek free, prior and informed consent of indigenous peoples and respect and uphold the decision taken (whether consent is given or withheld)</w:t>
      </w:r>
      <w:bookmarkEnd w:id="38"/>
    </w:p>
    <w:p w14:paraId="26059201" w14:textId="77777777" w:rsidR="006D2E84" w:rsidRPr="0089366F" w:rsidRDefault="006D2E84" w:rsidP="002C5EDB">
      <w:pPr>
        <w:pStyle w:val="Heading4"/>
        <w:ind w:left="864" w:hanging="864"/>
      </w:pPr>
      <w:r w:rsidRPr="0089366F">
        <w:t xml:space="preserve">Potential Risks: </w:t>
      </w:r>
    </w:p>
    <w:p w14:paraId="3EBF027C" w14:textId="77777777" w:rsidR="006D2E84" w:rsidRPr="0089366F" w:rsidRDefault="006D2E84" w:rsidP="006D2E84">
      <w:r w:rsidRPr="0089366F">
        <w:t xml:space="preserve">The rights of indigenous peoples and forest dependent communities are changed without their consent. </w:t>
      </w:r>
    </w:p>
    <w:p w14:paraId="40CF2BE2" w14:textId="77777777" w:rsidR="006D2E84" w:rsidRPr="0089366F" w:rsidRDefault="006D2E84" w:rsidP="002C5EDB">
      <w:pPr>
        <w:pStyle w:val="Heading4"/>
        <w:ind w:left="864" w:hanging="864"/>
      </w:pPr>
      <w:r>
        <w:t xml:space="preserve">Summary </w:t>
      </w:r>
      <w:r w:rsidRPr="0089366F">
        <w:t>Review of Existing Legislation and its Application:</w:t>
      </w:r>
    </w:p>
    <w:p w14:paraId="66D358F6" w14:textId="77777777" w:rsidR="006D2E84" w:rsidRPr="0089366F" w:rsidRDefault="006D2E84" w:rsidP="002C5EDB">
      <w:pPr>
        <w:pStyle w:val="Heading6"/>
        <w:numPr>
          <w:ilvl w:val="0"/>
          <w:numId w:val="0"/>
        </w:numPr>
        <w:ind w:left="1152" w:hanging="1152"/>
      </w:pPr>
      <w:r w:rsidRPr="0089366F">
        <w:t>REDD+</w:t>
      </w:r>
    </w:p>
    <w:p w14:paraId="5508C9BB" w14:textId="77777777" w:rsidR="006D2E84" w:rsidRPr="0089366F" w:rsidRDefault="006D2E84" w:rsidP="006D2E84">
      <w:r w:rsidRPr="0089366F">
        <w:t xml:space="preserve">Existing REDD+ developments have focused on the inclusion of indigenous groups and representatives of forest dependent communities within decision-making processes. </w:t>
      </w:r>
    </w:p>
    <w:p w14:paraId="4D2FE825" w14:textId="77777777" w:rsidR="006D2E84" w:rsidRPr="0089366F" w:rsidRDefault="006D2E84" w:rsidP="002C5EDB">
      <w:pPr>
        <w:pStyle w:val="Heading6"/>
        <w:numPr>
          <w:ilvl w:val="0"/>
          <w:numId w:val="0"/>
        </w:numPr>
        <w:ind w:left="1152" w:hanging="1152"/>
      </w:pPr>
      <w:r w:rsidRPr="0089366F">
        <w:t>Existing Legislation</w:t>
      </w:r>
    </w:p>
    <w:p w14:paraId="41E9ABC8" w14:textId="77777777" w:rsidR="006D2E84" w:rsidRDefault="006D2E84" w:rsidP="006D2E84">
      <w:r w:rsidRPr="0089366F">
        <w:t xml:space="preserve">At the national level there is no requirement for FPIC to be undertaken </w:t>
      </w:r>
      <w:r>
        <w:t xml:space="preserve">the </w:t>
      </w:r>
      <w:r w:rsidRPr="007E2145">
        <w:rPr>
          <w:i/>
          <w:color w:val="4F81BD" w:themeColor="accent1"/>
        </w:rPr>
        <w:t>Constitution</w:t>
      </w:r>
      <w:r>
        <w:t xml:space="preserve"> does however require that with respect to compulsory acquisition of customary land, </w:t>
      </w:r>
      <w:r w:rsidRPr="007E2145">
        <w:rPr>
          <w:i/>
        </w:rPr>
        <w:t xml:space="preserve">prior negotiations occur with </w:t>
      </w:r>
      <w:r w:rsidRPr="007E2145">
        <w:rPr>
          <w:i/>
          <w:lang w:val="en-AU"/>
        </w:rPr>
        <w:t>the owner of the land, right or interest</w:t>
      </w:r>
      <w:r>
        <w:rPr>
          <w:lang w:val="en-AU"/>
        </w:rPr>
        <w:t xml:space="preserve"> and that </w:t>
      </w:r>
      <w:r w:rsidRPr="007E2145">
        <w:rPr>
          <w:i/>
          <w:lang w:val="en-AU"/>
        </w:rPr>
        <w:t>the owner shall have a right of access to independent legal advice</w:t>
      </w:r>
      <w:r>
        <w:rPr>
          <w:rStyle w:val="FootnoteReference"/>
          <w:i/>
          <w:lang w:val="en-AU"/>
        </w:rPr>
        <w:footnoteReference w:id="91"/>
      </w:r>
      <w:r>
        <w:rPr>
          <w:lang w:val="en-AU"/>
        </w:rPr>
        <w:t>.</w:t>
      </w:r>
    </w:p>
    <w:p w14:paraId="3C6FF76A" w14:textId="77777777" w:rsidR="006D2E84" w:rsidRPr="0089366F" w:rsidRDefault="006D2E84" w:rsidP="006D2E84">
      <w:r>
        <w:t>C</w:t>
      </w:r>
      <w:r w:rsidRPr="0089366F">
        <w:t xml:space="preserve">onsultation events </w:t>
      </w:r>
      <w:r>
        <w:t xml:space="preserve">also occur as part of the process of policy development although their extent and coverage may vary as does the level of prior information provided to participants. </w:t>
      </w:r>
    </w:p>
    <w:p w14:paraId="2E737C98" w14:textId="77777777" w:rsidR="006D2E84" w:rsidRDefault="006D2E84" w:rsidP="006D2E84">
      <w:r w:rsidRPr="0089366F">
        <w:t xml:space="preserve">At site level existing legislation provides guidance on consulting with indigenous communities and seeking consent to undertake activities. The </w:t>
      </w:r>
      <w:r w:rsidRPr="007E2145">
        <w:rPr>
          <w:i/>
          <w:color w:val="4F81BD" w:themeColor="accent1"/>
        </w:rPr>
        <w:t>FRTU Act</w:t>
      </w:r>
      <w:r w:rsidRPr="0089366F">
        <w:t xml:space="preserve"> provides </w:t>
      </w:r>
      <w:r>
        <w:t xml:space="preserve">for </w:t>
      </w:r>
      <w:r w:rsidRPr="0089366F">
        <w:t xml:space="preserve">an approach to establishing consent </w:t>
      </w:r>
      <w:r>
        <w:t>to occur through the process of agreeing a TRA, including provision in advance of five year plans, preliminary meetings, publication of maps and notices in important places for at least two months, and final negotiations supported by undertaken in public and supported by a legal advisor to the landowners</w:t>
      </w:r>
      <w:r w:rsidRPr="0089366F">
        <w:rPr>
          <w:rStyle w:val="FootnoteReference"/>
          <w:iCs/>
          <w:sz w:val="24"/>
        </w:rPr>
        <w:footnoteReference w:id="92"/>
      </w:r>
      <w:r>
        <w:t xml:space="preserve">. The process is however vulnerable to </w:t>
      </w:r>
      <w:r w:rsidRPr="0089366F">
        <w:t>poor implementation</w:t>
      </w:r>
      <w:r>
        <w:t xml:space="preserve">, first due to the process of selecting representatives and secondly to the implementation of the negotiation process around a TRA which it is understood is rarely implemented in full. </w:t>
      </w:r>
    </w:p>
    <w:p w14:paraId="1F7F99F4" w14:textId="77777777" w:rsidR="006D2E84" w:rsidRDefault="006D2E84" w:rsidP="006D2E84">
      <w:r w:rsidRPr="0089366F">
        <w:t xml:space="preserve">The </w:t>
      </w:r>
      <w:r w:rsidRPr="000F6AFD">
        <w:rPr>
          <w:i/>
          <w:color w:val="4F81BD" w:themeColor="accent1"/>
        </w:rPr>
        <w:t xml:space="preserve">PA Act </w:t>
      </w:r>
      <w:r w:rsidRPr="0089366F">
        <w:t>also provides an option for establishing consent for establishment of a PA, with landowners required to go through a series of steps when applying for an area to be demarcated. The process for central demarcation by the Minister is</w:t>
      </w:r>
      <w:r>
        <w:t>,</w:t>
      </w:r>
      <w:r w:rsidRPr="0089366F">
        <w:t xml:space="preserve"> however</w:t>
      </w:r>
      <w:r>
        <w:t>,</w:t>
      </w:r>
      <w:r w:rsidRPr="0089366F">
        <w:t xml:space="preserve"> less comprehensive and there is no requirement for consent to be given</w:t>
      </w:r>
      <w:r>
        <w:t xml:space="preserve"> – although the constitutional provision should apply should landowners be deprived of access to their land</w:t>
      </w:r>
      <w:r w:rsidRPr="0089366F">
        <w:t xml:space="preserve">. </w:t>
      </w:r>
    </w:p>
    <w:p w14:paraId="2C917E9C" w14:textId="4A4A9E9B" w:rsidR="002C5EDB" w:rsidRDefault="006D2E84" w:rsidP="004D3F7E">
      <w:r>
        <w:t xml:space="preserve">The </w:t>
      </w:r>
      <w:r w:rsidRPr="007D4D4B">
        <w:rPr>
          <w:i/>
          <w:color w:val="4F81BD" w:themeColor="accent1"/>
        </w:rPr>
        <w:t>Environment Act</w:t>
      </w:r>
      <w:r>
        <w:t xml:space="preserve"> also provides requirements for consultation to occur during the process of considering a Development Consent application with the Director required to publish information on the proposed development and to hold a public meeting in the location to gain feedback on the proposal</w:t>
      </w:r>
      <w:r>
        <w:rPr>
          <w:rStyle w:val="FootnoteReference"/>
        </w:rPr>
        <w:footnoteReference w:id="93"/>
      </w:r>
      <w:r>
        <w:t xml:space="preserve">. While this provides a basis for free prior and informed consultation weaknesses in existing forms (the prescribed form to provide public notice of the application only provides limited information on the development and no requirement for a map), its application (EIS and PER documents are often not circulated in advance of consultations and no support is provided to landowners or communities to understand them) mean that the process is often limited in its effectiveness. </w:t>
      </w:r>
    </w:p>
    <w:p w14:paraId="77885E87" w14:textId="77777777" w:rsidR="006D2E84" w:rsidRPr="00422234" w:rsidRDefault="006D2E84" w:rsidP="002C5EDB">
      <w:pPr>
        <w:pStyle w:val="Heading4"/>
        <w:rPr>
          <w:highlight w:val="magenta"/>
        </w:rPr>
      </w:pPr>
      <w:r w:rsidRPr="00422234">
        <w:rPr>
          <w:highlight w:val="magenta"/>
        </w:rPr>
        <w:t xml:space="preserve">Recommendations </w:t>
      </w:r>
    </w:p>
    <w:p w14:paraId="459F57BB" w14:textId="77777777" w:rsidR="006D2E84" w:rsidRPr="00422234" w:rsidRDefault="006D2E84" w:rsidP="002C5EDB">
      <w:pPr>
        <w:pStyle w:val="Heading5"/>
        <w:ind w:left="1008" w:hanging="1008"/>
        <w:rPr>
          <w:highlight w:val="magenta"/>
        </w:rPr>
      </w:pPr>
      <w:r w:rsidRPr="00422234">
        <w:rPr>
          <w:highlight w:val="magenta"/>
        </w:rPr>
        <w:t xml:space="preserve">National </w:t>
      </w:r>
    </w:p>
    <w:p w14:paraId="0CF56FFD" w14:textId="77777777" w:rsidR="006D2E84" w:rsidRPr="00422234" w:rsidRDefault="006D2E84" w:rsidP="006B087B">
      <w:pPr>
        <w:numPr>
          <w:ilvl w:val="0"/>
          <w:numId w:val="23"/>
        </w:numPr>
        <w:spacing w:before="0"/>
        <w:rPr>
          <w:highlight w:val="magenta"/>
        </w:rPr>
      </w:pPr>
      <w:r w:rsidRPr="00422234">
        <w:rPr>
          <w:highlight w:val="magenta"/>
        </w:rPr>
        <w:t xml:space="preserve">Guidance is provided on how FPIC should be applied at the national level. </w:t>
      </w:r>
    </w:p>
    <w:p w14:paraId="2E549015" w14:textId="04E03DFF" w:rsidR="006D2E84" w:rsidRPr="00422234" w:rsidRDefault="006D2E84" w:rsidP="006B087B">
      <w:pPr>
        <w:numPr>
          <w:ilvl w:val="0"/>
          <w:numId w:val="23"/>
        </w:numPr>
        <w:spacing w:before="0"/>
        <w:rPr>
          <w:highlight w:val="magenta"/>
        </w:rPr>
      </w:pPr>
      <w:r w:rsidRPr="00422234">
        <w:rPr>
          <w:highlight w:val="magenta"/>
        </w:rPr>
        <w:t>FPIC becomes a requirement for all site based activities in the Solomon Islands</w:t>
      </w:r>
    </w:p>
    <w:p w14:paraId="7D283444" w14:textId="77777777" w:rsidR="006D2E84" w:rsidRPr="00422234" w:rsidRDefault="006D2E84" w:rsidP="002C5EDB">
      <w:pPr>
        <w:pStyle w:val="Heading5"/>
        <w:ind w:left="1008" w:hanging="1008"/>
        <w:rPr>
          <w:highlight w:val="magenta"/>
        </w:rPr>
      </w:pPr>
      <w:r w:rsidRPr="00422234">
        <w:rPr>
          <w:highlight w:val="magenta"/>
        </w:rPr>
        <w:t>Site level</w:t>
      </w:r>
    </w:p>
    <w:p w14:paraId="0A6A0F37" w14:textId="77777777" w:rsidR="006D2E84" w:rsidRPr="00422234" w:rsidRDefault="006D2E84" w:rsidP="006B087B">
      <w:pPr>
        <w:numPr>
          <w:ilvl w:val="0"/>
          <w:numId w:val="23"/>
        </w:numPr>
        <w:spacing w:before="0"/>
        <w:rPr>
          <w:highlight w:val="magenta"/>
        </w:rPr>
      </w:pPr>
      <w:r w:rsidRPr="00422234">
        <w:rPr>
          <w:highlight w:val="magenta"/>
        </w:rPr>
        <w:t xml:space="preserve">Guidance for the application of FPIC is established for all REDD+ related activities at site level </w:t>
      </w:r>
    </w:p>
    <w:p w14:paraId="21D663DC" w14:textId="31ED15B3" w:rsidR="006D2E84" w:rsidRPr="0089366F" w:rsidRDefault="00422234" w:rsidP="006D2E84">
      <w:pPr>
        <w:rPr>
          <w:highlight w:val="lightGray"/>
        </w:rPr>
      </w:pPr>
      <w:r>
        <w:rPr>
          <w:highlight w:val="lightGray"/>
        </w:rPr>
        <w:t>XXX</w:t>
      </w:r>
    </w:p>
    <w:p w14:paraId="38C1AF36" w14:textId="77777777" w:rsidR="006D2E84" w:rsidRPr="0089366F" w:rsidRDefault="006D2E84" w:rsidP="006D2E84">
      <w:pPr>
        <w:pStyle w:val="Heading4"/>
      </w:pPr>
      <w:r w:rsidRPr="0089366F">
        <w:t>Recommended Actions:</w:t>
      </w:r>
    </w:p>
    <w:p w14:paraId="796B7E9C" w14:textId="77777777" w:rsidR="006D2E84" w:rsidRPr="0089366F" w:rsidRDefault="006D2E84" w:rsidP="006D2E84">
      <w:pPr>
        <w:rPr>
          <w:highlight w:val="lightGray"/>
        </w:rPr>
      </w:pPr>
    </w:p>
    <w:p w14:paraId="2BE51844" w14:textId="77777777" w:rsidR="006D2E84" w:rsidRPr="0089366F" w:rsidRDefault="006D2E84" w:rsidP="006D2E84">
      <w:pPr>
        <w:pStyle w:val="Heading4"/>
      </w:pPr>
      <w:r w:rsidRPr="0089366F">
        <w:t xml:space="preserve">Potential Indicators </w:t>
      </w:r>
    </w:p>
    <w:p w14:paraId="0EE0AA45" w14:textId="77777777" w:rsidR="006D2E84" w:rsidRPr="0089366F" w:rsidRDefault="006D2E84" w:rsidP="006B087B">
      <w:pPr>
        <w:numPr>
          <w:ilvl w:val="0"/>
          <w:numId w:val="44"/>
        </w:numPr>
        <w:spacing w:before="0"/>
      </w:pPr>
      <w:r w:rsidRPr="0089366F">
        <w:t xml:space="preserve">Guidance documents on FPIC developed </w:t>
      </w:r>
    </w:p>
    <w:p w14:paraId="5BF0CA11" w14:textId="77777777" w:rsidR="006D2E84" w:rsidRPr="0089366F" w:rsidRDefault="006D2E84" w:rsidP="006B087B">
      <w:pPr>
        <w:numPr>
          <w:ilvl w:val="0"/>
          <w:numId w:val="44"/>
        </w:numPr>
        <w:spacing w:before="0"/>
      </w:pPr>
      <w:r w:rsidRPr="0089366F">
        <w:t xml:space="preserve">FPIC guidance followed at national level </w:t>
      </w:r>
    </w:p>
    <w:p w14:paraId="3F84E670" w14:textId="77777777" w:rsidR="006D2E84" w:rsidRPr="0089366F" w:rsidRDefault="006D2E84" w:rsidP="006B087B">
      <w:pPr>
        <w:pStyle w:val="ListParagraph"/>
        <w:numPr>
          <w:ilvl w:val="0"/>
          <w:numId w:val="44"/>
        </w:numPr>
        <w:spacing w:before="0"/>
      </w:pPr>
      <w:r w:rsidRPr="0089366F">
        <w:t xml:space="preserve">Legislation developed on FPIC at national level </w:t>
      </w:r>
    </w:p>
    <w:p w14:paraId="68891E9E" w14:textId="77777777" w:rsidR="006D2E84" w:rsidRPr="0089366F" w:rsidRDefault="006D2E84" w:rsidP="006B087B">
      <w:pPr>
        <w:pStyle w:val="ListParagraph"/>
        <w:numPr>
          <w:ilvl w:val="0"/>
          <w:numId w:val="44"/>
        </w:numPr>
        <w:spacing w:before="0"/>
      </w:pPr>
      <w:r w:rsidRPr="0089366F">
        <w:t>Legislation passed</w:t>
      </w:r>
    </w:p>
    <w:p w14:paraId="6F687B9F" w14:textId="77777777" w:rsidR="006D2E84" w:rsidRPr="0089366F" w:rsidRDefault="006D2E84" w:rsidP="006D2E84">
      <w:pPr>
        <w:pStyle w:val="Heading4"/>
      </w:pPr>
      <w:r w:rsidRPr="0089366F">
        <w:t xml:space="preserve">Data Collection: </w:t>
      </w:r>
    </w:p>
    <w:p w14:paraId="165B7601" w14:textId="77777777" w:rsidR="006D2E84" w:rsidRPr="0089366F" w:rsidRDefault="006D2E84" w:rsidP="006B087B">
      <w:pPr>
        <w:pStyle w:val="ListParagraph"/>
        <w:numPr>
          <w:ilvl w:val="0"/>
          <w:numId w:val="45"/>
        </w:numPr>
        <w:spacing w:before="0"/>
      </w:pPr>
      <w:r w:rsidRPr="0089366F">
        <w:t xml:space="preserve">Guidance documents held by RIU </w:t>
      </w:r>
    </w:p>
    <w:p w14:paraId="4DCAC5ED" w14:textId="77777777" w:rsidR="006D2E84" w:rsidRPr="0089366F" w:rsidRDefault="006D2E84" w:rsidP="006B087B">
      <w:pPr>
        <w:pStyle w:val="ListParagraph"/>
        <w:numPr>
          <w:ilvl w:val="0"/>
          <w:numId w:val="45"/>
        </w:numPr>
        <w:spacing w:before="0"/>
      </w:pPr>
      <w:r w:rsidRPr="0089366F">
        <w:t xml:space="preserve">Implementation of FPIC process documented within project registration documents </w:t>
      </w:r>
    </w:p>
    <w:p w14:paraId="7717EC76" w14:textId="77777777" w:rsidR="006D2E84" w:rsidRPr="0089366F" w:rsidRDefault="006D2E84" w:rsidP="006B087B">
      <w:pPr>
        <w:pStyle w:val="ListParagraph"/>
        <w:numPr>
          <w:ilvl w:val="0"/>
          <w:numId w:val="45"/>
        </w:numPr>
        <w:spacing w:before="0"/>
      </w:pPr>
      <w:r w:rsidRPr="0089366F">
        <w:t xml:space="preserve">Legislation on FPIC in front of cabinet and published in gazette </w:t>
      </w:r>
    </w:p>
    <w:p w14:paraId="4102B0FF" w14:textId="77777777" w:rsidR="006D2E84" w:rsidRPr="0089366F" w:rsidRDefault="006D2E84" w:rsidP="006D2E84"/>
    <w:p w14:paraId="1F4CEF8B" w14:textId="77777777" w:rsidR="006D2E84" w:rsidRPr="0089366F" w:rsidRDefault="006D2E84" w:rsidP="006D2E84"/>
    <w:p w14:paraId="658E7738" w14:textId="77777777" w:rsidR="006D2E84" w:rsidRPr="0089366F" w:rsidRDefault="006D2E84" w:rsidP="002C5EDB">
      <w:pPr>
        <w:pStyle w:val="Heading3"/>
        <w:numPr>
          <w:ilvl w:val="0"/>
          <w:numId w:val="0"/>
        </w:numPr>
        <w:ind w:left="720"/>
        <w:sectPr w:rsidR="006D2E84" w:rsidRPr="0089366F" w:rsidSect="00014341">
          <w:pgSz w:w="11900" w:h="16840"/>
          <w:pgMar w:top="1440" w:right="1080" w:bottom="1440" w:left="1080" w:header="708" w:footer="708" w:gutter="0"/>
          <w:cols w:space="708"/>
          <w:docGrid w:linePitch="360"/>
        </w:sectPr>
      </w:pPr>
    </w:p>
    <w:p w14:paraId="4E3CC028" w14:textId="29B72027" w:rsidR="006D2E84" w:rsidRPr="0089366F" w:rsidRDefault="006D2E84" w:rsidP="002C5EDB">
      <w:pPr>
        <w:pStyle w:val="Heading3"/>
        <w:numPr>
          <w:ilvl w:val="0"/>
          <w:numId w:val="0"/>
        </w:numPr>
      </w:pPr>
      <w:bookmarkStart w:id="39" w:name="_Toc254892853"/>
      <w:r w:rsidRPr="0089366F">
        <w:t>Criterion 10 – Ensure there is no involuntary resettlement as a result of REDD+</w:t>
      </w:r>
      <w:bookmarkEnd w:id="39"/>
    </w:p>
    <w:p w14:paraId="0BA4A6E9" w14:textId="77777777" w:rsidR="006D2E84" w:rsidRPr="0089366F" w:rsidRDefault="006D2E84" w:rsidP="006D2E84">
      <w:pPr>
        <w:pStyle w:val="Heading4"/>
      </w:pPr>
      <w:r w:rsidRPr="0089366F">
        <w:t xml:space="preserve">Potential Risks: </w:t>
      </w:r>
    </w:p>
    <w:p w14:paraId="46A3ED18" w14:textId="77777777" w:rsidR="006D2E84" w:rsidRPr="0089366F" w:rsidRDefault="006D2E84" w:rsidP="006D2E84">
      <w:r w:rsidRPr="0089366F">
        <w:t xml:space="preserve">Establishment of REDD+ activities or programmes, results in involuntary resettlement of communities or individuals. </w:t>
      </w:r>
    </w:p>
    <w:p w14:paraId="19CB9141" w14:textId="77777777" w:rsidR="006D2E84" w:rsidRPr="0089366F" w:rsidRDefault="006D2E84" w:rsidP="006D2E84">
      <w:pPr>
        <w:pStyle w:val="Heading4"/>
      </w:pPr>
      <w:r>
        <w:t xml:space="preserve">Summary </w:t>
      </w:r>
      <w:r w:rsidRPr="0089366F">
        <w:t>Review of Existing Legislation and its Application:</w:t>
      </w:r>
    </w:p>
    <w:p w14:paraId="319034CB" w14:textId="77777777" w:rsidR="006D2E84" w:rsidRPr="0089366F" w:rsidRDefault="006D2E84" w:rsidP="002C5EDB">
      <w:pPr>
        <w:pStyle w:val="Heading5"/>
        <w:ind w:left="1008" w:hanging="1008"/>
      </w:pPr>
      <w:r w:rsidRPr="0089366F">
        <w:t>REDD+</w:t>
      </w:r>
    </w:p>
    <w:p w14:paraId="044622D8" w14:textId="77777777" w:rsidR="006D2E84" w:rsidRPr="0089366F" w:rsidRDefault="006D2E84" w:rsidP="006D2E84">
      <w:r w:rsidRPr="0089366F">
        <w:t xml:space="preserve">Existing REDD+ activities have focused on development of strategies and has not presented a significant risk of involuntary resettlement. </w:t>
      </w:r>
    </w:p>
    <w:p w14:paraId="11B37CCE" w14:textId="77777777" w:rsidR="006D2E84" w:rsidRPr="0089366F" w:rsidRDefault="006D2E84" w:rsidP="006D2E84">
      <w:pPr>
        <w:pStyle w:val="Heading5"/>
      </w:pPr>
      <w:r w:rsidRPr="0089366F">
        <w:t>Existing Legislation</w:t>
      </w:r>
    </w:p>
    <w:p w14:paraId="2DC7B77D" w14:textId="4FF29142" w:rsidR="006D2E84" w:rsidRDefault="006D2E84" w:rsidP="006D2E84">
      <w:r>
        <w:t xml:space="preserve">The </w:t>
      </w:r>
      <w:r w:rsidRPr="00332178">
        <w:rPr>
          <w:i/>
          <w:color w:val="4F81BD" w:themeColor="accent1"/>
        </w:rPr>
        <w:t>Constitution</w:t>
      </w:r>
      <w:r>
        <w:t xml:space="preserve"> provides protection against the deprivation of property</w:t>
      </w:r>
      <w:r>
        <w:rPr>
          <w:rStyle w:val="FootnoteReference"/>
        </w:rPr>
        <w:footnoteReference w:id="94"/>
      </w:r>
      <w:r w:rsidR="00227F3C">
        <w:t xml:space="preserve"> and </w:t>
      </w:r>
      <w:r>
        <w:t>that prior to any compulsory land acquisition negotiations should occur</w:t>
      </w:r>
      <w:r>
        <w:rPr>
          <w:rStyle w:val="FootnoteReference"/>
          <w:i/>
          <w:lang w:val="en-AU"/>
        </w:rPr>
        <w:footnoteReference w:id="95"/>
      </w:r>
      <w:r>
        <w:rPr>
          <w:lang w:val="en-AU"/>
        </w:rPr>
        <w:t>.</w:t>
      </w:r>
      <w:r>
        <w:t xml:space="preserve"> Neither clause however prevents involuntary resettlement but provides for resettlement to first be negotiated and then contested within the courts. </w:t>
      </w:r>
    </w:p>
    <w:p w14:paraId="61D70947" w14:textId="77777777" w:rsidR="006D2E84" w:rsidRDefault="006D2E84" w:rsidP="006D2E84">
      <w:r>
        <w:t xml:space="preserve">The </w:t>
      </w:r>
      <w:r w:rsidRPr="004A6DE8">
        <w:rPr>
          <w:i/>
          <w:color w:val="4F81BD" w:themeColor="accent1"/>
        </w:rPr>
        <w:t>FRTU Act</w:t>
      </w:r>
      <w:r>
        <w:t xml:space="preserve"> provides for protection against resettlement due to logging operations requiring all operations to occur at least 100m from villages</w:t>
      </w:r>
      <w:r>
        <w:rPr>
          <w:rStyle w:val="FootnoteReference"/>
        </w:rPr>
        <w:footnoteReference w:id="96"/>
      </w:r>
      <w:r>
        <w:t xml:space="preserve">. </w:t>
      </w:r>
    </w:p>
    <w:p w14:paraId="118BE4F4" w14:textId="77777777" w:rsidR="006D2E84" w:rsidRDefault="006D2E84" w:rsidP="006D2E84">
      <w:r>
        <w:t xml:space="preserve">Screening for the risk of involuntary resettlement is not covered within the </w:t>
      </w:r>
      <w:r w:rsidRPr="004A6DE8">
        <w:rPr>
          <w:i/>
          <w:color w:val="4F81BD" w:themeColor="accent1"/>
        </w:rPr>
        <w:t>Environment Act</w:t>
      </w:r>
      <w:r>
        <w:t xml:space="preserve"> with requirement EIS or PER not specifically mentioning resettlement although assessment of the </w:t>
      </w:r>
      <w:r w:rsidRPr="004A6DE8">
        <w:rPr>
          <w:i/>
        </w:rPr>
        <w:t>social impact on the surrounding communities where the prescri</w:t>
      </w:r>
      <w:r>
        <w:rPr>
          <w:i/>
        </w:rPr>
        <w:t>bed development is to be located</w:t>
      </w:r>
      <w:r>
        <w:t xml:space="preserve"> is a requirement of regulations for the EIS</w:t>
      </w:r>
      <w:r>
        <w:rPr>
          <w:rStyle w:val="FootnoteReference"/>
        </w:rPr>
        <w:footnoteReference w:id="97"/>
      </w:r>
      <w:r>
        <w:t xml:space="preserve">. </w:t>
      </w:r>
    </w:p>
    <w:p w14:paraId="324DB281" w14:textId="77777777" w:rsidR="00227F3C" w:rsidRDefault="006D2E84" w:rsidP="00227F3C">
      <w:r>
        <w:t xml:space="preserve">The </w:t>
      </w:r>
      <w:r w:rsidRPr="00A06B89">
        <w:rPr>
          <w:i/>
          <w:color w:val="4F81BD" w:themeColor="accent1"/>
        </w:rPr>
        <w:t>PA Act</w:t>
      </w:r>
      <w:r>
        <w:t xml:space="preserve"> provides no consideration of the potential for resettlement and while the Director must verify rights and interests to an area being proposed for protection there is no requirement to ensure consent has been given</w:t>
      </w:r>
      <w:r>
        <w:rPr>
          <w:rStyle w:val="FootnoteReference"/>
        </w:rPr>
        <w:footnoteReference w:id="98"/>
      </w:r>
      <w:r>
        <w:t xml:space="preserve">. </w:t>
      </w:r>
    </w:p>
    <w:p w14:paraId="27BB6DAA" w14:textId="4110FE01" w:rsidR="00227F3C" w:rsidRPr="0089366F" w:rsidRDefault="00227F3C" w:rsidP="006D2E84">
      <w:r>
        <w:rPr>
          <w:lang w:val="en-US"/>
        </w:rPr>
        <w:t xml:space="preserve">Provisions for compulsory land acquisition are also provided within the </w:t>
      </w:r>
      <w:r w:rsidRPr="005D4C75">
        <w:rPr>
          <w:i/>
          <w:color w:val="4F81BD" w:themeColor="accent1"/>
          <w:lang w:val="en-US"/>
        </w:rPr>
        <w:t>Land and Titles Act</w:t>
      </w:r>
      <w:r w:rsidR="005D4C75">
        <w:rPr>
          <w:rStyle w:val="FootnoteReference"/>
          <w:i/>
          <w:color w:val="4F81BD" w:themeColor="accent1"/>
          <w:lang w:val="en-US"/>
        </w:rPr>
        <w:footnoteReference w:id="99"/>
      </w:r>
      <w:r w:rsidRPr="00227F3C">
        <w:rPr>
          <w:lang w:val="en-US"/>
        </w:rPr>
        <w:t xml:space="preserve">. </w:t>
      </w:r>
      <w:r w:rsidR="005D4C75">
        <w:rPr>
          <w:lang w:val="en-US"/>
        </w:rPr>
        <w:t xml:space="preserve">Recent analysis by ADB however notes that this does not </w:t>
      </w:r>
      <w:r w:rsidRPr="00227F3C">
        <w:rPr>
          <w:lang w:val="en-US"/>
        </w:rPr>
        <w:t>implement s112 of the Constitution, particularly in regard to the requirements that there is prior negotiation with the landowners before the compulsory acquisition.</w:t>
      </w:r>
      <w:r w:rsidR="005D4C75">
        <w:t xml:space="preserve"> This process can also be compared to the </w:t>
      </w:r>
      <w:r w:rsidRPr="005D4C75">
        <w:rPr>
          <w:i/>
          <w:color w:val="4F81BD" w:themeColor="accent1"/>
          <w:lang w:val="en-US"/>
        </w:rPr>
        <w:t>Min</w:t>
      </w:r>
      <w:r w:rsidR="005D4C75" w:rsidRPr="005D4C75">
        <w:rPr>
          <w:i/>
          <w:color w:val="4F81BD" w:themeColor="accent1"/>
          <w:lang w:val="en-US"/>
        </w:rPr>
        <w:t>es and Minerals Act</w:t>
      </w:r>
      <w:r w:rsidRPr="00227F3C">
        <w:rPr>
          <w:lang w:val="en-US"/>
        </w:rPr>
        <w:t>, wh</w:t>
      </w:r>
      <w:r w:rsidR="005D4C75">
        <w:rPr>
          <w:lang w:val="en-US"/>
        </w:rPr>
        <w:t xml:space="preserve">ich requires </w:t>
      </w:r>
      <w:r w:rsidRPr="00227F3C">
        <w:rPr>
          <w:lang w:val="en-US"/>
        </w:rPr>
        <w:t>negotiations have taken place</w:t>
      </w:r>
      <w:r w:rsidR="005D4C75">
        <w:rPr>
          <w:lang w:val="en-US"/>
        </w:rPr>
        <w:t xml:space="preserve"> prior to any compulsory land acquisition</w:t>
      </w:r>
      <w:r w:rsidRPr="00227F3C">
        <w:rPr>
          <w:lang w:val="en-US"/>
        </w:rPr>
        <w:t xml:space="preserve">. </w:t>
      </w:r>
    </w:p>
    <w:p w14:paraId="480415A2" w14:textId="4BE04F79" w:rsidR="006D2E84" w:rsidRPr="0089366F" w:rsidRDefault="006D2E84" w:rsidP="006D2E84">
      <w:pPr>
        <w:pStyle w:val="Heading4"/>
      </w:pPr>
      <w:r w:rsidRPr="0089366F">
        <w:t xml:space="preserve">Recommendations </w:t>
      </w:r>
      <w:r w:rsidR="00422234">
        <w:t>to e</w:t>
      </w:r>
      <w:r w:rsidR="00422234" w:rsidRPr="00422234">
        <w:t>nsure there is no involuntary resettlement as a result of REDD+</w:t>
      </w:r>
    </w:p>
    <w:p w14:paraId="5FBEB21B" w14:textId="77777777" w:rsidR="006D2E84" w:rsidRPr="0089366F" w:rsidRDefault="006D2E84" w:rsidP="006D2E84">
      <w:pPr>
        <w:pStyle w:val="Heading5"/>
      </w:pPr>
      <w:r w:rsidRPr="0089366F">
        <w:t xml:space="preserve">National </w:t>
      </w:r>
    </w:p>
    <w:p w14:paraId="16A8E983" w14:textId="1B54AA37" w:rsidR="00422234" w:rsidRDefault="00422234" w:rsidP="00422234">
      <w:pPr>
        <w:spacing w:before="0"/>
        <w:rPr>
          <w:u w:val="single"/>
        </w:rPr>
      </w:pPr>
      <w:r>
        <w:rPr>
          <w:u w:val="single"/>
        </w:rPr>
        <w:t>Cross Cutting:</w:t>
      </w:r>
    </w:p>
    <w:p w14:paraId="1B7D4587" w14:textId="18046446" w:rsidR="00422234" w:rsidRDefault="00422234" w:rsidP="00422234">
      <w:pPr>
        <w:pStyle w:val="ListParagraph"/>
        <w:numPr>
          <w:ilvl w:val="0"/>
          <w:numId w:val="23"/>
        </w:numPr>
        <w:spacing w:before="0"/>
      </w:pPr>
      <w:r>
        <w:t xml:space="preserve">National REDD+ Committee rejects any project or activity that has the potential to result in involuntary resettlement for REDD+ funding. </w:t>
      </w:r>
    </w:p>
    <w:p w14:paraId="69130FDE" w14:textId="663B9D0A" w:rsidR="00422234" w:rsidRPr="00422234" w:rsidRDefault="00422234" w:rsidP="00422234">
      <w:pPr>
        <w:spacing w:before="0"/>
      </w:pPr>
    </w:p>
    <w:p w14:paraId="7755B2B0" w14:textId="2DB5130F" w:rsidR="00422234" w:rsidRPr="00422234" w:rsidRDefault="00422234" w:rsidP="00422234">
      <w:pPr>
        <w:spacing w:before="0"/>
        <w:rPr>
          <w:u w:val="single"/>
        </w:rPr>
      </w:pPr>
      <w:r w:rsidRPr="00422234">
        <w:rPr>
          <w:u w:val="single"/>
        </w:rPr>
        <w:t>Environment</w:t>
      </w:r>
    </w:p>
    <w:p w14:paraId="31C38FE0" w14:textId="0489DE3B" w:rsidR="006D2E84" w:rsidRPr="0089366F" w:rsidRDefault="006D2E84" w:rsidP="006B087B">
      <w:pPr>
        <w:numPr>
          <w:ilvl w:val="0"/>
          <w:numId w:val="23"/>
        </w:numPr>
        <w:spacing w:before="0"/>
      </w:pPr>
      <w:r w:rsidRPr="0089366F">
        <w:t xml:space="preserve">Potential risks for involuntary resettlement should be included within EIS documents </w:t>
      </w:r>
      <w:r w:rsidR="005D4C75">
        <w:t xml:space="preserve">and PA proposals </w:t>
      </w:r>
    </w:p>
    <w:p w14:paraId="36734497" w14:textId="77777777" w:rsidR="006D2E84" w:rsidRPr="00957A7A" w:rsidRDefault="006D2E84" w:rsidP="006D2E84">
      <w:pPr>
        <w:pStyle w:val="Heading5"/>
      </w:pPr>
      <w:r w:rsidRPr="00957A7A">
        <w:t>Site level</w:t>
      </w:r>
    </w:p>
    <w:p w14:paraId="5B6AE567" w14:textId="77777777" w:rsidR="006D2E84" w:rsidRPr="0089366F" w:rsidRDefault="006D2E84" w:rsidP="006D2E84">
      <w:pPr>
        <w:rPr>
          <w:highlight w:val="lightGray"/>
        </w:rPr>
      </w:pPr>
    </w:p>
    <w:p w14:paraId="2EEF8247" w14:textId="77777777" w:rsidR="006D2E84" w:rsidRPr="0089366F" w:rsidRDefault="006D2E84" w:rsidP="006D2E84">
      <w:pPr>
        <w:pStyle w:val="Heading4"/>
      </w:pPr>
      <w:r w:rsidRPr="0089366F">
        <w:t>Recommended Actions:</w:t>
      </w:r>
    </w:p>
    <w:p w14:paraId="356599D0" w14:textId="77777777" w:rsidR="006D2E84" w:rsidRPr="00422234" w:rsidRDefault="006D2E84" w:rsidP="006D2E84">
      <w:pPr>
        <w:rPr>
          <w:highlight w:val="lightGray"/>
        </w:rPr>
      </w:pPr>
      <w:r w:rsidRPr="00422234">
        <w:rPr>
          <w:highlight w:val="lightGray"/>
        </w:rPr>
        <w:t>Environment Act and Regulations are revised to provide clearer guidance on consideration of the risk of involuntary resettlement during the PER or EIS process.</w:t>
      </w:r>
    </w:p>
    <w:p w14:paraId="15CA86FF" w14:textId="77777777" w:rsidR="006D2E84" w:rsidRPr="00A06B89" w:rsidRDefault="006D2E84" w:rsidP="006D2E84">
      <w:r w:rsidRPr="00422234">
        <w:rPr>
          <w:highlight w:val="lightGray"/>
        </w:rPr>
        <w:t>Clearer guidance is provided on undertaking an impact assessment for PA establishment as well as ensuring consent is provided by relevant landowners,</w:t>
      </w:r>
      <w:r>
        <w:t xml:space="preserve"> </w:t>
      </w:r>
      <w:r w:rsidRPr="00A06B89">
        <w:t xml:space="preserve"> </w:t>
      </w:r>
    </w:p>
    <w:p w14:paraId="15A9B497" w14:textId="77777777" w:rsidR="006D2E84" w:rsidRPr="0089366F" w:rsidRDefault="006D2E84" w:rsidP="006D2E84">
      <w:pPr>
        <w:pStyle w:val="Heading4"/>
      </w:pPr>
      <w:r w:rsidRPr="0089366F">
        <w:t xml:space="preserve">Potential Indicators </w:t>
      </w:r>
    </w:p>
    <w:p w14:paraId="2A81B111" w14:textId="77777777" w:rsidR="006D2E84" w:rsidRPr="0089366F" w:rsidRDefault="006D2E84" w:rsidP="006B087B">
      <w:pPr>
        <w:numPr>
          <w:ilvl w:val="0"/>
          <w:numId w:val="46"/>
        </w:numPr>
        <w:spacing w:before="0"/>
      </w:pPr>
      <w:r w:rsidRPr="0089366F">
        <w:t xml:space="preserve">EIS documents for REDD+ related activities include an assessment of potential involuntary resettlement </w:t>
      </w:r>
    </w:p>
    <w:p w14:paraId="4C729318" w14:textId="77777777" w:rsidR="006D2E84" w:rsidRPr="0089366F" w:rsidRDefault="006D2E84" w:rsidP="006B087B">
      <w:pPr>
        <w:numPr>
          <w:ilvl w:val="0"/>
          <w:numId w:val="46"/>
        </w:numPr>
        <w:spacing w:before="0"/>
      </w:pPr>
      <w:r w:rsidRPr="0089366F">
        <w:t>PA applications should include an assessment of the potential risk of involuntary resettlement</w:t>
      </w:r>
    </w:p>
    <w:p w14:paraId="6281E937" w14:textId="77777777" w:rsidR="006D2E84" w:rsidRPr="0089366F" w:rsidRDefault="006D2E84" w:rsidP="006D2E84">
      <w:pPr>
        <w:pStyle w:val="Heading4"/>
      </w:pPr>
      <w:r w:rsidRPr="0089366F">
        <w:t xml:space="preserve">Data Collection: </w:t>
      </w:r>
    </w:p>
    <w:p w14:paraId="2CDCD998" w14:textId="77777777" w:rsidR="006D2E84" w:rsidRPr="0089366F" w:rsidRDefault="006D2E84" w:rsidP="006B087B">
      <w:pPr>
        <w:pStyle w:val="ListParagraph"/>
        <w:numPr>
          <w:ilvl w:val="0"/>
          <w:numId w:val="47"/>
        </w:numPr>
        <w:spacing w:before="0"/>
      </w:pPr>
      <w:r w:rsidRPr="0089366F">
        <w:t>Project registration documents provided as part of the project registration process.</w:t>
      </w:r>
    </w:p>
    <w:p w14:paraId="2F94644D" w14:textId="77777777" w:rsidR="006D2E84" w:rsidRPr="0089366F" w:rsidRDefault="006D2E84" w:rsidP="006B087B">
      <w:pPr>
        <w:pStyle w:val="ListParagraph"/>
        <w:numPr>
          <w:ilvl w:val="0"/>
          <w:numId w:val="47"/>
        </w:numPr>
        <w:spacing w:before="0"/>
      </w:pPr>
      <w:r w:rsidRPr="0089366F">
        <w:t>Project registration documents provided as part of the project registration process.</w:t>
      </w:r>
    </w:p>
    <w:p w14:paraId="6AD8ADC5" w14:textId="77777777" w:rsidR="006D2E84" w:rsidRPr="0089366F" w:rsidRDefault="006D2E84" w:rsidP="006D2E84">
      <w:r w:rsidRPr="0089366F">
        <w:t xml:space="preserve"> </w:t>
      </w:r>
    </w:p>
    <w:p w14:paraId="158F4991" w14:textId="77777777" w:rsidR="006D2E84" w:rsidRPr="0089366F" w:rsidRDefault="006D2E84" w:rsidP="006D2E84">
      <w:pPr>
        <w:pStyle w:val="ListParagraph"/>
        <w:ind w:left="360"/>
      </w:pPr>
      <w:r w:rsidRPr="0089366F">
        <w:t xml:space="preserve"> </w:t>
      </w:r>
    </w:p>
    <w:p w14:paraId="77065410" w14:textId="77777777" w:rsidR="006D2E84" w:rsidRDefault="006D2E84" w:rsidP="002C5EDB">
      <w:pPr>
        <w:pStyle w:val="Heading3"/>
        <w:numPr>
          <w:ilvl w:val="0"/>
          <w:numId w:val="0"/>
        </w:numPr>
        <w:ind w:left="720" w:hanging="720"/>
        <w:sectPr w:rsidR="006D2E84" w:rsidSect="00014341">
          <w:pgSz w:w="11900" w:h="16840"/>
          <w:pgMar w:top="1440" w:right="1080" w:bottom="1440" w:left="1080" w:header="708" w:footer="708" w:gutter="0"/>
          <w:cols w:space="708"/>
          <w:docGrid w:linePitch="360"/>
        </w:sectPr>
      </w:pPr>
    </w:p>
    <w:p w14:paraId="028966DD" w14:textId="34CCB632" w:rsidR="006D2E84" w:rsidRPr="0089366F" w:rsidRDefault="006D2E84" w:rsidP="002C5EDB">
      <w:pPr>
        <w:pStyle w:val="Heading3"/>
        <w:numPr>
          <w:ilvl w:val="0"/>
          <w:numId w:val="0"/>
        </w:numPr>
        <w:ind w:left="720" w:hanging="720"/>
      </w:pPr>
      <w:bookmarkStart w:id="40" w:name="_Toc254892854"/>
      <w:r w:rsidRPr="0089366F">
        <w:t>Criterion 11 – Respect and protect traditional knowledge, and cultural heritage and practices</w:t>
      </w:r>
      <w:bookmarkEnd w:id="40"/>
    </w:p>
    <w:p w14:paraId="6C3BEDC5" w14:textId="77777777" w:rsidR="006D2E84" w:rsidRPr="0089366F" w:rsidRDefault="006D2E84" w:rsidP="006D2E84">
      <w:pPr>
        <w:pStyle w:val="Heading4"/>
      </w:pPr>
      <w:r w:rsidRPr="0089366F">
        <w:t xml:space="preserve">Potential Risks: </w:t>
      </w:r>
    </w:p>
    <w:p w14:paraId="521D9554" w14:textId="77777777" w:rsidR="006D2E84" w:rsidRPr="0089366F" w:rsidRDefault="006D2E84" w:rsidP="006D2E84">
      <w:r w:rsidRPr="0089366F">
        <w:t>Establishment of REDD+ activities or programmes, results in loss of traditional knowledge, and cultural heritage and practices</w:t>
      </w:r>
    </w:p>
    <w:p w14:paraId="53F6A489" w14:textId="77777777" w:rsidR="006D2E84" w:rsidRPr="0089366F" w:rsidRDefault="006D2E84" w:rsidP="006D2E84">
      <w:pPr>
        <w:pStyle w:val="Heading4"/>
      </w:pPr>
      <w:r>
        <w:t xml:space="preserve">Summary </w:t>
      </w:r>
      <w:r w:rsidRPr="0089366F">
        <w:t>Review of Existing Legislation and its Application:</w:t>
      </w:r>
    </w:p>
    <w:p w14:paraId="381300A0" w14:textId="77777777" w:rsidR="006D2E84" w:rsidRPr="0089366F" w:rsidRDefault="006D2E84" w:rsidP="006D2E84">
      <w:pPr>
        <w:pStyle w:val="Heading5"/>
      </w:pPr>
      <w:r w:rsidRPr="0089366F">
        <w:t>REDD+</w:t>
      </w:r>
    </w:p>
    <w:p w14:paraId="4C0BC055" w14:textId="77777777" w:rsidR="006D2E84" w:rsidRPr="0089366F" w:rsidRDefault="006D2E84" w:rsidP="006D2E84">
      <w:r w:rsidRPr="0089366F">
        <w:t>Existing REDD+ activities have worked to include custom</w:t>
      </w:r>
      <w:r>
        <w:t>ary authorities within decision-</w:t>
      </w:r>
      <w:r w:rsidRPr="0089366F">
        <w:t xml:space="preserve">making processes. </w:t>
      </w:r>
    </w:p>
    <w:p w14:paraId="79DE5E48" w14:textId="77777777" w:rsidR="006D2E84" w:rsidRPr="0089366F" w:rsidRDefault="006D2E84" w:rsidP="006D2E84">
      <w:pPr>
        <w:pStyle w:val="Heading5"/>
      </w:pPr>
      <w:r w:rsidRPr="0089366F">
        <w:t>Existing Legislation</w:t>
      </w:r>
    </w:p>
    <w:p w14:paraId="787C425F" w14:textId="578B76AE" w:rsidR="006D2E84" w:rsidRPr="0089366F" w:rsidRDefault="006D2E84" w:rsidP="006D2E84">
      <w:r w:rsidRPr="0089366F">
        <w:t xml:space="preserve">Existing legislation provides a framework for both the promotion and protection of traditional knowledge, and cultural heritage and practices with the role of customary law acknowledged within the </w:t>
      </w:r>
      <w:r w:rsidRPr="00C33159">
        <w:rPr>
          <w:i/>
          <w:color w:val="4F81BD" w:themeColor="accent1"/>
        </w:rPr>
        <w:t>Constitution</w:t>
      </w:r>
      <w:r w:rsidRPr="0089366F">
        <w:t xml:space="preserve"> and being applicable when not in contradiction to other state laws</w:t>
      </w:r>
      <w:r w:rsidR="002C5EDB">
        <w:t xml:space="preserve">. </w:t>
      </w:r>
    </w:p>
    <w:p w14:paraId="520B318B" w14:textId="77777777" w:rsidR="006D2E84" w:rsidRDefault="006D2E84" w:rsidP="006D2E84">
      <w:r>
        <w:t xml:space="preserve">The </w:t>
      </w:r>
      <w:r w:rsidRPr="00C33159">
        <w:rPr>
          <w:i/>
          <w:color w:val="4F81BD" w:themeColor="accent1"/>
        </w:rPr>
        <w:t>FRTU Act</w:t>
      </w:r>
      <w:r>
        <w:t xml:space="preserve"> requires timber operations to ensure the protection of tambu sites and village safety and environment including the respect of local customs</w:t>
      </w:r>
      <w:r>
        <w:rPr>
          <w:rStyle w:val="FootnoteReference"/>
        </w:rPr>
        <w:footnoteReference w:id="100"/>
      </w:r>
      <w:r>
        <w:t xml:space="preserve"> with the</w:t>
      </w:r>
      <w:r w:rsidRPr="0089366F">
        <w:rPr>
          <w:szCs w:val="22"/>
        </w:rPr>
        <w:t xml:space="preserve"> Commissioner </w:t>
      </w:r>
      <w:r>
        <w:rPr>
          <w:szCs w:val="22"/>
        </w:rPr>
        <w:t>unable to</w:t>
      </w:r>
      <w:r w:rsidRPr="0089366F">
        <w:rPr>
          <w:szCs w:val="22"/>
        </w:rPr>
        <w:t xml:space="preserve"> grant a license unless satisfied that the applicant has agreed to: </w:t>
      </w:r>
      <w:r w:rsidRPr="00C33159">
        <w:rPr>
          <w:i/>
          <w:szCs w:val="22"/>
        </w:rPr>
        <w:t>take measures for the conservation of catchment areas of rivers, prevention of soil erosion, and preservation of the environment, tambu places and sites of historical importance.</w:t>
      </w:r>
      <w:r w:rsidRPr="0089366F">
        <w:rPr>
          <w:szCs w:val="22"/>
          <w:vertAlign w:val="superscript"/>
        </w:rPr>
        <w:footnoteReference w:id="101"/>
      </w:r>
    </w:p>
    <w:p w14:paraId="1278853B" w14:textId="77777777" w:rsidR="006D2E84" w:rsidRPr="00842598" w:rsidRDefault="006D2E84" w:rsidP="006D2E84">
      <w:r w:rsidRPr="0089366F">
        <w:t xml:space="preserve">The </w:t>
      </w:r>
      <w:r w:rsidRPr="00C33159">
        <w:rPr>
          <w:i/>
          <w:color w:val="4F81BD" w:themeColor="accent1"/>
        </w:rPr>
        <w:t>Environment Act</w:t>
      </w:r>
      <w:r>
        <w:t xml:space="preserve"> requires a </w:t>
      </w:r>
      <w:r w:rsidRPr="005761BE">
        <w:rPr>
          <w:i/>
        </w:rPr>
        <w:t>site survey report concerning National Heritage</w:t>
      </w:r>
      <w:r w:rsidRPr="005761BE">
        <w:rPr>
          <w:i/>
          <w:vertAlign w:val="superscript"/>
        </w:rPr>
        <w:footnoteReference w:id="102"/>
      </w:r>
      <w:r w:rsidRPr="005761BE">
        <w:rPr>
          <w:i/>
        </w:rPr>
        <w:t xml:space="preserve"> and items or traditional artefacts as specified by the Director</w:t>
      </w:r>
      <w:r>
        <w:rPr>
          <w:rStyle w:val="FootnoteReference"/>
          <w:i/>
        </w:rPr>
        <w:footnoteReference w:id="103"/>
      </w:r>
      <w:r>
        <w:t xml:space="preserve"> as well as an assessment of the social impact on surrounding communities</w:t>
      </w:r>
      <w:r>
        <w:rPr>
          <w:rStyle w:val="FootnoteReference"/>
        </w:rPr>
        <w:footnoteReference w:id="104"/>
      </w:r>
      <w:r>
        <w:t xml:space="preserve"> – both elements of which could include consideration of important elements of traditional knowledge and cultural heritage</w:t>
      </w:r>
      <w:r>
        <w:rPr>
          <w:rStyle w:val="FootnoteReference"/>
        </w:rPr>
        <w:t xml:space="preserve"> </w:t>
      </w:r>
      <w:r>
        <w:rPr>
          <w:lang w:val="en-US"/>
        </w:rPr>
        <w:t xml:space="preserve">This is particularly true when the Act definition of ‘environment’ which is broadly defined </w:t>
      </w:r>
      <w:r w:rsidRPr="00842598">
        <w:rPr>
          <w:lang w:val="en-US"/>
        </w:rPr>
        <w:t xml:space="preserve">as: </w:t>
      </w:r>
      <w:r w:rsidRPr="00842598">
        <w:rPr>
          <w:i/>
          <w:iCs/>
        </w:rPr>
        <w:t>all natural and social systems and their constituent parts, and the interactions of their constituent parts, including people, communities and economic, aesthetic, cultural and social factors.</w:t>
      </w:r>
      <w:r w:rsidRPr="00842598">
        <w:rPr>
          <w:iCs/>
          <w:vertAlign w:val="superscript"/>
        </w:rPr>
        <w:t xml:space="preserve"> </w:t>
      </w:r>
      <w:r w:rsidRPr="00842598">
        <w:rPr>
          <w:iCs/>
          <w:vertAlign w:val="superscript"/>
        </w:rPr>
        <w:footnoteReference w:id="105"/>
      </w:r>
      <w:r>
        <w:t xml:space="preserve">. However as there is no further clarification of these issues it provides limited existing support. </w:t>
      </w:r>
    </w:p>
    <w:p w14:paraId="349BD2D8" w14:textId="77777777" w:rsidR="006D2E84" w:rsidRPr="006512AC" w:rsidRDefault="006D2E84" w:rsidP="006D2E84">
      <w:r w:rsidRPr="0089366F">
        <w:t xml:space="preserve">The </w:t>
      </w:r>
      <w:r>
        <w:rPr>
          <w:i/>
          <w:color w:val="4F81BD" w:themeColor="accent1"/>
        </w:rPr>
        <w:t>PA A</w:t>
      </w:r>
      <w:r w:rsidRPr="00C86588">
        <w:rPr>
          <w:i/>
          <w:color w:val="4F81BD" w:themeColor="accent1"/>
        </w:rPr>
        <w:t>ct</w:t>
      </w:r>
      <w:r w:rsidRPr="0089366F">
        <w:t xml:space="preserve"> also provides a class of protected area (the resource management area) within which many traditional activities are permitted</w:t>
      </w:r>
      <w:r>
        <w:t xml:space="preserve"> as well as the Natural Monument class intended for the protection of </w:t>
      </w:r>
      <w:r w:rsidRPr="006512AC">
        <w:rPr>
          <w:i/>
          <w:lang w:val="en-US"/>
        </w:rPr>
        <w:t>an important landscape or seascape created by the interaction between humans and nature over time, which has biological, cultural, ecological or scenic value</w:t>
      </w:r>
      <w:r w:rsidRPr="006512AC">
        <w:rPr>
          <w:lang w:val="en-US"/>
        </w:rPr>
        <w:t>.</w:t>
      </w:r>
      <w:r w:rsidRPr="006512AC">
        <w:rPr>
          <w:vertAlign w:val="superscript"/>
          <w:lang w:val="en-US"/>
        </w:rPr>
        <w:footnoteReference w:id="106"/>
      </w:r>
    </w:p>
    <w:p w14:paraId="58F47AF7" w14:textId="77777777" w:rsidR="006D2E84" w:rsidRDefault="006D2E84" w:rsidP="006D2E84">
      <w:r>
        <w:t xml:space="preserve">Within all PAs the regulations also state it is an offence to: </w:t>
      </w:r>
    </w:p>
    <w:p w14:paraId="361E2F0C" w14:textId="77777777" w:rsidR="006D2E84" w:rsidRPr="006512AC" w:rsidRDefault="006D2E84" w:rsidP="009D70D7">
      <w:pPr>
        <w:pStyle w:val="ListParagraph"/>
        <w:numPr>
          <w:ilvl w:val="0"/>
          <w:numId w:val="68"/>
        </w:numPr>
        <w:spacing w:before="0"/>
        <w:rPr>
          <w:i/>
          <w:lang w:val="en-US"/>
        </w:rPr>
      </w:pPr>
      <w:r w:rsidRPr="006512AC">
        <w:rPr>
          <w:i/>
          <w:lang w:val="en-US"/>
        </w:rPr>
        <w:t>destroying or defacing any cultural object of biodiversity</w:t>
      </w:r>
      <w:r w:rsidRPr="006512AC">
        <w:rPr>
          <w:i/>
          <w:lang w:val="en-US"/>
        </w:rPr>
        <w:fldChar w:fldCharType="begin"/>
      </w:r>
      <w:r w:rsidRPr="006512AC">
        <w:rPr>
          <w:i/>
          <w:lang w:val="en-US"/>
        </w:rPr>
        <w:instrText xml:space="preserve"> XE "</w:instrText>
      </w:r>
      <w:r w:rsidRPr="006512AC">
        <w:rPr>
          <w:i/>
          <w:lang w:val="en-AU"/>
        </w:rPr>
        <w:instrText>Protected Areas:Biodiversity</w:instrText>
      </w:r>
      <w:r w:rsidRPr="006512AC">
        <w:rPr>
          <w:i/>
          <w:lang w:val="en-US"/>
        </w:rPr>
        <w:instrText xml:space="preserve">" </w:instrText>
      </w:r>
      <w:r w:rsidRPr="006512AC">
        <w:rPr>
          <w:i/>
          <w:lang w:val="en-US"/>
        </w:rPr>
        <w:fldChar w:fldCharType="end"/>
      </w:r>
      <w:r w:rsidRPr="006512AC">
        <w:rPr>
          <w:i/>
          <w:lang w:val="en-US"/>
        </w:rPr>
        <w:t xml:space="preserve"> and cultural significance; </w:t>
      </w:r>
    </w:p>
    <w:p w14:paraId="3EFFA69E" w14:textId="77777777" w:rsidR="006D2E84" w:rsidRPr="006512AC" w:rsidRDefault="006D2E84" w:rsidP="009D70D7">
      <w:pPr>
        <w:pStyle w:val="ListParagraph"/>
        <w:numPr>
          <w:ilvl w:val="0"/>
          <w:numId w:val="68"/>
        </w:numPr>
        <w:spacing w:before="0"/>
        <w:rPr>
          <w:lang w:val="en-US"/>
        </w:rPr>
      </w:pPr>
      <w:r w:rsidRPr="006512AC">
        <w:rPr>
          <w:i/>
          <w:lang w:val="en-US"/>
        </w:rPr>
        <w:t>removing any cultural artifact or sacred object</w:t>
      </w:r>
      <w:r w:rsidRPr="006512AC">
        <w:rPr>
          <w:lang w:val="en-US"/>
        </w:rPr>
        <w:t>;</w:t>
      </w:r>
    </w:p>
    <w:p w14:paraId="70A7CB45" w14:textId="77777777" w:rsidR="006D2E84" w:rsidRPr="00596A2A" w:rsidRDefault="006D2E84" w:rsidP="006D2E84">
      <w:pPr>
        <w:rPr>
          <w:lang w:val="en-US"/>
        </w:rPr>
      </w:pPr>
      <w:r>
        <w:rPr>
          <w:lang w:val="en-US"/>
        </w:rPr>
        <w:t>Unless expressly permitted within the PA management plan</w:t>
      </w:r>
      <w:r>
        <w:rPr>
          <w:rStyle w:val="FootnoteReference"/>
        </w:rPr>
        <w:footnoteReference w:id="107"/>
      </w:r>
      <w:r>
        <w:rPr>
          <w:lang w:val="en-US"/>
        </w:rPr>
        <w:t xml:space="preserve"> (for this to be possible it would have to be in line with the objectives of the PA).</w:t>
      </w:r>
    </w:p>
    <w:p w14:paraId="30F6FF63" w14:textId="76685D4F" w:rsidR="006D2E84" w:rsidRPr="0089366F" w:rsidRDefault="006D2E84" w:rsidP="006D2E84">
      <w:r w:rsidRPr="0089366F">
        <w:t xml:space="preserve">Within management plans for PA there is also a section identified for </w:t>
      </w:r>
      <w:r w:rsidRPr="0089366F">
        <w:rPr>
          <w:i/>
        </w:rPr>
        <w:t>application of traditional management practices.</w:t>
      </w:r>
      <w:r w:rsidRPr="0089366F">
        <w:rPr>
          <w:i/>
          <w:vertAlign w:val="superscript"/>
        </w:rPr>
        <w:footnoteReference w:id="108"/>
      </w:r>
    </w:p>
    <w:p w14:paraId="0EB042C6" w14:textId="570CE663" w:rsidR="006D2E84" w:rsidRPr="0089366F" w:rsidRDefault="006D2E84" w:rsidP="006D2E84">
      <w:pPr>
        <w:pStyle w:val="Heading4"/>
      </w:pPr>
      <w:r w:rsidRPr="0089366F">
        <w:t>Recommendations</w:t>
      </w:r>
      <w:r w:rsidR="00422234">
        <w:t xml:space="preserve"> to r</w:t>
      </w:r>
      <w:r w:rsidR="00422234" w:rsidRPr="00422234">
        <w:t>espect and protect traditional knowledge, and cultural heritage and practices</w:t>
      </w:r>
      <w:r w:rsidRPr="0089366F">
        <w:t xml:space="preserve"> </w:t>
      </w:r>
    </w:p>
    <w:p w14:paraId="1AFE5630" w14:textId="77777777" w:rsidR="006D2E84" w:rsidRPr="0089366F" w:rsidRDefault="006D2E84" w:rsidP="006D2E84">
      <w:pPr>
        <w:pStyle w:val="Heading5"/>
      </w:pPr>
      <w:r w:rsidRPr="0089366F">
        <w:t xml:space="preserve">National </w:t>
      </w:r>
    </w:p>
    <w:p w14:paraId="24EF58EE" w14:textId="0D336AB2" w:rsidR="00422234" w:rsidRPr="00422234" w:rsidRDefault="00422234" w:rsidP="00422234">
      <w:pPr>
        <w:spacing w:before="0"/>
        <w:rPr>
          <w:u w:val="single"/>
        </w:rPr>
      </w:pPr>
      <w:r w:rsidRPr="00422234">
        <w:rPr>
          <w:u w:val="single"/>
        </w:rPr>
        <w:t>Cross Cutting</w:t>
      </w:r>
    </w:p>
    <w:p w14:paraId="2A3D2204" w14:textId="77777777" w:rsidR="006D2E84" w:rsidRPr="0089366F" w:rsidRDefault="006D2E84" w:rsidP="006B087B">
      <w:pPr>
        <w:numPr>
          <w:ilvl w:val="0"/>
          <w:numId w:val="23"/>
        </w:numPr>
        <w:spacing w:before="0"/>
      </w:pPr>
      <w:r w:rsidRPr="0089366F">
        <w:t>Customary authorities should be represented on the National REDD+ Committee</w:t>
      </w:r>
    </w:p>
    <w:p w14:paraId="0890E60A" w14:textId="4714401F" w:rsidR="00422234" w:rsidRDefault="006D2E84" w:rsidP="00422234">
      <w:pPr>
        <w:numPr>
          <w:ilvl w:val="0"/>
          <w:numId w:val="23"/>
        </w:numPr>
        <w:spacing w:before="0"/>
      </w:pPr>
      <w:r w:rsidRPr="0089366F">
        <w:t>Focused consultations on REDD+ developments shou</w:t>
      </w:r>
      <w:r w:rsidR="005D4C75">
        <w:t>ld occur with customary groups.</w:t>
      </w:r>
    </w:p>
    <w:p w14:paraId="6EECC4A5" w14:textId="77777777" w:rsidR="00422234" w:rsidRDefault="00422234" w:rsidP="00422234">
      <w:pPr>
        <w:spacing w:before="0"/>
      </w:pPr>
    </w:p>
    <w:p w14:paraId="0C40D08D" w14:textId="2D8D6633" w:rsidR="00422234" w:rsidRPr="00422234" w:rsidRDefault="00422234" w:rsidP="00422234">
      <w:pPr>
        <w:spacing w:before="0"/>
        <w:rPr>
          <w:u w:val="single"/>
        </w:rPr>
      </w:pPr>
      <w:r w:rsidRPr="00422234">
        <w:rPr>
          <w:u w:val="single"/>
        </w:rPr>
        <w:t>Forestry</w:t>
      </w:r>
    </w:p>
    <w:p w14:paraId="2496761D" w14:textId="77777777" w:rsidR="00422234" w:rsidRDefault="00422234" w:rsidP="006B087B">
      <w:pPr>
        <w:numPr>
          <w:ilvl w:val="0"/>
          <w:numId w:val="23"/>
        </w:numPr>
        <w:spacing w:before="0"/>
      </w:pPr>
    </w:p>
    <w:p w14:paraId="70B85D36" w14:textId="77777777" w:rsidR="00422234" w:rsidRDefault="00422234" w:rsidP="00422234">
      <w:pPr>
        <w:spacing w:before="0"/>
        <w:rPr>
          <w:u w:val="single"/>
        </w:rPr>
      </w:pPr>
    </w:p>
    <w:p w14:paraId="3B3E0A3B" w14:textId="561B4F27" w:rsidR="00422234" w:rsidRPr="00422234" w:rsidRDefault="00422234" w:rsidP="00422234">
      <w:pPr>
        <w:spacing w:before="0"/>
        <w:rPr>
          <w:u w:val="single"/>
        </w:rPr>
      </w:pPr>
      <w:r w:rsidRPr="00422234">
        <w:rPr>
          <w:u w:val="single"/>
        </w:rPr>
        <w:t xml:space="preserve">Environment </w:t>
      </w:r>
    </w:p>
    <w:p w14:paraId="6BDCDCD9" w14:textId="77777777" w:rsidR="00422234" w:rsidRDefault="00422234" w:rsidP="006B087B">
      <w:pPr>
        <w:numPr>
          <w:ilvl w:val="0"/>
          <w:numId w:val="23"/>
        </w:numPr>
        <w:spacing w:before="0"/>
      </w:pPr>
      <w:r>
        <w:t xml:space="preserve">Revisions to the EA to: </w:t>
      </w:r>
    </w:p>
    <w:p w14:paraId="2749C7BB" w14:textId="56EECBE2" w:rsidR="005D4C75" w:rsidRDefault="00422234" w:rsidP="00422234">
      <w:pPr>
        <w:numPr>
          <w:ilvl w:val="1"/>
          <w:numId w:val="23"/>
        </w:numPr>
        <w:spacing w:before="0"/>
        <w:ind w:left="709"/>
      </w:pPr>
      <w:r>
        <w:t xml:space="preserve">Ensure that </w:t>
      </w:r>
      <w:r w:rsidR="005D4C75">
        <w:t xml:space="preserve">EIS should explicitly consider the impacts of developments on </w:t>
      </w:r>
      <w:r w:rsidR="005D4C75" w:rsidRPr="005D4C75">
        <w:t>traditional knowledge, and cultural heritage and practices</w:t>
      </w:r>
      <w:r w:rsidR="005D4C75">
        <w:t xml:space="preserve"> and provide clear management plans</w:t>
      </w:r>
      <w:r>
        <w:t xml:space="preserve"> to mitigate impacts</w:t>
      </w:r>
    </w:p>
    <w:p w14:paraId="6C4B31BF" w14:textId="77777777" w:rsidR="00422234" w:rsidRDefault="00422234" w:rsidP="005D4C75">
      <w:pPr>
        <w:numPr>
          <w:ilvl w:val="0"/>
          <w:numId w:val="23"/>
        </w:numPr>
        <w:spacing w:before="0"/>
      </w:pPr>
      <w:r>
        <w:t xml:space="preserve">Revisions to </w:t>
      </w:r>
      <w:r w:rsidR="005D4C75">
        <w:t xml:space="preserve">PA </w:t>
      </w:r>
      <w:r>
        <w:t>Act to:</w:t>
      </w:r>
    </w:p>
    <w:p w14:paraId="40F1B3F4" w14:textId="7D52BC2C" w:rsidR="005D4C75" w:rsidRPr="0089366F" w:rsidRDefault="00422234" w:rsidP="0008159B">
      <w:pPr>
        <w:numPr>
          <w:ilvl w:val="1"/>
          <w:numId w:val="23"/>
        </w:numPr>
        <w:spacing w:before="0"/>
        <w:ind w:left="709"/>
      </w:pPr>
      <w:r>
        <w:t xml:space="preserve">Ensure management plans </w:t>
      </w:r>
      <w:r w:rsidR="005D4C75">
        <w:t xml:space="preserve">explicitly consider the impacts of developments on </w:t>
      </w:r>
      <w:r w:rsidR="005D4C75" w:rsidRPr="005D4C75">
        <w:t>traditional knowledge, and cultural heritage and practices</w:t>
      </w:r>
      <w:r w:rsidR="005D4C75">
        <w:t xml:space="preserve"> and provide clear management plans for this</w:t>
      </w:r>
    </w:p>
    <w:p w14:paraId="15E4C1EA" w14:textId="77777777" w:rsidR="006D2E84" w:rsidRPr="00C33159" w:rsidRDefault="006D2E84" w:rsidP="006D2E84">
      <w:pPr>
        <w:pStyle w:val="Heading5"/>
      </w:pPr>
      <w:r w:rsidRPr="00C33159">
        <w:t>Site level</w:t>
      </w:r>
    </w:p>
    <w:p w14:paraId="17F1735E" w14:textId="77777777" w:rsidR="005D4C75" w:rsidRDefault="005D4C75" w:rsidP="006D2E84">
      <w:pPr>
        <w:pStyle w:val="Heading4"/>
      </w:pPr>
    </w:p>
    <w:p w14:paraId="1DD9FCC3" w14:textId="77777777" w:rsidR="006D2E84" w:rsidRPr="0089366F" w:rsidRDefault="006D2E84" w:rsidP="006D2E84">
      <w:pPr>
        <w:pStyle w:val="Heading4"/>
      </w:pPr>
      <w:r w:rsidRPr="0089366F">
        <w:t>Recommended Actions:</w:t>
      </w:r>
    </w:p>
    <w:p w14:paraId="4EC28F3E" w14:textId="77777777" w:rsidR="006D2E84" w:rsidRPr="0089366F" w:rsidRDefault="006D2E84" w:rsidP="006D2E84">
      <w:pPr>
        <w:rPr>
          <w:highlight w:val="lightGray"/>
        </w:rPr>
      </w:pPr>
    </w:p>
    <w:p w14:paraId="18FE2587" w14:textId="77777777" w:rsidR="006D2E84" w:rsidRPr="0089366F" w:rsidRDefault="006D2E84" w:rsidP="006D2E84">
      <w:pPr>
        <w:pStyle w:val="Heading4"/>
      </w:pPr>
      <w:r w:rsidRPr="0089366F">
        <w:t xml:space="preserve">Potential Indicators </w:t>
      </w:r>
    </w:p>
    <w:p w14:paraId="68F26403" w14:textId="77777777" w:rsidR="006D2E84" w:rsidRPr="0089366F" w:rsidRDefault="006D2E84" w:rsidP="006B087B">
      <w:pPr>
        <w:numPr>
          <w:ilvl w:val="0"/>
          <w:numId w:val="48"/>
        </w:numPr>
        <w:spacing w:before="0"/>
      </w:pPr>
      <w:r w:rsidRPr="0089366F">
        <w:t>Membership of National REDD+ Committee includes customary representatives</w:t>
      </w:r>
    </w:p>
    <w:p w14:paraId="35F3BB3B" w14:textId="77777777" w:rsidR="006D2E84" w:rsidRPr="0089366F" w:rsidRDefault="006D2E84" w:rsidP="006B087B">
      <w:pPr>
        <w:numPr>
          <w:ilvl w:val="0"/>
          <w:numId w:val="48"/>
        </w:numPr>
        <w:spacing w:before="0"/>
      </w:pPr>
      <w:r w:rsidRPr="0089366F">
        <w:t xml:space="preserve">Consultation events held with customary groups </w:t>
      </w:r>
    </w:p>
    <w:p w14:paraId="62628EBD" w14:textId="77777777" w:rsidR="006D2E84" w:rsidRPr="0089366F" w:rsidRDefault="006D2E84" w:rsidP="006B087B">
      <w:pPr>
        <w:numPr>
          <w:ilvl w:val="0"/>
          <w:numId w:val="48"/>
        </w:numPr>
        <w:spacing w:before="0"/>
      </w:pPr>
      <w:r w:rsidRPr="0089366F">
        <w:t xml:space="preserve">Site level management plans include roles for customary authorities </w:t>
      </w:r>
    </w:p>
    <w:p w14:paraId="7A0ACD5C" w14:textId="77777777" w:rsidR="006D2E84" w:rsidRPr="0089366F" w:rsidRDefault="006D2E84" w:rsidP="006B087B">
      <w:pPr>
        <w:numPr>
          <w:ilvl w:val="0"/>
          <w:numId w:val="48"/>
        </w:numPr>
        <w:spacing w:before="0"/>
      </w:pPr>
      <w:r w:rsidRPr="0089366F">
        <w:t>Site level REDD+ activities should identify how traditional knowledge, and cultural heritage and practices are being protected within landuse management plans.</w:t>
      </w:r>
    </w:p>
    <w:p w14:paraId="0B75476C" w14:textId="77777777" w:rsidR="006D2E84" w:rsidRPr="0089366F" w:rsidRDefault="006D2E84" w:rsidP="006D2E84">
      <w:pPr>
        <w:pStyle w:val="Heading4"/>
      </w:pPr>
      <w:r w:rsidRPr="0089366F">
        <w:t xml:space="preserve">Data Collection: </w:t>
      </w:r>
    </w:p>
    <w:p w14:paraId="2D41BD99" w14:textId="77777777" w:rsidR="006D2E84" w:rsidRPr="0089366F" w:rsidRDefault="006D2E84" w:rsidP="006B087B">
      <w:pPr>
        <w:pStyle w:val="ListParagraph"/>
        <w:numPr>
          <w:ilvl w:val="0"/>
          <w:numId w:val="49"/>
        </w:numPr>
        <w:spacing w:before="0"/>
      </w:pPr>
      <w:r w:rsidRPr="0089366F">
        <w:t xml:space="preserve">REDD+ Committee meeting attendance log </w:t>
      </w:r>
    </w:p>
    <w:p w14:paraId="4E13555F" w14:textId="77777777" w:rsidR="006D2E84" w:rsidRPr="0089366F" w:rsidRDefault="006D2E84" w:rsidP="006B087B">
      <w:pPr>
        <w:pStyle w:val="ListParagraph"/>
        <w:numPr>
          <w:ilvl w:val="0"/>
          <w:numId w:val="49"/>
        </w:numPr>
        <w:spacing w:before="0"/>
      </w:pPr>
      <w:r w:rsidRPr="0089366F">
        <w:t>Log of consultation events with RIU</w:t>
      </w:r>
    </w:p>
    <w:p w14:paraId="56BEFF97" w14:textId="77777777" w:rsidR="006D2E84" w:rsidRPr="0089366F" w:rsidRDefault="006D2E84" w:rsidP="006B087B">
      <w:pPr>
        <w:pStyle w:val="ListParagraph"/>
        <w:numPr>
          <w:ilvl w:val="0"/>
          <w:numId w:val="49"/>
        </w:numPr>
        <w:spacing w:before="0"/>
      </w:pPr>
      <w:r w:rsidRPr="0089366F">
        <w:t>Project registration documents provided as part of the project registration process.</w:t>
      </w:r>
    </w:p>
    <w:p w14:paraId="78603B23" w14:textId="77777777" w:rsidR="006D2E84" w:rsidRPr="0089366F" w:rsidRDefault="006D2E84" w:rsidP="006B087B">
      <w:pPr>
        <w:pStyle w:val="ListParagraph"/>
        <w:numPr>
          <w:ilvl w:val="0"/>
          <w:numId w:val="49"/>
        </w:numPr>
        <w:spacing w:before="0"/>
      </w:pPr>
      <w:r w:rsidRPr="0089366F">
        <w:t>Project registration documents provided as part of the project registration process.</w:t>
      </w:r>
    </w:p>
    <w:p w14:paraId="1EC9B483" w14:textId="77777777" w:rsidR="006D2E84" w:rsidRPr="0089366F" w:rsidRDefault="006D2E84" w:rsidP="006D2E84">
      <w:r w:rsidRPr="0089366F">
        <w:t xml:space="preserve"> </w:t>
      </w:r>
    </w:p>
    <w:p w14:paraId="2920DFA3" w14:textId="77777777" w:rsidR="006D2E84" w:rsidRPr="0089366F" w:rsidRDefault="006D2E84" w:rsidP="006D2E84"/>
    <w:p w14:paraId="6D3034EC" w14:textId="77777777" w:rsidR="006D2E84" w:rsidRPr="0089366F" w:rsidRDefault="006D2E84" w:rsidP="006D2E84">
      <w:pPr>
        <w:sectPr w:rsidR="006D2E84" w:rsidRPr="0089366F" w:rsidSect="00014341">
          <w:pgSz w:w="11900" w:h="16840"/>
          <w:pgMar w:top="1440" w:right="1080" w:bottom="1440" w:left="1080" w:header="708" w:footer="708" w:gutter="0"/>
          <w:cols w:space="708"/>
          <w:docGrid w:linePitch="360"/>
        </w:sectPr>
      </w:pPr>
    </w:p>
    <w:p w14:paraId="6D6B313A" w14:textId="77777777" w:rsidR="006D2E84" w:rsidRPr="0089366F" w:rsidRDefault="006D2E84" w:rsidP="002C5EDB">
      <w:pPr>
        <w:pStyle w:val="Heading2"/>
        <w:numPr>
          <w:ilvl w:val="0"/>
          <w:numId w:val="0"/>
        </w:numPr>
        <w:ind w:left="576" w:hanging="576"/>
      </w:pPr>
      <w:bookmarkStart w:id="41" w:name="_Toc254892855"/>
      <w:r w:rsidRPr="0089366F">
        <w:t>Principle 3 – Promote sustainable livelihoods and poverty reduction</w:t>
      </w:r>
      <w:bookmarkEnd w:id="41"/>
    </w:p>
    <w:p w14:paraId="444C62B3" w14:textId="77777777" w:rsidR="006D2E84" w:rsidRPr="0089366F" w:rsidRDefault="006D2E84" w:rsidP="002C5EDB">
      <w:pPr>
        <w:pStyle w:val="Heading3"/>
        <w:numPr>
          <w:ilvl w:val="0"/>
          <w:numId w:val="0"/>
        </w:numPr>
      </w:pPr>
      <w:bookmarkStart w:id="42" w:name="_Toc254892856"/>
      <w:r w:rsidRPr="0089366F">
        <w:t>Criterion 12 – Ensure equitable, non-discriminatory and transparent benefit sharing among relevant stakeholders with special attention to the most vulnerable and marginalized groups</w:t>
      </w:r>
      <w:bookmarkEnd w:id="42"/>
    </w:p>
    <w:p w14:paraId="417344C5" w14:textId="77777777" w:rsidR="006D2E84" w:rsidRPr="0089366F" w:rsidRDefault="006D2E84" w:rsidP="006D2E84">
      <w:pPr>
        <w:pStyle w:val="Heading4"/>
      </w:pPr>
      <w:r w:rsidRPr="0089366F">
        <w:t xml:space="preserve">Potential Risks: </w:t>
      </w:r>
    </w:p>
    <w:p w14:paraId="7E2207F0" w14:textId="77777777" w:rsidR="006D2E84" w:rsidRPr="0089366F" w:rsidRDefault="006D2E84" w:rsidP="006D2E84">
      <w:r w:rsidRPr="0089366F">
        <w:t xml:space="preserve">Benefits from REDD+ are not equitably shared thus reducing the impact of REDD+ on poverty reduction and livelihood protection. </w:t>
      </w:r>
    </w:p>
    <w:p w14:paraId="7E2207F0" w14:textId="77777777" w:rsidR="006D2E84" w:rsidRPr="0089366F" w:rsidRDefault="006D2E84" w:rsidP="006D2E84">
      <w:r w:rsidRPr="0089366F">
        <w:t xml:space="preserve">Should benefits not be equitably shared it also increases the risk of spoilers undermining the long term sustainability of REDD+ actions. </w:t>
      </w:r>
    </w:p>
    <w:p w14:paraId="7A97823D" w14:textId="77777777" w:rsidR="006D2E84" w:rsidRPr="0089366F" w:rsidRDefault="006D2E84" w:rsidP="006D2E84">
      <w:pPr>
        <w:pStyle w:val="Heading4"/>
      </w:pPr>
      <w:r>
        <w:t xml:space="preserve">Summary </w:t>
      </w:r>
      <w:r w:rsidRPr="0089366F">
        <w:t>Review of Existing Legislation and its Application:</w:t>
      </w:r>
    </w:p>
    <w:p w14:paraId="216C4856" w14:textId="77777777" w:rsidR="006D2E84" w:rsidRPr="0089366F" w:rsidRDefault="006D2E84" w:rsidP="006D2E84">
      <w:pPr>
        <w:pStyle w:val="Heading5"/>
      </w:pPr>
      <w:r w:rsidRPr="0089366F">
        <w:t>REDD+</w:t>
      </w:r>
    </w:p>
    <w:p w14:paraId="521FCD8E" w14:textId="77777777" w:rsidR="006D2E84" w:rsidRPr="0089366F" w:rsidRDefault="006D2E84" w:rsidP="006D2E84">
      <w:r w:rsidRPr="0089366F">
        <w:t xml:space="preserve">Existing REDD+ activities have focused on strategy development and have not fully addressed benefit sharing. </w:t>
      </w:r>
    </w:p>
    <w:p w14:paraId="291D90E9" w14:textId="77777777" w:rsidR="006D2E84" w:rsidRPr="0089366F" w:rsidRDefault="006D2E84" w:rsidP="006D2E84">
      <w:pPr>
        <w:pStyle w:val="Heading5"/>
      </w:pPr>
      <w:r w:rsidRPr="0089366F">
        <w:t>Existing Legislation</w:t>
      </w:r>
    </w:p>
    <w:p w14:paraId="1DB810D1" w14:textId="77777777" w:rsidR="00332178" w:rsidRDefault="006D2E84" w:rsidP="006D2E84">
      <w:r w:rsidRPr="0089366F">
        <w:t>The need for equitable benefit sharing i</w:t>
      </w:r>
      <w:r>
        <w:t>s central to existing Solomon le</w:t>
      </w:r>
      <w:r w:rsidRPr="0089366F">
        <w:t xml:space="preserve">gislation policy and strategy documents. </w:t>
      </w:r>
    </w:p>
    <w:p w14:paraId="2F03E15F" w14:textId="0CB80B56" w:rsidR="00332178" w:rsidRDefault="00332178" w:rsidP="006D2E84">
      <w:r>
        <w:t xml:space="preserve">The </w:t>
      </w:r>
      <w:r w:rsidRPr="00332178">
        <w:rPr>
          <w:i/>
          <w:color w:val="4F81BD" w:themeColor="accent1"/>
        </w:rPr>
        <w:t xml:space="preserve">Constitution </w:t>
      </w:r>
      <w:r>
        <w:t>requires that no discrimination be shown based on race, colour, sex or place of origin or other defining elements</w:t>
      </w:r>
      <w:r>
        <w:rPr>
          <w:rStyle w:val="FootnoteReference"/>
        </w:rPr>
        <w:footnoteReference w:id="109"/>
      </w:r>
      <w:r>
        <w:t xml:space="preserve">. </w:t>
      </w:r>
    </w:p>
    <w:p w14:paraId="6E4D09B1" w14:textId="42E9CC15" w:rsidR="006D2E84" w:rsidRPr="0089366F" w:rsidRDefault="006D2E84" w:rsidP="006D2E84">
      <w:r w:rsidRPr="0089366F">
        <w:t xml:space="preserve">The first objective of the </w:t>
      </w:r>
      <w:r w:rsidRPr="00C86588">
        <w:rPr>
          <w:i/>
          <w:color w:val="4F81BD" w:themeColor="accent1"/>
        </w:rPr>
        <w:t>NDS</w:t>
      </w:r>
      <w:r w:rsidRPr="0089366F">
        <w:t xml:space="preserve"> is to </w:t>
      </w:r>
    </w:p>
    <w:p w14:paraId="1C79BD58" w14:textId="77777777" w:rsidR="006D2E84" w:rsidRPr="0089366F" w:rsidRDefault="006D2E84" w:rsidP="006D2E84">
      <w:pPr>
        <w:rPr>
          <w:i/>
        </w:rPr>
      </w:pPr>
      <w:r w:rsidRPr="0089366F">
        <w:rPr>
          <w:i/>
        </w:rPr>
        <w:t>‘To Alleviate Poverty and Provide Greater Benefits and Opportunities to Improve the Lives of Solomon Islanders in a Peaceful and Stable Society’</w:t>
      </w:r>
      <w:r>
        <w:rPr>
          <w:rStyle w:val="FootnoteReference"/>
          <w:i/>
        </w:rPr>
        <w:footnoteReference w:id="110"/>
      </w:r>
    </w:p>
    <w:p w14:paraId="05619E22" w14:textId="77777777" w:rsidR="006D2E84" w:rsidRPr="0089366F" w:rsidRDefault="006D2E84" w:rsidP="006D2E84">
      <w:r w:rsidRPr="0089366F">
        <w:t xml:space="preserve">with the strategy also noting the need for effective management of natural resources to ensure benefits from them are effectively shared both amongst existing stakeholder groups as well as across generations. </w:t>
      </w:r>
    </w:p>
    <w:p w14:paraId="0CFC2492" w14:textId="77777777" w:rsidR="006D2E84" w:rsidRPr="0089366F" w:rsidRDefault="006D2E84" w:rsidP="006D2E84">
      <w:r w:rsidRPr="0089366F">
        <w:t xml:space="preserve">Within the forestry sector the government’s policy statement is for </w:t>
      </w:r>
    </w:p>
    <w:p w14:paraId="1ADF31E5" w14:textId="7F89CF91" w:rsidR="005D4C75" w:rsidRPr="005D4C75" w:rsidRDefault="006D2E84" w:rsidP="006D2E84">
      <w:pPr>
        <w:rPr>
          <w:i/>
        </w:rPr>
      </w:pPr>
      <w:r w:rsidRPr="0089366F">
        <w:rPr>
          <w:i/>
        </w:rPr>
        <w:t>“The harvesting of Forest Resources at the sustainable rate with fair returns to landowners and the Government and the replanting and care for the environment including promotion of all protected areas and to ensure Solomon Islands receive a fair return on the export of round logs that reflect true international market value”</w:t>
      </w:r>
    </w:p>
    <w:p w14:paraId="4B1DF9AE" w14:textId="77777777" w:rsidR="006D2E84" w:rsidRDefault="006D2E84" w:rsidP="006D2E84">
      <w:r w:rsidRPr="0089366F">
        <w:t xml:space="preserve">The </w:t>
      </w:r>
      <w:r w:rsidRPr="00C86588">
        <w:rPr>
          <w:i/>
          <w:color w:val="4F81BD" w:themeColor="accent1"/>
        </w:rPr>
        <w:t>FRTU Act</w:t>
      </w:r>
      <w:r w:rsidRPr="0089366F">
        <w:t xml:space="preserve"> provides more detailed guidance on levels of benefit sharing between identified resource owners, landowners the government and licensee</w:t>
      </w:r>
      <w:r>
        <w:rPr>
          <w:rStyle w:val="FootnoteReference"/>
        </w:rPr>
        <w:footnoteReference w:id="111"/>
      </w:r>
      <w:r w:rsidRPr="0089366F">
        <w:t xml:space="preserve">. A lack of effective support to resource owners when entering into agreements however has left them vulnerable to exploitation. There is also no further guidance on how funds distributed to resource owners should be spent and despite court rulings relating to the sharing of benefits by trustees there remains limited opportunity for vulnerable groups within communities.  </w:t>
      </w:r>
    </w:p>
    <w:p w14:paraId="21906077" w14:textId="02EC6596" w:rsidR="006D2E84" w:rsidRPr="002C5EDB" w:rsidRDefault="006D2E84" w:rsidP="006D2E84">
      <w:pPr>
        <w:rPr>
          <w:lang w:val="en-US"/>
        </w:rPr>
      </w:pPr>
      <w:r>
        <w:t xml:space="preserve">The </w:t>
      </w:r>
      <w:r w:rsidRPr="006512AC">
        <w:rPr>
          <w:i/>
          <w:color w:val="4F81BD" w:themeColor="accent1"/>
        </w:rPr>
        <w:t>Environment Act</w:t>
      </w:r>
      <w:r>
        <w:t xml:space="preserve"> introduces the concept of intergenerational fairness with regard to maintaining and enhancing the potential benefits of the </w:t>
      </w:r>
      <w:r w:rsidRPr="00596A2A">
        <w:rPr>
          <w:lang w:val="en-US"/>
        </w:rPr>
        <w:t xml:space="preserve">health, diversity, and </w:t>
      </w:r>
      <w:r>
        <w:rPr>
          <w:lang w:val="en-US"/>
        </w:rPr>
        <w:t>productivity of the environment</w:t>
      </w:r>
      <w:r>
        <w:rPr>
          <w:rStyle w:val="FootnoteReference"/>
          <w:lang w:val="en-US"/>
        </w:rPr>
        <w:footnoteReference w:id="112"/>
      </w:r>
      <w:r>
        <w:rPr>
          <w:lang w:val="en-US"/>
        </w:rPr>
        <w:t>. No clear assessment of how benefits from a specific development are to be shared are however required within the EIS or PER process although EIS should consider the social impacts, employment opportunities and provide a justification of the development from economic, cultural and social considerations</w:t>
      </w:r>
      <w:r>
        <w:rPr>
          <w:rStyle w:val="FootnoteReference"/>
          <w:lang w:val="en-US"/>
        </w:rPr>
        <w:footnoteReference w:id="113"/>
      </w:r>
      <w:r>
        <w:rPr>
          <w:lang w:val="en-US"/>
        </w:rPr>
        <w:t xml:space="preserve">.  </w:t>
      </w:r>
    </w:p>
    <w:p w14:paraId="3AD183D5" w14:textId="77777777" w:rsidR="006D2E84" w:rsidRDefault="006D2E84" w:rsidP="006D2E84">
      <w:r>
        <w:t xml:space="preserve">The </w:t>
      </w:r>
      <w:r w:rsidRPr="00C86588">
        <w:rPr>
          <w:i/>
          <w:color w:val="4F81BD" w:themeColor="accent1"/>
        </w:rPr>
        <w:t>PA Act</w:t>
      </w:r>
      <w:r>
        <w:t xml:space="preserve"> provides guidance to PAMCs when undertaking decisions including the need for: </w:t>
      </w:r>
    </w:p>
    <w:p w14:paraId="12BB4A9D" w14:textId="77777777" w:rsidR="006D2E84" w:rsidRPr="006512AC" w:rsidRDefault="006D2E84" w:rsidP="009D70D7">
      <w:pPr>
        <w:pStyle w:val="ListParagraph"/>
        <w:numPr>
          <w:ilvl w:val="0"/>
          <w:numId w:val="69"/>
        </w:numPr>
        <w:spacing w:before="0"/>
        <w:rPr>
          <w:i/>
          <w:lang w:val="en-US"/>
        </w:rPr>
      </w:pPr>
      <w:r w:rsidRPr="006512AC">
        <w:rPr>
          <w:i/>
          <w:lang w:val="en-US"/>
        </w:rPr>
        <w:t xml:space="preserve">best alternatives and incentive mechanisms are in place to maintain motivation and support of local communities; </w:t>
      </w:r>
    </w:p>
    <w:p w14:paraId="362A2068" w14:textId="77777777" w:rsidR="006D2E84" w:rsidRPr="006512AC" w:rsidRDefault="006D2E84" w:rsidP="009D70D7">
      <w:pPr>
        <w:pStyle w:val="ListParagraph"/>
        <w:numPr>
          <w:ilvl w:val="0"/>
          <w:numId w:val="69"/>
        </w:numPr>
        <w:spacing w:before="0"/>
        <w:rPr>
          <w:lang w:val="en-US"/>
        </w:rPr>
      </w:pPr>
      <w:r w:rsidRPr="006512AC">
        <w:rPr>
          <w:i/>
          <w:lang w:val="en-US"/>
        </w:rPr>
        <w:t>decision-making processes and outcomes should be based on a combination of both short term and long term economic, social, equitable and environmental considerations;</w:t>
      </w:r>
      <w:r>
        <w:rPr>
          <w:rStyle w:val="FootnoteReference"/>
          <w:i/>
          <w:lang w:val="en-US"/>
        </w:rPr>
        <w:footnoteReference w:id="114"/>
      </w:r>
      <w:r w:rsidRPr="006512AC">
        <w:rPr>
          <w:lang w:val="en-US"/>
        </w:rPr>
        <w:t xml:space="preserve"> </w:t>
      </w:r>
    </w:p>
    <w:p w14:paraId="092A188A" w14:textId="77777777" w:rsidR="006D2E84" w:rsidRDefault="006D2E84" w:rsidP="006D2E84">
      <w:r>
        <w:t xml:space="preserve">Although no further guidance is provided on the need for benefit sharing across community members. </w:t>
      </w:r>
    </w:p>
    <w:p w14:paraId="2EFC290C" w14:textId="77777777" w:rsidR="006D2E84" w:rsidRPr="0089366F" w:rsidRDefault="006D2E84" w:rsidP="006D2E84"/>
    <w:p w14:paraId="1ABF6CB5" w14:textId="7DD2F419" w:rsidR="006D2E84" w:rsidRDefault="006D2E84" w:rsidP="006D2E84">
      <w:pPr>
        <w:pStyle w:val="Heading4"/>
      </w:pPr>
      <w:r w:rsidRPr="0089366F">
        <w:t xml:space="preserve">Recommendations </w:t>
      </w:r>
      <w:r w:rsidR="00A437B9">
        <w:t>to e</w:t>
      </w:r>
      <w:r w:rsidR="00A437B9" w:rsidRPr="00A437B9">
        <w:t>nsure equitable, non-discriminatory and transparent benefit sharing among relevant stakeholders with special attention to the most vulnerable and marginalized groups</w:t>
      </w:r>
    </w:p>
    <w:p w14:paraId="7A06B188" w14:textId="51955333" w:rsidR="00332178" w:rsidRPr="00332178" w:rsidRDefault="00332178" w:rsidP="00332178">
      <w:r>
        <w:t xml:space="preserve">SHOULD THIS BE INCLUDED UNDER THE EIS PROCESS – REVIEW ADB. </w:t>
      </w:r>
    </w:p>
    <w:p w14:paraId="3CBA09D6" w14:textId="77777777" w:rsidR="006D2E84" w:rsidRPr="00332178" w:rsidRDefault="006D2E84" w:rsidP="006D2E84">
      <w:pPr>
        <w:pStyle w:val="Heading5"/>
        <w:rPr>
          <w:highlight w:val="magenta"/>
        </w:rPr>
      </w:pPr>
      <w:r w:rsidRPr="00332178">
        <w:rPr>
          <w:highlight w:val="magenta"/>
        </w:rPr>
        <w:t xml:space="preserve">National </w:t>
      </w:r>
    </w:p>
    <w:p w14:paraId="4818256B" w14:textId="77777777" w:rsidR="006D2E84" w:rsidRPr="00332178" w:rsidRDefault="006D2E84" w:rsidP="006B087B">
      <w:pPr>
        <w:numPr>
          <w:ilvl w:val="0"/>
          <w:numId w:val="23"/>
        </w:numPr>
        <w:spacing w:before="0"/>
        <w:rPr>
          <w:highlight w:val="magenta"/>
        </w:rPr>
      </w:pPr>
      <w:r w:rsidRPr="00332178">
        <w:rPr>
          <w:highlight w:val="magenta"/>
        </w:rPr>
        <w:t xml:space="preserve">A framework of benefit sharing for REDD+ activities should be established. </w:t>
      </w:r>
    </w:p>
    <w:p w14:paraId="61604912" w14:textId="77777777" w:rsidR="006D2E84" w:rsidRPr="00332178" w:rsidRDefault="006D2E84" w:rsidP="006D2E84">
      <w:pPr>
        <w:pStyle w:val="Heading5"/>
        <w:rPr>
          <w:highlight w:val="magenta"/>
        </w:rPr>
      </w:pPr>
      <w:r w:rsidRPr="00332178">
        <w:rPr>
          <w:highlight w:val="magenta"/>
        </w:rPr>
        <w:t>Site level</w:t>
      </w:r>
    </w:p>
    <w:p w14:paraId="45E01127" w14:textId="5A907674" w:rsidR="006D2E84" w:rsidRPr="00332178" w:rsidRDefault="006D2E84" w:rsidP="006B087B">
      <w:pPr>
        <w:numPr>
          <w:ilvl w:val="0"/>
          <w:numId w:val="23"/>
        </w:numPr>
        <w:spacing w:before="0"/>
        <w:rPr>
          <w:highlight w:val="magenta"/>
        </w:rPr>
      </w:pPr>
      <w:r w:rsidRPr="00332178">
        <w:rPr>
          <w:highlight w:val="magenta"/>
        </w:rPr>
        <w:t xml:space="preserve">Site based activities should identify how REDD+ related benefits are going to be shared through a participatory process.  </w:t>
      </w:r>
      <w:r w:rsidR="00332178">
        <w:rPr>
          <w:highlight w:val="magenta"/>
        </w:rPr>
        <w:t>XXX</w:t>
      </w:r>
    </w:p>
    <w:p w14:paraId="3FFEE84C" w14:textId="77777777" w:rsidR="006D2E84" w:rsidRPr="0089366F" w:rsidRDefault="006D2E84" w:rsidP="006D2E84">
      <w:pPr>
        <w:pStyle w:val="Heading4"/>
      </w:pPr>
      <w:r w:rsidRPr="0089366F">
        <w:t>Recommended Actions:</w:t>
      </w:r>
    </w:p>
    <w:p w14:paraId="3122915D" w14:textId="77777777" w:rsidR="006D2E84" w:rsidRPr="001C584C" w:rsidRDefault="006D2E84" w:rsidP="006D2E84">
      <w:r w:rsidRPr="001C584C">
        <w:t xml:space="preserve">Development of a national framework of benefit sharing identifying key procedural rights and principles of benefit sharing that can be applied within REDD+ as well as other natural resource projects. </w:t>
      </w:r>
    </w:p>
    <w:p w14:paraId="162F69E4" w14:textId="77777777" w:rsidR="006D2E84" w:rsidRPr="0089366F" w:rsidRDefault="006D2E84" w:rsidP="006D2E84">
      <w:pPr>
        <w:pStyle w:val="Heading4"/>
      </w:pPr>
      <w:r w:rsidRPr="0089366F">
        <w:t xml:space="preserve">Potential Indicators </w:t>
      </w:r>
    </w:p>
    <w:p w14:paraId="33FDFFC9" w14:textId="77777777" w:rsidR="006D2E84" w:rsidRPr="0089366F" w:rsidRDefault="006D2E84" w:rsidP="006B087B">
      <w:pPr>
        <w:numPr>
          <w:ilvl w:val="0"/>
          <w:numId w:val="50"/>
        </w:numPr>
        <w:spacing w:before="0"/>
      </w:pPr>
      <w:r w:rsidRPr="0089366F">
        <w:t xml:space="preserve">Establishment of framework </w:t>
      </w:r>
    </w:p>
    <w:p w14:paraId="324A7F16" w14:textId="77777777" w:rsidR="006D2E84" w:rsidRPr="0089366F" w:rsidRDefault="006D2E84" w:rsidP="006B087B">
      <w:pPr>
        <w:numPr>
          <w:ilvl w:val="0"/>
          <w:numId w:val="50"/>
        </w:numPr>
        <w:spacing w:before="0"/>
      </w:pPr>
      <w:r w:rsidRPr="0089366F">
        <w:t>Information on benefit sharing mechanism and process by which it was designed</w:t>
      </w:r>
    </w:p>
    <w:p w14:paraId="6EFA4A41" w14:textId="77777777" w:rsidR="006D2E84" w:rsidRPr="0089366F" w:rsidRDefault="006D2E84" w:rsidP="006D2E84">
      <w:pPr>
        <w:pStyle w:val="Heading4"/>
      </w:pPr>
      <w:r w:rsidRPr="0089366F">
        <w:t xml:space="preserve">Data Collection: </w:t>
      </w:r>
    </w:p>
    <w:p w14:paraId="12FF8299" w14:textId="77777777" w:rsidR="006D2E84" w:rsidRPr="0089366F" w:rsidRDefault="006D2E84" w:rsidP="006B087B">
      <w:pPr>
        <w:pStyle w:val="ListParagraph"/>
        <w:numPr>
          <w:ilvl w:val="0"/>
          <w:numId w:val="51"/>
        </w:numPr>
        <w:spacing w:before="0"/>
      </w:pPr>
      <w:r w:rsidRPr="0089366F">
        <w:t xml:space="preserve">RIU activity updates </w:t>
      </w:r>
    </w:p>
    <w:p w14:paraId="6F41D91B" w14:textId="77777777" w:rsidR="006D2E84" w:rsidRPr="0089366F" w:rsidRDefault="006D2E84" w:rsidP="006B087B">
      <w:pPr>
        <w:pStyle w:val="ListParagraph"/>
        <w:numPr>
          <w:ilvl w:val="0"/>
          <w:numId w:val="51"/>
        </w:numPr>
        <w:spacing w:before="0"/>
      </w:pPr>
      <w:r w:rsidRPr="0089366F">
        <w:t>Project registration documents</w:t>
      </w:r>
    </w:p>
    <w:p w14:paraId="4C32E37C" w14:textId="77777777" w:rsidR="006D2E84" w:rsidRPr="0089366F" w:rsidRDefault="006D2E84" w:rsidP="006D2E84"/>
    <w:p w14:paraId="19454F5A" w14:textId="77777777" w:rsidR="006D2E84" w:rsidRDefault="006D2E84" w:rsidP="006D2E84">
      <w:pPr>
        <w:pStyle w:val="Heading3"/>
        <w:sectPr w:rsidR="006D2E84" w:rsidSect="00014341">
          <w:pgSz w:w="11900" w:h="16840"/>
          <w:pgMar w:top="1440" w:right="1080" w:bottom="1440" w:left="1080" w:header="708" w:footer="708" w:gutter="0"/>
          <w:cols w:space="708"/>
          <w:docGrid w:linePitch="360"/>
        </w:sectPr>
      </w:pPr>
    </w:p>
    <w:p w14:paraId="4DED18B2" w14:textId="4201DBAC" w:rsidR="006D2E84" w:rsidRPr="0089366F" w:rsidRDefault="006D2E84" w:rsidP="002C5EDB">
      <w:pPr>
        <w:pStyle w:val="Heading3"/>
        <w:numPr>
          <w:ilvl w:val="0"/>
          <w:numId w:val="0"/>
        </w:numPr>
      </w:pPr>
      <w:bookmarkStart w:id="43" w:name="_Toc254892857"/>
      <w:r w:rsidRPr="0089366F">
        <w:t>Criterion 13 – Protect and enhance economic and social well-being of relevant stakeholders, with special attention to the most vulnerable and marginalized groups</w:t>
      </w:r>
      <w:bookmarkEnd w:id="43"/>
    </w:p>
    <w:p w14:paraId="1BD936A3" w14:textId="77777777" w:rsidR="006D2E84" w:rsidRPr="0089366F" w:rsidRDefault="006D2E84" w:rsidP="006D2E84">
      <w:pPr>
        <w:pStyle w:val="Heading4"/>
      </w:pPr>
      <w:r w:rsidRPr="0089366F">
        <w:t xml:space="preserve">Potential Risks: </w:t>
      </w:r>
    </w:p>
    <w:p w14:paraId="7711DA1C" w14:textId="77777777" w:rsidR="006D2E84" w:rsidRPr="0089366F" w:rsidRDefault="006D2E84" w:rsidP="006D2E84">
      <w:r w:rsidRPr="0089366F">
        <w:t xml:space="preserve">REDD+ developments have a negative impact on the social and economic well-being of relevant stakeholders. </w:t>
      </w:r>
    </w:p>
    <w:p w14:paraId="02E96EA5" w14:textId="77777777" w:rsidR="006D2E84" w:rsidRPr="0089366F" w:rsidRDefault="006D2E84" w:rsidP="006D2E84">
      <w:pPr>
        <w:pStyle w:val="Heading4"/>
      </w:pPr>
      <w:r>
        <w:t xml:space="preserve">Summary </w:t>
      </w:r>
      <w:r w:rsidRPr="0089366F">
        <w:t>Review of Existing Legislation and its Application:</w:t>
      </w:r>
    </w:p>
    <w:p w14:paraId="504656D4" w14:textId="77777777" w:rsidR="006D2E84" w:rsidRPr="0089366F" w:rsidRDefault="006D2E84" w:rsidP="006D2E84">
      <w:pPr>
        <w:pStyle w:val="Heading5"/>
      </w:pPr>
      <w:r w:rsidRPr="0089366F">
        <w:t>REDD+</w:t>
      </w:r>
    </w:p>
    <w:p w14:paraId="357DE746" w14:textId="77777777" w:rsidR="006D2E84" w:rsidRPr="0089366F" w:rsidRDefault="006D2E84" w:rsidP="006D2E84">
      <w:r w:rsidRPr="0089366F">
        <w:t xml:space="preserve">Existing REDD+ activities have identified potential negative impacts of REDD+ at the national level as well as opportunities. </w:t>
      </w:r>
    </w:p>
    <w:p w14:paraId="3A1E3442" w14:textId="77777777" w:rsidR="006D2E84" w:rsidRPr="0089366F" w:rsidRDefault="006D2E84" w:rsidP="006D2E84">
      <w:pPr>
        <w:pStyle w:val="Heading5"/>
      </w:pPr>
      <w:r w:rsidRPr="0089366F">
        <w:t>Existing Legislation</w:t>
      </w:r>
    </w:p>
    <w:p w14:paraId="33C79AEC" w14:textId="77777777" w:rsidR="006D2E84" w:rsidRPr="0089366F" w:rsidRDefault="006D2E84" w:rsidP="006D2E84">
      <w:r w:rsidRPr="0089366F">
        <w:t xml:space="preserve">The </w:t>
      </w:r>
      <w:r w:rsidRPr="001C584C">
        <w:rPr>
          <w:i/>
          <w:color w:val="4F81BD" w:themeColor="accent1"/>
        </w:rPr>
        <w:t>NDS</w:t>
      </w:r>
      <w:r w:rsidRPr="0089366F">
        <w:t xml:space="preserve"> recognizes the need to promote the economic and social benefits from natural resource use identifying the need to: </w:t>
      </w:r>
    </w:p>
    <w:p w14:paraId="0EAAD909" w14:textId="5C552775" w:rsidR="006D2E84" w:rsidRPr="002C5EDB" w:rsidRDefault="006D2E84" w:rsidP="006D2E84">
      <w:pPr>
        <w:rPr>
          <w:i/>
        </w:rPr>
      </w:pPr>
      <w:r w:rsidRPr="0089366F">
        <w:rPr>
          <w:i/>
        </w:rPr>
        <w:t xml:space="preserve">Protect natural resources, environment and conservation and strive to adopt a holistic management approach for the country's forests by properly controlling the activities of the logging industry to achieve a better balance in the pecuniary and social benefits received by Government and resource owners. </w:t>
      </w:r>
    </w:p>
    <w:p w14:paraId="4B54DA07" w14:textId="77777777" w:rsidR="006D2E84" w:rsidRPr="0089366F" w:rsidRDefault="006D2E84" w:rsidP="006D2E84">
      <w:pPr>
        <w:rPr>
          <w:iCs/>
        </w:rPr>
      </w:pPr>
      <w:r w:rsidRPr="0089366F">
        <w:rPr>
          <w:iCs/>
        </w:rPr>
        <w:t xml:space="preserve">The </w:t>
      </w:r>
      <w:r w:rsidRPr="001C584C">
        <w:rPr>
          <w:i/>
          <w:iCs/>
          <w:color w:val="4F81BD" w:themeColor="accent1"/>
        </w:rPr>
        <w:t>FRTU Act</w:t>
      </w:r>
      <w:r w:rsidRPr="0089366F">
        <w:rPr>
          <w:iCs/>
        </w:rPr>
        <w:t xml:space="preserve"> provides a framework for the enhancement and protection of economic and social conditions requiring companies to give:</w:t>
      </w:r>
    </w:p>
    <w:p w14:paraId="113D1B62" w14:textId="77777777" w:rsidR="006D2E84" w:rsidRPr="0089366F" w:rsidRDefault="006D2E84" w:rsidP="006D2E84">
      <w:pPr>
        <w:rPr>
          <w:i/>
        </w:rPr>
      </w:pPr>
      <w:r w:rsidRPr="0089366F">
        <w:rPr>
          <w:i/>
          <w:iCs/>
        </w:rPr>
        <w:t>Priority for employment shall be given by the Company to people indigenous to the land covered by this agreement in all cases where suitably qualified and experienced persons are available.</w:t>
      </w:r>
      <w:r w:rsidRPr="0089366F">
        <w:rPr>
          <w:rStyle w:val="FootnoteReference"/>
          <w:i/>
          <w:iCs/>
        </w:rPr>
        <w:footnoteReference w:id="115"/>
      </w:r>
    </w:p>
    <w:p w14:paraId="4FEB9772" w14:textId="6F2505D1" w:rsidR="006D2E84" w:rsidRPr="0089366F" w:rsidRDefault="006D2E84" w:rsidP="006D2E84">
      <w:r w:rsidRPr="0089366F">
        <w:t>The agreement however provides no fixed base rate for this employment allowing this to be negotiated with rights holders. The agreement also provides stipulations regarding the safeguarding of village life including restrictions on locating of felling operations (100m), road routes (30m) and noisy machinery within the proximity of villages and gardens</w:t>
      </w:r>
      <w:r w:rsidRPr="0089366F">
        <w:rPr>
          <w:rStyle w:val="FootnoteReference"/>
        </w:rPr>
        <w:footnoteReference w:id="116"/>
      </w:r>
      <w:r w:rsidRPr="0089366F">
        <w:t xml:space="preserve">.  It also requires all staff to take all possible steps to observe local customs and not commit </w:t>
      </w:r>
      <w:r w:rsidR="002C5EDB">
        <w:t xml:space="preserve">any offences in village areas. </w:t>
      </w:r>
    </w:p>
    <w:p w14:paraId="1C1DCDB4" w14:textId="77777777" w:rsidR="006D2E84" w:rsidRPr="0089366F" w:rsidRDefault="006D2E84" w:rsidP="006D2E84">
      <w:r w:rsidRPr="0089366F">
        <w:t xml:space="preserve">The </w:t>
      </w:r>
      <w:r w:rsidRPr="001C584C">
        <w:rPr>
          <w:i/>
          <w:color w:val="4F81BD" w:themeColor="accent1"/>
        </w:rPr>
        <w:t>Environment Act’s</w:t>
      </w:r>
      <w:r w:rsidRPr="0089366F">
        <w:t xml:space="preserve"> Development Consent Process is the primary mechanism through which the potential impacts of developments are assessed. When required Environmental Impact statements must: </w:t>
      </w:r>
    </w:p>
    <w:p w14:paraId="3E692B56" w14:textId="77777777" w:rsidR="006D2E84" w:rsidRPr="0089366F" w:rsidRDefault="006D2E84" w:rsidP="006B087B">
      <w:pPr>
        <w:pStyle w:val="ListParagraph"/>
        <w:numPr>
          <w:ilvl w:val="0"/>
          <w:numId w:val="52"/>
        </w:numPr>
        <w:spacing w:before="0"/>
        <w:rPr>
          <w:i/>
        </w:rPr>
      </w:pPr>
      <w:r w:rsidRPr="0089366F">
        <w:rPr>
          <w:i/>
        </w:rPr>
        <w:t>justify the prescribed development in terms of environmental, economic, culture and social considerations;</w:t>
      </w:r>
    </w:p>
    <w:p w14:paraId="63B05DE1" w14:textId="77777777" w:rsidR="006D2E84" w:rsidRPr="0089366F" w:rsidRDefault="006D2E84" w:rsidP="006B087B">
      <w:pPr>
        <w:pStyle w:val="ListParagraph"/>
        <w:numPr>
          <w:ilvl w:val="0"/>
          <w:numId w:val="52"/>
        </w:numPr>
        <w:spacing w:before="0"/>
        <w:rPr>
          <w:i/>
        </w:rPr>
      </w:pPr>
      <w:r w:rsidRPr="0089366F">
        <w:rPr>
          <w:i/>
        </w:rPr>
        <w:t>identify and analyse all likely impacts or consequences of implementing the prescribed development, including implications for the use and conservation of energy;</w:t>
      </w:r>
    </w:p>
    <w:p w14:paraId="000E6033" w14:textId="77777777" w:rsidR="006D2E84" w:rsidRPr="0089366F" w:rsidRDefault="006D2E84" w:rsidP="006B087B">
      <w:pPr>
        <w:pStyle w:val="ListParagraph"/>
        <w:numPr>
          <w:ilvl w:val="0"/>
          <w:numId w:val="52"/>
        </w:numPr>
        <w:spacing w:before="0"/>
        <w:rPr>
          <w:i/>
        </w:rPr>
      </w:pPr>
      <w:r w:rsidRPr="0089366F">
        <w:rPr>
          <w:i/>
        </w:rPr>
        <w:t>describe measures to prevent or reduce significant adverse impacts and enhance beneficial effects and an account of their likely success with estimated costs as appropriate;</w:t>
      </w:r>
      <w:r w:rsidRPr="0089366F">
        <w:rPr>
          <w:rStyle w:val="FootnoteReference"/>
          <w:i/>
        </w:rPr>
        <w:footnoteReference w:id="117"/>
      </w:r>
    </w:p>
    <w:p w14:paraId="428D47BD" w14:textId="77777777" w:rsidR="006D2E84" w:rsidRPr="0089366F" w:rsidRDefault="006D2E84" w:rsidP="006D2E84">
      <w:r w:rsidRPr="0089366F">
        <w:t>In addition the regulations state that an EIS must:</w:t>
      </w:r>
    </w:p>
    <w:p w14:paraId="4105F4E1" w14:textId="77777777" w:rsidR="006D2E84" w:rsidRPr="0089366F" w:rsidRDefault="006D2E84" w:rsidP="006B087B">
      <w:pPr>
        <w:pStyle w:val="ListParagraph"/>
        <w:numPr>
          <w:ilvl w:val="0"/>
          <w:numId w:val="53"/>
        </w:numPr>
        <w:spacing w:before="0"/>
        <w:rPr>
          <w:i/>
        </w:rPr>
      </w:pPr>
      <w:r w:rsidRPr="0089366F">
        <w:rPr>
          <w:i/>
        </w:rPr>
        <w:t xml:space="preserve">include the social impact on the surrounding communities where the prescribed development is to be located; </w:t>
      </w:r>
    </w:p>
    <w:p w14:paraId="1C902D56" w14:textId="77777777" w:rsidR="006D2E84" w:rsidRPr="0089366F" w:rsidRDefault="006D2E84" w:rsidP="006B087B">
      <w:pPr>
        <w:pStyle w:val="ListParagraph"/>
        <w:numPr>
          <w:ilvl w:val="0"/>
          <w:numId w:val="53"/>
        </w:numPr>
        <w:spacing w:before="0"/>
        <w:rPr>
          <w:i/>
        </w:rPr>
      </w:pPr>
      <w:r w:rsidRPr="0089366F">
        <w:rPr>
          <w:i/>
        </w:rPr>
        <w:t xml:space="preserve">spell out employment opportunities for Solomon Islanders and, if the prescribed development is to be undertaken in a rural area, employment opportunities for members of the surrounding communities; </w:t>
      </w:r>
    </w:p>
    <w:p w14:paraId="62280EA9" w14:textId="77777777" w:rsidR="006D2E84" w:rsidRPr="0089366F" w:rsidRDefault="006D2E84" w:rsidP="006B087B">
      <w:pPr>
        <w:pStyle w:val="ListParagraph"/>
        <w:numPr>
          <w:ilvl w:val="0"/>
          <w:numId w:val="53"/>
        </w:numPr>
        <w:spacing w:before="0"/>
        <w:rPr>
          <w:i/>
        </w:rPr>
      </w:pPr>
      <w:r w:rsidRPr="0089366F">
        <w:rPr>
          <w:i/>
        </w:rPr>
        <w:t xml:space="preserve">provide a demographic impact assessment; </w:t>
      </w:r>
    </w:p>
    <w:p w14:paraId="35C7621B" w14:textId="77777777" w:rsidR="006D2E84" w:rsidRPr="0089366F" w:rsidRDefault="006D2E84" w:rsidP="006B087B">
      <w:pPr>
        <w:pStyle w:val="ListParagraph"/>
        <w:numPr>
          <w:ilvl w:val="0"/>
          <w:numId w:val="53"/>
        </w:numPr>
        <w:spacing w:before="0"/>
        <w:rPr>
          <w:i/>
        </w:rPr>
      </w:pPr>
      <w:r w:rsidRPr="0089366F">
        <w:rPr>
          <w:i/>
        </w:rPr>
        <w:t xml:space="preserve">provide a health impact assessment; </w:t>
      </w:r>
    </w:p>
    <w:p w14:paraId="3D0B7130" w14:textId="77777777" w:rsidR="006D2E84" w:rsidRPr="0089366F" w:rsidRDefault="006D2E84" w:rsidP="006B087B">
      <w:pPr>
        <w:pStyle w:val="ListParagraph"/>
        <w:numPr>
          <w:ilvl w:val="0"/>
          <w:numId w:val="53"/>
        </w:numPr>
        <w:spacing w:before="0"/>
        <w:rPr>
          <w:i/>
        </w:rPr>
      </w:pPr>
      <w:r w:rsidRPr="0089366F">
        <w:rPr>
          <w:i/>
        </w:rPr>
        <w:t xml:space="preserve">provide a gender impact assessment; </w:t>
      </w:r>
    </w:p>
    <w:p w14:paraId="7B020DEF" w14:textId="77777777" w:rsidR="006D2E84" w:rsidRPr="0089366F" w:rsidRDefault="006D2E84" w:rsidP="006B087B">
      <w:pPr>
        <w:pStyle w:val="ListParagraph"/>
        <w:numPr>
          <w:ilvl w:val="0"/>
          <w:numId w:val="53"/>
        </w:numPr>
        <w:spacing w:before="0"/>
        <w:rPr>
          <w:i/>
        </w:rPr>
      </w:pPr>
      <w:r w:rsidRPr="0089366F">
        <w:rPr>
          <w:i/>
        </w:rPr>
        <w:t>provide a noise impact assessment; and</w:t>
      </w:r>
    </w:p>
    <w:p w14:paraId="18DD7F51" w14:textId="77777777" w:rsidR="006D2E84" w:rsidRPr="0089366F" w:rsidRDefault="006D2E84" w:rsidP="006B087B">
      <w:pPr>
        <w:pStyle w:val="ListParagraph"/>
        <w:numPr>
          <w:ilvl w:val="0"/>
          <w:numId w:val="53"/>
        </w:numPr>
        <w:spacing w:before="0"/>
        <w:rPr>
          <w:i/>
        </w:rPr>
      </w:pPr>
      <w:r w:rsidRPr="0089366F">
        <w:rPr>
          <w:i/>
        </w:rPr>
        <w:t>state whether any of the above would have short term or long term harmful effects on the environment.</w:t>
      </w:r>
    </w:p>
    <w:p w14:paraId="6F90F101" w14:textId="76A6AD2F" w:rsidR="006D2E84" w:rsidRPr="0089366F" w:rsidRDefault="006D2E84" w:rsidP="006D2E84">
      <w:r w:rsidRPr="0089366F">
        <w:t>The decision to grant development consent</w:t>
      </w:r>
      <w:r w:rsidR="002C5EDB">
        <w:t xml:space="preserve"> must consider these elements. </w:t>
      </w:r>
    </w:p>
    <w:p w14:paraId="267A98BE" w14:textId="77777777" w:rsidR="006D2E84" w:rsidRPr="0089366F" w:rsidRDefault="006D2E84" w:rsidP="006D2E84">
      <w:r w:rsidRPr="0089366F">
        <w:t xml:space="preserve">The </w:t>
      </w:r>
      <w:r w:rsidRPr="001C584C">
        <w:rPr>
          <w:i/>
          <w:color w:val="4F81BD" w:themeColor="accent1"/>
        </w:rPr>
        <w:t>PA Act</w:t>
      </w:r>
      <w:r w:rsidRPr="0089366F">
        <w:t xml:space="preserve"> also identifies as a key principle of management decision-making including that: </w:t>
      </w:r>
    </w:p>
    <w:p w14:paraId="484281B9" w14:textId="77777777" w:rsidR="006D2E84" w:rsidRPr="001C584C" w:rsidRDefault="006D2E84" w:rsidP="009D70D7">
      <w:pPr>
        <w:pStyle w:val="ListParagraph"/>
        <w:numPr>
          <w:ilvl w:val="0"/>
          <w:numId w:val="70"/>
        </w:numPr>
        <w:spacing w:before="0"/>
        <w:rPr>
          <w:i/>
        </w:rPr>
      </w:pPr>
      <w:r w:rsidRPr="001C584C">
        <w:rPr>
          <w:i/>
        </w:rPr>
        <w:t xml:space="preserve">best alternatives and incentive mechanisms are in place to maintain motivation and support of local communities; </w:t>
      </w:r>
    </w:p>
    <w:p w14:paraId="10ED46BC" w14:textId="6199D15E" w:rsidR="006D2E84" w:rsidRPr="002C5EDB" w:rsidRDefault="006D2E84" w:rsidP="009D70D7">
      <w:pPr>
        <w:pStyle w:val="ListParagraph"/>
        <w:numPr>
          <w:ilvl w:val="0"/>
          <w:numId w:val="70"/>
        </w:numPr>
        <w:spacing w:before="0"/>
        <w:rPr>
          <w:i/>
        </w:rPr>
      </w:pPr>
      <w:r w:rsidRPr="001C584C">
        <w:rPr>
          <w:i/>
        </w:rPr>
        <w:t>decision-making processes and outcomes should be based on a combination of both short term and long term economic, social, equitable and environmental considerations;</w:t>
      </w:r>
      <w:r w:rsidRPr="0089366F">
        <w:rPr>
          <w:rStyle w:val="FootnoteReference"/>
          <w:i/>
        </w:rPr>
        <w:footnoteReference w:id="118"/>
      </w:r>
      <w:r w:rsidRPr="001C584C">
        <w:rPr>
          <w:i/>
        </w:rPr>
        <w:t xml:space="preserve"> </w:t>
      </w:r>
    </w:p>
    <w:p w14:paraId="79BF612D" w14:textId="77777777" w:rsidR="006D2E84" w:rsidRPr="0089366F" w:rsidRDefault="006D2E84" w:rsidP="006D2E84">
      <w:pPr>
        <w:pStyle w:val="Heading4"/>
      </w:pPr>
      <w:r w:rsidRPr="0089366F">
        <w:t xml:space="preserve">Recommendations </w:t>
      </w:r>
    </w:p>
    <w:p w14:paraId="3DFFF51B" w14:textId="77777777" w:rsidR="006D2E84" w:rsidRPr="0089366F" w:rsidRDefault="006D2E84" w:rsidP="006D2E84">
      <w:pPr>
        <w:pStyle w:val="Heading5"/>
      </w:pPr>
      <w:r w:rsidRPr="0089366F">
        <w:t xml:space="preserve">National </w:t>
      </w:r>
    </w:p>
    <w:p w14:paraId="731D1688" w14:textId="2C7A3AFB" w:rsidR="00332178" w:rsidRDefault="00332178" w:rsidP="00332178">
      <w:pPr>
        <w:spacing w:before="0"/>
      </w:pPr>
      <w:r w:rsidRPr="006C3475">
        <w:rPr>
          <w:u w:val="single"/>
        </w:rPr>
        <w:t>Cross Cutting</w:t>
      </w:r>
      <w:r>
        <w:t>:</w:t>
      </w:r>
    </w:p>
    <w:p w14:paraId="3DF649CE" w14:textId="6CB7F3AE" w:rsidR="00332178" w:rsidRPr="007635F8" w:rsidRDefault="006C3475" w:rsidP="009D70D7">
      <w:pPr>
        <w:pStyle w:val="ListParagraph"/>
        <w:numPr>
          <w:ilvl w:val="0"/>
          <w:numId w:val="84"/>
        </w:numPr>
        <w:spacing w:before="0"/>
        <w:rPr>
          <w:highlight w:val="magenta"/>
        </w:rPr>
      </w:pPr>
      <w:r w:rsidRPr="007635F8">
        <w:rPr>
          <w:highlight w:val="magenta"/>
        </w:rPr>
        <w:t xml:space="preserve">All national level impact assessments should be carried </w:t>
      </w:r>
      <w:r w:rsidR="007635F8" w:rsidRPr="007635F8">
        <w:rPr>
          <w:highlight w:val="magenta"/>
        </w:rPr>
        <w:t xml:space="preserve">on policies and programmes to consider the potential impacts the economic and social well-being of relevant stakeholders, with special attention to the most vulnerable and marginalized groups and to provide mitigating options for them. </w:t>
      </w:r>
    </w:p>
    <w:p w14:paraId="41209CA2" w14:textId="77777777" w:rsidR="006C3475" w:rsidRDefault="006C3475" w:rsidP="00332178">
      <w:pPr>
        <w:spacing w:before="0"/>
      </w:pPr>
    </w:p>
    <w:p w14:paraId="12745385" w14:textId="19CA0272" w:rsidR="005943BE" w:rsidRDefault="005943BE" w:rsidP="00332178">
      <w:pPr>
        <w:spacing w:before="0"/>
        <w:rPr>
          <w:u w:val="single"/>
        </w:rPr>
      </w:pPr>
      <w:r>
        <w:rPr>
          <w:u w:val="single"/>
        </w:rPr>
        <w:t xml:space="preserve">Forestry </w:t>
      </w:r>
    </w:p>
    <w:p w14:paraId="13B4CA85" w14:textId="44BFF43B" w:rsidR="005943BE" w:rsidRPr="005943BE" w:rsidRDefault="005943BE" w:rsidP="00332178">
      <w:pPr>
        <w:spacing w:before="0"/>
      </w:pPr>
      <w:r w:rsidRPr="005943BE">
        <w:rPr>
          <w:highlight w:val="magenta"/>
        </w:rPr>
        <w:t>Forest reserves</w:t>
      </w:r>
    </w:p>
    <w:p w14:paraId="75CC96BE" w14:textId="77777777" w:rsidR="005943BE" w:rsidRDefault="005943BE" w:rsidP="00332178">
      <w:pPr>
        <w:spacing w:before="0"/>
        <w:rPr>
          <w:u w:val="single"/>
        </w:rPr>
      </w:pPr>
    </w:p>
    <w:p w14:paraId="68356C2C" w14:textId="6483CEA4" w:rsidR="00332178" w:rsidRPr="00332178" w:rsidRDefault="00332178" w:rsidP="00332178">
      <w:pPr>
        <w:spacing w:before="0"/>
        <w:rPr>
          <w:u w:val="single"/>
        </w:rPr>
      </w:pPr>
      <w:r w:rsidRPr="00332178">
        <w:rPr>
          <w:u w:val="single"/>
        </w:rPr>
        <w:t>Environment</w:t>
      </w:r>
    </w:p>
    <w:p w14:paraId="2F9B50AE" w14:textId="07F9588D" w:rsidR="00332178" w:rsidRDefault="006C3475" w:rsidP="007635F8">
      <w:pPr>
        <w:numPr>
          <w:ilvl w:val="0"/>
          <w:numId w:val="23"/>
        </w:numPr>
        <w:spacing w:before="0"/>
      </w:pPr>
      <w:r>
        <w:t xml:space="preserve">EIS should assess </w:t>
      </w:r>
      <w:r w:rsidR="006D2E84" w:rsidRPr="00842598">
        <w:t>economic and social impact</w:t>
      </w:r>
      <w:r>
        <w:t>s</w:t>
      </w:r>
      <w:r w:rsidR="006D2E84" w:rsidRPr="00842598">
        <w:t xml:space="preserve"> </w:t>
      </w:r>
      <w:r>
        <w:t xml:space="preserve">including specific </w:t>
      </w:r>
      <w:r w:rsidR="006D2E84" w:rsidRPr="00842598">
        <w:t>consideration of impacts on most vulnerable in communities</w:t>
      </w:r>
      <w:r w:rsidR="00332178">
        <w:t xml:space="preserve"> </w:t>
      </w:r>
      <w:r>
        <w:t xml:space="preserve">with management provided to mitigate risks in line with Section 23 of the Act and 32 of the Regulations </w:t>
      </w:r>
      <w:r w:rsidR="00332178">
        <w:t>(</w:t>
      </w:r>
      <w:r w:rsidR="00332178" w:rsidRPr="00332178">
        <w:rPr>
          <w:i/>
        </w:rPr>
        <w:t>system</w:t>
      </w:r>
      <w:r w:rsidR="00332178">
        <w:t>)</w:t>
      </w:r>
    </w:p>
    <w:p w14:paraId="78A10186" w14:textId="77777777" w:rsidR="007635F8" w:rsidRDefault="007635F8" w:rsidP="006B087B">
      <w:pPr>
        <w:numPr>
          <w:ilvl w:val="0"/>
          <w:numId w:val="23"/>
        </w:numPr>
        <w:spacing w:before="0"/>
      </w:pPr>
      <w:r>
        <w:t xml:space="preserve">Revision to the PA Act to: </w:t>
      </w:r>
    </w:p>
    <w:p w14:paraId="721206D8" w14:textId="0395451B" w:rsidR="00C521B7" w:rsidRPr="00842598" w:rsidRDefault="007635F8" w:rsidP="007635F8">
      <w:pPr>
        <w:numPr>
          <w:ilvl w:val="1"/>
          <w:numId w:val="23"/>
        </w:numPr>
        <w:spacing w:before="0"/>
        <w:ind w:left="709"/>
      </w:pPr>
      <w:r>
        <w:t xml:space="preserve">Require all </w:t>
      </w:r>
      <w:r w:rsidR="00C521B7">
        <w:t>PA management</w:t>
      </w:r>
      <w:r>
        <w:t xml:space="preserve"> plans </w:t>
      </w:r>
      <w:r w:rsidR="00C521B7">
        <w:t>t</w:t>
      </w:r>
      <w:r>
        <w:t>o</w:t>
      </w:r>
      <w:r w:rsidR="00C521B7">
        <w:t xml:space="preserve"> include consideration of how </w:t>
      </w:r>
      <w:r w:rsidR="00C521B7" w:rsidRPr="00C521B7">
        <w:t>economic and social well-being of relevant stakeholders, with special attention to the most vulnerable and marginalized groups</w:t>
      </w:r>
      <w:r w:rsidR="00C521B7">
        <w:t xml:space="preserve"> will be protected and enhanced</w:t>
      </w:r>
      <w:r>
        <w:t xml:space="preserve"> through management activities</w:t>
      </w:r>
      <w:r w:rsidR="00C521B7">
        <w:t xml:space="preserve">. </w:t>
      </w:r>
    </w:p>
    <w:p w14:paraId="641674DA" w14:textId="77777777" w:rsidR="006D2E84" w:rsidRPr="00842598" w:rsidRDefault="006D2E84" w:rsidP="006D2E84">
      <w:pPr>
        <w:pStyle w:val="Heading5"/>
      </w:pPr>
      <w:r w:rsidRPr="00842598">
        <w:t>Site level</w:t>
      </w:r>
    </w:p>
    <w:p w14:paraId="1088DB87" w14:textId="77777777" w:rsidR="007635F8" w:rsidRDefault="007635F8" w:rsidP="006D2E84">
      <w:pPr>
        <w:pStyle w:val="Heading4"/>
      </w:pPr>
    </w:p>
    <w:p w14:paraId="3B2FBFF5" w14:textId="77777777" w:rsidR="006D2E84" w:rsidRPr="00842598" w:rsidRDefault="006D2E84" w:rsidP="006D2E84">
      <w:pPr>
        <w:pStyle w:val="Heading4"/>
      </w:pPr>
      <w:r w:rsidRPr="00842598">
        <w:t>Recommended Actions:</w:t>
      </w:r>
    </w:p>
    <w:p w14:paraId="31E3DEB7" w14:textId="77777777" w:rsidR="006D2E84" w:rsidRPr="005943BE" w:rsidRDefault="006D2E84" w:rsidP="006D2E84">
      <w:pPr>
        <w:rPr>
          <w:highlight w:val="lightGray"/>
        </w:rPr>
      </w:pPr>
      <w:r w:rsidRPr="005943BE">
        <w:rPr>
          <w:highlight w:val="lightGray"/>
        </w:rPr>
        <w:t xml:space="preserve">Clarifications provided to the Environment Act Development Consent process to ensure it considers economic and social benefits and provides a clear disaggregation looking at vulnerable groups. </w:t>
      </w:r>
    </w:p>
    <w:p w14:paraId="796CD44C" w14:textId="549043B3" w:rsidR="006D2E84" w:rsidRPr="002C5EDB" w:rsidRDefault="006D2E84" w:rsidP="006D2E84">
      <w:r w:rsidRPr="005943BE">
        <w:rPr>
          <w:highlight w:val="lightGray"/>
        </w:rPr>
        <w:t xml:space="preserve">The PA Act requires an assessment of the potential social and economic impacts of PA establishment and a clear statement within the management plan of how benefits to the </w:t>
      </w:r>
      <w:r w:rsidR="002C5EDB" w:rsidRPr="005943BE">
        <w:rPr>
          <w:highlight w:val="lightGray"/>
        </w:rPr>
        <w:t>communities will be maximised.</w:t>
      </w:r>
      <w:r w:rsidR="002C5EDB">
        <w:t xml:space="preserve"> </w:t>
      </w:r>
    </w:p>
    <w:p w14:paraId="5F1965A3" w14:textId="77777777" w:rsidR="006D2E84" w:rsidRPr="00842598" w:rsidRDefault="006D2E84" w:rsidP="006D2E84">
      <w:pPr>
        <w:pStyle w:val="Heading4"/>
      </w:pPr>
      <w:r w:rsidRPr="00842598">
        <w:t xml:space="preserve">Potential Indicators </w:t>
      </w:r>
    </w:p>
    <w:p w14:paraId="6C5D0C22" w14:textId="77777777" w:rsidR="006D2E84" w:rsidRPr="00842598" w:rsidRDefault="006D2E84" w:rsidP="006B087B">
      <w:pPr>
        <w:numPr>
          <w:ilvl w:val="0"/>
          <w:numId w:val="54"/>
        </w:numPr>
        <w:spacing w:before="0"/>
      </w:pPr>
      <w:r w:rsidRPr="00842598">
        <w:t xml:space="preserve">Revisions to Environment Act and PA Act </w:t>
      </w:r>
    </w:p>
    <w:p w14:paraId="48A76019" w14:textId="77777777" w:rsidR="006D2E84" w:rsidRPr="00842598" w:rsidRDefault="006D2E84" w:rsidP="006B087B">
      <w:pPr>
        <w:numPr>
          <w:ilvl w:val="0"/>
          <w:numId w:val="54"/>
        </w:numPr>
        <w:spacing w:before="0"/>
      </w:pPr>
      <w:r w:rsidRPr="00842598">
        <w:t xml:space="preserve">Economic and Social Impact assessment included within all Development Consent Applications within Forest sector and PA applications </w:t>
      </w:r>
    </w:p>
    <w:p w14:paraId="581E80B6" w14:textId="77777777" w:rsidR="006D2E84" w:rsidRPr="00842598" w:rsidRDefault="006D2E84" w:rsidP="006D2E84">
      <w:pPr>
        <w:pStyle w:val="Heading4"/>
      </w:pPr>
      <w:r w:rsidRPr="00842598">
        <w:t xml:space="preserve">Data Collection: </w:t>
      </w:r>
    </w:p>
    <w:p w14:paraId="253CB9F5" w14:textId="77777777" w:rsidR="006D2E84" w:rsidRPr="00842598" w:rsidRDefault="006D2E84" w:rsidP="006B087B">
      <w:pPr>
        <w:pStyle w:val="ListParagraph"/>
        <w:numPr>
          <w:ilvl w:val="0"/>
          <w:numId w:val="55"/>
        </w:numPr>
        <w:spacing w:before="0"/>
      </w:pPr>
      <w:r w:rsidRPr="00842598">
        <w:t xml:space="preserve">RIU activity updates </w:t>
      </w:r>
    </w:p>
    <w:p w14:paraId="25B6BECD" w14:textId="77777777" w:rsidR="006D2E84" w:rsidRPr="00842598" w:rsidRDefault="006D2E84" w:rsidP="006B087B">
      <w:pPr>
        <w:pStyle w:val="ListParagraph"/>
        <w:numPr>
          <w:ilvl w:val="0"/>
          <w:numId w:val="55"/>
        </w:numPr>
        <w:spacing w:before="0"/>
      </w:pPr>
      <w:r w:rsidRPr="00842598">
        <w:t>Project registration documents</w:t>
      </w:r>
    </w:p>
    <w:p w14:paraId="53DE4897" w14:textId="77777777" w:rsidR="006D2E84" w:rsidRPr="0089366F" w:rsidRDefault="006D2E84" w:rsidP="006D2E84">
      <w:pPr>
        <w:sectPr w:rsidR="006D2E84" w:rsidRPr="0089366F" w:rsidSect="00014341">
          <w:pgSz w:w="11900" w:h="16840"/>
          <w:pgMar w:top="1440" w:right="1080" w:bottom="1440" w:left="1080" w:header="708" w:footer="708" w:gutter="0"/>
          <w:cols w:space="708"/>
          <w:docGrid w:linePitch="360"/>
        </w:sectPr>
      </w:pPr>
    </w:p>
    <w:p w14:paraId="1193BD13" w14:textId="77777777" w:rsidR="006D2E84" w:rsidRPr="0089366F" w:rsidRDefault="006D2E84" w:rsidP="002C5EDB">
      <w:pPr>
        <w:pStyle w:val="Heading2"/>
        <w:numPr>
          <w:ilvl w:val="0"/>
          <w:numId w:val="0"/>
        </w:numPr>
      </w:pPr>
      <w:bookmarkStart w:id="44" w:name="_Toc254892858"/>
      <w:r w:rsidRPr="0089366F">
        <w:t>Principle 4 – Contribute to low-carbon, climate-resilient sustainable development policy, consistent with national development strategies, national forest programmes, and commitments under international conventions and agreements</w:t>
      </w:r>
      <w:bookmarkEnd w:id="44"/>
    </w:p>
    <w:p w14:paraId="1F7C4E26" w14:textId="514DEFC1" w:rsidR="006D2E84" w:rsidRDefault="006D2E84" w:rsidP="005943BE">
      <w:pPr>
        <w:pStyle w:val="Heading3"/>
        <w:numPr>
          <w:ilvl w:val="0"/>
          <w:numId w:val="0"/>
        </w:numPr>
        <w:spacing w:before="120"/>
      </w:pPr>
      <w:bookmarkStart w:id="45" w:name="_Toc254892859"/>
      <w:r w:rsidRPr="0089366F">
        <w:t>Criterion 14 – Ensure consistency with and contribution to national climate policy objectives, including those of mitigation and adaptation strategies and international commitments on climate</w:t>
      </w:r>
      <w:r w:rsidR="002C5EDB">
        <w:rPr>
          <w:rStyle w:val="FootnoteReference"/>
        </w:rPr>
        <w:footnoteReference w:id="119"/>
      </w:r>
      <w:bookmarkEnd w:id="45"/>
    </w:p>
    <w:p w14:paraId="35F3B174" w14:textId="77777777" w:rsidR="005943BE" w:rsidRPr="005943BE" w:rsidRDefault="005943BE" w:rsidP="005943BE"/>
    <w:p w14:paraId="7ECEC086" w14:textId="48010AB3" w:rsidR="006D2E84" w:rsidRPr="0089366F" w:rsidRDefault="006D2E84" w:rsidP="005943BE">
      <w:pPr>
        <w:pStyle w:val="Heading3"/>
        <w:numPr>
          <w:ilvl w:val="0"/>
          <w:numId w:val="0"/>
        </w:numPr>
        <w:spacing w:before="120"/>
      </w:pPr>
      <w:bookmarkStart w:id="46" w:name="_Toc254892860"/>
      <w:r w:rsidRPr="0089366F">
        <w:t>Criterion 16 – Ensure consistency with and contribution to national poverty reduction strategies and other sustainable development goals (including those outlined under the Millennium Development Goals framework), including alignment with</w:t>
      </w:r>
      <w:r>
        <w:t xml:space="preserve"> ministries’ </w:t>
      </w:r>
      <w:r w:rsidR="005943BE">
        <w:t xml:space="preserve">and </w:t>
      </w:r>
      <w:r w:rsidRPr="0089366F">
        <w:t>sub-national strategies and plans that may have an impact on, or be affected by the forest sector and/or land use change.</w:t>
      </w:r>
      <w:bookmarkEnd w:id="46"/>
    </w:p>
    <w:p w14:paraId="5CBCC1C6" w14:textId="77777777" w:rsidR="006D2E84" w:rsidRPr="0089366F" w:rsidRDefault="006D2E84" w:rsidP="005943BE"/>
    <w:p w14:paraId="5062B4C0" w14:textId="77777777" w:rsidR="006D2E84" w:rsidRPr="0089366F" w:rsidRDefault="006D2E84" w:rsidP="005943BE">
      <w:pPr>
        <w:pStyle w:val="Heading3"/>
        <w:numPr>
          <w:ilvl w:val="0"/>
          <w:numId w:val="0"/>
        </w:numPr>
        <w:spacing w:before="120"/>
      </w:pPr>
      <w:bookmarkStart w:id="47" w:name="_Toc254892861"/>
      <w:r w:rsidRPr="0089366F">
        <w:t>Criterion 17 – Ensure consistency with and contribution to national biodiversity conservation policies (including National Biodiversity Strategies and Action Plans), other environmental and natural resource management policy objectives, national forest programmes, and international commitments on the environment.</w:t>
      </w:r>
      <w:bookmarkEnd w:id="47"/>
    </w:p>
    <w:p w14:paraId="7170104E" w14:textId="77777777" w:rsidR="006D2E84" w:rsidRPr="0089366F" w:rsidRDefault="006D2E84" w:rsidP="006D2E84">
      <w:pPr>
        <w:pStyle w:val="Heading4"/>
      </w:pPr>
      <w:r w:rsidRPr="0089366F">
        <w:t xml:space="preserve">Potential Risks: </w:t>
      </w:r>
    </w:p>
    <w:p w14:paraId="732E822F" w14:textId="77777777" w:rsidR="006D2E84" w:rsidRPr="0089366F" w:rsidRDefault="006D2E84" w:rsidP="006D2E84">
      <w:r w:rsidRPr="0089366F">
        <w:t xml:space="preserve">REDD+ developments are established that are not in line within existing policies. </w:t>
      </w:r>
    </w:p>
    <w:p w14:paraId="5A453D08" w14:textId="77777777" w:rsidR="006D2E84" w:rsidRPr="0089366F" w:rsidRDefault="006D2E84" w:rsidP="006D2E84">
      <w:pPr>
        <w:pStyle w:val="Heading4"/>
      </w:pPr>
      <w:r>
        <w:t xml:space="preserve">Summary </w:t>
      </w:r>
      <w:r w:rsidRPr="0089366F">
        <w:t>Review of Existing Legislation and its Application:</w:t>
      </w:r>
    </w:p>
    <w:p w14:paraId="2D4354C4" w14:textId="77777777" w:rsidR="006D2E84" w:rsidRPr="0089366F" w:rsidRDefault="006D2E84" w:rsidP="006D2E84">
      <w:pPr>
        <w:pStyle w:val="Heading5"/>
      </w:pPr>
      <w:r w:rsidRPr="0089366F">
        <w:t>REDD+</w:t>
      </w:r>
    </w:p>
    <w:p w14:paraId="0B17BC85" w14:textId="77777777" w:rsidR="006D2E84" w:rsidRPr="0089366F" w:rsidRDefault="006D2E84" w:rsidP="006D2E84">
      <w:r w:rsidRPr="0089366F">
        <w:t xml:space="preserve">The national REDD+ Roadmap identifies linkages between existing national sector based strategies and programmes and proposed REDD+ developments.  </w:t>
      </w:r>
    </w:p>
    <w:p w14:paraId="28A80193" w14:textId="77777777" w:rsidR="006D2E84" w:rsidRPr="0089366F" w:rsidRDefault="006D2E84" w:rsidP="006D2E84">
      <w:pPr>
        <w:pStyle w:val="Heading5"/>
      </w:pPr>
      <w:r w:rsidRPr="0089366F">
        <w:t>Existing Legislation</w:t>
      </w:r>
    </w:p>
    <w:p w14:paraId="50513446" w14:textId="77777777" w:rsidR="006D2E84" w:rsidRPr="0089366F" w:rsidRDefault="006D2E84" w:rsidP="006D2E84">
      <w:r w:rsidRPr="0089366F">
        <w:t xml:space="preserve">At the national level sector based policies and programmes should be aligned with the National Development Strategy as well as other relevant national and international commitments. There is however limited assessment across sectors to ensure that there are not conflicting objectives. </w:t>
      </w:r>
    </w:p>
    <w:p w14:paraId="3C3F2E19" w14:textId="77777777" w:rsidR="006D2E84" w:rsidRPr="0089366F" w:rsidRDefault="006D2E84" w:rsidP="006D2E84">
      <w:r w:rsidRPr="0089366F">
        <w:t xml:space="preserve">At the site level existing legislation does not require applications for Development Consent, Forestry Licenses or PA designation to provide clear and explicit linkages with existing national or international policies or obligations. </w:t>
      </w:r>
    </w:p>
    <w:p w14:paraId="5ED837D7" w14:textId="77777777" w:rsidR="006D2E84" w:rsidRPr="0089366F" w:rsidRDefault="006D2E84" w:rsidP="006D2E84"/>
    <w:p w14:paraId="4A7233BE" w14:textId="77777777" w:rsidR="005943BE" w:rsidRDefault="006D2E84" w:rsidP="006D2E84">
      <w:pPr>
        <w:pStyle w:val="Heading4"/>
      </w:pPr>
      <w:r w:rsidRPr="0089366F">
        <w:t xml:space="preserve">Recommendations </w:t>
      </w:r>
      <w:r w:rsidR="005943BE">
        <w:t>to e</w:t>
      </w:r>
      <w:r w:rsidR="005943BE" w:rsidRPr="005943BE">
        <w:t>nsure consistency with and contribution to</w:t>
      </w:r>
      <w:r w:rsidR="005943BE">
        <w:t>:</w:t>
      </w:r>
    </w:p>
    <w:p w14:paraId="4780E21B" w14:textId="77777777" w:rsidR="005943BE" w:rsidRDefault="005943BE" w:rsidP="009D70D7">
      <w:pPr>
        <w:pStyle w:val="Heading4"/>
        <w:numPr>
          <w:ilvl w:val="0"/>
          <w:numId w:val="85"/>
        </w:numPr>
      </w:pPr>
      <w:r w:rsidRPr="005943BE">
        <w:t>national climate policy objectives, including those of mitigation and adaptation strategies and international commitments on climate</w:t>
      </w:r>
    </w:p>
    <w:p w14:paraId="3CC115BA" w14:textId="77777777" w:rsidR="005943BE" w:rsidRPr="005943BE" w:rsidRDefault="005943BE" w:rsidP="009D70D7">
      <w:pPr>
        <w:pStyle w:val="Heading4"/>
        <w:numPr>
          <w:ilvl w:val="0"/>
          <w:numId w:val="85"/>
        </w:numPr>
      </w:pPr>
      <w:r w:rsidRPr="005943BE">
        <w:t>national poverty reduction strategies and other sustainable development goals (including the Millennium Development Goals framework), including alignment with ministries’ and sub-national strategies and plans that may have an impact on, or be affected by the forest sector and/or land use change.</w:t>
      </w:r>
      <w:r w:rsidRPr="005943BE">
        <w:rPr>
          <w:rFonts w:eastAsia="ＭＳ 明朝"/>
          <w:bCs w:val="0"/>
          <w:iCs w:val="0"/>
          <w:color w:val="auto"/>
          <w:sz w:val="22"/>
          <w:u w:val="none"/>
        </w:rPr>
        <w:t xml:space="preserve"> </w:t>
      </w:r>
    </w:p>
    <w:p w14:paraId="3A37B093" w14:textId="64886963" w:rsidR="005943BE" w:rsidRPr="005943BE" w:rsidRDefault="005943BE" w:rsidP="009D70D7">
      <w:pPr>
        <w:pStyle w:val="Heading4"/>
        <w:numPr>
          <w:ilvl w:val="0"/>
          <w:numId w:val="85"/>
        </w:numPr>
      </w:pPr>
      <w:r w:rsidRPr="005943BE">
        <w:t>national biodiversity conservation policies (including National Biodiversity Strategies and Action Plans), other environmental and natural resource management policy objectives, national forest programmes, and international commitments on the environment.</w:t>
      </w:r>
    </w:p>
    <w:p w14:paraId="514B59D9" w14:textId="77777777" w:rsidR="006D2E84" w:rsidRPr="00B51976" w:rsidRDefault="006D2E84" w:rsidP="006D2E84">
      <w:pPr>
        <w:pStyle w:val="Heading5"/>
      </w:pPr>
      <w:r w:rsidRPr="00B51976">
        <w:t xml:space="preserve">National </w:t>
      </w:r>
    </w:p>
    <w:p w14:paraId="6B044AAB" w14:textId="56552DC7" w:rsidR="005943BE" w:rsidRPr="005943BE" w:rsidRDefault="005943BE" w:rsidP="005943BE">
      <w:pPr>
        <w:spacing w:before="0"/>
        <w:rPr>
          <w:u w:val="single"/>
        </w:rPr>
      </w:pPr>
      <w:r w:rsidRPr="005943BE">
        <w:rPr>
          <w:u w:val="single"/>
        </w:rPr>
        <w:t>Cross cutting</w:t>
      </w:r>
    </w:p>
    <w:p w14:paraId="40B762C6" w14:textId="16C76210" w:rsidR="005943BE" w:rsidRDefault="005943BE" w:rsidP="005943BE">
      <w:pPr>
        <w:spacing w:before="0"/>
      </w:pPr>
      <w:r>
        <w:t>A National REDD+ policies and programmes should be</w:t>
      </w:r>
      <w:r w:rsidR="009D70D7">
        <w:t xml:space="preserve"> reviewed to ensure compatibility to NDS and existing sustainable development goals and biodiversity policies – link with MDPAC work. </w:t>
      </w:r>
    </w:p>
    <w:p w14:paraId="1CCA220F" w14:textId="77777777" w:rsidR="005943BE" w:rsidRDefault="005943BE" w:rsidP="005943BE">
      <w:pPr>
        <w:spacing w:before="0"/>
      </w:pPr>
    </w:p>
    <w:p w14:paraId="2163A1E3" w14:textId="509D39E0" w:rsidR="005943BE" w:rsidRPr="005943BE" w:rsidRDefault="005943BE" w:rsidP="005943BE">
      <w:pPr>
        <w:spacing w:before="0"/>
        <w:rPr>
          <w:u w:val="single"/>
        </w:rPr>
      </w:pPr>
      <w:r w:rsidRPr="005943BE">
        <w:rPr>
          <w:u w:val="single"/>
        </w:rPr>
        <w:t xml:space="preserve">Forestry </w:t>
      </w:r>
    </w:p>
    <w:p w14:paraId="077203E9" w14:textId="77777777" w:rsidR="009D70D7" w:rsidRDefault="009D70D7" w:rsidP="009D70D7">
      <w:pPr>
        <w:pStyle w:val="ListParagraph"/>
        <w:numPr>
          <w:ilvl w:val="0"/>
          <w:numId w:val="87"/>
        </w:numPr>
        <w:spacing w:before="0"/>
      </w:pPr>
      <w:r>
        <w:t xml:space="preserve">Revisions to FRTU Act (or bill) to: </w:t>
      </w:r>
    </w:p>
    <w:p w14:paraId="064643A1" w14:textId="38B24F1E" w:rsidR="005943BE" w:rsidRDefault="009D70D7" w:rsidP="009D70D7">
      <w:pPr>
        <w:pStyle w:val="ListParagraph"/>
        <w:numPr>
          <w:ilvl w:val="0"/>
          <w:numId w:val="86"/>
        </w:numPr>
        <w:spacing w:before="0"/>
        <w:ind w:left="709" w:hanging="349"/>
      </w:pPr>
      <w:r>
        <w:t>Require forestry licenses to only be able to be issued if management plans are consistent</w:t>
      </w:r>
      <w:r w:rsidRPr="00C521B7">
        <w:t xml:space="preserve"> with national CC, poverty reduction, sustainable development and biodiversity conservation policies and commitments</w:t>
      </w:r>
      <w:r>
        <w:t xml:space="preserve">. </w:t>
      </w:r>
    </w:p>
    <w:p w14:paraId="7A09C0EC" w14:textId="77777777" w:rsidR="009D70D7" w:rsidRDefault="009D70D7" w:rsidP="005943BE">
      <w:pPr>
        <w:spacing w:before="0"/>
      </w:pPr>
    </w:p>
    <w:p w14:paraId="3AC21DAB" w14:textId="43F8F40D" w:rsidR="005943BE" w:rsidRPr="005943BE" w:rsidRDefault="005943BE" w:rsidP="005943BE">
      <w:pPr>
        <w:spacing w:before="0"/>
        <w:rPr>
          <w:u w:val="single"/>
        </w:rPr>
      </w:pPr>
      <w:r w:rsidRPr="005943BE">
        <w:rPr>
          <w:u w:val="single"/>
        </w:rPr>
        <w:t>Environment</w:t>
      </w:r>
    </w:p>
    <w:p w14:paraId="6D153C13" w14:textId="77777777" w:rsidR="009D70D7" w:rsidRDefault="009D70D7" w:rsidP="00C521B7">
      <w:pPr>
        <w:pStyle w:val="ListParagraph"/>
        <w:numPr>
          <w:ilvl w:val="0"/>
          <w:numId w:val="23"/>
        </w:numPr>
        <w:spacing w:before="0"/>
      </w:pPr>
      <w:r>
        <w:t xml:space="preserve">Revisions to EA to: </w:t>
      </w:r>
    </w:p>
    <w:p w14:paraId="5BFF4937" w14:textId="5DFB916B" w:rsidR="00C521B7" w:rsidRPr="00C521B7" w:rsidRDefault="009D70D7" w:rsidP="009D70D7">
      <w:pPr>
        <w:pStyle w:val="ListParagraph"/>
        <w:numPr>
          <w:ilvl w:val="1"/>
          <w:numId w:val="23"/>
        </w:numPr>
        <w:spacing w:before="0"/>
        <w:ind w:left="709"/>
      </w:pPr>
      <w:r>
        <w:t xml:space="preserve">Require </w:t>
      </w:r>
      <w:r w:rsidR="00C521B7" w:rsidRPr="00C521B7">
        <w:t>EIS documents are required to assess consistency with national CC, poverty reduction, sustainable development and biodiversity conservation policies and commitments</w:t>
      </w:r>
    </w:p>
    <w:p w14:paraId="1706993B" w14:textId="77777777" w:rsidR="009D70D7" w:rsidRDefault="009D70D7" w:rsidP="00C521B7">
      <w:pPr>
        <w:pStyle w:val="ListParagraph"/>
        <w:numPr>
          <w:ilvl w:val="0"/>
          <w:numId w:val="23"/>
        </w:numPr>
        <w:spacing w:before="0"/>
      </w:pPr>
      <w:r>
        <w:t xml:space="preserve">Revisions to PA Act to: </w:t>
      </w:r>
    </w:p>
    <w:p w14:paraId="6BA8A044" w14:textId="3DCD48E3" w:rsidR="00C521B7" w:rsidRPr="00C521B7" w:rsidRDefault="009D70D7" w:rsidP="009D70D7">
      <w:pPr>
        <w:pStyle w:val="ListParagraph"/>
        <w:numPr>
          <w:ilvl w:val="1"/>
          <w:numId w:val="23"/>
        </w:numPr>
        <w:spacing w:before="0"/>
        <w:ind w:left="709"/>
      </w:pPr>
      <w:r>
        <w:t xml:space="preserve">Require all </w:t>
      </w:r>
      <w:r w:rsidR="00C521B7" w:rsidRPr="00C521B7">
        <w:t>PA management plans must indicate how they are consistent with national CC, poverty reduction, sustainable development and biodiversity conservation policies and commitments</w:t>
      </w:r>
    </w:p>
    <w:p w14:paraId="10AA93B9" w14:textId="77777777" w:rsidR="006D2E84" w:rsidRPr="00B51976" w:rsidRDefault="006D2E84" w:rsidP="006D2E84">
      <w:pPr>
        <w:pStyle w:val="Heading5"/>
      </w:pPr>
      <w:r w:rsidRPr="00B51976">
        <w:t>Site level</w:t>
      </w:r>
    </w:p>
    <w:p w14:paraId="552D6E86" w14:textId="77777777" w:rsidR="006D2E84" w:rsidRPr="0089366F" w:rsidRDefault="006D2E84" w:rsidP="006D2E84">
      <w:pPr>
        <w:pStyle w:val="Heading4"/>
      </w:pPr>
      <w:r w:rsidRPr="0089366F">
        <w:t>Recommended Actions:</w:t>
      </w:r>
    </w:p>
    <w:p w14:paraId="4AF5ECFC" w14:textId="77777777" w:rsidR="006D2E84" w:rsidRPr="0089366F" w:rsidRDefault="006D2E84" w:rsidP="006D2E84">
      <w:r w:rsidRPr="009D70D7">
        <w:rPr>
          <w:highlight w:val="lightGray"/>
        </w:rPr>
        <w:t>A consolidated summary of key relevant policy areas should be developed by the RIU as part of awareness raising activities to support government officials and project proponents to identify key national policy goals and international commitments.</w:t>
      </w:r>
      <w:r w:rsidRPr="0089366F">
        <w:t xml:space="preserve"> </w:t>
      </w:r>
    </w:p>
    <w:p w14:paraId="57916560" w14:textId="77777777" w:rsidR="006D2E84" w:rsidRPr="0089366F" w:rsidRDefault="006D2E84" w:rsidP="006D2E84">
      <w:pPr>
        <w:pStyle w:val="Heading4"/>
      </w:pPr>
      <w:r w:rsidRPr="0089366F">
        <w:t xml:space="preserve">Potential Indicators </w:t>
      </w:r>
    </w:p>
    <w:p w14:paraId="59F0CC91" w14:textId="77777777" w:rsidR="00C521B7" w:rsidRPr="00C521B7" w:rsidRDefault="00C521B7" w:rsidP="009D70D7">
      <w:pPr>
        <w:pStyle w:val="ListParagraph"/>
        <w:numPr>
          <w:ilvl w:val="0"/>
          <w:numId w:val="56"/>
        </w:numPr>
        <w:spacing w:before="0"/>
      </w:pPr>
      <w:r w:rsidRPr="00C521B7">
        <w:t xml:space="preserve">Revisions to Environment Act and PA Act </w:t>
      </w:r>
    </w:p>
    <w:p w14:paraId="05E4AA26" w14:textId="77777777" w:rsidR="00C521B7" w:rsidRPr="00C521B7" w:rsidRDefault="00C521B7" w:rsidP="009D70D7">
      <w:pPr>
        <w:pStyle w:val="ListParagraph"/>
        <w:numPr>
          <w:ilvl w:val="0"/>
          <w:numId w:val="56"/>
        </w:numPr>
        <w:spacing w:before="0"/>
      </w:pPr>
      <w:r w:rsidRPr="00C521B7">
        <w:t xml:space="preserve">Considerations included within all Development Consent Applications within Forest sector and PA applications </w:t>
      </w:r>
    </w:p>
    <w:p w14:paraId="3060349E" w14:textId="77777777" w:rsidR="00C521B7" w:rsidRPr="00C521B7" w:rsidRDefault="00C521B7" w:rsidP="00C521B7">
      <w:pPr>
        <w:pStyle w:val="Heading4"/>
      </w:pPr>
      <w:r w:rsidRPr="00C521B7">
        <w:t xml:space="preserve">Data Collection: </w:t>
      </w:r>
    </w:p>
    <w:p w14:paraId="75CF6FCE" w14:textId="77777777" w:rsidR="00C521B7" w:rsidRPr="00C521B7" w:rsidRDefault="00C521B7" w:rsidP="009D70D7">
      <w:pPr>
        <w:pStyle w:val="ListParagraph"/>
        <w:numPr>
          <w:ilvl w:val="0"/>
          <w:numId w:val="56"/>
        </w:numPr>
        <w:spacing w:before="0"/>
      </w:pPr>
      <w:r w:rsidRPr="00C521B7">
        <w:t xml:space="preserve">RIU activity updates </w:t>
      </w:r>
    </w:p>
    <w:p w14:paraId="32012CF2" w14:textId="77777777" w:rsidR="00C521B7" w:rsidRPr="00C521B7" w:rsidRDefault="00C521B7" w:rsidP="009D70D7">
      <w:pPr>
        <w:pStyle w:val="ListParagraph"/>
        <w:numPr>
          <w:ilvl w:val="0"/>
          <w:numId w:val="56"/>
        </w:numPr>
        <w:spacing w:before="0"/>
      </w:pPr>
      <w:r w:rsidRPr="00C521B7">
        <w:t xml:space="preserve">Development Consent and PA databases </w:t>
      </w:r>
    </w:p>
    <w:p w14:paraId="04A1E598" w14:textId="77777777" w:rsidR="006D2E84" w:rsidRPr="0089366F" w:rsidRDefault="006D2E84" w:rsidP="006D2E84">
      <w:pPr>
        <w:pStyle w:val="Heading3"/>
        <w:sectPr w:rsidR="006D2E84" w:rsidRPr="0089366F" w:rsidSect="00014341">
          <w:pgSz w:w="11900" w:h="16840"/>
          <w:pgMar w:top="1440" w:right="1080" w:bottom="1440" w:left="1080" w:header="708" w:footer="708" w:gutter="0"/>
          <w:cols w:space="708"/>
          <w:docGrid w:linePitch="360"/>
        </w:sectPr>
      </w:pPr>
    </w:p>
    <w:p w14:paraId="51F1B4AF" w14:textId="77777777" w:rsidR="006D2E84" w:rsidRPr="0089366F" w:rsidRDefault="006D2E84" w:rsidP="002C5EDB">
      <w:pPr>
        <w:pStyle w:val="Heading3"/>
        <w:numPr>
          <w:ilvl w:val="0"/>
          <w:numId w:val="0"/>
        </w:numPr>
      </w:pPr>
      <w:bookmarkStart w:id="48" w:name="_Toc254892862"/>
      <w:r w:rsidRPr="0089366F">
        <w:t>Criterion 15 – Address the risk of reversals of REDD+ achievements, including potential future risks to forest carbon stocks and other benefits to ensure the efficiency and effectiveness of REDD+</w:t>
      </w:r>
      <w:bookmarkEnd w:id="48"/>
    </w:p>
    <w:p w14:paraId="5D266882" w14:textId="77777777" w:rsidR="006D2E84" w:rsidRPr="0089366F" w:rsidRDefault="006D2E84" w:rsidP="006D2E84">
      <w:pPr>
        <w:pStyle w:val="Heading4"/>
      </w:pPr>
      <w:r w:rsidRPr="0089366F">
        <w:t xml:space="preserve">Potential Risks: </w:t>
      </w:r>
    </w:p>
    <w:p w14:paraId="25843E69" w14:textId="77777777" w:rsidR="006D2E84" w:rsidRPr="0089366F" w:rsidRDefault="006D2E84" w:rsidP="006D2E84">
      <w:r w:rsidRPr="0089366F">
        <w:t xml:space="preserve">Changes in decisions by landowners or government officials could undo initial efforts in achieving REDD+. </w:t>
      </w:r>
    </w:p>
    <w:p w14:paraId="5D5B0D4C" w14:textId="77777777" w:rsidR="006D2E84" w:rsidRPr="0089366F" w:rsidRDefault="006D2E84" w:rsidP="006D2E84">
      <w:pPr>
        <w:pStyle w:val="Heading4"/>
      </w:pPr>
      <w:r>
        <w:t xml:space="preserve">Summary </w:t>
      </w:r>
      <w:r w:rsidRPr="0089366F">
        <w:t>Review of Existing Legislation and its Application:</w:t>
      </w:r>
    </w:p>
    <w:p w14:paraId="0919FD92" w14:textId="77777777" w:rsidR="006D2E84" w:rsidRPr="0089366F" w:rsidRDefault="006D2E84" w:rsidP="006D2E84">
      <w:pPr>
        <w:pStyle w:val="Heading5"/>
      </w:pPr>
      <w:r w:rsidRPr="0089366F">
        <w:t>REDD+</w:t>
      </w:r>
    </w:p>
    <w:p w14:paraId="45217F2A" w14:textId="77777777" w:rsidR="006D2E84" w:rsidRPr="0089366F" w:rsidRDefault="006D2E84" w:rsidP="006D2E84">
      <w:r w:rsidRPr="0089366F">
        <w:t xml:space="preserve">Initial work has focused on capacity building and strengthening institutional structure for REDD+. Formalising of the National REDD+ Committee will help strengthen institutional commitments as well establishment of RIU and RFP. </w:t>
      </w:r>
    </w:p>
    <w:p w14:paraId="31183FC8" w14:textId="77777777" w:rsidR="006D2E84" w:rsidRPr="0089366F" w:rsidRDefault="006D2E84" w:rsidP="006D2E84">
      <w:pPr>
        <w:pStyle w:val="Heading5"/>
      </w:pPr>
      <w:r w:rsidRPr="0089366F">
        <w:t>Existing Legislation</w:t>
      </w:r>
    </w:p>
    <w:p w14:paraId="0A53A71D" w14:textId="77777777" w:rsidR="006D2E84" w:rsidRPr="0089366F" w:rsidRDefault="006D2E84" w:rsidP="006D2E84">
      <w:r w:rsidRPr="0089366F">
        <w:t xml:space="preserve">Sustaining efforts to address deforestation and forest degradation within the forestry sector have been limited by three main interlinked elements political will, institutional capacity, and finances. Political will has prevented significant reform within the sector and has prevented significant investment within the relevant ministries. This has resulted in a lack of institutional capacity and the finance to both operate effective monitoring and management activities and maintain relevant equipment and premises. Address these challenges will be significant, although the combination of an increasingly unsustainable timber industry combined with the potential of long term financing resulting from an international agreement on REDD+ could provide the necessary catalysts for change. </w:t>
      </w:r>
    </w:p>
    <w:p w14:paraId="463EB3A4" w14:textId="77777777" w:rsidR="006D2E84" w:rsidRPr="0089366F" w:rsidRDefault="006D2E84" w:rsidP="006D2E84">
      <w:r w:rsidRPr="0089366F">
        <w:t>At the site level customary protection for landuse practices and protection measures have been vulnerable to reversals due to both approaches from logging companies and a breakdown in management capacity (either due to lack of capacity of conflicts within management groups). Shifting decisions on land use under this system are also particularly vulnerable to manipulation in the absence of formal land registration providing opportunities for small groups to manipulate existing systems for identification of rights holders (in particular timber rights holders under the FRTU Act).</w:t>
      </w:r>
    </w:p>
    <w:p w14:paraId="6E7E6594" w14:textId="77777777" w:rsidR="006D2E84" w:rsidRPr="0089366F" w:rsidRDefault="006D2E84" w:rsidP="006D2E84">
      <w:r w:rsidRPr="0089366F">
        <w:t xml:space="preserve">Formal decisions on landuse related to the </w:t>
      </w:r>
      <w:r w:rsidRPr="00842598">
        <w:rPr>
          <w:i/>
          <w:color w:val="4F81BD" w:themeColor="accent1"/>
        </w:rPr>
        <w:t>FRTU Act</w:t>
      </w:r>
      <w:r w:rsidRPr="0089366F">
        <w:t xml:space="preserve"> are difficult to reverse with limited opportunities for landowners, or even timber rights holders, to cause agreements to be cancelled. A separation between landownership and timber rights does, however, present the potential for ongoing legal disputes. </w:t>
      </w:r>
    </w:p>
    <w:p w14:paraId="020BD827" w14:textId="77777777" w:rsidR="006D2E84" w:rsidRPr="0089366F" w:rsidRDefault="006D2E84" w:rsidP="006D2E84">
      <w:r w:rsidRPr="0089366F">
        <w:t xml:space="preserve">The </w:t>
      </w:r>
      <w:r w:rsidRPr="00842598">
        <w:rPr>
          <w:i/>
          <w:color w:val="4F81BD" w:themeColor="accent1"/>
        </w:rPr>
        <w:t>PA Act</w:t>
      </w:r>
      <w:r w:rsidRPr="0089366F">
        <w:t xml:space="preserve"> provides a more comprehensive approach to demarcation of boundaries and agreements between landowners when undertaken by a proponent landowner. Once established the area cannot be revoked within 10 years</w:t>
      </w:r>
      <w:r w:rsidRPr="0089366F">
        <w:rPr>
          <w:vertAlign w:val="superscript"/>
        </w:rPr>
        <w:footnoteReference w:id="120"/>
      </w:r>
      <w:r w:rsidRPr="0089366F">
        <w:t xml:space="preserve"> and any changes to the management plan or class of PA must be refused if: </w:t>
      </w:r>
    </w:p>
    <w:p w14:paraId="1B700D89" w14:textId="77777777" w:rsidR="006D2E84" w:rsidRPr="0089366F" w:rsidRDefault="006D2E84" w:rsidP="009D70D7">
      <w:pPr>
        <w:pStyle w:val="ListParagraph"/>
        <w:numPr>
          <w:ilvl w:val="0"/>
          <w:numId w:val="57"/>
        </w:numPr>
        <w:spacing w:before="0"/>
      </w:pPr>
      <w:r w:rsidRPr="0089366F">
        <w:t xml:space="preserve">the application is made by persons other than the owner or Management Committee of the Protected Area; </w:t>
      </w:r>
    </w:p>
    <w:p w14:paraId="34C4118C" w14:textId="77777777" w:rsidR="006D2E84" w:rsidRPr="0089366F" w:rsidRDefault="006D2E84" w:rsidP="009D70D7">
      <w:pPr>
        <w:pStyle w:val="ListParagraph"/>
        <w:numPr>
          <w:ilvl w:val="0"/>
          <w:numId w:val="57"/>
        </w:numPr>
        <w:spacing w:before="0"/>
      </w:pPr>
      <w:r w:rsidRPr="0089366F">
        <w:t xml:space="preserve">granting the application will be detrimental to the effective and smooth implementation of the management plan for the Protected Area; </w:t>
      </w:r>
    </w:p>
    <w:p w14:paraId="60E1EAFE" w14:textId="77777777" w:rsidR="006D2E84" w:rsidRPr="0089366F" w:rsidRDefault="006D2E84" w:rsidP="009D70D7">
      <w:pPr>
        <w:pStyle w:val="ListParagraph"/>
        <w:numPr>
          <w:ilvl w:val="0"/>
          <w:numId w:val="57"/>
        </w:numPr>
        <w:spacing w:before="0"/>
      </w:pPr>
      <w:r w:rsidRPr="0089366F">
        <w:t>the biodiversity</w:t>
      </w:r>
      <w:r w:rsidRPr="0089366F">
        <w:fldChar w:fldCharType="begin"/>
      </w:r>
      <w:r w:rsidRPr="0089366F">
        <w:instrText xml:space="preserve"> XE "Protected Areas:Biodiversity" </w:instrText>
      </w:r>
      <w:r w:rsidRPr="0089366F">
        <w:fldChar w:fldCharType="end"/>
      </w:r>
      <w:r w:rsidRPr="0089366F">
        <w:t xml:space="preserve"> of the Protected Area is of such unique quality and significance that it is not in the national interest for the application to be granted; </w:t>
      </w:r>
    </w:p>
    <w:p w14:paraId="560108E2" w14:textId="77777777" w:rsidR="006D2E84" w:rsidRPr="0089366F" w:rsidRDefault="006D2E84" w:rsidP="009D70D7">
      <w:pPr>
        <w:pStyle w:val="ListParagraph"/>
        <w:numPr>
          <w:ilvl w:val="0"/>
          <w:numId w:val="57"/>
        </w:numPr>
        <w:spacing w:before="0"/>
      </w:pPr>
      <w:r w:rsidRPr="0089366F">
        <w:t>any amendments will allow activities that are detrimental to the natural ecosystems and resources of the Protected Area; or</w:t>
      </w:r>
    </w:p>
    <w:p w14:paraId="00BEB48D" w14:textId="77777777" w:rsidR="006D2E84" w:rsidRPr="0089366F" w:rsidRDefault="006D2E84" w:rsidP="009D70D7">
      <w:pPr>
        <w:pStyle w:val="ListParagraph"/>
        <w:numPr>
          <w:ilvl w:val="0"/>
          <w:numId w:val="57"/>
        </w:numPr>
        <w:spacing w:before="0"/>
      </w:pPr>
      <w:r w:rsidRPr="0089366F">
        <w:t>any changes to the primary objectives of the Protected Area will result in a gradual, systematic or radical departure from the objectives and pose a threat to the long term biodiversity of the area.</w:t>
      </w:r>
      <w:r w:rsidRPr="0089366F">
        <w:rPr>
          <w:vertAlign w:val="superscript"/>
        </w:rPr>
        <w:footnoteReference w:id="121"/>
      </w:r>
      <w:r w:rsidRPr="0089366F">
        <w:t xml:space="preserve"> </w:t>
      </w:r>
    </w:p>
    <w:p w14:paraId="2F212EA9" w14:textId="77777777" w:rsidR="006D2E84" w:rsidRPr="0089366F" w:rsidRDefault="006D2E84" w:rsidP="006D2E84">
      <w:r w:rsidRPr="0089366F">
        <w:t xml:space="preserve">These regulations make significant changes to the primary nature of a PA difficult as such securing long term protection for the area. </w:t>
      </w:r>
    </w:p>
    <w:p w14:paraId="2707CE08" w14:textId="44209973" w:rsidR="006D2E84" w:rsidRPr="0089366F" w:rsidRDefault="006D2E84" w:rsidP="006D2E84">
      <w:pPr>
        <w:pStyle w:val="Heading4"/>
      </w:pPr>
      <w:r w:rsidRPr="0089366F">
        <w:t xml:space="preserve">Recommendations </w:t>
      </w:r>
      <w:r w:rsidR="009D70D7">
        <w:t>to a</w:t>
      </w:r>
      <w:r w:rsidR="009D70D7" w:rsidRPr="009D70D7">
        <w:t>ddress the risk of reversals of REDD+ achievements, including potential future risks to forest carbon stocks and other benefits to ensure the efficiency and effectiveness of REDD+</w:t>
      </w:r>
    </w:p>
    <w:p w14:paraId="7177D691" w14:textId="77777777" w:rsidR="006D2E84" w:rsidRPr="0089366F" w:rsidRDefault="006D2E84" w:rsidP="006D2E84">
      <w:pPr>
        <w:pStyle w:val="Heading5"/>
      </w:pPr>
      <w:r w:rsidRPr="0089366F">
        <w:t xml:space="preserve">National </w:t>
      </w:r>
    </w:p>
    <w:p w14:paraId="31ABA96B" w14:textId="218F4324" w:rsidR="009D70D7" w:rsidRPr="009D70D7" w:rsidRDefault="009D70D7" w:rsidP="009D70D7">
      <w:pPr>
        <w:spacing w:before="0"/>
        <w:rPr>
          <w:u w:val="single"/>
        </w:rPr>
      </w:pPr>
      <w:r w:rsidRPr="009D70D7">
        <w:rPr>
          <w:u w:val="single"/>
        </w:rPr>
        <w:t>Cross cutting</w:t>
      </w:r>
    </w:p>
    <w:p w14:paraId="1D6F7014" w14:textId="77777777" w:rsidR="006D2E84" w:rsidRDefault="006D2E84" w:rsidP="006B087B">
      <w:pPr>
        <w:numPr>
          <w:ilvl w:val="0"/>
          <w:numId w:val="23"/>
        </w:numPr>
        <w:spacing w:before="0"/>
      </w:pPr>
      <w:r w:rsidRPr="0089366F">
        <w:t xml:space="preserve">Decisions related to REDD+ and sustainable use of forests should be formalised through clear legislation and regulations following a period of testing and review. </w:t>
      </w:r>
    </w:p>
    <w:p w14:paraId="100F8AAE" w14:textId="77777777" w:rsidR="009D70D7" w:rsidRDefault="009D70D7" w:rsidP="009D70D7">
      <w:pPr>
        <w:spacing w:before="0"/>
      </w:pPr>
    </w:p>
    <w:p w14:paraId="3F47FD71" w14:textId="7994C2C6" w:rsidR="009D70D7" w:rsidRPr="009D70D7" w:rsidRDefault="009D70D7" w:rsidP="009D70D7">
      <w:pPr>
        <w:spacing w:before="0"/>
        <w:rPr>
          <w:u w:val="single"/>
        </w:rPr>
      </w:pPr>
      <w:r w:rsidRPr="009D70D7">
        <w:rPr>
          <w:u w:val="single"/>
        </w:rPr>
        <w:t xml:space="preserve">Forestry </w:t>
      </w:r>
    </w:p>
    <w:p w14:paraId="47D2B5C9" w14:textId="7EE6FFD1" w:rsidR="009D70D7" w:rsidRPr="00274E17" w:rsidRDefault="009D70D7" w:rsidP="009D70D7">
      <w:pPr>
        <w:pStyle w:val="ListParagraph"/>
        <w:numPr>
          <w:ilvl w:val="0"/>
          <w:numId w:val="23"/>
        </w:numPr>
        <w:spacing w:before="0"/>
        <w:rPr>
          <w:highlight w:val="magenta"/>
        </w:rPr>
      </w:pPr>
      <w:r w:rsidRPr="00274E17">
        <w:rPr>
          <w:highlight w:val="magenta"/>
        </w:rPr>
        <w:t>Revisions to FRTU Act (bill) to:</w:t>
      </w:r>
    </w:p>
    <w:p w14:paraId="0612161D" w14:textId="7A1A5DD9" w:rsidR="009D70D7" w:rsidRDefault="009D70D7" w:rsidP="009D70D7">
      <w:pPr>
        <w:pStyle w:val="ListParagraph"/>
        <w:numPr>
          <w:ilvl w:val="1"/>
          <w:numId w:val="23"/>
        </w:numPr>
        <w:spacing w:before="0"/>
        <w:ind w:left="709"/>
        <w:rPr>
          <w:highlight w:val="magenta"/>
        </w:rPr>
      </w:pPr>
      <w:r w:rsidRPr="00274E17">
        <w:rPr>
          <w:highlight w:val="magenta"/>
        </w:rPr>
        <w:t>Allow for signing of long-term sustainable forest management licenses – duration 10 years that can be associated with REDD+ support</w:t>
      </w:r>
      <w:r w:rsidR="00274E17" w:rsidRPr="00274E17">
        <w:rPr>
          <w:highlight w:val="magenta"/>
        </w:rPr>
        <w:t xml:space="preserve"> XXX</w:t>
      </w:r>
    </w:p>
    <w:p w14:paraId="42C9A419" w14:textId="4CA93038" w:rsidR="00274E17" w:rsidRPr="00274E17" w:rsidRDefault="00274E17" w:rsidP="009D70D7">
      <w:pPr>
        <w:pStyle w:val="ListParagraph"/>
        <w:numPr>
          <w:ilvl w:val="1"/>
          <w:numId w:val="23"/>
        </w:numPr>
        <w:spacing w:before="0"/>
        <w:ind w:left="709"/>
        <w:rPr>
          <w:highlight w:val="magenta"/>
        </w:rPr>
      </w:pPr>
      <w:r>
        <w:rPr>
          <w:highlight w:val="magenta"/>
        </w:rPr>
        <w:t xml:space="preserve">Process of identification of rights holders should be strengthened to provide greater security to long term management. </w:t>
      </w:r>
    </w:p>
    <w:p w14:paraId="7018E4E5" w14:textId="77777777" w:rsidR="009D70D7" w:rsidRDefault="009D70D7" w:rsidP="009D70D7">
      <w:pPr>
        <w:spacing w:before="0"/>
      </w:pPr>
    </w:p>
    <w:p w14:paraId="608F4365" w14:textId="77777777" w:rsidR="00274E17" w:rsidRDefault="009D70D7" w:rsidP="009D70D7">
      <w:pPr>
        <w:spacing w:before="0"/>
        <w:rPr>
          <w:u w:val="single"/>
        </w:rPr>
      </w:pPr>
      <w:r w:rsidRPr="009D70D7">
        <w:rPr>
          <w:u w:val="single"/>
        </w:rPr>
        <w:t>Environment</w:t>
      </w:r>
    </w:p>
    <w:p w14:paraId="2DA09A57" w14:textId="77777777" w:rsidR="00274E17" w:rsidRDefault="00274E17" w:rsidP="009D70D7">
      <w:pPr>
        <w:spacing w:before="0"/>
        <w:rPr>
          <w:u w:val="single"/>
        </w:rPr>
      </w:pPr>
    </w:p>
    <w:p w14:paraId="054DB6E1" w14:textId="77777777" w:rsidR="00274E17" w:rsidRDefault="00274E17" w:rsidP="009D70D7">
      <w:pPr>
        <w:spacing w:before="0"/>
        <w:rPr>
          <w:u w:val="single"/>
        </w:rPr>
      </w:pPr>
      <w:r>
        <w:rPr>
          <w:u w:val="single"/>
        </w:rPr>
        <w:t>Lands</w:t>
      </w:r>
    </w:p>
    <w:p w14:paraId="5B010F34" w14:textId="11ABA5B8" w:rsidR="009D70D7" w:rsidRPr="009D70D7" w:rsidRDefault="00274E17" w:rsidP="009D70D7">
      <w:pPr>
        <w:spacing w:before="0"/>
        <w:rPr>
          <w:u w:val="single"/>
        </w:rPr>
      </w:pPr>
      <w:r w:rsidRPr="00274E17">
        <w:rPr>
          <w:highlight w:val="magenta"/>
        </w:rPr>
        <w:t>Land recording should occur on all REDD+ sites to provide a stronger basis for long term decision making. XXX</w:t>
      </w:r>
      <w:r w:rsidR="009D70D7" w:rsidRPr="009D70D7">
        <w:rPr>
          <w:u w:val="single"/>
        </w:rPr>
        <w:t xml:space="preserve"> </w:t>
      </w:r>
    </w:p>
    <w:p w14:paraId="572B60A4" w14:textId="77777777" w:rsidR="006D2E84" w:rsidRPr="00B51976" w:rsidRDefault="006D2E84" w:rsidP="006D2E84">
      <w:pPr>
        <w:pStyle w:val="Heading5"/>
      </w:pPr>
      <w:r w:rsidRPr="00B51976">
        <w:t>Site level</w:t>
      </w:r>
    </w:p>
    <w:p w14:paraId="5D6BD3A2" w14:textId="77777777" w:rsidR="006D2E84" w:rsidRPr="0089366F" w:rsidRDefault="006D2E84" w:rsidP="006D2E84">
      <w:pPr>
        <w:pStyle w:val="Heading4"/>
      </w:pPr>
      <w:r w:rsidRPr="0089366F">
        <w:t>Recommended Actions:</w:t>
      </w:r>
    </w:p>
    <w:p w14:paraId="0CA2CF7D" w14:textId="77777777" w:rsidR="006D2E84" w:rsidRPr="0089366F" w:rsidRDefault="006D2E84" w:rsidP="006D2E84">
      <w:r w:rsidRPr="00274E17">
        <w:rPr>
          <w:highlight w:val="lightGray"/>
        </w:rPr>
        <w:t>At site level land recording should be used to ensure that all land and user rights are effectively identified and effective management committees established to manage these interests and represent stakeholder groups.</w:t>
      </w:r>
      <w:r w:rsidRPr="0089366F">
        <w:t xml:space="preserve"> </w:t>
      </w:r>
    </w:p>
    <w:p w14:paraId="5CFE9585" w14:textId="77777777" w:rsidR="006D2E84" w:rsidRPr="0089366F" w:rsidRDefault="006D2E84" w:rsidP="006D2E84">
      <w:pPr>
        <w:pStyle w:val="Heading4"/>
      </w:pPr>
      <w:r w:rsidRPr="0089366F">
        <w:t xml:space="preserve">Potential Indicators </w:t>
      </w:r>
    </w:p>
    <w:p w14:paraId="2DBB087A" w14:textId="77777777" w:rsidR="006D2E84" w:rsidRPr="0089366F" w:rsidRDefault="006D2E84" w:rsidP="009D70D7">
      <w:pPr>
        <w:numPr>
          <w:ilvl w:val="0"/>
          <w:numId w:val="59"/>
        </w:numPr>
        <w:spacing w:before="0"/>
      </w:pPr>
      <w:r w:rsidRPr="0089366F">
        <w:t xml:space="preserve">Legislation relating to the sustainable management of forests developed, passed through parliament and gazetted. </w:t>
      </w:r>
    </w:p>
    <w:p w14:paraId="7B40FF24" w14:textId="77777777" w:rsidR="006D2E84" w:rsidRPr="0089366F" w:rsidRDefault="006D2E84" w:rsidP="009D70D7">
      <w:pPr>
        <w:numPr>
          <w:ilvl w:val="0"/>
          <w:numId w:val="59"/>
        </w:numPr>
        <w:spacing w:before="0"/>
      </w:pPr>
      <w:r w:rsidRPr="0089366F">
        <w:t xml:space="preserve">Site based activities have undertaken land recording or land demarcation agreements (under the PA Act) to identify relevant rights holders and establish representative management committees. </w:t>
      </w:r>
    </w:p>
    <w:p w14:paraId="07890B95" w14:textId="77777777" w:rsidR="006D2E84" w:rsidRPr="0089366F" w:rsidRDefault="006D2E84" w:rsidP="006D2E84">
      <w:pPr>
        <w:pStyle w:val="Heading4"/>
      </w:pPr>
      <w:r w:rsidRPr="0089366F">
        <w:t xml:space="preserve">Data Collection: </w:t>
      </w:r>
    </w:p>
    <w:p w14:paraId="2F8DFE37" w14:textId="77777777" w:rsidR="006D2E84" w:rsidRPr="0089366F" w:rsidRDefault="006D2E84" w:rsidP="009D70D7">
      <w:pPr>
        <w:pStyle w:val="ListParagraph"/>
        <w:numPr>
          <w:ilvl w:val="0"/>
          <w:numId w:val="60"/>
        </w:numPr>
        <w:spacing w:before="0"/>
      </w:pPr>
      <w:r w:rsidRPr="0089366F">
        <w:t xml:space="preserve">RIU log of legislation development </w:t>
      </w:r>
    </w:p>
    <w:p w14:paraId="755E4876" w14:textId="77777777" w:rsidR="006D2E84" w:rsidRPr="0089366F" w:rsidRDefault="006D2E84" w:rsidP="009D70D7">
      <w:pPr>
        <w:pStyle w:val="ListParagraph"/>
        <w:numPr>
          <w:ilvl w:val="0"/>
          <w:numId w:val="60"/>
        </w:numPr>
        <w:spacing w:before="0"/>
      </w:pPr>
      <w:r w:rsidRPr="0089366F">
        <w:t>Project registration documents</w:t>
      </w:r>
    </w:p>
    <w:p w14:paraId="3D0ED7D2" w14:textId="77777777" w:rsidR="006D2E84" w:rsidRPr="0089366F" w:rsidRDefault="006D2E84" w:rsidP="006D2E84"/>
    <w:p w14:paraId="7D7A5DFD" w14:textId="77777777" w:rsidR="006D2E84" w:rsidRDefault="006D2E84" w:rsidP="006D2E84">
      <w:pPr>
        <w:pStyle w:val="Heading2"/>
        <w:sectPr w:rsidR="006D2E84" w:rsidSect="00014341">
          <w:pgSz w:w="11900" w:h="16840"/>
          <w:pgMar w:top="1440" w:right="1080" w:bottom="1440" w:left="1080" w:header="708" w:footer="708" w:gutter="0"/>
          <w:cols w:space="708"/>
          <w:docGrid w:linePitch="360"/>
        </w:sectPr>
      </w:pPr>
    </w:p>
    <w:p w14:paraId="5A74B6C8" w14:textId="71A21D21" w:rsidR="006D2E84" w:rsidRPr="0089366F" w:rsidRDefault="006D2E84" w:rsidP="002C5EDB">
      <w:pPr>
        <w:pStyle w:val="Heading2"/>
        <w:numPr>
          <w:ilvl w:val="0"/>
          <w:numId w:val="0"/>
        </w:numPr>
      </w:pPr>
      <w:bookmarkStart w:id="49" w:name="_Toc254892863"/>
      <w:r w:rsidRPr="0089366F">
        <w:t>Principle 5 – Protect natural forest from degradation and/or conversion</w:t>
      </w:r>
      <w:r w:rsidR="00FD6697">
        <w:rPr>
          <w:rStyle w:val="FootnoteReference"/>
        </w:rPr>
        <w:footnoteReference w:id="122"/>
      </w:r>
      <w:bookmarkEnd w:id="49"/>
    </w:p>
    <w:p w14:paraId="4A950ADF" w14:textId="77777777" w:rsidR="006D2E84" w:rsidRPr="0089366F" w:rsidRDefault="006D2E84" w:rsidP="002C5EDB">
      <w:pPr>
        <w:pStyle w:val="Heading3"/>
        <w:numPr>
          <w:ilvl w:val="0"/>
          <w:numId w:val="0"/>
        </w:numPr>
      </w:pPr>
      <w:bookmarkStart w:id="50" w:name="_Toc254892864"/>
      <w:r w:rsidRPr="0089366F">
        <w:t>Criterion 18 – Ensure that REDD+ activities do not cause the conversion of natural forest to planted forest, unless as part of forest restoration, and make reducing conversion of forests to other land uses (e.g. agriculture, infrastructure) a REDD+ priority.</w:t>
      </w:r>
      <w:bookmarkEnd w:id="50"/>
    </w:p>
    <w:p w14:paraId="52CEDC49" w14:textId="77777777" w:rsidR="006D2E84" w:rsidRPr="0089366F" w:rsidRDefault="006D2E84" w:rsidP="006D2E84"/>
    <w:p w14:paraId="64E5BD1A" w14:textId="77777777" w:rsidR="006D2E84" w:rsidRDefault="006D2E84" w:rsidP="002C5EDB">
      <w:pPr>
        <w:pStyle w:val="Heading3"/>
        <w:numPr>
          <w:ilvl w:val="0"/>
          <w:numId w:val="0"/>
        </w:numPr>
      </w:pPr>
      <w:bookmarkStart w:id="51" w:name="_Toc254892865"/>
      <w:r w:rsidRPr="0089366F">
        <w:t>Criterion 19 – Avoid or minimise degradation of natural forest by REDD+ activities and make reducing degradation due to other causes (e.g. agriculture, extractive activities, infrastructure) a REDD+ priority.</w:t>
      </w:r>
      <w:bookmarkEnd w:id="51"/>
    </w:p>
    <w:p w14:paraId="25C69E1A" w14:textId="77777777" w:rsidR="00FD6697" w:rsidRPr="00FD6697" w:rsidRDefault="00FD6697" w:rsidP="00FD6697"/>
    <w:p w14:paraId="1155DB31" w14:textId="77777777" w:rsidR="00FD6697" w:rsidRDefault="00FD6697" w:rsidP="00FD6697">
      <w:pPr>
        <w:pStyle w:val="Heading3"/>
        <w:numPr>
          <w:ilvl w:val="0"/>
          <w:numId w:val="0"/>
        </w:numPr>
      </w:pPr>
      <w:bookmarkStart w:id="52" w:name="_Toc254892866"/>
      <w:r w:rsidRPr="0089366F">
        <w:t>Criterion 20 – Avoid or minimise indirect land-use change impacts of REDD+ activities on forest carbon stocks, biodiversity and other ecosystem services</w:t>
      </w:r>
      <w:bookmarkEnd w:id="52"/>
    </w:p>
    <w:p w14:paraId="5C946D74" w14:textId="77777777" w:rsidR="006D2E84" w:rsidRDefault="006D2E84" w:rsidP="006D2E84"/>
    <w:p w14:paraId="1EB79A34" w14:textId="4B083387" w:rsidR="00FD6697" w:rsidRPr="00FD6697" w:rsidRDefault="00FD6697" w:rsidP="00FD6697">
      <w:pPr>
        <w:pStyle w:val="Heading2"/>
        <w:numPr>
          <w:ilvl w:val="0"/>
          <w:numId w:val="0"/>
        </w:numPr>
        <w:rPr>
          <w:lang w:val="en-US"/>
        </w:rPr>
      </w:pPr>
      <w:bookmarkStart w:id="53" w:name="_Toc254892867"/>
      <w:r w:rsidRPr="00FD6697">
        <w:rPr>
          <w:lang w:val="en-US"/>
        </w:rPr>
        <w:t>Principle 6 – Maintain and enhance multiple functions of forest including conservation of biodiversity and provision of ecosystem services</w:t>
      </w:r>
      <w:bookmarkEnd w:id="53"/>
    </w:p>
    <w:p w14:paraId="5FB9C905" w14:textId="77777777" w:rsidR="00FD6697" w:rsidRDefault="00FD6697" w:rsidP="00FD6697">
      <w:pPr>
        <w:pStyle w:val="Heading3"/>
        <w:numPr>
          <w:ilvl w:val="0"/>
          <w:numId w:val="0"/>
        </w:numPr>
      </w:pPr>
      <w:bookmarkStart w:id="54" w:name="_Toc254892868"/>
      <w:r w:rsidRPr="00FD6697">
        <w:t>Criterion 21 – Ensure that land-use planning for REDD+ explicitly takes account of potential synergies and trade-offs between the multiple functions of forest and the benefits they provide, respecting local and other stakeholders’ values</w:t>
      </w:r>
      <w:bookmarkEnd w:id="54"/>
    </w:p>
    <w:p w14:paraId="78331C29" w14:textId="77777777" w:rsidR="00FD6697" w:rsidRPr="00FD6697" w:rsidRDefault="00FD6697" w:rsidP="00FD6697"/>
    <w:p w14:paraId="45F5BB7B" w14:textId="55CB6D76" w:rsidR="00FD6697" w:rsidRPr="00FD6697" w:rsidRDefault="00FD6697" w:rsidP="00FD6697">
      <w:pPr>
        <w:pStyle w:val="Heading3"/>
        <w:numPr>
          <w:ilvl w:val="0"/>
          <w:numId w:val="0"/>
        </w:numPr>
      </w:pPr>
      <w:bookmarkStart w:id="55" w:name="_Toc254892869"/>
      <w:r w:rsidRPr="00FD6697">
        <w:t xml:space="preserve">Criterion 22 – Ensure that planted and </w:t>
      </w:r>
      <w:r>
        <w:t>natural forests</w:t>
      </w:r>
      <w:r w:rsidRPr="00FD6697">
        <w:t xml:space="preserve"> are managed to maintain and enhance ecosystem services and biodiversity important in both local and national contexts</w:t>
      </w:r>
      <w:bookmarkEnd w:id="55"/>
    </w:p>
    <w:p w14:paraId="0C7042D0" w14:textId="77777777" w:rsidR="00FD6697" w:rsidRPr="00FD6697" w:rsidRDefault="00FD6697" w:rsidP="00FD6697"/>
    <w:p w14:paraId="0BC9DDA6" w14:textId="77777777" w:rsidR="006D2E84" w:rsidRPr="0089366F" w:rsidRDefault="006D2E84" w:rsidP="002C5EDB">
      <w:pPr>
        <w:pStyle w:val="Heading2"/>
        <w:numPr>
          <w:ilvl w:val="0"/>
          <w:numId w:val="0"/>
        </w:numPr>
      </w:pPr>
      <w:bookmarkStart w:id="56" w:name="_Toc254892870"/>
      <w:r w:rsidRPr="0089366F">
        <w:t>Principle 7 – Avoid or minimise adverse impacts on non-forest ecosystem services and biodiversity</w:t>
      </w:r>
      <w:bookmarkEnd w:id="56"/>
    </w:p>
    <w:p w14:paraId="5A48EB04" w14:textId="77777777" w:rsidR="006D2E84" w:rsidRPr="0089366F" w:rsidRDefault="006D2E84" w:rsidP="002C5EDB">
      <w:pPr>
        <w:pStyle w:val="Heading3"/>
        <w:numPr>
          <w:ilvl w:val="0"/>
          <w:numId w:val="0"/>
        </w:numPr>
      </w:pPr>
      <w:bookmarkStart w:id="57" w:name="_Toc254892871"/>
      <w:r w:rsidRPr="0089366F">
        <w:t>Criterion 23 – Avoid or minimise adverse impacts on carbon stocks, other ecosystem services and biodiversity of non-forest ecosystems resulting directly from REDD+ activities</w:t>
      </w:r>
      <w:bookmarkEnd w:id="57"/>
    </w:p>
    <w:p w14:paraId="3A6CDDC2" w14:textId="77777777" w:rsidR="006D2E84" w:rsidRPr="0089366F" w:rsidRDefault="006D2E84" w:rsidP="006D2E84"/>
    <w:p w14:paraId="7D842521" w14:textId="77777777" w:rsidR="006D2E84" w:rsidRPr="0089366F" w:rsidRDefault="006D2E84" w:rsidP="002C5EDB">
      <w:pPr>
        <w:pStyle w:val="Heading3"/>
        <w:numPr>
          <w:ilvl w:val="0"/>
          <w:numId w:val="0"/>
        </w:numPr>
      </w:pPr>
      <w:bookmarkStart w:id="58" w:name="_Toc254892872"/>
      <w:r w:rsidRPr="0089366F">
        <w:t>Criterion 24 – Avoid or minimise adverse impacts on carbon stocks, other ecosystem services and biodiversity of non-forest ecosystems resulting indirectly from REDD+ activities (including those of indirect land-use change impacts and intensification of land use)</w:t>
      </w:r>
      <w:bookmarkEnd w:id="58"/>
    </w:p>
    <w:p w14:paraId="51915208" w14:textId="77777777" w:rsidR="006D2E84" w:rsidRPr="0089366F" w:rsidRDefault="006D2E84" w:rsidP="006D2E84"/>
    <w:p w14:paraId="4F04DE3D" w14:textId="77777777" w:rsidR="006D2E84" w:rsidRPr="0089366F" w:rsidRDefault="006D2E84" w:rsidP="006D2E84">
      <w:pPr>
        <w:pStyle w:val="Heading4"/>
      </w:pPr>
      <w:r w:rsidRPr="0089366F">
        <w:t xml:space="preserve">Potential Risks: </w:t>
      </w:r>
    </w:p>
    <w:p w14:paraId="08CEA221" w14:textId="77777777" w:rsidR="006D2E84" w:rsidRPr="0089366F" w:rsidRDefault="006D2E84" w:rsidP="006D2E84">
      <w:r w:rsidRPr="0089366F">
        <w:t xml:space="preserve">Efforts to develop REDD+ including site level activities actually result directly or indirectly in deforestation or forest degradation or conversion of natural forest to plantation forest and/or cause damage to the ecological and carbon values of surrounding ecosystems. </w:t>
      </w:r>
    </w:p>
    <w:p w14:paraId="7A2E88E7" w14:textId="77777777" w:rsidR="006D2E84" w:rsidRPr="0089366F" w:rsidRDefault="006D2E84" w:rsidP="006D2E84">
      <w:pPr>
        <w:pStyle w:val="Heading4"/>
      </w:pPr>
      <w:r>
        <w:t xml:space="preserve">Summary </w:t>
      </w:r>
      <w:r w:rsidRPr="0089366F">
        <w:t>Review of Existing Legislation and its Application:</w:t>
      </w:r>
    </w:p>
    <w:p w14:paraId="6646F99B" w14:textId="77777777" w:rsidR="006D2E84" w:rsidRPr="0089366F" w:rsidRDefault="006D2E84" w:rsidP="006D2E84">
      <w:pPr>
        <w:pStyle w:val="Heading5"/>
      </w:pPr>
      <w:r w:rsidRPr="0089366F">
        <w:t>REDD+</w:t>
      </w:r>
    </w:p>
    <w:p w14:paraId="4BE29A88" w14:textId="77777777" w:rsidR="006D2E84" w:rsidRPr="0089366F" w:rsidRDefault="006D2E84" w:rsidP="006D2E84">
      <w:r w:rsidRPr="0089366F">
        <w:t xml:space="preserve">Existing activities on REDD+ have focused on establishment of a policy framework on REDD+ which has stressed the need for effective safeguards and to develop linkages between existing environmental considerations and REDD+ activities. </w:t>
      </w:r>
    </w:p>
    <w:p w14:paraId="4F4F2A79" w14:textId="77777777" w:rsidR="006D2E84" w:rsidRPr="0089366F" w:rsidRDefault="006D2E84" w:rsidP="006D2E84">
      <w:pPr>
        <w:pStyle w:val="Heading5"/>
      </w:pPr>
      <w:r w:rsidRPr="0089366F">
        <w:t>Existing Legislation</w:t>
      </w:r>
    </w:p>
    <w:p w14:paraId="2B1D4058" w14:textId="77777777" w:rsidR="006D2E84" w:rsidRPr="0089366F" w:rsidRDefault="006D2E84" w:rsidP="006D2E84">
      <w:r w:rsidRPr="0089366F">
        <w:t xml:space="preserve">The primary mechanism to address environmental degradation related from any development activities within the Solomon Islands is the </w:t>
      </w:r>
      <w:r w:rsidRPr="00842598">
        <w:rPr>
          <w:i/>
          <w:color w:val="4F81BD" w:themeColor="accent1"/>
        </w:rPr>
        <w:t>Environment Act</w:t>
      </w:r>
      <w:r w:rsidRPr="0089366F">
        <w:t>. The Act requires all prescribed developments</w:t>
      </w:r>
      <w:r w:rsidRPr="0089366F">
        <w:rPr>
          <w:rStyle w:val="FootnoteReference"/>
        </w:rPr>
        <w:footnoteReference w:id="123"/>
      </w:r>
      <w:r w:rsidRPr="0089366F">
        <w:t xml:space="preserve"> to submit a development consent application, which, dependent on the Director of the ECD’s decision should be supported by a Public Environment Report or a more detailed Environmental Impact Statement. The Director of the ECD may exempt a body from undertaking either the Development Consent process or submitting a PER or EIS</w:t>
      </w:r>
      <w:r w:rsidRPr="0089366F">
        <w:rPr>
          <w:rStyle w:val="FootnoteReference"/>
        </w:rPr>
        <w:footnoteReference w:id="124"/>
      </w:r>
      <w:r w:rsidRPr="0089366F">
        <w:t xml:space="preserve">. The PER or EIS should identify potential environmental (and social) impacts that a development is likely to have with guidance provided on its content within the regulations and the act. These requirements do not however provide a clear breakdown of exactly what information is required within different types of development, makes no consideration of carbon stock as a factor and does not clarify whether indirect impacts should also be considered. The Director cannot grant development consent unless they are satisfied that: </w:t>
      </w:r>
    </w:p>
    <w:p w14:paraId="1C3A4863" w14:textId="77777777" w:rsidR="006D2E84" w:rsidRPr="0089366F" w:rsidRDefault="006D2E84" w:rsidP="009D70D7">
      <w:pPr>
        <w:pStyle w:val="ListParagraph"/>
        <w:numPr>
          <w:ilvl w:val="0"/>
          <w:numId w:val="62"/>
        </w:numPr>
        <w:spacing w:before="0"/>
      </w:pPr>
      <w:r w:rsidRPr="0089366F">
        <w:t xml:space="preserve">the finding or recommendation of the PER or EIS supports the proposed development; </w:t>
      </w:r>
    </w:p>
    <w:p w14:paraId="02F7BE55" w14:textId="77777777" w:rsidR="006D2E84" w:rsidRPr="0089366F" w:rsidRDefault="006D2E84" w:rsidP="009D70D7">
      <w:pPr>
        <w:pStyle w:val="ListParagraph"/>
        <w:numPr>
          <w:ilvl w:val="0"/>
          <w:numId w:val="62"/>
        </w:numPr>
        <w:spacing w:before="0"/>
      </w:pPr>
      <w:r w:rsidRPr="0089366F">
        <w:t xml:space="preserve">the proposed development will be carried out in a manner consistent with all relevant environmental policies and regulations; </w:t>
      </w:r>
    </w:p>
    <w:p w14:paraId="754D777A" w14:textId="77777777" w:rsidR="006D2E84" w:rsidRPr="0089366F" w:rsidRDefault="006D2E84" w:rsidP="009D70D7">
      <w:pPr>
        <w:pStyle w:val="ListParagraph"/>
        <w:numPr>
          <w:ilvl w:val="0"/>
          <w:numId w:val="62"/>
        </w:numPr>
        <w:spacing w:before="0"/>
      </w:pPr>
      <w:r w:rsidRPr="0089366F">
        <w:t xml:space="preserve">all reasonable steps will be taken to minimize any risk of environmental harm as a result of the prescribed development; </w:t>
      </w:r>
    </w:p>
    <w:p w14:paraId="37ED70CB" w14:textId="77777777" w:rsidR="006D2E84" w:rsidRPr="0089366F" w:rsidRDefault="006D2E84" w:rsidP="009D70D7">
      <w:pPr>
        <w:pStyle w:val="ListParagraph"/>
        <w:numPr>
          <w:ilvl w:val="0"/>
          <w:numId w:val="62"/>
        </w:numPr>
        <w:spacing w:before="0"/>
      </w:pPr>
      <w:r w:rsidRPr="0089366F">
        <w:t>the proposed development will not contravene any relevant environmental obligation under any international treaty, convention or instrument to which Solomon Islands is a party; and</w:t>
      </w:r>
    </w:p>
    <w:p w14:paraId="2B0CF4B0" w14:textId="77777777" w:rsidR="006D2E84" w:rsidRPr="0089366F" w:rsidRDefault="006D2E84" w:rsidP="009D70D7">
      <w:pPr>
        <w:pStyle w:val="ListParagraph"/>
        <w:numPr>
          <w:ilvl w:val="0"/>
          <w:numId w:val="62"/>
        </w:numPr>
        <w:spacing w:before="0"/>
      </w:pPr>
      <w:r w:rsidRPr="0089366F">
        <w:t>the applicant will abide by the conditions of the development consent.</w:t>
      </w:r>
      <w:r w:rsidRPr="0089366F">
        <w:rPr>
          <w:vertAlign w:val="superscript"/>
        </w:rPr>
        <w:footnoteReference w:id="125"/>
      </w:r>
      <w:r w:rsidRPr="0089366F">
        <w:t xml:space="preserve"> </w:t>
      </w:r>
    </w:p>
    <w:p w14:paraId="2B13CEB8" w14:textId="77777777" w:rsidR="006D2E84" w:rsidRPr="0089366F" w:rsidRDefault="006D2E84" w:rsidP="006D2E84"/>
    <w:p w14:paraId="31EE26F6" w14:textId="77777777" w:rsidR="006D2E84" w:rsidRPr="0089366F" w:rsidRDefault="006D2E84" w:rsidP="006D2E84">
      <w:r w:rsidRPr="0089366F">
        <w:t xml:space="preserve">Assessment of EIS and PERs conducted by the LALSU as part of their work has however identified a number of EIS and PER documents that do not meet the requirements set out in the act and its regulations. A lack of clear guidance/ requirements on the sections within the report and their specific content (particularly with regard to specific types of development) combined with the high levels of discretionary power provided to the Director leave this process vulnerable to poor implementation.  </w:t>
      </w:r>
    </w:p>
    <w:p w14:paraId="18597519" w14:textId="77777777" w:rsidR="006D2E84" w:rsidRPr="0089366F" w:rsidRDefault="006D2E84" w:rsidP="006D2E84">
      <w:r w:rsidRPr="0089366F">
        <w:t xml:space="preserve">Should developments be identified as occurring without development consent ‘stop notices’ can be issued. Again however analysis by the LALSU has identified a number of occasions where such notices have been issued and no further action has been taken. Indeed LALSU is unaware of any occasions where the government has sought to prosecute a developer for non-compliance with the Act. This is also true of the pollutions regulations covered below. </w:t>
      </w:r>
    </w:p>
    <w:p w14:paraId="3AEE0FBB" w14:textId="77777777" w:rsidR="006D2E84" w:rsidRPr="0089366F" w:rsidRDefault="006D2E84" w:rsidP="006D2E84"/>
    <w:p w14:paraId="59DE55FE" w14:textId="77777777" w:rsidR="006D2E84" w:rsidRPr="0089366F" w:rsidRDefault="006D2E84" w:rsidP="006D2E84">
      <w:pPr>
        <w:rPr>
          <w:szCs w:val="22"/>
        </w:rPr>
      </w:pPr>
      <w:r w:rsidRPr="0089366F">
        <w:rPr>
          <w:szCs w:val="22"/>
        </w:rPr>
        <w:t>The Environment Act</w:t>
      </w:r>
      <w:r w:rsidRPr="0089366F">
        <w:rPr>
          <w:szCs w:val="22"/>
        </w:rPr>
        <w:fldChar w:fldCharType="begin"/>
      </w:r>
      <w:r w:rsidRPr="0089366F">
        <w:rPr>
          <w:szCs w:val="22"/>
        </w:rPr>
        <w:instrText xml:space="preserve"> XE "Environment Act" \r "IndexEnv_Act4" </w:instrText>
      </w:r>
      <w:r w:rsidRPr="0089366F">
        <w:rPr>
          <w:szCs w:val="22"/>
        </w:rPr>
        <w:fldChar w:fldCharType="end"/>
      </w:r>
      <w:r w:rsidRPr="0089366F">
        <w:rPr>
          <w:szCs w:val="22"/>
        </w:rPr>
        <w:t xml:space="preserve"> also gives the Director of the ECD and inspectors appointed under the Act the power to issue Pollution Abatement Notices</w:t>
      </w:r>
      <w:r w:rsidRPr="0089366F">
        <w:rPr>
          <w:szCs w:val="22"/>
        </w:rPr>
        <w:fldChar w:fldCharType="begin"/>
      </w:r>
      <w:r w:rsidRPr="0089366F">
        <w:rPr>
          <w:szCs w:val="22"/>
        </w:rPr>
        <w:instrText xml:space="preserve"> XE "Pollution Abatement Notice" \t "</w:instrText>
      </w:r>
      <w:r w:rsidRPr="0089366F">
        <w:rPr>
          <w:i/>
          <w:szCs w:val="22"/>
        </w:rPr>
        <w:instrText>See</w:instrText>
      </w:r>
      <w:r w:rsidRPr="0089366F">
        <w:rPr>
          <w:szCs w:val="22"/>
        </w:rPr>
        <w:instrText xml:space="preserve"> Environmental laws" </w:instrText>
      </w:r>
      <w:r w:rsidRPr="0089366F">
        <w:rPr>
          <w:szCs w:val="22"/>
        </w:rPr>
        <w:fldChar w:fldCharType="end"/>
      </w:r>
      <w:r w:rsidRPr="0089366F">
        <w:rPr>
          <w:szCs w:val="22"/>
        </w:rPr>
        <w:t xml:space="preserve"> (PANs) and Stop Notices. It is an offence for someone to not comply with such a notice. However there are currently no approved standards prescribed for the purposes of this provision making its application difficult except in the most blatant of cases. </w:t>
      </w:r>
    </w:p>
    <w:p w14:paraId="2E0D81A2" w14:textId="6C327872" w:rsidR="006D2E84" w:rsidRPr="000F17EF" w:rsidRDefault="006D2E84" w:rsidP="006D2E84">
      <w:pPr>
        <w:rPr>
          <w:szCs w:val="22"/>
        </w:rPr>
      </w:pPr>
      <w:r w:rsidRPr="0089366F">
        <w:rPr>
          <w:szCs w:val="22"/>
        </w:rPr>
        <w:t>It is an offence for an occupier not to comply with a PAN or stop notice with a maximum penalty for the offence is a fine of $5,000 and/or prison for up to 6 months.</w:t>
      </w:r>
      <w:r w:rsidRPr="0089366F">
        <w:rPr>
          <w:szCs w:val="22"/>
          <w:vertAlign w:val="superscript"/>
        </w:rPr>
        <w:footnoteReference w:id="126"/>
      </w:r>
    </w:p>
    <w:p w14:paraId="5733022F" w14:textId="77777777" w:rsidR="006D2E84" w:rsidRPr="0089366F" w:rsidRDefault="006D2E84" w:rsidP="006D2E84">
      <w:r w:rsidRPr="0089366F">
        <w:t xml:space="preserve">The </w:t>
      </w:r>
      <w:r w:rsidRPr="00842598">
        <w:rPr>
          <w:i/>
          <w:color w:val="4F81BD" w:themeColor="accent1"/>
        </w:rPr>
        <w:t>FRTU Act</w:t>
      </w:r>
      <w:r w:rsidRPr="0089366F">
        <w:t xml:space="preserve"> also provides a basis for environmental protection through requirements under the Timber Rights Agreement, Logging and Felling Licenses and the Code of Logging Practice. These focus on ensuring good practice within the process of timber extraction as well as identifying a number of protected species that cannot be harvested. The monitoring and enforcement of these requirements is however extremely weak, with the Act providing limited methods to control timber operations and limited fines for non-compliance. Equally efforts to control cutting outside of areas can only be addressed through other legislation such as trespass which is in many cases difficult to apply.  </w:t>
      </w:r>
    </w:p>
    <w:p w14:paraId="5AE7B936" w14:textId="77777777" w:rsidR="006D2E84" w:rsidRPr="0089366F" w:rsidRDefault="006D2E84" w:rsidP="006D2E84"/>
    <w:p w14:paraId="06B93B4A" w14:textId="77777777" w:rsidR="006D2E84" w:rsidRPr="0089366F" w:rsidRDefault="006D2E84" w:rsidP="006D2E84">
      <w:pPr>
        <w:rPr>
          <w:szCs w:val="22"/>
        </w:rPr>
      </w:pPr>
      <w:r w:rsidRPr="0089366F">
        <w:t xml:space="preserve">The </w:t>
      </w:r>
      <w:r w:rsidRPr="00842598">
        <w:rPr>
          <w:i/>
          <w:color w:val="4F81BD" w:themeColor="accent1"/>
        </w:rPr>
        <w:t>PA Act</w:t>
      </w:r>
      <w:r w:rsidRPr="0089366F">
        <w:t xml:space="preserve"> requires the Director prior to considering whether to designate a PA proposed to the ministry to: </w:t>
      </w:r>
    </w:p>
    <w:p w14:paraId="0B24443A" w14:textId="77777777" w:rsidR="006D2E84" w:rsidRPr="0089366F" w:rsidRDefault="006D2E84" w:rsidP="009D70D7">
      <w:pPr>
        <w:pStyle w:val="ListParagraph"/>
        <w:numPr>
          <w:ilvl w:val="0"/>
          <w:numId w:val="63"/>
        </w:numPr>
        <w:spacing w:before="0"/>
        <w:rPr>
          <w:szCs w:val="22"/>
        </w:rPr>
      </w:pPr>
      <w:r w:rsidRPr="0089366F">
        <w:rPr>
          <w:szCs w:val="22"/>
        </w:rPr>
        <w:t>evaluate the conservation, protection and management options for the area.</w:t>
      </w:r>
      <w:r w:rsidRPr="0089366F">
        <w:rPr>
          <w:szCs w:val="22"/>
          <w:vertAlign w:val="superscript"/>
        </w:rPr>
        <w:footnoteReference w:id="127"/>
      </w:r>
    </w:p>
    <w:p w14:paraId="095A1D58" w14:textId="77777777" w:rsidR="006D2E84" w:rsidRPr="0089366F" w:rsidRDefault="006D2E84" w:rsidP="006D2E84">
      <w:pPr>
        <w:pStyle w:val="ListParagraph"/>
        <w:ind w:left="0"/>
        <w:rPr>
          <w:szCs w:val="22"/>
        </w:rPr>
      </w:pPr>
      <w:r w:rsidRPr="0089366F">
        <w:rPr>
          <w:szCs w:val="22"/>
        </w:rPr>
        <w:t xml:space="preserve">Should the proposal be instigated by the Minister the Director must consider: </w:t>
      </w:r>
    </w:p>
    <w:p w14:paraId="61247C41" w14:textId="77777777" w:rsidR="006D2E84" w:rsidRPr="0089366F" w:rsidRDefault="006D2E84" w:rsidP="009D70D7">
      <w:pPr>
        <w:pStyle w:val="ListParagraph"/>
        <w:numPr>
          <w:ilvl w:val="0"/>
          <w:numId w:val="61"/>
        </w:numPr>
        <w:spacing w:before="0"/>
        <w:rPr>
          <w:szCs w:val="22"/>
        </w:rPr>
      </w:pPr>
      <w:r w:rsidRPr="0089366F">
        <w:rPr>
          <w:szCs w:val="22"/>
        </w:rPr>
        <w:t>the conservation objectives of the area have been identified and are in accordance with sound conservation practices;</w:t>
      </w:r>
      <w:r w:rsidRPr="0089366F">
        <w:rPr>
          <w:vertAlign w:val="superscript"/>
        </w:rPr>
        <w:footnoteReference w:id="128"/>
      </w:r>
      <w:r w:rsidRPr="0089366F">
        <w:rPr>
          <w:szCs w:val="22"/>
        </w:rPr>
        <w:t xml:space="preserve"> </w:t>
      </w:r>
    </w:p>
    <w:p w14:paraId="4FBFA7CC" w14:textId="77777777" w:rsidR="006D2E84" w:rsidRPr="0089366F" w:rsidRDefault="006D2E84" w:rsidP="006D2E84">
      <w:pPr>
        <w:rPr>
          <w:szCs w:val="22"/>
        </w:rPr>
      </w:pPr>
      <w:r w:rsidRPr="0089366F">
        <w:rPr>
          <w:szCs w:val="22"/>
        </w:rPr>
        <w:t xml:space="preserve">In each case there is no explanation of how these considerations should be undertaken or what consideration should be given to the indirect impacts of PA establishment – for example the displacement of subsistence agricultural activities into other areas. </w:t>
      </w:r>
    </w:p>
    <w:p w14:paraId="06952351" w14:textId="77777777" w:rsidR="006D2E84" w:rsidRPr="0089366F" w:rsidRDefault="006D2E84" w:rsidP="006D2E84">
      <w:pPr>
        <w:pStyle w:val="ListParagraph"/>
        <w:ind w:left="0"/>
        <w:rPr>
          <w:szCs w:val="22"/>
        </w:rPr>
      </w:pPr>
    </w:p>
    <w:p w14:paraId="2278849D" w14:textId="77777777" w:rsidR="006D2E84" w:rsidRPr="0089366F" w:rsidRDefault="006D2E84" w:rsidP="006D2E84">
      <w:pPr>
        <w:pStyle w:val="Heading4"/>
      </w:pPr>
      <w:r w:rsidRPr="0089366F">
        <w:t xml:space="preserve">Recommendations </w:t>
      </w:r>
    </w:p>
    <w:p w14:paraId="048438A1" w14:textId="77777777" w:rsidR="006D2E84" w:rsidRPr="0089366F" w:rsidRDefault="006D2E84" w:rsidP="006D2E84">
      <w:pPr>
        <w:pStyle w:val="Heading5"/>
      </w:pPr>
      <w:r w:rsidRPr="0089366F">
        <w:t xml:space="preserve">National </w:t>
      </w:r>
    </w:p>
    <w:p w14:paraId="5F7D37CD" w14:textId="77777777" w:rsidR="006D2E84" w:rsidRPr="0089366F" w:rsidRDefault="006D2E84" w:rsidP="006B087B">
      <w:pPr>
        <w:numPr>
          <w:ilvl w:val="0"/>
          <w:numId w:val="23"/>
        </w:numPr>
        <w:spacing w:before="0"/>
      </w:pPr>
      <w:r w:rsidRPr="0089366F">
        <w:t>Development consent should be required for all developments within forest areas</w:t>
      </w:r>
      <w:r w:rsidRPr="0089366F">
        <w:rPr>
          <w:rStyle w:val="FootnoteReference"/>
        </w:rPr>
        <w:footnoteReference w:id="129"/>
      </w:r>
      <w:r w:rsidRPr="0089366F">
        <w:t xml:space="preserve"> including those proposed by government.  </w:t>
      </w:r>
    </w:p>
    <w:p w14:paraId="61D29FF8" w14:textId="77777777" w:rsidR="006D2E84" w:rsidRPr="0089366F" w:rsidRDefault="006D2E84" w:rsidP="006B087B">
      <w:pPr>
        <w:numPr>
          <w:ilvl w:val="0"/>
          <w:numId w:val="23"/>
        </w:numPr>
        <w:spacing w:before="0"/>
      </w:pPr>
      <w:r w:rsidRPr="0089366F">
        <w:t xml:space="preserve">Clearer guidance should be provided for EIA and PERs being undertaken within forest areas including clear criteria for approval and rejection of developments. </w:t>
      </w:r>
    </w:p>
    <w:p w14:paraId="684FC788" w14:textId="77777777" w:rsidR="006D2E84" w:rsidRPr="0089366F" w:rsidRDefault="006D2E84" w:rsidP="006B087B">
      <w:pPr>
        <w:numPr>
          <w:ilvl w:val="0"/>
          <w:numId w:val="23"/>
        </w:numPr>
        <w:spacing w:before="0"/>
      </w:pPr>
      <w:r w:rsidRPr="0089366F">
        <w:t>Environment Act should be revised to present more significant penalties for failure to implement environmental management plan</w:t>
      </w:r>
    </w:p>
    <w:p w14:paraId="57A68F76" w14:textId="77777777" w:rsidR="006D2E84" w:rsidRPr="0089366F" w:rsidRDefault="006D2E84" w:rsidP="006B087B">
      <w:pPr>
        <w:numPr>
          <w:ilvl w:val="0"/>
          <w:numId w:val="23"/>
        </w:numPr>
        <w:spacing w:before="0"/>
      </w:pPr>
      <w:r w:rsidRPr="0089366F">
        <w:t xml:space="preserve">Training should be provided to ensure the RSIPF and public prosecution office have improved understanding of environmental crime </w:t>
      </w:r>
    </w:p>
    <w:p w14:paraId="2BDA80A7" w14:textId="77777777" w:rsidR="006D2E84" w:rsidRPr="0089366F" w:rsidRDefault="006D2E84" w:rsidP="006B087B">
      <w:pPr>
        <w:numPr>
          <w:ilvl w:val="0"/>
          <w:numId w:val="23"/>
        </w:numPr>
        <w:spacing w:before="0"/>
      </w:pPr>
      <w:r w:rsidRPr="0089366F">
        <w:t xml:space="preserve">Revisions should be made to FRTUA to provide for administrative notices and applicable fines to be applied for non-compliance to standards. </w:t>
      </w:r>
    </w:p>
    <w:p w14:paraId="788657E3" w14:textId="77777777" w:rsidR="006D2E84" w:rsidRPr="0089366F" w:rsidRDefault="006D2E84" w:rsidP="006B087B">
      <w:pPr>
        <w:numPr>
          <w:ilvl w:val="0"/>
          <w:numId w:val="23"/>
        </w:numPr>
        <w:spacing w:before="0"/>
      </w:pPr>
      <w:r w:rsidRPr="0089366F">
        <w:t xml:space="preserve">Effective monitoring of EA and FRTU Act should be improved.  </w:t>
      </w:r>
    </w:p>
    <w:p w14:paraId="2DF2BB98" w14:textId="057A84BA" w:rsidR="006D2E84" w:rsidRPr="0089366F" w:rsidRDefault="006D2E84" w:rsidP="006D2E84">
      <w:pPr>
        <w:pStyle w:val="Heading5"/>
      </w:pPr>
      <w:r w:rsidRPr="0089366F">
        <w:t>Site level</w:t>
      </w:r>
    </w:p>
    <w:p w14:paraId="541386B1" w14:textId="77777777" w:rsidR="006D2E84" w:rsidRPr="0089366F" w:rsidRDefault="006D2E84" w:rsidP="006D2E84"/>
    <w:p w14:paraId="0C23114A" w14:textId="77777777" w:rsidR="006D2E84" w:rsidRPr="0089366F" w:rsidRDefault="006D2E84" w:rsidP="006D2E84">
      <w:pPr>
        <w:pStyle w:val="Heading4"/>
      </w:pPr>
      <w:r w:rsidRPr="0089366F">
        <w:t>Recommended Actions:</w:t>
      </w:r>
    </w:p>
    <w:p w14:paraId="385B0752" w14:textId="77777777" w:rsidR="006D2E84" w:rsidRPr="0089366F" w:rsidRDefault="006D2E84" w:rsidP="006D2E84">
      <w:r w:rsidRPr="0089366F">
        <w:t xml:space="preserve">At site level land recording should be used to ensure that all land and user rights are effectively identified and effective management committees established to manage these interests and represent stakeholder groups. </w:t>
      </w:r>
    </w:p>
    <w:p w14:paraId="17349A8D" w14:textId="77777777" w:rsidR="006D2E84" w:rsidRPr="0089366F" w:rsidRDefault="006D2E84" w:rsidP="006D2E84">
      <w:pPr>
        <w:pStyle w:val="Heading4"/>
      </w:pPr>
      <w:r w:rsidRPr="0089366F">
        <w:t xml:space="preserve">Potential Indicators </w:t>
      </w:r>
    </w:p>
    <w:p w14:paraId="5819CAD1" w14:textId="77777777" w:rsidR="006D2E84" w:rsidRPr="0089366F" w:rsidRDefault="006D2E84" w:rsidP="009D70D7">
      <w:pPr>
        <w:numPr>
          <w:ilvl w:val="0"/>
          <w:numId w:val="64"/>
        </w:numPr>
        <w:spacing w:before="0"/>
      </w:pPr>
      <w:r w:rsidRPr="0089366F">
        <w:t xml:space="preserve">Legislation relating to the sustainable management of forests developed, passed through parliament and gazetted. </w:t>
      </w:r>
    </w:p>
    <w:p w14:paraId="7086AB95" w14:textId="77777777" w:rsidR="006D2E84" w:rsidRPr="0089366F" w:rsidRDefault="006D2E84" w:rsidP="009D70D7">
      <w:pPr>
        <w:numPr>
          <w:ilvl w:val="0"/>
          <w:numId w:val="64"/>
        </w:numPr>
        <w:spacing w:before="0"/>
      </w:pPr>
      <w:r w:rsidRPr="0089366F">
        <w:t xml:space="preserve">Site based activities have undertaken land recording or land demarcation agreements (under the PA Act) to identify relevant rights holders and establish representative management committees. </w:t>
      </w:r>
    </w:p>
    <w:p w14:paraId="79717666" w14:textId="77777777" w:rsidR="006D2E84" w:rsidRPr="0089366F" w:rsidRDefault="006D2E84" w:rsidP="006D2E84">
      <w:pPr>
        <w:pStyle w:val="Heading4"/>
      </w:pPr>
      <w:r w:rsidRPr="0089366F">
        <w:t xml:space="preserve">Data Collection: </w:t>
      </w:r>
    </w:p>
    <w:p w14:paraId="10D83040" w14:textId="77777777" w:rsidR="006D2E84" w:rsidRPr="0089366F" w:rsidRDefault="006D2E84" w:rsidP="009D70D7">
      <w:pPr>
        <w:pStyle w:val="ListParagraph"/>
        <w:numPr>
          <w:ilvl w:val="0"/>
          <w:numId w:val="65"/>
        </w:numPr>
        <w:spacing w:before="0"/>
      </w:pPr>
      <w:r w:rsidRPr="0089366F">
        <w:t xml:space="preserve">RIU log of legislation development </w:t>
      </w:r>
    </w:p>
    <w:p w14:paraId="55A647E4" w14:textId="77777777" w:rsidR="000F17EF" w:rsidRDefault="006D2E84" w:rsidP="009D70D7">
      <w:pPr>
        <w:pStyle w:val="ListParagraph"/>
        <w:numPr>
          <w:ilvl w:val="0"/>
          <w:numId w:val="65"/>
        </w:numPr>
        <w:spacing w:before="0"/>
      </w:pPr>
      <w:r w:rsidRPr="0089366F">
        <w:t>Project registration documents</w:t>
      </w:r>
    </w:p>
    <w:p w14:paraId="4873C7D0" w14:textId="77777777" w:rsidR="00AB53D0" w:rsidRDefault="00AB53D0" w:rsidP="00AB53D0">
      <w:pPr>
        <w:spacing w:before="0"/>
        <w:sectPr w:rsidR="00AB53D0" w:rsidSect="00014341">
          <w:pgSz w:w="11900" w:h="16840"/>
          <w:pgMar w:top="1440" w:right="1080" w:bottom="1440" w:left="1080" w:header="708" w:footer="708" w:gutter="0"/>
          <w:cols w:space="708"/>
          <w:docGrid w:linePitch="360"/>
        </w:sectPr>
      </w:pPr>
    </w:p>
    <w:p w14:paraId="307506EC" w14:textId="6B57F54E" w:rsidR="00D556B6" w:rsidRDefault="00FD6697" w:rsidP="00FD6697">
      <w:pPr>
        <w:pStyle w:val="Heading1"/>
        <w:numPr>
          <w:ilvl w:val="0"/>
          <w:numId w:val="0"/>
        </w:numPr>
        <w:ind w:left="432" w:hanging="432"/>
      </w:pPr>
      <w:bookmarkStart w:id="59" w:name="_Toc254892873"/>
      <w:r>
        <w:t xml:space="preserve">Annex 2: </w:t>
      </w:r>
      <w:r w:rsidR="00D556B6">
        <w:t xml:space="preserve">Summary of Key Areas in which Activities should be </w:t>
      </w:r>
      <w:commentRangeStart w:id="60"/>
      <w:r w:rsidR="00D556B6">
        <w:t>Undertaken</w:t>
      </w:r>
      <w:commentRangeEnd w:id="60"/>
      <w:r w:rsidR="00293771">
        <w:rPr>
          <w:rStyle w:val="CommentReference"/>
          <w:rFonts w:eastAsia="MS Mincho"/>
          <w:b w:val="0"/>
          <w:bCs w:val="0"/>
          <w:color w:val="auto"/>
        </w:rPr>
        <w:commentReference w:id="60"/>
      </w:r>
    </w:p>
    <w:p w14:paraId="3D8EECE7" w14:textId="77777777" w:rsidR="00D556B6" w:rsidRDefault="00D556B6" w:rsidP="00D556B6"/>
    <w:p w14:paraId="74268F6A" w14:textId="7E6DF12A" w:rsidR="00D556B6" w:rsidRDefault="00D556B6" w:rsidP="00D556B6">
      <w:r>
        <w:t xml:space="preserve">It is proposed that the Solomon Islands work towards establishment of a CSS system that is compliant with the Cancun Safeguards and that system includes processes of data collections and information sharing that are compatible with the requirements of a safeguard information system as laid out in the Durban Decision. </w:t>
      </w:r>
    </w:p>
    <w:p w14:paraId="5AC9DFCD" w14:textId="282008AE" w:rsidR="00D556B6" w:rsidRDefault="00D556B6" w:rsidP="00D556B6">
      <w:r>
        <w:t xml:space="preserve">To achieve this initial focus has been placed on three pieces of Solomon Island legislation (the FRTU Act, the Environment Act and the PA Act) and the way in which they are implemented. </w:t>
      </w:r>
    </w:p>
    <w:p w14:paraId="0D9BABF2" w14:textId="05E37BF9" w:rsidR="00D556B6" w:rsidRDefault="00D556B6" w:rsidP="00D556B6">
      <w:r>
        <w:t xml:space="preserve">Based on this a number of recommendations for revisions and strengthened implementation of each act have been developed and are covered below. These actions form the basis of a workplan for safeguard development. </w:t>
      </w:r>
    </w:p>
    <w:p w14:paraId="4AED1FA3" w14:textId="77777777" w:rsidR="00D556B6" w:rsidRDefault="00D556B6" w:rsidP="00D556B6"/>
    <w:bookmarkEnd w:id="59"/>
    <w:p w14:paraId="21ED5AB2" w14:textId="77777777" w:rsidR="006B087B" w:rsidRPr="0089366F" w:rsidRDefault="006B087B" w:rsidP="006B087B"/>
    <w:p w14:paraId="29BD100B" w14:textId="3CF8F7C2" w:rsidR="006B087B" w:rsidRPr="0089366F" w:rsidRDefault="00D556B6" w:rsidP="00D556B6">
      <w:pPr>
        <w:pStyle w:val="Heading2"/>
        <w:numPr>
          <w:ilvl w:val="0"/>
          <w:numId w:val="0"/>
        </w:numPr>
        <w:ind w:left="576" w:hanging="576"/>
      </w:pPr>
      <w:bookmarkStart w:id="61" w:name="_Toc254892874"/>
      <w:r>
        <w:t xml:space="preserve">The Environment Act </w:t>
      </w:r>
      <w:bookmarkEnd w:id="61"/>
    </w:p>
    <w:p w14:paraId="01ED1966" w14:textId="51411F51" w:rsidR="0037794E" w:rsidRDefault="00D556B6" w:rsidP="006B087B">
      <w:r>
        <w:t>The Environment Act is a central environmental and social safeguard within the Solomon Islands</w:t>
      </w:r>
      <w:r w:rsidR="00B02735">
        <w:t xml:space="preserve">. Analysis of its application with reference to the UN-REDD SEPC have identified a number of criteria for which the act either already presents or has the potential to present an appropriate national safeguard. </w:t>
      </w:r>
    </w:p>
    <w:p w14:paraId="551D445F" w14:textId="77777777" w:rsidR="006B087B" w:rsidRPr="0089366F" w:rsidRDefault="006B087B" w:rsidP="006B087B">
      <w:r w:rsidRPr="0089366F">
        <w:t xml:space="preserve">The Development Consent Process is the central environmental and social safeguard within the Solomon Islands’ framework of safeguards. The process has been identified as a key indicator of safeguard implementation within 11 of the 24 criteria within the UN-REDD SEPC framework, with effective implementation of the process also contributing to several other areas. The 11 criteria specifically identified include: </w:t>
      </w:r>
    </w:p>
    <w:p w14:paraId="5ED4CA33" w14:textId="77777777" w:rsidR="006B087B" w:rsidRPr="0089366F" w:rsidRDefault="006B087B" w:rsidP="006B087B"/>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1"/>
      </w:tblGrid>
      <w:tr w:rsidR="006B087B" w:rsidRPr="0089366F" w14:paraId="6800DEF3" w14:textId="77777777" w:rsidTr="00B71EE3">
        <w:tc>
          <w:tcPr>
            <w:tcW w:w="4820" w:type="dxa"/>
            <w:shd w:val="clear" w:color="auto" w:fill="D9D9D9"/>
            <w:tcMar>
              <w:top w:w="20" w:type="nil"/>
              <w:left w:w="20" w:type="nil"/>
              <w:bottom w:w="20" w:type="nil"/>
              <w:right w:w="20" w:type="nil"/>
            </w:tcMar>
            <w:vAlign w:val="center"/>
          </w:tcPr>
          <w:p w14:paraId="245DF0A1" w14:textId="77777777" w:rsidR="006B087B" w:rsidRPr="0089366F" w:rsidRDefault="006B087B" w:rsidP="00B71EE3">
            <w:pPr>
              <w:rPr>
                <w:b/>
                <w:bCs/>
                <w:sz w:val="20"/>
              </w:rPr>
            </w:pPr>
            <w:r w:rsidRPr="0089366F">
              <w:rPr>
                <w:b/>
                <w:bCs/>
                <w:sz w:val="20"/>
              </w:rPr>
              <w:t>UN-REDD SEPCA</w:t>
            </w:r>
          </w:p>
        </w:tc>
        <w:tc>
          <w:tcPr>
            <w:tcW w:w="4961" w:type="dxa"/>
            <w:shd w:val="clear" w:color="auto" w:fill="D9D9D9"/>
          </w:tcPr>
          <w:p w14:paraId="42E50BC2" w14:textId="77777777" w:rsidR="006B087B" w:rsidRPr="0089366F" w:rsidRDefault="006B087B" w:rsidP="00B71EE3">
            <w:pPr>
              <w:rPr>
                <w:b/>
                <w:bCs/>
                <w:sz w:val="20"/>
              </w:rPr>
            </w:pPr>
            <w:r w:rsidRPr="0089366F">
              <w:rPr>
                <w:b/>
                <w:bCs/>
                <w:sz w:val="20"/>
              </w:rPr>
              <w:t>Recommendations and Nationally Specific Indicator</w:t>
            </w:r>
          </w:p>
        </w:tc>
      </w:tr>
      <w:tr w:rsidR="006B087B" w:rsidRPr="0089366F" w14:paraId="359C6ABA" w14:textId="77777777" w:rsidTr="00B71EE3">
        <w:tc>
          <w:tcPr>
            <w:tcW w:w="4820" w:type="dxa"/>
            <w:shd w:val="clear" w:color="auto" w:fill="D9D9D9"/>
            <w:tcMar>
              <w:top w:w="20" w:type="nil"/>
              <w:left w:w="20" w:type="nil"/>
              <w:bottom w:w="20" w:type="nil"/>
              <w:right w:w="20" w:type="nil"/>
            </w:tcMar>
            <w:vAlign w:val="center"/>
          </w:tcPr>
          <w:p w14:paraId="04760971" w14:textId="77777777" w:rsidR="006B087B" w:rsidRPr="0089366F" w:rsidRDefault="006B087B" w:rsidP="00B71EE3">
            <w:pPr>
              <w:rPr>
                <w:sz w:val="20"/>
              </w:rPr>
            </w:pPr>
            <w:r w:rsidRPr="0089366F">
              <w:rPr>
                <w:b/>
                <w:bCs/>
                <w:sz w:val="20"/>
              </w:rPr>
              <w:t>Principle 1 – Apply norms of democratic governance, as reflected in national commitments and Multilateral Agreements</w:t>
            </w:r>
          </w:p>
        </w:tc>
        <w:tc>
          <w:tcPr>
            <w:tcW w:w="4961" w:type="dxa"/>
            <w:shd w:val="clear" w:color="auto" w:fill="D9D9D9"/>
          </w:tcPr>
          <w:p w14:paraId="3F54DC83" w14:textId="77777777" w:rsidR="006B087B" w:rsidRPr="0089366F" w:rsidRDefault="006B087B" w:rsidP="00B71EE3">
            <w:pPr>
              <w:rPr>
                <w:b/>
                <w:bCs/>
                <w:sz w:val="20"/>
              </w:rPr>
            </w:pPr>
          </w:p>
        </w:tc>
      </w:tr>
      <w:tr w:rsidR="006B087B" w:rsidRPr="0089366F" w14:paraId="0BD0F9AC" w14:textId="77777777" w:rsidTr="00B71EE3">
        <w:tc>
          <w:tcPr>
            <w:tcW w:w="4820" w:type="dxa"/>
            <w:tcMar>
              <w:top w:w="20" w:type="nil"/>
              <w:left w:w="20" w:type="nil"/>
              <w:bottom w:w="20" w:type="nil"/>
              <w:right w:w="20" w:type="nil"/>
            </w:tcMar>
            <w:vAlign w:val="center"/>
          </w:tcPr>
          <w:p w14:paraId="4CB732F1" w14:textId="77777777" w:rsidR="006B087B" w:rsidRPr="0089366F" w:rsidRDefault="006B087B" w:rsidP="00B71EE3">
            <w:pPr>
              <w:rPr>
                <w:sz w:val="20"/>
              </w:rPr>
            </w:pPr>
            <w:r w:rsidRPr="0089366F">
              <w:rPr>
                <w:sz w:val="20"/>
              </w:rPr>
              <w:t>Criterion 3 – Ensure transparency and accessibility of information related to REDD+, including active dissemination among relevant stakeholders</w:t>
            </w:r>
          </w:p>
        </w:tc>
        <w:tc>
          <w:tcPr>
            <w:tcW w:w="4961" w:type="dxa"/>
          </w:tcPr>
          <w:p w14:paraId="2B2A2B6F" w14:textId="77777777" w:rsidR="006B087B" w:rsidRPr="0089366F" w:rsidRDefault="006B087B" w:rsidP="00B71EE3">
            <w:pPr>
              <w:rPr>
                <w:sz w:val="20"/>
              </w:rPr>
            </w:pPr>
          </w:p>
        </w:tc>
      </w:tr>
      <w:tr w:rsidR="006B087B" w:rsidRPr="0089366F" w14:paraId="07D988F0" w14:textId="77777777" w:rsidTr="00B71EE3">
        <w:tc>
          <w:tcPr>
            <w:tcW w:w="4820" w:type="dxa"/>
            <w:tcMar>
              <w:top w:w="20" w:type="nil"/>
              <w:left w:w="20" w:type="nil"/>
              <w:bottom w:w="20" w:type="nil"/>
              <w:right w:w="20" w:type="nil"/>
            </w:tcMar>
            <w:vAlign w:val="center"/>
          </w:tcPr>
          <w:p w14:paraId="6B0705BC" w14:textId="77777777" w:rsidR="006B087B" w:rsidRPr="0089366F" w:rsidRDefault="006B087B" w:rsidP="00B71EE3">
            <w:pPr>
              <w:rPr>
                <w:sz w:val="20"/>
              </w:rPr>
            </w:pPr>
            <w:r w:rsidRPr="0089366F">
              <w:rPr>
                <w:sz w:val="20"/>
              </w:rPr>
              <w:t>Criterion 4 – Ensure the full and effective participation of relevant stakeholders in design, planning and implementation of REDD+ activities, with stakeh</w:t>
            </w:r>
          </w:p>
        </w:tc>
        <w:tc>
          <w:tcPr>
            <w:tcW w:w="4961" w:type="dxa"/>
          </w:tcPr>
          <w:p w14:paraId="0773FDBA" w14:textId="77777777" w:rsidR="006B087B" w:rsidRPr="0089366F" w:rsidRDefault="006B087B" w:rsidP="00B71EE3">
            <w:pPr>
              <w:rPr>
                <w:sz w:val="20"/>
              </w:rPr>
            </w:pPr>
          </w:p>
        </w:tc>
      </w:tr>
      <w:tr w:rsidR="006B087B" w:rsidRPr="0089366F" w14:paraId="6B7FEAB5" w14:textId="77777777" w:rsidTr="00B71EE3">
        <w:tc>
          <w:tcPr>
            <w:tcW w:w="4820" w:type="dxa"/>
            <w:tcBorders>
              <w:bottom w:val="single" w:sz="4" w:space="0" w:color="auto"/>
            </w:tcBorders>
            <w:tcMar>
              <w:top w:w="20" w:type="nil"/>
              <w:left w:w="20" w:type="nil"/>
              <w:bottom w:w="20" w:type="nil"/>
              <w:right w:w="20" w:type="nil"/>
            </w:tcMar>
            <w:vAlign w:val="center"/>
          </w:tcPr>
          <w:p w14:paraId="3F6713CA" w14:textId="77777777" w:rsidR="006B087B" w:rsidRPr="0089366F" w:rsidRDefault="006B087B" w:rsidP="00B71EE3">
            <w:pPr>
              <w:rPr>
                <w:sz w:val="20"/>
              </w:rPr>
            </w:pPr>
            <w:r w:rsidRPr="0089366F">
              <w:rPr>
                <w:sz w:val="20"/>
              </w:rPr>
              <w:t>Criterion 6 – Promote and support the rule of law, access to justice and effective remedies</w:t>
            </w:r>
          </w:p>
        </w:tc>
        <w:tc>
          <w:tcPr>
            <w:tcW w:w="4961" w:type="dxa"/>
            <w:tcBorders>
              <w:bottom w:val="single" w:sz="4" w:space="0" w:color="auto"/>
            </w:tcBorders>
          </w:tcPr>
          <w:p w14:paraId="706EF37D" w14:textId="77777777" w:rsidR="006B087B" w:rsidRPr="0089366F" w:rsidRDefault="006B087B" w:rsidP="00B71EE3">
            <w:pPr>
              <w:rPr>
                <w:sz w:val="20"/>
              </w:rPr>
            </w:pPr>
          </w:p>
        </w:tc>
      </w:tr>
      <w:tr w:rsidR="006B087B" w:rsidRPr="0089366F" w14:paraId="5909DFDB" w14:textId="77777777" w:rsidTr="00B71EE3">
        <w:tc>
          <w:tcPr>
            <w:tcW w:w="4820" w:type="dxa"/>
            <w:shd w:val="clear" w:color="auto" w:fill="D9D9D9"/>
            <w:tcMar>
              <w:top w:w="20" w:type="nil"/>
              <w:left w:w="20" w:type="nil"/>
              <w:bottom w:w="20" w:type="nil"/>
              <w:right w:w="20" w:type="nil"/>
            </w:tcMar>
            <w:vAlign w:val="center"/>
          </w:tcPr>
          <w:p w14:paraId="255C1BF7" w14:textId="77777777" w:rsidR="006B087B" w:rsidRPr="0089366F" w:rsidRDefault="006B087B" w:rsidP="00B71EE3">
            <w:pPr>
              <w:rPr>
                <w:sz w:val="20"/>
              </w:rPr>
            </w:pPr>
            <w:r w:rsidRPr="0089366F">
              <w:rPr>
                <w:b/>
                <w:bCs/>
                <w:sz w:val="20"/>
              </w:rPr>
              <w:t>Principle 2 – Respect and protect stakeholder rights in accordance with international obligations</w:t>
            </w:r>
          </w:p>
        </w:tc>
        <w:tc>
          <w:tcPr>
            <w:tcW w:w="4961" w:type="dxa"/>
            <w:shd w:val="clear" w:color="auto" w:fill="D9D9D9"/>
          </w:tcPr>
          <w:p w14:paraId="59A99018" w14:textId="77777777" w:rsidR="006B087B" w:rsidRPr="0089366F" w:rsidRDefault="006B087B" w:rsidP="00B71EE3">
            <w:pPr>
              <w:rPr>
                <w:b/>
                <w:bCs/>
                <w:sz w:val="20"/>
              </w:rPr>
            </w:pPr>
          </w:p>
        </w:tc>
      </w:tr>
      <w:tr w:rsidR="006B087B" w:rsidRPr="0089366F" w14:paraId="50D7B49A" w14:textId="77777777" w:rsidTr="00B71EE3">
        <w:tc>
          <w:tcPr>
            <w:tcW w:w="4820" w:type="dxa"/>
            <w:tcMar>
              <w:top w:w="20" w:type="nil"/>
              <w:left w:w="20" w:type="nil"/>
              <w:bottom w:w="20" w:type="nil"/>
              <w:right w:w="20" w:type="nil"/>
            </w:tcMar>
            <w:vAlign w:val="center"/>
          </w:tcPr>
          <w:p w14:paraId="5F9C9FB8" w14:textId="77777777" w:rsidR="006B087B" w:rsidRPr="0089366F" w:rsidRDefault="006B087B" w:rsidP="00B71EE3">
            <w:pPr>
              <w:rPr>
                <w:sz w:val="20"/>
              </w:rPr>
            </w:pPr>
            <w:r w:rsidRPr="0089366F">
              <w:rPr>
                <w:sz w:val="20"/>
              </w:rPr>
              <w:t>Criterion 8 – Promote and enhance gender equality, gender equity and women’s empowerment</w:t>
            </w:r>
          </w:p>
        </w:tc>
        <w:tc>
          <w:tcPr>
            <w:tcW w:w="4961" w:type="dxa"/>
          </w:tcPr>
          <w:p w14:paraId="16A847D0" w14:textId="77777777" w:rsidR="006B087B" w:rsidRPr="0089366F" w:rsidRDefault="006B087B" w:rsidP="00B71EE3">
            <w:pPr>
              <w:rPr>
                <w:sz w:val="20"/>
              </w:rPr>
            </w:pPr>
            <w:r w:rsidRPr="0089366F">
              <w:rPr>
                <w:sz w:val="20"/>
              </w:rPr>
              <w:t xml:space="preserve">EIAs for REDD+ related developments include assessments of differential impact of developments by gender.  </w:t>
            </w:r>
          </w:p>
        </w:tc>
      </w:tr>
      <w:tr w:rsidR="006B087B" w:rsidRPr="0089366F" w14:paraId="56818A89" w14:textId="77777777" w:rsidTr="00B71EE3">
        <w:tc>
          <w:tcPr>
            <w:tcW w:w="4820" w:type="dxa"/>
            <w:tcMar>
              <w:top w:w="20" w:type="nil"/>
              <w:left w:w="20" w:type="nil"/>
              <w:bottom w:w="20" w:type="nil"/>
              <w:right w:w="20" w:type="nil"/>
            </w:tcMar>
            <w:vAlign w:val="center"/>
          </w:tcPr>
          <w:p w14:paraId="7E386111" w14:textId="77777777" w:rsidR="006B087B" w:rsidRPr="0089366F" w:rsidRDefault="006B087B" w:rsidP="00B71EE3">
            <w:pPr>
              <w:rPr>
                <w:sz w:val="20"/>
              </w:rPr>
            </w:pPr>
            <w:r w:rsidRPr="0089366F">
              <w:rPr>
                <w:sz w:val="20"/>
              </w:rPr>
              <w:t>Criterion 9 – Seek free, prior and informed consent of indigenous peoples and respect and uphold the decision taken (whether consent is given or withheld)</w:t>
            </w:r>
          </w:p>
        </w:tc>
        <w:tc>
          <w:tcPr>
            <w:tcW w:w="4961" w:type="dxa"/>
          </w:tcPr>
          <w:p w14:paraId="53F0C34F" w14:textId="77777777" w:rsidR="006B087B" w:rsidRPr="0089366F" w:rsidRDefault="006B087B" w:rsidP="00B71EE3">
            <w:pPr>
              <w:rPr>
                <w:sz w:val="20"/>
              </w:rPr>
            </w:pPr>
          </w:p>
        </w:tc>
      </w:tr>
      <w:tr w:rsidR="006B087B" w:rsidRPr="0089366F" w14:paraId="6B433967" w14:textId="77777777" w:rsidTr="00B71EE3">
        <w:tc>
          <w:tcPr>
            <w:tcW w:w="4820" w:type="dxa"/>
            <w:tcMar>
              <w:top w:w="20" w:type="nil"/>
              <w:left w:w="20" w:type="nil"/>
              <w:bottom w:w="20" w:type="nil"/>
              <w:right w:w="20" w:type="nil"/>
            </w:tcMar>
            <w:vAlign w:val="center"/>
          </w:tcPr>
          <w:p w14:paraId="42AC85A2" w14:textId="77777777" w:rsidR="006B087B" w:rsidRPr="0089366F" w:rsidRDefault="006B087B" w:rsidP="00B71EE3">
            <w:pPr>
              <w:rPr>
                <w:sz w:val="20"/>
              </w:rPr>
            </w:pPr>
            <w:r w:rsidRPr="0089366F">
              <w:rPr>
                <w:sz w:val="20"/>
              </w:rPr>
              <w:t>Criterion 10 – Ensure there is no involuntary resettlement as a result of REDD+</w:t>
            </w:r>
          </w:p>
        </w:tc>
        <w:tc>
          <w:tcPr>
            <w:tcW w:w="4961" w:type="dxa"/>
          </w:tcPr>
          <w:p w14:paraId="6F8F65D9" w14:textId="77777777" w:rsidR="006B087B" w:rsidRPr="0089366F" w:rsidRDefault="006B087B" w:rsidP="00B71EE3">
            <w:pPr>
              <w:rPr>
                <w:sz w:val="20"/>
              </w:rPr>
            </w:pPr>
            <w:r w:rsidRPr="0089366F">
              <w:rPr>
                <w:sz w:val="20"/>
              </w:rPr>
              <w:t xml:space="preserve">EIAs identify the risk of involuntary resettlement as a result of REDD+ related activities. Projects identifying a risk of involuntary resettlement are not issued with Development Consent. </w:t>
            </w:r>
          </w:p>
        </w:tc>
      </w:tr>
      <w:tr w:rsidR="006B087B" w:rsidRPr="0089366F" w14:paraId="7A8C4AC5" w14:textId="77777777" w:rsidTr="00B71EE3">
        <w:tc>
          <w:tcPr>
            <w:tcW w:w="4820" w:type="dxa"/>
            <w:tcBorders>
              <w:bottom w:val="single" w:sz="8" w:space="0" w:color="auto"/>
            </w:tcBorders>
            <w:tcMar>
              <w:top w:w="20" w:type="nil"/>
              <w:left w:w="20" w:type="nil"/>
              <w:bottom w:w="20" w:type="nil"/>
              <w:right w:w="20" w:type="nil"/>
            </w:tcMar>
            <w:vAlign w:val="center"/>
          </w:tcPr>
          <w:p w14:paraId="0CFE2320" w14:textId="77777777" w:rsidR="006B087B" w:rsidRPr="0089366F" w:rsidRDefault="006B087B" w:rsidP="00B71EE3">
            <w:pPr>
              <w:rPr>
                <w:sz w:val="20"/>
              </w:rPr>
            </w:pPr>
            <w:r w:rsidRPr="0089366F">
              <w:rPr>
                <w:sz w:val="20"/>
              </w:rPr>
              <w:t>Criterion 11 – Respect and protect traditional knowledge, and cultural heritage and practices</w:t>
            </w:r>
          </w:p>
        </w:tc>
        <w:tc>
          <w:tcPr>
            <w:tcW w:w="4961" w:type="dxa"/>
            <w:tcBorders>
              <w:bottom w:val="single" w:sz="8" w:space="0" w:color="auto"/>
            </w:tcBorders>
          </w:tcPr>
          <w:p w14:paraId="0C963C19" w14:textId="77777777" w:rsidR="006B087B" w:rsidRPr="0089366F" w:rsidRDefault="006B087B" w:rsidP="00B71EE3">
            <w:pPr>
              <w:rPr>
                <w:sz w:val="20"/>
              </w:rPr>
            </w:pPr>
            <w:r w:rsidRPr="0089366F">
              <w:rPr>
                <w:sz w:val="20"/>
              </w:rPr>
              <w:t>EIAs identify impact of new developments on traditional knowledge, and cultural heritage and practices. Projects identifying a high risk of harm to traditional knowledge, and cultural heritage and practices are not issued with Development Consent.</w:t>
            </w:r>
          </w:p>
        </w:tc>
      </w:tr>
      <w:tr w:rsidR="006B087B" w:rsidRPr="0089366F" w14:paraId="29411D64" w14:textId="77777777" w:rsidTr="00B71EE3">
        <w:tblPrEx>
          <w:tblBorders>
            <w:top w:val="nil"/>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shd w:val="clear" w:color="auto" w:fill="D9D9D9"/>
            <w:tcMar>
              <w:top w:w="20" w:type="nil"/>
              <w:left w:w="20" w:type="nil"/>
              <w:bottom w:w="20" w:type="nil"/>
              <w:right w:w="20" w:type="nil"/>
            </w:tcMar>
            <w:vAlign w:val="center"/>
          </w:tcPr>
          <w:p w14:paraId="731D508A" w14:textId="77777777" w:rsidR="006B087B" w:rsidRPr="0089366F" w:rsidRDefault="006B087B" w:rsidP="00B71EE3">
            <w:pPr>
              <w:rPr>
                <w:sz w:val="20"/>
              </w:rPr>
            </w:pPr>
            <w:r w:rsidRPr="0089366F">
              <w:rPr>
                <w:b/>
                <w:bCs/>
                <w:sz w:val="20"/>
              </w:rPr>
              <w:t>Principle 3 – Promote sustainable livelihoods and poverty reduction</w:t>
            </w:r>
          </w:p>
        </w:tc>
        <w:tc>
          <w:tcPr>
            <w:tcW w:w="4961" w:type="dxa"/>
            <w:tcBorders>
              <w:top w:val="single" w:sz="8" w:space="0" w:color="auto"/>
              <w:left w:val="single" w:sz="8" w:space="0" w:color="auto"/>
              <w:bottom w:val="single" w:sz="8" w:space="0" w:color="auto"/>
              <w:right w:val="single" w:sz="8" w:space="0" w:color="auto"/>
            </w:tcBorders>
            <w:shd w:val="clear" w:color="auto" w:fill="D9D9D9"/>
          </w:tcPr>
          <w:p w14:paraId="46A7AA67" w14:textId="77777777" w:rsidR="006B087B" w:rsidRPr="0089366F" w:rsidRDefault="006B087B" w:rsidP="00B71EE3">
            <w:pPr>
              <w:rPr>
                <w:b/>
                <w:bCs/>
                <w:sz w:val="20"/>
              </w:rPr>
            </w:pPr>
          </w:p>
        </w:tc>
      </w:tr>
      <w:tr w:rsidR="006B087B" w:rsidRPr="0089366F" w14:paraId="573D4704" w14:textId="77777777" w:rsidTr="00B71EE3">
        <w:tblPrEx>
          <w:tblBorders>
            <w:top w:val="none" w:sz="0" w:space="0" w:color="auto"/>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14:paraId="7741A4E0" w14:textId="77777777" w:rsidR="006B087B" w:rsidRPr="0089366F" w:rsidRDefault="006B087B" w:rsidP="00B71EE3">
            <w:pPr>
              <w:rPr>
                <w:sz w:val="20"/>
              </w:rPr>
            </w:pPr>
            <w:r w:rsidRPr="0089366F">
              <w:rPr>
                <w:sz w:val="20"/>
              </w:rPr>
              <w:t>Criterion 13 – Protect and enhance economic and social well-being of relevant stakeholders, with special attention to the most vulnerable and marginalized groups</w:t>
            </w:r>
          </w:p>
        </w:tc>
        <w:tc>
          <w:tcPr>
            <w:tcW w:w="4961" w:type="dxa"/>
            <w:tcBorders>
              <w:top w:val="single" w:sz="8" w:space="0" w:color="auto"/>
              <w:left w:val="single" w:sz="8" w:space="0" w:color="auto"/>
              <w:bottom w:val="single" w:sz="8" w:space="0" w:color="auto"/>
              <w:right w:val="single" w:sz="8" w:space="0" w:color="auto"/>
            </w:tcBorders>
          </w:tcPr>
          <w:p w14:paraId="2C5F188B" w14:textId="77777777" w:rsidR="006B087B" w:rsidRPr="0089366F" w:rsidRDefault="006B087B" w:rsidP="00B71EE3">
            <w:pPr>
              <w:rPr>
                <w:sz w:val="20"/>
              </w:rPr>
            </w:pPr>
            <w:r w:rsidRPr="0089366F">
              <w:rPr>
                <w:sz w:val="20"/>
              </w:rPr>
              <w:t xml:space="preserve">EIAs identify the potential benefits and impact of new developments on economic and social well-being of relevant stakeholders, with special attention to the most vulnerable and marginalized groups. Developments that present significant detriment to economic and social well being of rural relevant stakeholder in particular vulnerable and marginalized groups are required to put in place ameliorative measures. </w:t>
            </w:r>
          </w:p>
        </w:tc>
      </w:tr>
      <w:tr w:rsidR="006B087B" w:rsidRPr="0089366F" w14:paraId="009A7687" w14:textId="77777777" w:rsidTr="00B71EE3">
        <w:tblPrEx>
          <w:tblBorders>
            <w:top w:val="none" w:sz="0" w:space="0" w:color="auto"/>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shd w:val="clear" w:color="auto" w:fill="D9D9D9"/>
            <w:tcMar>
              <w:top w:w="20" w:type="nil"/>
              <w:left w:w="20" w:type="nil"/>
              <w:bottom w:w="20" w:type="nil"/>
              <w:right w:w="20" w:type="nil"/>
            </w:tcMar>
            <w:vAlign w:val="center"/>
          </w:tcPr>
          <w:p w14:paraId="64DA38F8" w14:textId="77777777" w:rsidR="006B087B" w:rsidRPr="0089366F" w:rsidRDefault="006B087B" w:rsidP="00B71EE3">
            <w:pPr>
              <w:rPr>
                <w:sz w:val="20"/>
              </w:rPr>
            </w:pPr>
            <w:r w:rsidRPr="0089366F">
              <w:rPr>
                <w:b/>
                <w:bCs/>
                <w:sz w:val="20"/>
              </w:rPr>
              <w:t>Principle 4 – Contribute to low-carbon, climate-resilient sustainable development policy, consistent with national development strategies, national forest programmes, and commitments under international conventions and agreements</w:t>
            </w:r>
          </w:p>
        </w:tc>
        <w:tc>
          <w:tcPr>
            <w:tcW w:w="4961" w:type="dxa"/>
            <w:tcBorders>
              <w:top w:val="single" w:sz="8" w:space="0" w:color="auto"/>
              <w:left w:val="single" w:sz="8" w:space="0" w:color="auto"/>
              <w:bottom w:val="single" w:sz="8" w:space="0" w:color="auto"/>
              <w:right w:val="single" w:sz="8" w:space="0" w:color="auto"/>
            </w:tcBorders>
            <w:shd w:val="clear" w:color="auto" w:fill="D9D9D9"/>
          </w:tcPr>
          <w:p w14:paraId="22C87E1A" w14:textId="77777777" w:rsidR="006B087B" w:rsidRPr="0089366F" w:rsidRDefault="006B087B" w:rsidP="00B71EE3">
            <w:pPr>
              <w:rPr>
                <w:b/>
                <w:bCs/>
                <w:sz w:val="20"/>
              </w:rPr>
            </w:pPr>
          </w:p>
        </w:tc>
      </w:tr>
      <w:tr w:rsidR="006B087B" w:rsidRPr="0089366F" w14:paraId="4EC4318B" w14:textId="77777777" w:rsidTr="00B71EE3">
        <w:tblPrEx>
          <w:tblBorders>
            <w:top w:val="none" w:sz="0" w:space="0" w:color="auto"/>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14:paraId="40C1CCAB" w14:textId="77777777" w:rsidR="006B087B" w:rsidRPr="0089366F" w:rsidRDefault="006B087B" w:rsidP="00B71EE3">
            <w:pPr>
              <w:rPr>
                <w:sz w:val="20"/>
              </w:rPr>
            </w:pPr>
            <w:r w:rsidRPr="0089366F">
              <w:rPr>
                <w:sz w:val="20"/>
              </w:rPr>
              <w:t>Criterion 14 – Ensure consistency with and contribution to national climate policy objectives, including those of mitigation and adaptation strategies and international commitments on climate</w:t>
            </w:r>
          </w:p>
        </w:tc>
        <w:tc>
          <w:tcPr>
            <w:tcW w:w="4961" w:type="dxa"/>
            <w:tcBorders>
              <w:top w:val="single" w:sz="8" w:space="0" w:color="auto"/>
              <w:left w:val="single" w:sz="8" w:space="0" w:color="auto"/>
              <w:bottom w:val="single" w:sz="8" w:space="0" w:color="auto"/>
              <w:right w:val="single" w:sz="8" w:space="0" w:color="auto"/>
            </w:tcBorders>
          </w:tcPr>
          <w:p w14:paraId="65D59BBB" w14:textId="77777777" w:rsidR="006B087B" w:rsidRPr="0089366F" w:rsidRDefault="006B087B" w:rsidP="00B71EE3">
            <w:pPr>
              <w:rPr>
                <w:sz w:val="20"/>
              </w:rPr>
            </w:pPr>
            <w:r w:rsidRPr="0089366F">
              <w:rPr>
                <w:sz w:val="20"/>
              </w:rPr>
              <w:t xml:space="preserve">EIA process assesses the consistency of applications with national CC policy objectives. Development consent is declined to projects that are harmful to the delivery of these policies or projects are required to put in place ameliorative measures. </w:t>
            </w:r>
          </w:p>
        </w:tc>
      </w:tr>
      <w:tr w:rsidR="006B087B" w:rsidRPr="0089366F" w14:paraId="21DA3F4C" w14:textId="77777777" w:rsidTr="00B71EE3">
        <w:tblPrEx>
          <w:tblBorders>
            <w:top w:val="none" w:sz="0" w:space="0" w:color="auto"/>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14:paraId="1E4F4900" w14:textId="77777777" w:rsidR="006B087B" w:rsidRPr="0089366F" w:rsidRDefault="006B087B" w:rsidP="00B71EE3">
            <w:pPr>
              <w:rPr>
                <w:sz w:val="20"/>
              </w:rPr>
            </w:pPr>
            <w:r w:rsidRPr="0089366F">
              <w:rPr>
                <w:sz w:val="20"/>
              </w:rPr>
              <w:t>Criterion 16 – Ensure consistency with and contribution to national poverty reduction strategies and other sustainable development goals (including those outlined under the Millennium Development Goals framework), including alignment  with  ministries’  and  sub-national strategies and plans that may have an impact on, or be affected by the forest sector and/or land use change.</w:t>
            </w:r>
          </w:p>
        </w:tc>
        <w:tc>
          <w:tcPr>
            <w:tcW w:w="4961" w:type="dxa"/>
            <w:tcBorders>
              <w:top w:val="single" w:sz="8" w:space="0" w:color="auto"/>
              <w:left w:val="single" w:sz="8" w:space="0" w:color="auto"/>
              <w:bottom w:val="single" w:sz="8" w:space="0" w:color="auto"/>
              <w:right w:val="single" w:sz="8" w:space="0" w:color="auto"/>
            </w:tcBorders>
          </w:tcPr>
          <w:p w14:paraId="62B055D9" w14:textId="77777777" w:rsidR="006B087B" w:rsidRPr="0089366F" w:rsidRDefault="006B087B" w:rsidP="00B71EE3">
            <w:pPr>
              <w:rPr>
                <w:sz w:val="20"/>
              </w:rPr>
            </w:pPr>
            <w:r w:rsidRPr="0089366F">
              <w:rPr>
                <w:sz w:val="20"/>
              </w:rPr>
              <w:t>EIA process assesses the consistency of applications with national poverty reduction strategies and other sustainable development goals. Development consent is declined to projects that are harmful to the delivery of these policies or projects are required to put in place ameliorative measures.</w:t>
            </w:r>
          </w:p>
        </w:tc>
      </w:tr>
      <w:tr w:rsidR="006B087B" w:rsidRPr="0089366F" w14:paraId="7B7548F1" w14:textId="77777777" w:rsidTr="00B71EE3">
        <w:tblPrEx>
          <w:tblBorders>
            <w:top w:val="none" w:sz="0" w:space="0" w:color="auto"/>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14:paraId="4CBB1BCD" w14:textId="77777777" w:rsidR="006B087B" w:rsidRPr="0089366F" w:rsidRDefault="006B087B" w:rsidP="00B71EE3">
            <w:pPr>
              <w:rPr>
                <w:sz w:val="20"/>
              </w:rPr>
            </w:pPr>
            <w:r w:rsidRPr="0089366F">
              <w:rPr>
                <w:sz w:val="20"/>
              </w:rPr>
              <w:t>Criterion 17 – Ensure consistency with and contribution to national biodiversity conservation policies (including National Biodiversity Strategies and Action Plans), other environmental and natural resource management policy objectives, national forest programmes, and international commitments on the environment.</w:t>
            </w:r>
          </w:p>
        </w:tc>
        <w:tc>
          <w:tcPr>
            <w:tcW w:w="4961" w:type="dxa"/>
            <w:tcBorders>
              <w:top w:val="single" w:sz="8" w:space="0" w:color="auto"/>
              <w:left w:val="single" w:sz="8" w:space="0" w:color="auto"/>
              <w:bottom w:val="single" w:sz="8" w:space="0" w:color="auto"/>
              <w:right w:val="single" w:sz="8" w:space="0" w:color="auto"/>
            </w:tcBorders>
          </w:tcPr>
          <w:p w14:paraId="41267578" w14:textId="77777777" w:rsidR="006B087B" w:rsidRPr="0089366F" w:rsidRDefault="006B087B" w:rsidP="00B71EE3">
            <w:pPr>
              <w:rPr>
                <w:sz w:val="20"/>
              </w:rPr>
            </w:pPr>
            <w:r w:rsidRPr="0089366F">
              <w:rPr>
                <w:sz w:val="20"/>
              </w:rPr>
              <w:t>EIA process assesses the consistency of applications with national biodiversity conservation policies. Development consent is declined to projects that are harmful to the delivery of these policies or projects are required to put in place ameliorative measures.</w:t>
            </w:r>
          </w:p>
        </w:tc>
      </w:tr>
      <w:tr w:rsidR="006B087B" w:rsidRPr="0089366F" w14:paraId="0AD8FF04" w14:textId="77777777" w:rsidTr="00B71EE3">
        <w:tblPrEx>
          <w:tblBorders>
            <w:top w:val="none" w:sz="0" w:space="0" w:color="auto"/>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shd w:val="clear" w:color="auto" w:fill="D9D9D9"/>
            <w:tcMar>
              <w:top w:w="20" w:type="nil"/>
              <w:left w:w="20" w:type="nil"/>
              <w:bottom w:w="20" w:type="nil"/>
              <w:right w:w="20" w:type="nil"/>
            </w:tcMar>
            <w:vAlign w:val="center"/>
          </w:tcPr>
          <w:p w14:paraId="5D7C4946" w14:textId="77777777" w:rsidR="006B087B" w:rsidRPr="0089366F" w:rsidRDefault="006B087B" w:rsidP="00B71EE3">
            <w:pPr>
              <w:rPr>
                <w:sz w:val="20"/>
              </w:rPr>
            </w:pPr>
            <w:r w:rsidRPr="0089366F">
              <w:rPr>
                <w:b/>
                <w:bCs/>
                <w:sz w:val="20"/>
              </w:rPr>
              <w:t>Principle 5 – Protect natural forest from degradation and/or conversion</w:t>
            </w:r>
          </w:p>
        </w:tc>
        <w:tc>
          <w:tcPr>
            <w:tcW w:w="4961" w:type="dxa"/>
            <w:tcBorders>
              <w:top w:val="single" w:sz="8" w:space="0" w:color="auto"/>
              <w:left w:val="single" w:sz="8" w:space="0" w:color="auto"/>
              <w:bottom w:val="single" w:sz="8" w:space="0" w:color="auto"/>
              <w:right w:val="single" w:sz="8" w:space="0" w:color="auto"/>
            </w:tcBorders>
            <w:shd w:val="clear" w:color="auto" w:fill="D9D9D9"/>
          </w:tcPr>
          <w:p w14:paraId="0413E8DC" w14:textId="77777777" w:rsidR="006B087B" w:rsidRPr="0089366F" w:rsidRDefault="006B087B" w:rsidP="00B71EE3">
            <w:pPr>
              <w:rPr>
                <w:b/>
                <w:bCs/>
                <w:sz w:val="20"/>
              </w:rPr>
            </w:pPr>
          </w:p>
        </w:tc>
      </w:tr>
      <w:tr w:rsidR="006B087B" w:rsidRPr="0089366F" w14:paraId="6ED83C05" w14:textId="77777777" w:rsidTr="00B71EE3">
        <w:tblPrEx>
          <w:tblBorders>
            <w:top w:val="none" w:sz="0" w:space="0" w:color="auto"/>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14:paraId="41BBEDAE" w14:textId="77777777" w:rsidR="006B087B" w:rsidRPr="0089366F" w:rsidRDefault="006B087B" w:rsidP="00B71EE3">
            <w:pPr>
              <w:rPr>
                <w:sz w:val="20"/>
              </w:rPr>
            </w:pPr>
            <w:r w:rsidRPr="0089366F">
              <w:rPr>
                <w:sz w:val="20"/>
              </w:rPr>
              <w:t>Criterion 18 – Ensure that REDD+ activities do not cause the conversion of natural forest to planted forest, unless as part of forest restoration, and make reducing conversion of forests to other land uses (e.g. agriculture, infrastructure) a REDD+ priority.</w:t>
            </w:r>
          </w:p>
        </w:tc>
        <w:tc>
          <w:tcPr>
            <w:tcW w:w="4961" w:type="dxa"/>
            <w:tcBorders>
              <w:top w:val="single" w:sz="8" w:space="0" w:color="auto"/>
              <w:left w:val="single" w:sz="8" w:space="0" w:color="auto"/>
              <w:bottom w:val="single" w:sz="8" w:space="0" w:color="auto"/>
              <w:right w:val="single" w:sz="8" w:space="0" w:color="auto"/>
            </w:tcBorders>
          </w:tcPr>
          <w:p w14:paraId="619A1303" w14:textId="77777777" w:rsidR="006B087B" w:rsidRPr="0089366F" w:rsidRDefault="006B087B" w:rsidP="00B71EE3">
            <w:pPr>
              <w:rPr>
                <w:sz w:val="20"/>
              </w:rPr>
            </w:pPr>
            <w:r w:rsidRPr="0089366F">
              <w:rPr>
                <w:sz w:val="20"/>
              </w:rPr>
              <w:t xml:space="preserve">EIA process identifies the risk of conversion from natural forest (unless as part of forest restoration). Development consent is declined to all projects related to REDD+ while guidance is given to basis on which conversion can occur through other development activities. </w:t>
            </w:r>
          </w:p>
        </w:tc>
      </w:tr>
      <w:tr w:rsidR="006B087B" w:rsidRPr="0089366F" w14:paraId="4259C4F7" w14:textId="77777777" w:rsidTr="00B71EE3">
        <w:tblPrEx>
          <w:tblBorders>
            <w:top w:val="none" w:sz="0" w:space="0" w:color="auto"/>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14:paraId="7883752A" w14:textId="77777777" w:rsidR="006B087B" w:rsidRPr="0089366F" w:rsidRDefault="006B087B" w:rsidP="00B71EE3">
            <w:pPr>
              <w:rPr>
                <w:sz w:val="20"/>
              </w:rPr>
            </w:pPr>
            <w:r w:rsidRPr="0089366F">
              <w:rPr>
                <w:sz w:val="20"/>
              </w:rPr>
              <w:t>Criterion 19 – Avoid or minimise degradation of natural forest by REDD+ activities and make reducing degradation due to other causes (e.g. agriculture, extractive activities, infrastructure) a REDD+ priority.</w:t>
            </w:r>
          </w:p>
        </w:tc>
        <w:tc>
          <w:tcPr>
            <w:tcW w:w="4961" w:type="dxa"/>
            <w:tcBorders>
              <w:top w:val="single" w:sz="8" w:space="0" w:color="auto"/>
              <w:left w:val="single" w:sz="8" w:space="0" w:color="auto"/>
              <w:bottom w:val="single" w:sz="8" w:space="0" w:color="auto"/>
              <w:right w:val="single" w:sz="8" w:space="0" w:color="auto"/>
            </w:tcBorders>
          </w:tcPr>
          <w:p w14:paraId="6632B515" w14:textId="77777777" w:rsidR="006B087B" w:rsidRPr="0089366F" w:rsidRDefault="006B087B" w:rsidP="00B71EE3">
            <w:pPr>
              <w:rPr>
                <w:sz w:val="20"/>
              </w:rPr>
            </w:pPr>
            <w:r w:rsidRPr="0089366F">
              <w:rPr>
                <w:sz w:val="20"/>
              </w:rPr>
              <w:t>EIA process identifies the risk of degradation of natural forest. Development consent is declined to all projects related to REDD+ that cause significant degradation, while guidance is given to basis on which conversion can occur through other development activities.</w:t>
            </w:r>
          </w:p>
        </w:tc>
      </w:tr>
      <w:tr w:rsidR="006B087B" w:rsidRPr="0089366F" w14:paraId="49168A1C" w14:textId="77777777" w:rsidTr="00B71EE3">
        <w:tblPrEx>
          <w:tblBorders>
            <w:top w:val="nil"/>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14:paraId="08E60582" w14:textId="77777777" w:rsidR="006B087B" w:rsidRPr="0089366F" w:rsidRDefault="006B087B" w:rsidP="00B71EE3">
            <w:pPr>
              <w:rPr>
                <w:sz w:val="20"/>
              </w:rPr>
            </w:pPr>
            <w:r w:rsidRPr="0089366F">
              <w:rPr>
                <w:sz w:val="20"/>
              </w:rPr>
              <w:t>Criterion 20 – Avoid or minimise indirect land-use change impacts of REDD+ activities on forest carbon stocks, biodiversity and other ecosystem services</w:t>
            </w:r>
          </w:p>
        </w:tc>
        <w:tc>
          <w:tcPr>
            <w:tcW w:w="4961" w:type="dxa"/>
            <w:tcBorders>
              <w:top w:val="single" w:sz="8" w:space="0" w:color="auto"/>
              <w:left w:val="single" w:sz="8" w:space="0" w:color="auto"/>
              <w:bottom w:val="single" w:sz="8" w:space="0" w:color="auto"/>
              <w:right w:val="single" w:sz="8" w:space="0" w:color="auto"/>
            </w:tcBorders>
          </w:tcPr>
          <w:p w14:paraId="7B6E1487" w14:textId="77777777" w:rsidR="006B087B" w:rsidRPr="0089366F" w:rsidRDefault="006B087B" w:rsidP="00B71EE3">
            <w:pPr>
              <w:rPr>
                <w:sz w:val="20"/>
              </w:rPr>
            </w:pPr>
            <w:r w:rsidRPr="0089366F">
              <w:rPr>
                <w:sz w:val="20"/>
              </w:rPr>
              <w:t xml:space="preserve">EIA process identifies the risk of indirect land-use change impacts of development activities. Development consent is declined to projects related to REDD+ that cause significant indirect land-use change impacts, all other projects should have an effective mitigation plan in place to address impacts. </w:t>
            </w:r>
          </w:p>
        </w:tc>
      </w:tr>
      <w:tr w:rsidR="006B087B" w:rsidRPr="0089366F" w14:paraId="0A2D5D3D" w14:textId="77777777" w:rsidTr="00B71EE3">
        <w:tblPrEx>
          <w:tblBorders>
            <w:top w:val="nil"/>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shd w:val="clear" w:color="auto" w:fill="D9D9D9"/>
            <w:tcMar>
              <w:top w:w="20" w:type="nil"/>
              <w:left w:w="20" w:type="nil"/>
              <w:bottom w:w="20" w:type="nil"/>
              <w:right w:w="20" w:type="nil"/>
            </w:tcMar>
            <w:vAlign w:val="center"/>
          </w:tcPr>
          <w:p w14:paraId="00BD32CF" w14:textId="77777777" w:rsidR="006B087B" w:rsidRPr="0089366F" w:rsidRDefault="006B087B" w:rsidP="00B71EE3">
            <w:pPr>
              <w:rPr>
                <w:b/>
                <w:sz w:val="20"/>
              </w:rPr>
            </w:pPr>
            <w:r w:rsidRPr="0089366F">
              <w:rPr>
                <w:b/>
                <w:sz w:val="20"/>
              </w:rPr>
              <w:t>Principle 6 – Maintain and enhance multiple functions of forest including conservation of biodiversity and provision of ecosystem services</w:t>
            </w:r>
          </w:p>
        </w:tc>
        <w:tc>
          <w:tcPr>
            <w:tcW w:w="4961" w:type="dxa"/>
            <w:tcBorders>
              <w:top w:val="single" w:sz="8" w:space="0" w:color="auto"/>
              <w:left w:val="single" w:sz="8" w:space="0" w:color="auto"/>
              <w:bottom w:val="single" w:sz="8" w:space="0" w:color="auto"/>
              <w:right w:val="single" w:sz="8" w:space="0" w:color="auto"/>
            </w:tcBorders>
            <w:shd w:val="clear" w:color="auto" w:fill="D9D9D9"/>
          </w:tcPr>
          <w:p w14:paraId="7552F27B" w14:textId="77777777" w:rsidR="006B087B" w:rsidRPr="0089366F" w:rsidRDefault="006B087B" w:rsidP="00B71EE3">
            <w:pPr>
              <w:rPr>
                <w:b/>
                <w:sz w:val="20"/>
              </w:rPr>
            </w:pPr>
          </w:p>
        </w:tc>
      </w:tr>
      <w:tr w:rsidR="006B087B" w:rsidRPr="0089366F" w14:paraId="618698D8" w14:textId="77777777" w:rsidTr="00B71EE3">
        <w:tblPrEx>
          <w:tblBorders>
            <w:top w:val="nil"/>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14:paraId="095E9241" w14:textId="77777777" w:rsidR="006B087B" w:rsidRPr="0089366F" w:rsidRDefault="006B087B" w:rsidP="00B71EE3">
            <w:pPr>
              <w:rPr>
                <w:sz w:val="20"/>
              </w:rPr>
            </w:pPr>
            <w:r w:rsidRPr="0089366F">
              <w:rPr>
                <w:sz w:val="20"/>
              </w:rPr>
              <w:t>Criterion 21 – Ensure that land-use planning for REDD+ explicitly takes account of potential synergies and trade-offs between the multiple functions of forest and the benefits they provide, respecting local and  other  stakeholders’  values</w:t>
            </w:r>
          </w:p>
        </w:tc>
        <w:tc>
          <w:tcPr>
            <w:tcW w:w="4961" w:type="dxa"/>
            <w:tcBorders>
              <w:top w:val="single" w:sz="8" w:space="0" w:color="auto"/>
              <w:left w:val="single" w:sz="8" w:space="0" w:color="auto"/>
              <w:bottom w:val="single" w:sz="8" w:space="0" w:color="auto"/>
              <w:right w:val="single" w:sz="8" w:space="0" w:color="auto"/>
            </w:tcBorders>
          </w:tcPr>
          <w:p w14:paraId="0C1D77B9" w14:textId="77777777" w:rsidR="006B087B" w:rsidRPr="0089366F" w:rsidRDefault="006B087B" w:rsidP="00B71EE3">
            <w:pPr>
              <w:rPr>
                <w:sz w:val="20"/>
              </w:rPr>
            </w:pPr>
            <w:r w:rsidRPr="0089366F">
              <w:rPr>
                <w:sz w:val="20"/>
              </w:rPr>
              <w:t xml:space="preserve">EIA process identifies the potential synergies and trade-offs between the multiple functions of forest and the benefits they provide, respecting local and  other  stakeholders’  values prior to giving recommendations for approval of DC. </w:t>
            </w:r>
          </w:p>
        </w:tc>
      </w:tr>
      <w:tr w:rsidR="006B087B" w:rsidRPr="0089366F" w14:paraId="4D0631DF" w14:textId="77777777" w:rsidTr="00B71EE3">
        <w:tblPrEx>
          <w:tblBorders>
            <w:top w:val="nil"/>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14:paraId="03A28FDB" w14:textId="77777777" w:rsidR="006B087B" w:rsidRPr="0089366F" w:rsidRDefault="006B087B" w:rsidP="00B71EE3">
            <w:pPr>
              <w:rPr>
                <w:sz w:val="20"/>
              </w:rPr>
            </w:pPr>
            <w:r w:rsidRPr="0089366F">
              <w:rPr>
                <w:sz w:val="20"/>
              </w:rPr>
              <w:t>Criterion 22 – Ensure that planted and natural forests are managed to maintain and enhance ecosystem services and biodiversity important in both local and national contexts</w:t>
            </w:r>
          </w:p>
        </w:tc>
        <w:tc>
          <w:tcPr>
            <w:tcW w:w="4961" w:type="dxa"/>
            <w:tcBorders>
              <w:top w:val="single" w:sz="8" w:space="0" w:color="auto"/>
              <w:left w:val="single" w:sz="8" w:space="0" w:color="auto"/>
              <w:bottom w:val="single" w:sz="8" w:space="0" w:color="auto"/>
              <w:right w:val="single" w:sz="8" w:space="0" w:color="auto"/>
            </w:tcBorders>
          </w:tcPr>
          <w:p w14:paraId="0E7581EE" w14:textId="77777777" w:rsidR="006B087B" w:rsidRPr="0089366F" w:rsidRDefault="006B087B" w:rsidP="00B71EE3">
            <w:pPr>
              <w:rPr>
                <w:sz w:val="20"/>
              </w:rPr>
            </w:pPr>
            <w:r w:rsidRPr="0089366F">
              <w:rPr>
                <w:sz w:val="20"/>
              </w:rPr>
              <w:t>DC permission includes requirements for effective management of natural and planted forest areas within the boundary to maintain and enhance ecosystem services and biodiversity important in both local and national contexts.</w:t>
            </w:r>
          </w:p>
        </w:tc>
      </w:tr>
      <w:tr w:rsidR="006B087B" w:rsidRPr="0089366F" w14:paraId="7A15F9C1" w14:textId="77777777" w:rsidTr="00B71EE3">
        <w:tblPrEx>
          <w:tblBorders>
            <w:top w:val="nil"/>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shd w:val="clear" w:color="auto" w:fill="D9D9D9"/>
            <w:tcMar>
              <w:top w:w="20" w:type="nil"/>
              <w:left w:w="20" w:type="nil"/>
              <w:bottom w:w="20" w:type="nil"/>
              <w:right w:w="20" w:type="nil"/>
            </w:tcMar>
            <w:vAlign w:val="center"/>
          </w:tcPr>
          <w:p w14:paraId="01B40A83" w14:textId="77777777" w:rsidR="006B087B" w:rsidRPr="0089366F" w:rsidRDefault="006B087B" w:rsidP="00B71EE3">
            <w:pPr>
              <w:rPr>
                <w:b/>
                <w:sz w:val="20"/>
              </w:rPr>
            </w:pPr>
            <w:r w:rsidRPr="0089366F">
              <w:rPr>
                <w:b/>
                <w:sz w:val="20"/>
              </w:rPr>
              <w:t>Principle 7 – Avoid or minimise adverse impacts on non-forest ecosystem services and biodiversity</w:t>
            </w:r>
          </w:p>
        </w:tc>
        <w:tc>
          <w:tcPr>
            <w:tcW w:w="4961" w:type="dxa"/>
            <w:tcBorders>
              <w:top w:val="single" w:sz="8" w:space="0" w:color="auto"/>
              <w:left w:val="single" w:sz="8" w:space="0" w:color="auto"/>
              <w:bottom w:val="single" w:sz="8" w:space="0" w:color="auto"/>
              <w:right w:val="single" w:sz="8" w:space="0" w:color="auto"/>
            </w:tcBorders>
            <w:shd w:val="clear" w:color="auto" w:fill="D9D9D9"/>
          </w:tcPr>
          <w:p w14:paraId="7303F68A" w14:textId="77777777" w:rsidR="006B087B" w:rsidRPr="0089366F" w:rsidRDefault="006B087B" w:rsidP="00B71EE3">
            <w:pPr>
              <w:rPr>
                <w:b/>
                <w:sz w:val="20"/>
              </w:rPr>
            </w:pPr>
          </w:p>
        </w:tc>
      </w:tr>
      <w:tr w:rsidR="006B087B" w:rsidRPr="0089366F" w14:paraId="31A6D34D" w14:textId="77777777" w:rsidTr="00B71EE3">
        <w:tblPrEx>
          <w:tblBorders>
            <w:top w:val="nil"/>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14:paraId="381B47FE" w14:textId="77777777" w:rsidR="006B087B" w:rsidRPr="0089366F" w:rsidRDefault="006B087B" w:rsidP="00B71EE3">
            <w:pPr>
              <w:rPr>
                <w:sz w:val="20"/>
              </w:rPr>
            </w:pPr>
            <w:r w:rsidRPr="0089366F">
              <w:rPr>
                <w:sz w:val="20"/>
              </w:rPr>
              <w:t>Criterion 23 – Avoid or minimise adverse impacts on carbon stocks, other ecosystem services and biodiversity of non-forest ecosystems resulting directly from REDD+ activities</w:t>
            </w:r>
          </w:p>
        </w:tc>
        <w:tc>
          <w:tcPr>
            <w:tcW w:w="4961" w:type="dxa"/>
            <w:tcBorders>
              <w:top w:val="single" w:sz="8" w:space="0" w:color="auto"/>
              <w:left w:val="single" w:sz="8" w:space="0" w:color="auto"/>
              <w:bottom w:val="single" w:sz="8" w:space="0" w:color="auto"/>
              <w:right w:val="single" w:sz="8" w:space="0" w:color="auto"/>
            </w:tcBorders>
          </w:tcPr>
          <w:p w14:paraId="09A59DE3" w14:textId="77777777" w:rsidR="006B087B" w:rsidRPr="0089366F" w:rsidRDefault="006B087B" w:rsidP="00B71EE3">
            <w:pPr>
              <w:rPr>
                <w:sz w:val="20"/>
              </w:rPr>
            </w:pPr>
            <w:r w:rsidRPr="0089366F">
              <w:rPr>
                <w:sz w:val="20"/>
              </w:rPr>
              <w:t xml:space="preserve">DC permission includes requirements to avoid or minimise adverse impacts on carbon stocks, other ecosystem services and biodiversity of non-forest ecosystems resulting directly from development activities and have a plan in place to offset any unavoidable damage. </w:t>
            </w:r>
          </w:p>
        </w:tc>
      </w:tr>
      <w:tr w:rsidR="006B087B" w:rsidRPr="0089366F" w14:paraId="0FD709FD" w14:textId="77777777" w:rsidTr="00B71EE3">
        <w:tblPrEx>
          <w:tblBorders>
            <w:top w:val="nil"/>
            <w:left w:val="nil"/>
            <w:bottom w:val="none" w:sz="0" w:space="0" w:color="auto"/>
            <w:right w:val="nil"/>
            <w:insideH w:val="none" w:sz="0" w:space="0" w:color="auto"/>
            <w:insideV w:val="none" w:sz="0" w:space="0" w:color="auto"/>
          </w:tblBorders>
        </w:tblPrEx>
        <w:tc>
          <w:tcPr>
            <w:tcW w:w="48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14:paraId="6804EF89" w14:textId="77777777" w:rsidR="006B087B" w:rsidRPr="0089366F" w:rsidRDefault="006B087B" w:rsidP="00B71EE3">
            <w:pPr>
              <w:rPr>
                <w:sz w:val="20"/>
              </w:rPr>
            </w:pPr>
            <w:r w:rsidRPr="0089366F">
              <w:rPr>
                <w:sz w:val="20"/>
              </w:rPr>
              <w:t>Criterion 24 – Avoid or minimise adverse impacts on carbon stocks, other ecosystem services and biodiversity of non-forest ecosystems resulting indirectly from REDD+ activities (including those of indirect land-use change impacts and intensification of land use)</w:t>
            </w:r>
          </w:p>
        </w:tc>
        <w:tc>
          <w:tcPr>
            <w:tcW w:w="4961" w:type="dxa"/>
            <w:tcBorders>
              <w:top w:val="single" w:sz="8" w:space="0" w:color="auto"/>
              <w:left w:val="single" w:sz="8" w:space="0" w:color="auto"/>
              <w:bottom w:val="single" w:sz="8" w:space="0" w:color="auto"/>
              <w:right w:val="single" w:sz="8" w:space="0" w:color="auto"/>
            </w:tcBorders>
          </w:tcPr>
          <w:p w14:paraId="20664E50" w14:textId="77777777" w:rsidR="006B087B" w:rsidRPr="0089366F" w:rsidRDefault="006B087B" w:rsidP="00B71EE3">
            <w:pPr>
              <w:rPr>
                <w:sz w:val="20"/>
              </w:rPr>
            </w:pPr>
            <w:r w:rsidRPr="0089366F">
              <w:rPr>
                <w:sz w:val="20"/>
              </w:rPr>
              <w:t>DC permission includes requirements to avoid or minimise adverse impacts on carbon stocks, other ecosystem services and biodiversity of non-forest ecosystems resulting in-directly from development activities and have a plan in place to offset any unavoidable damage.</w:t>
            </w:r>
          </w:p>
        </w:tc>
      </w:tr>
    </w:tbl>
    <w:p w14:paraId="47A6E7DB" w14:textId="77777777" w:rsidR="006B087B" w:rsidRPr="0089366F" w:rsidRDefault="006B087B" w:rsidP="006B087B"/>
    <w:p w14:paraId="69199832" w14:textId="77777777" w:rsidR="006B087B" w:rsidRPr="0089366F" w:rsidRDefault="006B087B" w:rsidP="006B087B"/>
    <w:p w14:paraId="15F095A0" w14:textId="77777777" w:rsidR="006B087B" w:rsidRPr="0089366F" w:rsidRDefault="006B087B" w:rsidP="006B087B">
      <w:r w:rsidRPr="0089366F">
        <w:t xml:space="preserve">Within each of these areas further strengthening of the application of the DC process within forest areas will be required for it to truly deliver as an effective safeguard. Recommendations within this area include: </w:t>
      </w:r>
    </w:p>
    <w:p w14:paraId="49A8DE56" w14:textId="77777777" w:rsidR="006B087B" w:rsidRPr="0089366F" w:rsidRDefault="006B087B" w:rsidP="006B087B">
      <w:r w:rsidRPr="0089366F">
        <w:t xml:space="preserve">establishment of clearer criteria for evaluation of development consent applications and their EIAs (this will in-turn require), further guidance for the undertaking of EIA, and amendments to the EA and its regulations to better meet international standards. </w:t>
      </w:r>
    </w:p>
    <w:p w14:paraId="6E666075" w14:textId="77777777" w:rsidR="006B087B" w:rsidRPr="0089366F" w:rsidRDefault="006B087B" w:rsidP="006B087B"/>
    <w:p w14:paraId="688F52D3" w14:textId="77777777" w:rsidR="006B087B" w:rsidRPr="0089366F" w:rsidRDefault="006B087B" w:rsidP="006B087B">
      <w:r w:rsidRPr="0089366F">
        <w:t xml:space="preserve">Further information on these elements is provided in the sections below. </w:t>
      </w:r>
    </w:p>
    <w:p w14:paraId="5D695F43" w14:textId="77777777" w:rsidR="006B087B" w:rsidRPr="0089366F" w:rsidRDefault="006B087B" w:rsidP="006B087B">
      <w:pPr>
        <w:pStyle w:val="Heading3"/>
      </w:pPr>
      <w:bookmarkStart w:id="62" w:name="_Toc254892875"/>
      <w:r w:rsidRPr="0089366F">
        <w:t>Clearer Guidance on Implementation of Development Consent process within Forest Areas</w:t>
      </w:r>
      <w:bookmarkEnd w:id="62"/>
    </w:p>
    <w:p w14:paraId="2E787BC9" w14:textId="77777777" w:rsidR="006B087B" w:rsidRPr="0089366F" w:rsidRDefault="006B087B" w:rsidP="006B087B">
      <w:pPr>
        <w:pStyle w:val="Heading4"/>
      </w:pPr>
      <w:r w:rsidRPr="0089366F">
        <w:t>Criteria for Assessing a Development Application</w:t>
      </w:r>
    </w:p>
    <w:p w14:paraId="5F319DD1" w14:textId="77777777" w:rsidR="006B087B" w:rsidRPr="0089366F" w:rsidRDefault="006B087B" w:rsidP="006B087B">
      <w:r w:rsidRPr="0089366F">
        <w:t xml:space="preserve">The EA and its regulations currently provide limited information to guide the assessment of DC applications with the regulations only stating that applications can be approved if all of the following criteria are met: </w:t>
      </w:r>
    </w:p>
    <w:p w14:paraId="0D8045ED" w14:textId="77777777" w:rsidR="006B087B" w:rsidRPr="0089366F" w:rsidRDefault="006B087B" w:rsidP="006B087B">
      <w:pPr>
        <w:numPr>
          <w:ilvl w:val="0"/>
          <w:numId w:val="19"/>
        </w:numPr>
        <w:spacing w:before="0"/>
      </w:pPr>
      <w:r w:rsidRPr="0089366F">
        <w:t xml:space="preserve"> (a)  the finding or recommendation of the Public Environmental Report or the Environmental Impact Statement as the case may be, supports the proposed prescribed development; </w:t>
      </w:r>
    </w:p>
    <w:p w14:paraId="0D075743" w14:textId="77777777" w:rsidR="006B087B" w:rsidRPr="0089366F" w:rsidRDefault="006B087B" w:rsidP="006B087B">
      <w:pPr>
        <w:numPr>
          <w:ilvl w:val="0"/>
          <w:numId w:val="19"/>
        </w:numPr>
        <w:spacing w:before="0"/>
      </w:pPr>
      <w:r w:rsidRPr="0089366F">
        <w:t xml:space="preserve">(b)  that the proposed prescribed development will be carried out in a manner which is consistent with all relevant environmental policies and regulations; </w:t>
      </w:r>
    </w:p>
    <w:p w14:paraId="6DAB67B9" w14:textId="77777777" w:rsidR="006B087B" w:rsidRPr="0089366F" w:rsidRDefault="006B087B" w:rsidP="006B087B">
      <w:pPr>
        <w:numPr>
          <w:ilvl w:val="0"/>
          <w:numId w:val="19"/>
        </w:numPr>
        <w:spacing w:before="0"/>
      </w:pPr>
      <w:r w:rsidRPr="0089366F">
        <w:t>(c)  all reasonable steps will be taken to minimize any risk of environmental harm, as a result of the prescribed development;</w:t>
      </w:r>
    </w:p>
    <w:p w14:paraId="63B721DC" w14:textId="77777777" w:rsidR="006B087B" w:rsidRPr="0089366F" w:rsidRDefault="006B087B" w:rsidP="006B087B">
      <w:pPr>
        <w:numPr>
          <w:ilvl w:val="0"/>
          <w:numId w:val="19"/>
        </w:numPr>
        <w:spacing w:before="0"/>
      </w:pPr>
      <w:r w:rsidRPr="0089366F">
        <w:t>(d) the proposed prescribed development will not contravene any relevant environmental obligation under any international treaty, convention or instrument to which Solomon Islands is a party; and</w:t>
      </w:r>
    </w:p>
    <w:p w14:paraId="039AE64B" w14:textId="77777777" w:rsidR="006B087B" w:rsidRPr="0089366F" w:rsidRDefault="006B087B" w:rsidP="006B087B">
      <w:pPr>
        <w:numPr>
          <w:ilvl w:val="0"/>
          <w:numId w:val="19"/>
        </w:numPr>
        <w:spacing w:before="0"/>
      </w:pPr>
      <w:r w:rsidRPr="0089366F">
        <w:t>(e) the applicant will abide by the conditions of the development consent</w:t>
      </w:r>
      <w:r w:rsidRPr="0089366F">
        <w:rPr>
          <w:rStyle w:val="FootnoteReference"/>
        </w:rPr>
        <w:footnoteReference w:id="130"/>
      </w:r>
      <w:r w:rsidRPr="0089366F">
        <w:t>.</w:t>
      </w:r>
    </w:p>
    <w:p w14:paraId="688177E7" w14:textId="77777777" w:rsidR="006B087B" w:rsidRPr="0089366F" w:rsidRDefault="006B087B" w:rsidP="006B087B"/>
    <w:p w14:paraId="49E1BCA6" w14:textId="77777777" w:rsidR="006B087B" w:rsidRPr="0089366F" w:rsidRDefault="006B087B" w:rsidP="006B087B">
      <w:pPr>
        <w:pStyle w:val="Heading5"/>
      </w:pPr>
      <w:r w:rsidRPr="0089366F">
        <w:t>Recommendation</w:t>
      </w:r>
    </w:p>
    <w:p w14:paraId="740EFD13" w14:textId="77777777" w:rsidR="006B087B" w:rsidRPr="0089366F" w:rsidRDefault="006B087B" w:rsidP="009D70D7">
      <w:pPr>
        <w:pStyle w:val="ListParagraph"/>
        <w:numPr>
          <w:ilvl w:val="0"/>
          <w:numId w:val="73"/>
        </w:numPr>
        <w:spacing w:before="0"/>
      </w:pPr>
      <w:r w:rsidRPr="0089366F">
        <w:t xml:space="preserve">Clear criteria should be developed linked to these points to identify key requirements to be met within forest areas related to national policy objectives and international agreements. </w:t>
      </w:r>
    </w:p>
    <w:p w14:paraId="7E0FBAC2" w14:textId="77777777" w:rsidR="006B087B" w:rsidRPr="0089366F" w:rsidRDefault="006B087B" w:rsidP="009D70D7">
      <w:pPr>
        <w:pStyle w:val="ListParagraph"/>
        <w:numPr>
          <w:ilvl w:val="0"/>
          <w:numId w:val="73"/>
        </w:numPr>
        <w:spacing w:before="0"/>
      </w:pPr>
      <w:r w:rsidRPr="0089366F">
        <w:t xml:space="preserve">Further support should be given to identification of social criteria eg impact on forest dependent communities not in line with national development objectives. </w:t>
      </w:r>
    </w:p>
    <w:p w14:paraId="3C7CA43B" w14:textId="77777777" w:rsidR="006B087B" w:rsidRPr="0089366F" w:rsidRDefault="006B087B" w:rsidP="006B087B">
      <w:pPr>
        <w:pStyle w:val="Heading4"/>
      </w:pPr>
      <w:r w:rsidRPr="0089366F">
        <w:t>Requirements for Development Consent, PER, EIS with relation to Forest Areas</w:t>
      </w:r>
    </w:p>
    <w:p w14:paraId="14B539BD" w14:textId="77777777" w:rsidR="006B087B" w:rsidRPr="0089366F" w:rsidRDefault="006B087B" w:rsidP="006B087B">
      <w:r w:rsidRPr="0089366F">
        <w:t>The Act currently provides the opportunity for a development to be exempted from requiring development consent</w:t>
      </w:r>
      <w:r w:rsidRPr="0089366F">
        <w:rPr>
          <w:rStyle w:val="FootnoteReference"/>
        </w:rPr>
        <w:footnoteReference w:id="131"/>
      </w:r>
      <w:r w:rsidRPr="0089366F">
        <w:t xml:space="preserve">. There is limited guidance provided on under what circumstances this can occur. </w:t>
      </w:r>
    </w:p>
    <w:p w14:paraId="0774B406" w14:textId="77777777" w:rsidR="006B087B" w:rsidRPr="0089366F" w:rsidRDefault="006B087B" w:rsidP="006B087B">
      <w:r w:rsidRPr="0089366F">
        <w:t>The Act and its regulations also currently provide an opportunity for an EIA to be exempted for a ‘logging operation, saw milling, all forms of timber processing and treatment’ as these activities currently fall under the category of Fishing and Marine Product Industries category in the Act (the categories of construction, infrastructure, agriculture or mining cannot be exempted)</w:t>
      </w:r>
      <w:r w:rsidRPr="0089366F">
        <w:rPr>
          <w:rStyle w:val="FootnoteReference"/>
        </w:rPr>
        <w:footnoteReference w:id="132"/>
      </w:r>
      <w:r w:rsidRPr="0089366F">
        <w:t xml:space="preserve">. </w:t>
      </w:r>
    </w:p>
    <w:p w14:paraId="232AEBAD" w14:textId="77777777" w:rsidR="006B087B" w:rsidRPr="0089366F" w:rsidRDefault="006B087B" w:rsidP="006B087B">
      <w:pPr>
        <w:pStyle w:val="Heading5"/>
      </w:pPr>
      <w:r w:rsidRPr="0089366F">
        <w:t xml:space="preserve">Recommendations: </w:t>
      </w:r>
    </w:p>
    <w:p w14:paraId="40A006BE" w14:textId="77777777" w:rsidR="006B087B" w:rsidRPr="0089366F" w:rsidRDefault="006B087B" w:rsidP="009D70D7">
      <w:pPr>
        <w:pStyle w:val="ListParagraph"/>
        <w:numPr>
          <w:ilvl w:val="0"/>
          <w:numId w:val="71"/>
        </w:numPr>
        <w:spacing w:before="0"/>
      </w:pPr>
      <w:r w:rsidRPr="0089366F">
        <w:t xml:space="preserve">Forestry Activities currently identified under Fishing and Marine Product Industry of Schedule 2 of the EA  should be categorised under Forest Industry Activities within the Prescribed Developments. </w:t>
      </w:r>
    </w:p>
    <w:p w14:paraId="562F7805" w14:textId="77777777" w:rsidR="006B087B" w:rsidRPr="0089366F" w:rsidRDefault="006B087B" w:rsidP="009D70D7">
      <w:pPr>
        <w:pStyle w:val="ListParagraph"/>
        <w:numPr>
          <w:ilvl w:val="0"/>
          <w:numId w:val="71"/>
        </w:numPr>
        <w:spacing w:before="0"/>
      </w:pPr>
      <w:r w:rsidRPr="0089366F">
        <w:t>Forest Industry Activities should be included within the list of activities that cannot be exempted from an EIS</w:t>
      </w:r>
      <w:r w:rsidRPr="0089366F">
        <w:rPr>
          <w:rStyle w:val="FootnoteReference"/>
        </w:rPr>
        <w:footnoteReference w:id="133"/>
      </w:r>
      <w:r w:rsidRPr="0089366F">
        <w:t xml:space="preserve"> within s 9 (1)e of the Regulations.</w:t>
      </w:r>
    </w:p>
    <w:p w14:paraId="761C3F37" w14:textId="77777777" w:rsidR="006B087B" w:rsidRPr="0089366F" w:rsidRDefault="006B087B" w:rsidP="006B087B"/>
    <w:p w14:paraId="34B2144C" w14:textId="77777777" w:rsidR="006B087B" w:rsidRPr="0089366F" w:rsidRDefault="006B087B" w:rsidP="006B087B">
      <w:pPr>
        <w:pStyle w:val="Heading4"/>
      </w:pPr>
      <w:r w:rsidRPr="0089366F">
        <w:t xml:space="preserve">Definition of a Forest </w:t>
      </w:r>
    </w:p>
    <w:p w14:paraId="2EC17011" w14:textId="77777777" w:rsidR="006B087B" w:rsidRPr="0089366F" w:rsidRDefault="006B087B" w:rsidP="006B087B">
      <w:r w:rsidRPr="0089366F">
        <w:t xml:space="preserve">The act currently refers to ‘forest areas’ in a number of places including as part of a consideration when deciding whether the Director can dispense with an EIA. It notes this can only happen </w:t>
      </w:r>
      <w:r w:rsidRPr="0089366F">
        <w:rPr>
          <w:i/>
        </w:rPr>
        <w:t>if the anticipated impact of prescribed development will not adversely affect forested areas and services;</w:t>
      </w:r>
      <w:r w:rsidRPr="0089366F">
        <w:rPr>
          <w:rStyle w:val="FootnoteReference"/>
        </w:rPr>
        <w:footnoteReference w:id="134"/>
      </w:r>
      <w:r w:rsidRPr="0089366F">
        <w:t xml:space="preserve"> For areas to be considered ‘forested areas’ however the the Minister for Environment, in consultation with the Minister for Forests, must declare them notice in the gazette</w:t>
      </w:r>
      <w:r w:rsidRPr="0089366F">
        <w:rPr>
          <w:rStyle w:val="FootnoteReference"/>
        </w:rPr>
        <w:footnoteReference w:id="135"/>
      </w:r>
      <w:r w:rsidRPr="0089366F">
        <w:t xml:space="preserve">. To the author’s knowledge there are currently no such areas designated. </w:t>
      </w:r>
    </w:p>
    <w:p w14:paraId="4DF50874" w14:textId="77777777" w:rsidR="006B087B" w:rsidRPr="0089366F" w:rsidRDefault="006B087B" w:rsidP="006B087B">
      <w:pPr>
        <w:pStyle w:val="Heading5"/>
      </w:pPr>
      <w:r w:rsidRPr="0089366F">
        <w:t xml:space="preserve">Recommendations: </w:t>
      </w:r>
    </w:p>
    <w:p w14:paraId="4C522088" w14:textId="77777777" w:rsidR="006B087B" w:rsidRPr="0089366F" w:rsidRDefault="006B087B" w:rsidP="006B087B">
      <w:r w:rsidRPr="0089366F">
        <w:t xml:space="preserve">Forested areas should be defined by a globally recognised definition of forests. </w:t>
      </w:r>
    </w:p>
    <w:p w14:paraId="05B6EBCF" w14:textId="77777777" w:rsidR="006B087B" w:rsidRPr="0089366F" w:rsidRDefault="006B087B" w:rsidP="006B087B">
      <w:pPr>
        <w:pStyle w:val="Heading4"/>
      </w:pPr>
      <w:r w:rsidRPr="0089366F">
        <w:t>Consistency with Existing and Proposed Developments</w:t>
      </w:r>
    </w:p>
    <w:p w14:paraId="558114FA" w14:textId="77777777" w:rsidR="006B087B" w:rsidRPr="0089366F" w:rsidRDefault="006B087B" w:rsidP="006B087B">
      <w:pPr>
        <w:rPr>
          <w:iCs/>
        </w:rPr>
      </w:pPr>
      <w:r w:rsidRPr="0089366F">
        <w:rPr>
          <w:iCs/>
        </w:rPr>
        <w:t>For ‘</w:t>
      </w:r>
      <w:r w:rsidRPr="0089366F">
        <w:rPr>
          <w:i/>
          <w:iCs/>
        </w:rPr>
        <w:t>existing developments’</w:t>
      </w:r>
      <w:r w:rsidRPr="0089366F">
        <w:rPr>
          <w:iCs/>
        </w:rPr>
        <w:t xml:space="preserve"> that have not received development consent are only required to provide information to the Director </w:t>
      </w:r>
      <w:r w:rsidRPr="0089366F">
        <w:rPr>
          <w:i/>
          <w:iCs/>
        </w:rPr>
        <w:t>if required to do so in writing by the Director</w:t>
      </w:r>
      <w:r w:rsidRPr="0089366F">
        <w:rPr>
          <w:rStyle w:val="FootnoteReference"/>
        </w:rPr>
        <w:footnoteReference w:id="136"/>
      </w:r>
      <w:r w:rsidRPr="0089366F">
        <w:rPr>
          <w:iCs/>
        </w:rPr>
        <w:t xml:space="preserve">. </w:t>
      </w:r>
    </w:p>
    <w:p w14:paraId="540E9E2D" w14:textId="77777777" w:rsidR="006B087B" w:rsidRPr="0089366F" w:rsidRDefault="006B087B" w:rsidP="006B087B">
      <w:pPr>
        <w:pStyle w:val="Heading5"/>
      </w:pPr>
      <w:r w:rsidRPr="0089366F">
        <w:t xml:space="preserve">Recommendations: </w:t>
      </w:r>
    </w:p>
    <w:p w14:paraId="4FD6F8A4" w14:textId="77777777" w:rsidR="006B087B" w:rsidRPr="0089366F" w:rsidRDefault="006B087B" w:rsidP="006B087B">
      <w:r w:rsidRPr="0089366F">
        <w:t xml:space="preserve">All developments should be required to provide the same information regardless of if they have already been initiated. </w:t>
      </w:r>
    </w:p>
    <w:p w14:paraId="050D92AF" w14:textId="77777777" w:rsidR="006B087B" w:rsidRPr="0089366F" w:rsidRDefault="006B087B" w:rsidP="006B087B"/>
    <w:p w14:paraId="74C0F4A6" w14:textId="77777777" w:rsidR="006B087B" w:rsidRPr="0089366F" w:rsidRDefault="006B087B" w:rsidP="006B087B">
      <w:pPr>
        <w:pStyle w:val="Heading4"/>
      </w:pPr>
      <w:r w:rsidRPr="0089366F">
        <w:t xml:space="preserve">Activities requiring an Environmental Impact Statement or Public Environment Report. </w:t>
      </w:r>
    </w:p>
    <w:p w14:paraId="29768389" w14:textId="77777777" w:rsidR="006B087B" w:rsidRPr="0089366F" w:rsidRDefault="006B087B" w:rsidP="006B087B">
      <w:r w:rsidRPr="0089366F">
        <w:t>The Act and regulations require the Director to request the developer to submit either a Public Environment Report or an Environmental Impact Statement but provides no guidance on what basis this decision should be made</w:t>
      </w:r>
      <w:r w:rsidRPr="0089366F">
        <w:rPr>
          <w:rStyle w:val="FootnoteReference"/>
        </w:rPr>
        <w:footnoteReference w:id="137"/>
      </w:r>
      <w:r w:rsidRPr="0089366F">
        <w:t xml:space="preserve">. </w:t>
      </w:r>
    </w:p>
    <w:p w14:paraId="42A0E2BB" w14:textId="77777777" w:rsidR="006B087B" w:rsidRPr="0089366F" w:rsidRDefault="006B087B" w:rsidP="006B087B">
      <w:pPr>
        <w:pStyle w:val="Heading5"/>
      </w:pPr>
      <w:r w:rsidRPr="0089366F">
        <w:t xml:space="preserve">Recommendations: </w:t>
      </w:r>
    </w:p>
    <w:p w14:paraId="3126F01C" w14:textId="77777777" w:rsidR="006B087B" w:rsidRPr="0089366F" w:rsidRDefault="006B087B" w:rsidP="006B087B">
      <w:r w:rsidRPr="0089366F">
        <w:t xml:space="preserve">A threshold for PER and EIS requirements to should be established for activities with relation to their potential impact on forest cover, biodiversity or surrounding communities. </w:t>
      </w:r>
    </w:p>
    <w:p w14:paraId="3DD62349" w14:textId="77777777" w:rsidR="006B087B" w:rsidRPr="0089366F" w:rsidRDefault="006B087B" w:rsidP="006B087B"/>
    <w:p w14:paraId="5B147B70" w14:textId="77777777" w:rsidR="006B087B" w:rsidRPr="0089366F" w:rsidRDefault="006B087B" w:rsidP="006B087B">
      <w:pPr>
        <w:pStyle w:val="Heading4"/>
      </w:pPr>
      <w:r w:rsidRPr="0089366F">
        <w:t>Enhanced Development Application</w:t>
      </w:r>
    </w:p>
    <w:p w14:paraId="3BD06250" w14:textId="77777777" w:rsidR="006B087B" w:rsidRPr="0089366F" w:rsidRDefault="006B087B" w:rsidP="006B087B">
      <w:r w:rsidRPr="0089366F">
        <w:t>The current Development Application provides only very limited information on the nature of a development to be undertaken. Applicants are required to provide information using Form 2 in the Environment Regulations</w:t>
      </w:r>
      <w:r w:rsidRPr="0089366F">
        <w:fldChar w:fldCharType="begin"/>
      </w:r>
      <w:r w:rsidRPr="0089366F">
        <w:instrText xml:space="preserve"> XE "Environment Regulations" </w:instrText>
      </w:r>
      <w:r w:rsidRPr="0089366F">
        <w:fldChar w:fldCharType="end"/>
      </w:r>
      <w:r w:rsidRPr="0089366F">
        <w:rPr>
          <w:vertAlign w:val="superscript"/>
        </w:rPr>
        <w:footnoteReference w:id="138"/>
      </w:r>
      <w:r w:rsidRPr="0089366F">
        <w:t xml:space="preserve"> which must specify the type of prescribed development and where it will be located (including the name of the community, if the development will occur on rural land, and the name of the Province). They must also provide a certified copy of the Investment Board’s certificate of approval If the developer is a foreign investor.</w:t>
      </w:r>
      <w:r w:rsidRPr="0089366F">
        <w:rPr>
          <w:vertAlign w:val="superscript"/>
        </w:rPr>
        <w:footnoteReference w:id="139"/>
      </w:r>
    </w:p>
    <w:p w14:paraId="44585CBF" w14:textId="77777777" w:rsidR="006B087B" w:rsidRPr="0089366F" w:rsidRDefault="006B087B" w:rsidP="006B087B">
      <w:r w:rsidRPr="0089366F">
        <w:t xml:space="preserve">There is however no requirement to provide more detailed information on the location of the development or a map showing the location – a significant issue for developments that are of a large geographical size such as logging, mining or agriculture. Equally there is no further detail required on the duration of the proposed development, its scale or other information that would be important for assessment of the application. </w:t>
      </w:r>
    </w:p>
    <w:p w14:paraId="0CEAE262" w14:textId="77777777" w:rsidR="006B087B" w:rsidRPr="0089366F" w:rsidRDefault="006B087B" w:rsidP="006B087B">
      <w:pPr>
        <w:pStyle w:val="Heading5"/>
      </w:pPr>
      <w:r w:rsidRPr="0089366F">
        <w:t xml:space="preserve">Recommendations: </w:t>
      </w:r>
    </w:p>
    <w:p w14:paraId="29FB78A9" w14:textId="77777777" w:rsidR="006B087B" w:rsidRPr="0089366F" w:rsidRDefault="006B087B" w:rsidP="006B087B">
      <w:r w:rsidRPr="0089366F">
        <w:t xml:space="preserve">Development application is required to provide a map of its location </w:t>
      </w:r>
    </w:p>
    <w:p w14:paraId="2F50A192" w14:textId="77777777" w:rsidR="006B087B" w:rsidRPr="0089366F" w:rsidRDefault="006B087B" w:rsidP="006B087B">
      <w:r w:rsidRPr="0089366F">
        <w:t>Further information is required on the scale of development, duration of investment, anticipated benefits and impacts</w:t>
      </w:r>
      <w:r w:rsidRPr="0089366F">
        <w:rPr>
          <w:rStyle w:val="FootnoteReference"/>
        </w:rPr>
        <w:footnoteReference w:id="140"/>
      </w:r>
    </w:p>
    <w:p w14:paraId="43531E07" w14:textId="77777777" w:rsidR="006B087B" w:rsidRPr="0089366F" w:rsidRDefault="006B087B" w:rsidP="006B087B"/>
    <w:p w14:paraId="66B3D107" w14:textId="77777777" w:rsidR="006B087B" w:rsidRPr="0089366F" w:rsidRDefault="006B087B" w:rsidP="006B087B">
      <w:pPr>
        <w:pStyle w:val="Heading4"/>
      </w:pPr>
      <w:r w:rsidRPr="0089366F">
        <w:t>Conditions of Development Consent Applications</w:t>
      </w:r>
    </w:p>
    <w:p w14:paraId="1B66D542" w14:textId="77777777" w:rsidR="006B087B" w:rsidRPr="0089366F" w:rsidRDefault="006B087B" w:rsidP="006B087B">
      <w:r w:rsidRPr="0089366F">
        <w:t xml:space="preserve">The act provides the opportunity to provide grant DC with a number of conditions attached, including – </w:t>
      </w:r>
    </w:p>
    <w:p w14:paraId="5310050A" w14:textId="77777777" w:rsidR="006B087B" w:rsidRPr="0089366F" w:rsidRDefault="006B087B" w:rsidP="006B087B">
      <w:pPr>
        <w:numPr>
          <w:ilvl w:val="0"/>
          <w:numId w:val="19"/>
        </w:numPr>
        <w:spacing w:before="0"/>
      </w:pPr>
      <w:r w:rsidRPr="0089366F">
        <w:t xml:space="preserve">(a)  installation and operation of certain plant or equipment within a certain time; </w:t>
      </w:r>
    </w:p>
    <w:p w14:paraId="289E3616" w14:textId="77777777" w:rsidR="006B087B" w:rsidRPr="0089366F" w:rsidRDefault="006B087B" w:rsidP="006B087B">
      <w:pPr>
        <w:numPr>
          <w:ilvl w:val="0"/>
          <w:numId w:val="19"/>
        </w:numPr>
        <w:spacing w:before="0"/>
      </w:pPr>
      <w:r w:rsidRPr="0089366F">
        <w:t xml:space="preserve">(b)  the taking of certain action to minimize the risk of environmental harm; </w:t>
      </w:r>
    </w:p>
    <w:p w14:paraId="588DC195" w14:textId="77777777" w:rsidR="006B087B" w:rsidRPr="0089366F" w:rsidRDefault="006B087B" w:rsidP="006B087B">
      <w:pPr>
        <w:numPr>
          <w:ilvl w:val="0"/>
          <w:numId w:val="19"/>
        </w:numPr>
        <w:spacing w:before="0"/>
      </w:pPr>
      <w:r w:rsidRPr="0089366F">
        <w:t xml:space="preserve">(c)  at the cost of the developer, installation of monitoring equipment, carrying out  a specified monitoring programme and reporting on its progress; </w:t>
      </w:r>
    </w:p>
    <w:p w14:paraId="514857EE" w14:textId="77777777" w:rsidR="006B087B" w:rsidRPr="0089366F" w:rsidRDefault="006B087B" w:rsidP="006B087B">
      <w:pPr>
        <w:numPr>
          <w:ilvl w:val="0"/>
          <w:numId w:val="19"/>
        </w:numPr>
        <w:spacing w:before="0"/>
      </w:pPr>
      <w:r w:rsidRPr="0089366F">
        <w:t xml:space="preserve">(d)  preparation and carrying out of an environmental programme; </w:t>
      </w:r>
    </w:p>
    <w:p w14:paraId="5F622764" w14:textId="77777777" w:rsidR="006B087B" w:rsidRPr="0089366F" w:rsidRDefault="006B087B" w:rsidP="006B087B">
      <w:pPr>
        <w:numPr>
          <w:ilvl w:val="0"/>
          <w:numId w:val="19"/>
        </w:numPr>
        <w:spacing w:before="0"/>
      </w:pPr>
      <w:r w:rsidRPr="0089366F">
        <w:t xml:space="preserve">(e)  provision of reports on any matter specified by the Director; </w:t>
      </w:r>
    </w:p>
    <w:p w14:paraId="538E10AD" w14:textId="77777777" w:rsidR="006B087B" w:rsidRPr="0089366F" w:rsidRDefault="006B087B" w:rsidP="009D70D7">
      <w:pPr>
        <w:numPr>
          <w:ilvl w:val="0"/>
          <w:numId w:val="76"/>
        </w:numPr>
        <w:spacing w:before="0"/>
      </w:pPr>
      <w:r w:rsidRPr="0089366F">
        <w:t xml:space="preserve">(g)  undertaking an audit at periodic intervals; </w:t>
      </w:r>
    </w:p>
    <w:p w14:paraId="0C22A587" w14:textId="77777777" w:rsidR="006B087B" w:rsidRPr="0089366F" w:rsidRDefault="006B087B" w:rsidP="009D70D7">
      <w:pPr>
        <w:numPr>
          <w:ilvl w:val="0"/>
          <w:numId w:val="76"/>
        </w:numPr>
        <w:spacing w:before="0"/>
      </w:pPr>
      <w:r w:rsidRPr="0089366F">
        <w:t xml:space="preserve">(h)  preparation and lodgment of a plan for emergency response in relation to  accidental release of contaminants or risk of other emergency; </w:t>
      </w:r>
    </w:p>
    <w:p w14:paraId="2834D601" w14:textId="77777777" w:rsidR="006B087B" w:rsidRPr="0089366F" w:rsidRDefault="006B087B" w:rsidP="009D70D7">
      <w:pPr>
        <w:numPr>
          <w:ilvl w:val="0"/>
          <w:numId w:val="76"/>
        </w:numPr>
        <w:spacing w:before="0"/>
      </w:pPr>
      <w:r w:rsidRPr="0089366F">
        <w:t xml:space="preserve">(i)  provision of information reasonably required by the Director for the  administration and enforcement of the Act; </w:t>
      </w:r>
    </w:p>
    <w:p w14:paraId="0E02B36A" w14:textId="77777777" w:rsidR="006B087B" w:rsidRPr="0089366F" w:rsidRDefault="006B087B" w:rsidP="009D70D7">
      <w:pPr>
        <w:numPr>
          <w:ilvl w:val="0"/>
          <w:numId w:val="76"/>
        </w:numPr>
        <w:spacing w:before="0"/>
      </w:pPr>
      <w:r w:rsidRPr="0089366F">
        <w:t xml:space="preserve">(j)  conducting baseline studies or surveys and reporting the results prior to  commencing the operations; and </w:t>
      </w:r>
    </w:p>
    <w:p w14:paraId="18A9B530" w14:textId="77777777" w:rsidR="006B087B" w:rsidRPr="0089366F" w:rsidRDefault="006B087B" w:rsidP="009D70D7">
      <w:pPr>
        <w:numPr>
          <w:ilvl w:val="0"/>
          <w:numId w:val="76"/>
        </w:numPr>
        <w:spacing w:before="0"/>
      </w:pPr>
      <w:r w:rsidRPr="0089366F">
        <w:t xml:space="preserve">(k)  rehabilitation of the affected area. </w:t>
      </w:r>
    </w:p>
    <w:p w14:paraId="4198B772" w14:textId="77777777" w:rsidR="006B087B" w:rsidRPr="0089366F" w:rsidRDefault="006B087B" w:rsidP="006B087B"/>
    <w:p w14:paraId="1AC2756C" w14:textId="77777777" w:rsidR="006B087B" w:rsidRPr="0089366F" w:rsidRDefault="006B087B" w:rsidP="006B087B">
      <w:pPr>
        <w:pStyle w:val="Heading5"/>
      </w:pPr>
      <w:r w:rsidRPr="0089366F">
        <w:t>Recommendation</w:t>
      </w:r>
    </w:p>
    <w:p w14:paraId="311F5E04" w14:textId="77777777" w:rsidR="006B087B" w:rsidRPr="0089366F" w:rsidRDefault="006B087B" w:rsidP="006B087B">
      <w:r w:rsidRPr="0089366F">
        <w:t>The cost of any such measures must also be borne by the developer.</w:t>
      </w:r>
      <w:r w:rsidRPr="0089366F">
        <w:rPr>
          <w:rStyle w:val="FootnoteReference"/>
        </w:rPr>
        <w:footnoteReference w:id="141"/>
      </w:r>
      <w:r w:rsidRPr="0089366F">
        <w:t xml:space="preserve"> These conditions should be utilised to ensure that funding is available for follow monitoring activities as well as ensuring that effective monitoring is carried out on a regular basis.</w:t>
      </w:r>
    </w:p>
    <w:p w14:paraId="1B66989F" w14:textId="77777777" w:rsidR="006B087B" w:rsidRPr="0089366F" w:rsidRDefault="006B087B" w:rsidP="006B087B"/>
    <w:p w14:paraId="0E0A8EBF" w14:textId="77777777" w:rsidR="006B087B" w:rsidRPr="0089366F" w:rsidRDefault="006B087B" w:rsidP="006B087B">
      <w:pPr>
        <w:pStyle w:val="Heading3"/>
        <w:numPr>
          <w:ilvl w:val="0"/>
          <w:numId w:val="0"/>
        </w:numPr>
      </w:pPr>
      <w:bookmarkStart w:id="63" w:name="_Toc254892876"/>
      <w:r w:rsidRPr="0089366F">
        <w:t>Guidance on Requirements for EIS and PER</w:t>
      </w:r>
      <w:bookmarkEnd w:id="63"/>
    </w:p>
    <w:p w14:paraId="61FD0F9B" w14:textId="77777777" w:rsidR="006B087B" w:rsidRPr="0089366F" w:rsidRDefault="006B087B" w:rsidP="006B087B">
      <w:r w:rsidRPr="0089366F">
        <w:t xml:space="preserve">The EA and its regulations provide guidance on what should be included within a PER and an EIS. At present this information is limited and provides no guidance on what is an acceptable level of impact. Guidance should thus be developed on the criteria by which </w:t>
      </w:r>
    </w:p>
    <w:p w14:paraId="444C9948" w14:textId="77777777" w:rsidR="006B087B" w:rsidRPr="0089366F" w:rsidRDefault="006B087B" w:rsidP="006B087B">
      <w:pPr>
        <w:pStyle w:val="Heading4"/>
      </w:pPr>
      <w:r w:rsidRPr="0089366F">
        <w:t xml:space="preserve">Process for EIS Development </w:t>
      </w:r>
    </w:p>
    <w:p w14:paraId="49A12F2E" w14:textId="77777777" w:rsidR="006B087B" w:rsidRPr="0089366F" w:rsidRDefault="006B087B" w:rsidP="006B087B">
      <w:r w:rsidRPr="0089366F">
        <w:t xml:space="preserve">During the implementation of an EIS or PER there is currently no requirement for communities or stakeholders to be consulted or engaged. </w:t>
      </w:r>
    </w:p>
    <w:p w14:paraId="479BD140" w14:textId="77777777" w:rsidR="006B087B" w:rsidRPr="0089366F" w:rsidRDefault="006B087B" w:rsidP="006B087B">
      <w:pPr>
        <w:pStyle w:val="Heading5"/>
      </w:pPr>
      <w:r w:rsidRPr="0089366F">
        <w:t xml:space="preserve">Recommendations: </w:t>
      </w:r>
    </w:p>
    <w:p w14:paraId="3FB7606A" w14:textId="77777777" w:rsidR="006B087B" w:rsidRPr="0089366F" w:rsidRDefault="006B087B" w:rsidP="006B087B">
      <w:r w:rsidRPr="0089366F">
        <w:t xml:space="preserve">Communities should be engaged as part of the EIS and PER process, providing an opportunity for them to voice any concerns they have about the development and also as part of a process of gaining accurate information on the nature of livelihoods in the area of the development. </w:t>
      </w:r>
    </w:p>
    <w:p w14:paraId="78FA8604" w14:textId="77777777" w:rsidR="006B087B" w:rsidRPr="0089366F" w:rsidRDefault="006B087B" w:rsidP="006B087B">
      <w:pPr>
        <w:pStyle w:val="Heading4"/>
      </w:pPr>
      <w:r w:rsidRPr="0089366F">
        <w:t xml:space="preserve">Content of the PER and EIS </w:t>
      </w:r>
    </w:p>
    <w:p w14:paraId="3DF43A8B" w14:textId="77777777" w:rsidR="006B087B" w:rsidRPr="0089366F" w:rsidRDefault="006B087B" w:rsidP="006B087B">
      <w:r w:rsidRPr="0089366F">
        <w:t xml:space="preserve">The Act and Regulations provide a cumulative list of information for inclusion within the PER / EIS. This information is also supported by a template or guideline provided within Form 1 of the Regulations. These sections do not however provide sufficient information on key areas relevant to the Cancun safeguards or the criteria identified within the UN-REDD SEPC. </w:t>
      </w:r>
    </w:p>
    <w:p w14:paraId="5D76C055" w14:textId="77777777" w:rsidR="006B087B" w:rsidRPr="0089366F" w:rsidRDefault="006B087B" w:rsidP="006B087B"/>
    <w:p w14:paraId="2FBD74EA" w14:textId="77777777" w:rsidR="006B087B" w:rsidRPr="0089366F" w:rsidRDefault="006B087B" w:rsidP="006B087B">
      <w:pPr>
        <w:pStyle w:val="Heading5"/>
      </w:pPr>
      <w:r w:rsidRPr="0089366F">
        <w:t xml:space="preserve">Recommendations: </w:t>
      </w:r>
    </w:p>
    <w:p w14:paraId="123B0E66" w14:textId="77777777" w:rsidR="006B087B" w:rsidRPr="0089366F" w:rsidRDefault="006B087B" w:rsidP="006B087B">
      <w:r w:rsidRPr="0089366F">
        <w:t xml:space="preserve">More detailed guidelines on the to the content and nature of information to be included within the EIA’s should be developed with particular reference to sectors. Initial assessment of sections against the UN-REDD SEPC identifies the following elements as requiring inclusion with further guidance provided on the detail required. </w:t>
      </w:r>
      <w:r w:rsidRPr="0089366F">
        <w:rPr>
          <w:rStyle w:val="FootnoteReference"/>
        </w:rPr>
        <w:footnoteReference w:id="142"/>
      </w:r>
    </w:p>
    <w:p w14:paraId="7EA42D47" w14:textId="77777777" w:rsidR="006B087B" w:rsidRPr="0089366F" w:rsidRDefault="006B087B" w:rsidP="006B087B"/>
    <w:p w14:paraId="7B69EEE8" w14:textId="77777777" w:rsidR="006B087B" w:rsidRPr="0089366F" w:rsidRDefault="006B087B" w:rsidP="006B087B">
      <w:pPr>
        <w:rPr>
          <w:b/>
        </w:rPr>
      </w:pPr>
      <w:r w:rsidRPr="0089366F">
        <w:rPr>
          <w:b/>
        </w:rPr>
        <w:t>Under Section 4: Relevant Impacts</w:t>
      </w:r>
    </w:p>
    <w:p w14:paraId="29FF2CB3" w14:textId="77777777" w:rsidR="006B087B" w:rsidRPr="0089366F" w:rsidRDefault="006B087B" w:rsidP="006B087B">
      <w:pPr>
        <w:rPr>
          <w:u w:val="single"/>
        </w:rPr>
      </w:pPr>
      <w:r w:rsidRPr="0089366F">
        <w:rPr>
          <w:u w:val="single"/>
        </w:rPr>
        <w:t>Environmental Impact</w:t>
      </w:r>
    </w:p>
    <w:p w14:paraId="3D629097" w14:textId="77777777" w:rsidR="006B087B" w:rsidRPr="0089366F" w:rsidRDefault="006B087B" w:rsidP="009D70D7">
      <w:pPr>
        <w:pStyle w:val="ListParagraph"/>
        <w:numPr>
          <w:ilvl w:val="0"/>
          <w:numId w:val="72"/>
        </w:numPr>
        <w:spacing w:before="0"/>
      </w:pPr>
      <w:r w:rsidRPr="0089366F">
        <w:t>Assessment of the risk of conversion of natural forest to other land-uses including planted forest (unless as part of forest restoration) (C18)</w:t>
      </w:r>
    </w:p>
    <w:p w14:paraId="0951C83A" w14:textId="77777777" w:rsidR="006B087B" w:rsidRPr="0089366F" w:rsidRDefault="006B087B" w:rsidP="009D70D7">
      <w:pPr>
        <w:pStyle w:val="ListParagraph"/>
        <w:numPr>
          <w:ilvl w:val="0"/>
          <w:numId w:val="72"/>
        </w:numPr>
        <w:spacing w:before="0"/>
      </w:pPr>
      <w:r w:rsidRPr="0089366F">
        <w:t>Assessment of the risk of degradation of natural forest. (C19)</w:t>
      </w:r>
    </w:p>
    <w:p w14:paraId="217B049B" w14:textId="77777777" w:rsidR="006B087B" w:rsidRPr="0089366F" w:rsidRDefault="006B087B" w:rsidP="009D70D7">
      <w:pPr>
        <w:pStyle w:val="ListParagraph"/>
        <w:numPr>
          <w:ilvl w:val="0"/>
          <w:numId w:val="72"/>
        </w:numPr>
        <w:spacing w:before="0"/>
      </w:pPr>
      <w:r w:rsidRPr="0089366F">
        <w:t>Assessment of the risk of indirect land-use change impacts of development activities. (C20)</w:t>
      </w:r>
    </w:p>
    <w:p w14:paraId="076C763E" w14:textId="77777777" w:rsidR="006B087B" w:rsidRPr="0089366F" w:rsidRDefault="006B087B" w:rsidP="006B087B"/>
    <w:p w14:paraId="6700EA62" w14:textId="77777777" w:rsidR="006B087B" w:rsidRPr="0089366F" w:rsidRDefault="006B087B" w:rsidP="006B087B">
      <w:pPr>
        <w:rPr>
          <w:u w:val="single"/>
        </w:rPr>
      </w:pPr>
      <w:r w:rsidRPr="0089366F">
        <w:rPr>
          <w:u w:val="single"/>
        </w:rPr>
        <w:t>Social Impact</w:t>
      </w:r>
    </w:p>
    <w:p w14:paraId="292CA4D8" w14:textId="77777777" w:rsidR="006B087B" w:rsidRPr="0089366F" w:rsidRDefault="006B087B" w:rsidP="009D70D7">
      <w:pPr>
        <w:pStyle w:val="ListParagraph"/>
        <w:numPr>
          <w:ilvl w:val="0"/>
          <w:numId w:val="72"/>
        </w:numPr>
        <w:spacing w:before="0"/>
      </w:pPr>
      <w:r w:rsidRPr="0089366F">
        <w:t>Economic and social impact</w:t>
      </w:r>
      <w:r w:rsidRPr="0089366F">
        <w:rPr>
          <w:rStyle w:val="FootnoteReference"/>
        </w:rPr>
        <w:footnoteReference w:id="143"/>
      </w:r>
      <w:r w:rsidRPr="0089366F">
        <w:t xml:space="preserve"> assessment to consider differentiated impacts on:</w:t>
      </w:r>
    </w:p>
    <w:p w14:paraId="30BCB3E2" w14:textId="77777777" w:rsidR="006B087B" w:rsidRPr="0089366F" w:rsidRDefault="006B087B" w:rsidP="009D70D7">
      <w:pPr>
        <w:pStyle w:val="ListParagraph"/>
        <w:numPr>
          <w:ilvl w:val="1"/>
          <w:numId w:val="72"/>
        </w:numPr>
        <w:spacing w:before="0"/>
      </w:pPr>
      <w:r w:rsidRPr="0089366F">
        <w:t>Relevant stakeholders (C13)</w:t>
      </w:r>
    </w:p>
    <w:p w14:paraId="524DAE88" w14:textId="77777777" w:rsidR="006B087B" w:rsidRPr="0089366F" w:rsidRDefault="006B087B" w:rsidP="009D70D7">
      <w:pPr>
        <w:pStyle w:val="ListParagraph"/>
        <w:numPr>
          <w:ilvl w:val="1"/>
          <w:numId w:val="72"/>
        </w:numPr>
        <w:spacing w:before="0"/>
      </w:pPr>
      <w:r w:rsidRPr="0089366F">
        <w:t>women (C9) and other vulnerable or marginalised groups (C13)</w:t>
      </w:r>
    </w:p>
    <w:p w14:paraId="092D718C" w14:textId="77777777" w:rsidR="006B087B" w:rsidRPr="0089366F" w:rsidRDefault="006B087B" w:rsidP="009D70D7">
      <w:pPr>
        <w:pStyle w:val="ListParagraph"/>
        <w:numPr>
          <w:ilvl w:val="1"/>
          <w:numId w:val="72"/>
        </w:numPr>
        <w:spacing w:before="0"/>
      </w:pPr>
      <w:r w:rsidRPr="0089366F">
        <w:t>the traditional knowledge, cultural heritage and practices (C11)</w:t>
      </w:r>
    </w:p>
    <w:p w14:paraId="2F69CF0B" w14:textId="77777777" w:rsidR="006B087B" w:rsidRPr="0089366F" w:rsidRDefault="006B087B" w:rsidP="009D70D7">
      <w:pPr>
        <w:pStyle w:val="ListParagraph"/>
        <w:numPr>
          <w:ilvl w:val="0"/>
          <w:numId w:val="72"/>
        </w:numPr>
        <w:spacing w:before="0"/>
      </w:pPr>
      <w:r w:rsidRPr="0089366F">
        <w:t>Impacts outside of direct development area – for example downstream or resulting from displacement of activities from area of development</w:t>
      </w:r>
    </w:p>
    <w:p w14:paraId="0938A1E8" w14:textId="77777777" w:rsidR="006B087B" w:rsidRPr="0089366F" w:rsidRDefault="006B087B" w:rsidP="009D70D7">
      <w:pPr>
        <w:pStyle w:val="ListParagraph"/>
        <w:numPr>
          <w:ilvl w:val="0"/>
          <w:numId w:val="72"/>
        </w:numPr>
        <w:spacing w:before="0"/>
      </w:pPr>
      <w:r w:rsidRPr="0089366F">
        <w:t xml:space="preserve">Potential for involuntary resettlement (C10) </w:t>
      </w:r>
    </w:p>
    <w:p w14:paraId="5CA7EAA4" w14:textId="77777777" w:rsidR="006B087B" w:rsidRPr="0089366F" w:rsidRDefault="006B087B" w:rsidP="006B087B"/>
    <w:p w14:paraId="30E1799C" w14:textId="77777777" w:rsidR="006B087B" w:rsidRPr="0089366F" w:rsidRDefault="006B087B" w:rsidP="006B087B">
      <w:pPr>
        <w:rPr>
          <w:b/>
        </w:rPr>
      </w:pPr>
      <w:r w:rsidRPr="0089366F">
        <w:rPr>
          <w:b/>
        </w:rPr>
        <w:t xml:space="preserve">Consistency With National Policy Objectives (Not currently a section) </w:t>
      </w:r>
    </w:p>
    <w:p w14:paraId="55031BF4" w14:textId="77777777" w:rsidR="006B087B" w:rsidRPr="0089366F" w:rsidRDefault="006B087B" w:rsidP="009D70D7">
      <w:pPr>
        <w:pStyle w:val="ListParagraph"/>
        <w:numPr>
          <w:ilvl w:val="0"/>
          <w:numId w:val="72"/>
        </w:numPr>
        <w:spacing w:before="0"/>
      </w:pPr>
      <w:r w:rsidRPr="0089366F">
        <w:t>Consistency with relevant sector Policy – eg Forest Policy</w:t>
      </w:r>
    </w:p>
    <w:p w14:paraId="73544803" w14:textId="77777777" w:rsidR="006B087B" w:rsidRPr="0089366F" w:rsidRDefault="006B087B" w:rsidP="009D70D7">
      <w:pPr>
        <w:pStyle w:val="ListParagraph"/>
        <w:numPr>
          <w:ilvl w:val="0"/>
          <w:numId w:val="72"/>
        </w:numPr>
        <w:spacing w:before="0"/>
      </w:pPr>
      <w:r w:rsidRPr="0089366F">
        <w:t>Consistency of proposed development with national climate policy objectives (C14)</w:t>
      </w:r>
    </w:p>
    <w:p w14:paraId="035B9C45" w14:textId="77777777" w:rsidR="006B087B" w:rsidRPr="0089366F" w:rsidRDefault="006B087B" w:rsidP="009D70D7">
      <w:pPr>
        <w:pStyle w:val="ListParagraph"/>
        <w:numPr>
          <w:ilvl w:val="0"/>
          <w:numId w:val="72"/>
        </w:numPr>
        <w:spacing w:before="0"/>
      </w:pPr>
      <w:r w:rsidRPr="0089366F">
        <w:t>Consistency with and contribution to national poverty reduction strategies and other sustainable development goals (C16)</w:t>
      </w:r>
    </w:p>
    <w:p w14:paraId="6C86BC3C" w14:textId="77777777" w:rsidR="006B087B" w:rsidRPr="0089366F" w:rsidRDefault="006B087B" w:rsidP="009D70D7">
      <w:pPr>
        <w:pStyle w:val="ListParagraph"/>
        <w:numPr>
          <w:ilvl w:val="0"/>
          <w:numId w:val="72"/>
        </w:numPr>
        <w:spacing w:before="0"/>
      </w:pPr>
      <w:r w:rsidRPr="0089366F">
        <w:t>Consistency with and contribution to national biodiversity conservation policies (C17)</w:t>
      </w:r>
    </w:p>
    <w:p w14:paraId="07F03A58" w14:textId="77777777" w:rsidR="006B087B" w:rsidRPr="0089366F" w:rsidRDefault="006B087B" w:rsidP="006B087B"/>
    <w:p w14:paraId="25FAEEDA" w14:textId="77777777" w:rsidR="006B087B" w:rsidRPr="0089366F" w:rsidRDefault="006B087B" w:rsidP="006B087B">
      <w:pPr>
        <w:rPr>
          <w:u w:val="single"/>
        </w:rPr>
      </w:pPr>
      <w:r w:rsidRPr="0089366F">
        <w:rPr>
          <w:u w:val="single"/>
        </w:rPr>
        <w:t>Summary Assessment of Risks and Benefits and Recommendations (Not currently a section)</w:t>
      </w:r>
    </w:p>
    <w:p w14:paraId="26A9F378" w14:textId="77777777" w:rsidR="006B087B" w:rsidRPr="0089366F" w:rsidRDefault="006B087B" w:rsidP="009D70D7">
      <w:pPr>
        <w:pStyle w:val="ListParagraph"/>
        <w:numPr>
          <w:ilvl w:val="0"/>
          <w:numId w:val="74"/>
        </w:numPr>
        <w:spacing w:before="0"/>
      </w:pPr>
      <w:r w:rsidRPr="0089366F">
        <w:t>The assessment should review the potential synergies and trade-offs between the multiple functions of forest and the benefits they provide, respecting local and other  stakeholders’  values</w:t>
      </w:r>
    </w:p>
    <w:p w14:paraId="60EE0700" w14:textId="77777777" w:rsidR="006B087B" w:rsidRPr="0089366F" w:rsidRDefault="006B087B" w:rsidP="006B087B"/>
    <w:p w14:paraId="268F84FC" w14:textId="77777777" w:rsidR="006B087B" w:rsidRPr="0089366F" w:rsidRDefault="006B087B" w:rsidP="006B087B">
      <w:pPr>
        <w:rPr>
          <w:u w:val="single"/>
        </w:rPr>
      </w:pPr>
      <w:r w:rsidRPr="0089366F">
        <w:rPr>
          <w:u w:val="single"/>
        </w:rPr>
        <w:t>Under Section 5. Proposed Safeguard and Mitigation Measures</w:t>
      </w:r>
    </w:p>
    <w:p w14:paraId="6AED864B" w14:textId="77777777" w:rsidR="006B087B" w:rsidRPr="0089366F" w:rsidRDefault="006B087B" w:rsidP="006B087B">
      <w:r w:rsidRPr="0089366F">
        <w:t xml:space="preserve">Must include: </w:t>
      </w:r>
    </w:p>
    <w:p w14:paraId="3545E7C7" w14:textId="77777777" w:rsidR="006B087B" w:rsidRPr="0089366F" w:rsidRDefault="006B087B" w:rsidP="009D70D7">
      <w:pPr>
        <w:pStyle w:val="ListParagraph"/>
        <w:numPr>
          <w:ilvl w:val="0"/>
          <w:numId w:val="75"/>
        </w:numPr>
        <w:spacing w:before="0"/>
      </w:pPr>
      <w:r w:rsidRPr="0089366F">
        <w:t>Requirements for effective management of natural and planted forest areas within the boundary to maintain and enhance ecosystem services and biodiversity important in both local and national contexts. (C22)</w:t>
      </w:r>
    </w:p>
    <w:p w14:paraId="55D992EF" w14:textId="77777777" w:rsidR="006B087B" w:rsidRPr="0089366F" w:rsidRDefault="006B087B" w:rsidP="009D70D7">
      <w:pPr>
        <w:pStyle w:val="ListParagraph"/>
        <w:numPr>
          <w:ilvl w:val="0"/>
          <w:numId w:val="75"/>
        </w:numPr>
        <w:spacing w:before="0"/>
      </w:pPr>
      <w:r w:rsidRPr="0089366F">
        <w:t>Requirements to avoid or minimise adverse impacts on carbon stocks, other ecosystem services and biodiversity of non-forest ecosystems resulting directly or indirectly from development activities and have a plan in place to offset any unavoidable damage. (C23 and 24)</w:t>
      </w:r>
    </w:p>
    <w:p w14:paraId="2F3726B1" w14:textId="77777777" w:rsidR="006B087B" w:rsidRPr="0089366F" w:rsidRDefault="006B087B" w:rsidP="006B087B">
      <w:pPr>
        <w:pStyle w:val="Heading3"/>
        <w:numPr>
          <w:ilvl w:val="0"/>
          <w:numId w:val="0"/>
        </w:numPr>
      </w:pPr>
    </w:p>
    <w:p w14:paraId="74D842CA" w14:textId="363B4448" w:rsidR="006B087B" w:rsidRPr="0089366F" w:rsidRDefault="006B087B" w:rsidP="006B087B">
      <w:pPr>
        <w:pStyle w:val="Heading3"/>
        <w:numPr>
          <w:ilvl w:val="0"/>
          <w:numId w:val="0"/>
        </w:numPr>
        <w:ind w:left="720" w:hanging="720"/>
      </w:pPr>
      <w:bookmarkStart w:id="64" w:name="_Toc254892877"/>
      <w:r w:rsidRPr="0089366F">
        <w:t>Enhanced Access to Information on Development Consents being Undertaken</w:t>
      </w:r>
      <w:bookmarkEnd w:id="64"/>
      <w:r w:rsidRPr="0089366F">
        <w:t xml:space="preserve"> </w:t>
      </w:r>
    </w:p>
    <w:p w14:paraId="278734CC" w14:textId="77777777" w:rsidR="006B087B" w:rsidRPr="0089366F" w:rsidRDefault="006B087B" w:rsidP="006B087B">
      <w:r w:rsidRPr="0089366F">
        <w:t xml:space="preserve">Access to information forms a key element of two criteria –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6B087B" w:rsidRPr="0089366F" w14:paraId="10488744" w14:textId="77777777" w:rsidTr="00B71EE3">
        <w:tc>
          <w:tcPr>
            <w:tcW w:w="9639" w:type="dxa"/>
            <w:tcMar>
              <w:top w:w="20" w:type="nil"/>
              <w:left w:w="20" w:type="nil"/>
              <w:bottom w:w="20" w:type="nil"/>
              <w:right w:w="20" w:type="nil"/>
            </w:tcMar>
            <w:vAlign w:val="center"/>
          </w:tcPr>
          <w:p w14:paraId="090141DE" w14:textId="77777777" w:rsidR="006B087B" w:rsidRPr="0089366F" w:rsidRDefault="006B087B" w:rsidP="00B71EE3">
            <w:r w:rsidRPr="0089366F">
              <w:t>Criterion 3 – Ensure transparency and accessibility of information related to REDD+, including active dissemination among relevant stakeholders</w:t>
            </w:r>
          </w:p>
        </w:tc>
      </w:tr>
      <w:tr w:rsidR="006B087B" w:rsidRPr="0089366F" w14:paraId="66E7BD39" w14:textId="77777777" w:rsidTr="00B71EE3">
        <w:tc>
          <w:tcPr>
            <w:tcW w:w="9639" w:type="dxa"/>
            <w:tcMar>
              <w:top w:w="20" w:type="nil"/>
              <w:left w:w="20" w:type="nil"/>
              <w:bottom w:w="20" w:type="nil"/>
              <w:right w:w="20" w:type="nil"/>
            </w:tcMar>
            <w:vAlign w:val="center"/>
          </w:tcPr>
          <w:p w14:paraId="4979F639" w14:textId="77777777" w:rsidR="006B087B" w:rsidRPr="0089366F" w:rsidRDefault="006B087B" w:rsidP="00B71EE3">
            <w:r w:rsidRPr="0089366F">
              <w:t>Criterion 4 – Ensure the full and effective participation of relevant stakeholders in design, planning and implementation of REDD+ activities, with particular attention to indigenous peoples, local communities and other vulnerable and marginalized groups</w:t>
            </w:r>
          </w:p>
        </w:tc>
      </w:tr>
      <w:tr w:rsidR="006B087B" w:rsidRPr="0089366F" w14:paraId="095A4A90" w14:textId="77777777" w:rsidTr="00B71EE3">
        <w:tc>
          <w:tcPr>
            <w:tcW w:w="963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3532FB6" w14:textId="77777777" w:rsidR="006B087B" w:rsidRPr="0089366F" w:rsidRDefault="006B087B" w:rsidP="00B71EE3">
            <w:r w:rsidRPr="0089366F">
              <w:t>Criterion 9 – Seek free, prior and informed consent of indigenous peoples and respect and uphold the decision taken (whether consent is given or withheld)</w:t>
            </w:r>
          </w:p>
        </w:tc>
      </w:tr>
    </w:tbl>
    <w:p w14:paraId="67EB29F0" w14:textId="77777777" w:rsidR="006B087B" w:rsidRPr="0089366F" w:rsidRDefault="006B087B" w:rsidP="006B087B"/>
    <w:p w14:paraId="43B4BBCC" w14:textId="77777777" w:rsidR="006B087B" w:rsidRPr="0089366F" w:rsidRDefault="006B087B" w:rsidP="006B087B">
      <w:pPr>
        <w:pStyle w:val="Heading4"/>
      </w:pPr>
      <w:r w:rsidRPr="0089366F">
        <w:t>Transparency and Accessibility of Information</w:t>
      </w:r>
    </w:p>
    <w:p w14:paraId="07955243" w14:textId="77777777" w:rsidR="006B087B" w:rsidRPr="0089366F" w:rsidRDefault="006B087B" w:rsidP="006B087B">
      <w:r w:rsidRPr="0089366F">
        <w:t>The Act currently requires the Director to keep proper records of all development applications, environmental impact assessments, public environmental reports and development consents and that those should be made available for perusal by the public during normal working hours.</w:t>
      </w:r>
      <w:r w:rsidRPr="0089366F">
        <w:rPr>
          <w:rStyle w:val="FootnoteReference"/>
        </w:rPr>
        <w:footnoteReference w:id="144"/>
      </w:r>
      <w:r w:rsidRPr="0089366F">
        <w:t>. Information is currently stored within the ECD but is difficult to access.</w:t>
      </w:r>
    </w:p>
    <w:p w14:paraId="06817CF4" w14:textId="77777777" w:rsidR="006B087B" w:rsidRPr="0089366F" w:rsidRDefault="006B087B" w:rsidP="006B087B">
      <w:pPr>
        <w:pStyle w:val="Heading5"/>
      </w:pPr>
      <w:r w:rsidRPr="0089366F">
        <w:t xml:space="preserve">Recommendation </w:t>
      </w:r>
    </w:p>
    <w:p w14:paraId="30A3615A" w14:textId="77777777" w:rsidR="006B087B" w:rsidRPr="0089366F" w:rsidRDefault="006B087B" w:rsidP="009D70D7">
      <w:pPr>
        <w:pStyle w:val="ListParagraph"/>
        <w:numPr>
          <w:ilvl w:val="0"/>
          <w:numId w:val="77"/>
        </w:numPr>
        <w:spacing w:before="0"/>
      </w:pPr>
      <w:r w:rsidRPr="0089366F">
        <w:t xml:space="preserve">Development consent applications and approvals are stored in easily accessible files within the ECD of the MECDM </w:t>
      </w:r>
    </w:p>
    <w:p w14:paraId="06DA82D4" w14:textId="77777777" w:rsidR="006B087B" w:rsidRPr="0089366F" w:rsidRDefault="006B087B" w:rsidP="009D70D7">
      <w:pPr>
        <w:pStyle w:val="ListParagraph"/>
        <w:numPr>
          <w:ilvl w:val="0"/>
          <w:numId w:val="77"/>
        </w:numPr>
        <w:spacing w:before="0"/>
      </w:pPr>
      <w:r w:rsidRPr="0089366F">
        <w:t xml:space="preserve">A data base is established to store this information that is linked to GIS systems showing land-cover use which is publically available through a website. </w:t>
      </w:r>
    </w:p>
    <w:p w14:paraId="07D9BD49" w14:textId="77777777" w:rsidR="006B087B" w:rsidRPr="0089366F" w:rsidRDefault="006B087B" w:rsidP="006B087B"/>
    <w:p w14:paraId="473F4AD2" w14:textId="77777777" w:rsidR="006B087B" w:rsidRPr="0089366F" w:rsidRDefault="006B087B" w:rsidP="006B087B">
      <w:pPr>
        <w:pStyle w:val="Heading4"/>
      </w:pPr>
      <w:r w:rsidRPr="0089366F">
        <w:t>Active Dissemination of Information and Full and Effective Participation</w:t>
      </w:r>
    </w:p>
    <w:p w14:paraId="6226480F" w14:textId="77777777" w:rsidR="006B087B" w:rsidRPr="0089366F" w:rsidRDefault="006B087B" w:rsidP="006B087B">
      <w:r w:rsidRPr="0089366F">
        <w:t xml:space="preserve">To ensure that stakeholders are able to more effectively access this information the information should be provided through a number of formats and engagement with stakeholders should follow the guidance laid out within the guidelines on stakeholder engagement. </w:t>
      </w:r>
    </w:p>
    <w:p w14:paraId="71A74542" w14:textId="77777777" w:rsidR="006B087B" w:rsidRPr="0089366F" w:rsidRDefault="006B087B" w:rsidP="006B087B"/>
    <w:p w14:paraId="3918DEB3" w14:textId="77777777" w:rsidR="006B087B" w:rsidRPr="0089366F" w:rsidRDefault="006B087B" w:rsidP="006B087B"/>
    <w:p w14:paraId="428DFAA1" w14:textId="77777777" w:rsidR="00FD6697" w:rsidRDefault="00FD6697" w:rsidP="00AB53D0">
      <w:pPr>
        <w:rPr>
          <w:b/>
          <w:u w:val="single"/>
        </w:rPr>
      </w:pPr>
    </w:p>
    <w:p w14:paraId="5BD4BC71" w14:textId="77777777" w:rsidR="00FD6697" w:rsidRDefault="00FD6697" w:rsidP="00AB53D0">
      <w:pPr>
        <w:rPr>
          <w:b/>
          <w:u w:val="single"/>
        </w:rPr>
      </w:pPr>
    </w:p>
    <w:p w14:paraId="2A482FCC" w14:textId="77777777" w:rsidR="00AB53D0" w:rsidRDefault="00AB53D0" w:rsidP="00AB53D0">
      <w:pPr>
        <w:sectPr w:rsidR="00AB53D0" w:rsidSect="00AA4B89">
          <w:pgSz w:w="11900" w:h="16840"/>
          <w:pgMar w:top="1440" w:right="1080" w:bottom="1440" w:left="1080" w:header="708" w:footer="708" w:gutter="0"/>
          <w:cols w:space="708"/>
          <w:docGrid w:linePitch="360"/>
        </w:sectPr>
      </w:pPr>
    </w:p>
    <w:p w14:paraId="788135BC" w14:textId="573D8A42" w:rsidR="00AB53D0" w:rsidRDefault="006B087B" w:rsidP="006B087B">
      <w:pPr>
        <w:pStyle w:val="Heading1"/>
        <w:numPr>
          <w:ilvl w:val="0"/>
          <w:numId w:val="0"/>
        </w:numPr>
      </w:pPr>
      <w:bookmarkStart w:id="65" w:name="_Ref247596459"/>
      <w:bookmarkStart w:id="66" w:name="_Toc254892878"/>
      <w:r>
        <w:t>Annex 3</w:t>
      </w:r>
      <w:r w:rsidR="00AB53D0">
        <w:t>: List of International Agreements Relevant to REDD+</w:t>
      </w:r>
      <w:bookmarkEnd w:id="65"/>
      <w:bookmarkEnd w:id="66"/>
      <w:r w:rsidR="00AB53D0">
        <w:t xml:space="preserve"> </w:t>
      </w:r>
    </w:p>
    <w:p w14:paraId="0FF75766" w14:textId="77777777" w:rsidR="00AB53D0" w:rsidRDefault="00AB53D0" w:rsidP="00AB53D0"/>
    <w:tbl>
      <w:tblPr>
        <w:tblW w:w="10349" w:type="dxa"/>
        <w:tblBorders>
          <w:top w:val="single" w:sz="8" w:space="0" w:color="9BBB59"/>
          <w:left w:val="single" w:sz="8" w:space="0" w:color="9BBB59"/>
          <w:bottom w:val="single" w:sz="8" w:space="0" w:color="9BBB59"/>
          <w:right w:val="single" w:sz="8" w:space="0" w:color="9BBB59"/>
        </w:tblBorders>
        <w:tblLayout w:type="fixed"/>
        <w:tblLook w:val="04A0" w:firstRow="1" w:lastRow="0" w:firstColumn="1" w:lastColumn="0" w:noHBand="0" w:noVBand="1"/>
      </w:tblPr>
      <w:tblGrid>
        <w:gridCol w:w="2269"/>
        <w:gridCol w:w="1276"/>
        <w:gridCol w:w="1244"/>
        <w:gridCol w:w="2208"/>
        <w:gridCol w:w="3352"/>
      </w:tblGrid>
      <w:tr w:rsidR="00AB53D0" w:rsidRPr="00784D00" w14:paraId="528B4C2F" w14:textId="77777777" w:rsidTr="00EB5F6F">
        <w:tc>
          <w:tcPr>
            <w:tcW w:w="2269" w:type="dxa"/>
            <w:tcBorders>
              <w:bottom w:val="single" w:sz="8" w:space="0" w:color="9BBB59"/>
            </w:tcBorders>
            <w:shd w:val="clear" w:color="auto" w:fill="9BBB59"/>
          </w:tcPr>
          <w:p w14:paraId="1EE09F53" w14:textId="77777777" w:rsidR="00AB53D0" w:rsidRDefault="00AB53D0" w:rsidP="00EB5F6F">
            <w:pPr>
              <w:rPr>
                <w:b/>
                <w:bCs/>
                <w:color w:val="FFFFFF"/>
                <w:szCs w:val="22"/>
              </w:rPr>
            </w:pPr>
            <w:r w:rsidRPr="00784D00">
              <w:rPr>
                <w:b/>
                <w:bCs/>
                <w:color w:val="FFFFFF"/>
                <w:szCs w:val="22"/>
              </w:rPr>
              <w:t>Convention/</w:t>
            </w:r>
          </w:p>
          <w:p w14:paraId="2A4D00A1" w14:textId="77777777" w:rsidR="00AB53D0" w:rsidRPr="00784D00" w:rsidRDefault="00AB53D0" w:rsidP="00EB5F6F">
            <w:pPr>
              <w:rPr>
                <w:b/>
                <w:bCs/>
                <w:color w:val="FFFFFF"/>
                <w:szCs w:val="22"/>
              </w:rPr>
            </w:pPr>
            <w:r w:rsidRPr="00784D00">
              <w:rPr>
                <w:b/>
                <w:bCs/>
                <w:color w:val="FFFFFF"/>
                <w:szCs w:val="22"/>
              </w:rPr>
              <w:t>Agreements</w:t>
            </w:r>
          </w:p>
        </w:tc>
        <w:tc>
          <w:tcPr>
            <w:tcW w:w="2520" w:type="dxa"/>
            <w:gridSpan w:val="2"/>
            <w:tcBorders>
              <w:bottom w:val="single" w:sz="8" w:space="0" w:color="9BBB59"/>
            </w:tcBorders>
            <w:shd w:val="clear" w:color="auto" w:fill="9BBB59"/>
          </w:tcPr>
          <w:p w14:paraId="671DF348" w14:textId="77777777" w:rsidR="00AB53D0" w:rsidRPr="00784D00" w:rsidRDefault="00AB53D0" w:rsidP="00EB5F6F">
            <w:pPr>
              <w:rPr>
                <w:b/>
                <w:bCs/>
                <w:color w:val="FFFFFF"/>
                <w:szCs w:val="22"/>
              </w:rPr>
            </w:pPr>
            <w:r w:rsidRPr="00784D00">
              <w:rPr>
                <w:b/>
                <w:bCs/>
                <w:color w:val="FFFFFF"/>
                <w:szCs w:val="22"/>
              </w:rPr>
              <w:t xml:space="preserve">Status </w:t>
            </w:r>
          </w:p>
        </w:tc>
        <w:tc>
          <w:tcPr>
            <w:tcW w:w="2208" w:type="dxa"/>
            <w:tcBorders>
              <w:bottom w:val="single" w:sz="8" w:space="0" w:color="9BBB59"/>
            </w:tcBorders>
            <w:shd w:val="clear" w:color="auto" w:fill="9BBB59"/>
          </w:tcPr>
          <w:p w14:paraId="030B0659" w14:textId="77777777" w:rsidR="00AB53D0" w:rsidRPr="00784D00" w:rsidRDefault="00AB53D0" w:rsidP="00EB5F6F">
            <w:pPr>
              <w:rPr>
                <w:b/>
                <w:bCs/>
                <w:color w:val="FFFFFF"/>
                <w:szCs w:val="22"/>
              </w:rPr>
            </w:pPr>
            <w:r w:rsidRPr="00784D00">
              <w:rPr>
                <w:b/>
                <w:bCs/>
                <w:color w:val="FFFFFF"/>
                <w:szCs w:val="22"/>
              </w:rPr>
              <w:t xml:space="preserve">Purpose/Aim </w:t>
            </w:r>
          </w:p>
        </w:tc>
        <w:tc>
          <w:tcPr>
            <w:tcW w:w="3352" w:type="dxa"/>
            <w:tcBorders>
              <w:bottom w:val="single" w:sz="8" w:space="0" w:color="9BBB59"/>
            </w:tcBorders>
            <w:shd w:val="clear" w:color="auto" w:fill="9BBB59"/>
          </w:tcPr>
          <w:p w14:paraId="58FF3B1A" w14:textId="77777777" w:rsidR="00AB53D0" w:rsidRPr="00784D00" w:rsidRDefault="00AB53D0" w:rsidP="00EB5F6F">
            <w:pPr>
              <w:rPr>
                <w:b/>
                <w:bCs/>
                <w:color w:val="FFFFFF"/>
                <w:szCs w:val="22"/>
              </w:rPr>
            </w:pPr>
            <w:r w:rsidRPr="00784D00">
              <w:rPr>
                <w:b/>
                <w:bCs/>
                <w:color w:val="FFFFFF"/>
                <w:szCs w:val="22"/>
              </w:rPr>
              <w:t>Agency Responsible/ Comments</w:t>
            </w:r>
          </w:p>
        </w:tc>
      </w:tr>
      <w:tr w:rsidR="00AB53D0" w:rsidRPr="00784D00" w14:paraId="3EF04BDD" w14:textId="77777777" w:rsidTr="00EB5F6F">
        <w:tc>
          <w:tcPr>
            <w:tcW w:w="10349" w:type="dxa"/>
            <w:gridSpan w:val="5"/>
            <w:tcBorders>
              <w:top w:val="single" w:sz="8" w:space="0" w:color="9BBB59"/>
              <w:left w:val="single" w:sz="8" w:space="0" w:color="9BBB59"/>
              <w:bottom w:val="single" w:sz="8" w:space="0" w:color="9BBB59"/>
              <w:right w:val="single" w:sz="8" w:space="0" w:color="9BBB59"/>
            </w:tcBorders>
            <w:shd w:val="clear" w:color="auto" w:fill="C2D69B"/>
          </w:tcPr>
          <w:p w14:paraId="44F67B98" w14:textId="77777777" w:rsidR="00AB53D0" w:rsidRPr="00784D00" w:rsidRDefault="00AB53D0" w:rsidP="00EB5F6F">
            <w:pPr>
              <w:rPr>
                <w:b/>
                <w:bCs/>
                <w:szCs w:val="22"/>
              </w:rPr>
            </w:pPr>
            <w:r w:rsidRPr="00784D00">
              <w:rPr>
                <w:b/>
                <w:bCs/>
                <w:szCs w:val="22"/>
              </w:rPr>
              <w:t>International Conventions/ Agreements</w:t>
            </w:r>
          </w:p>
        </w:tc>
      </w:tr>
      <w:tr w:rsidR="00AB53D0" w:rsidRPr="00784D00" w14:paraId="126851C7" w14:textId="77777777" w:rsidTr="00EB5F6F">
        <w:tc>
          <w:tcPr>
            <w:tcW w:w="10349" w:type="dxa"/>
            <w:gridSpan w:val="5"/>
            <w:shd w:val="clear" w:color="auto" w:fill="EAF1DD"/>
          </w:tcPr>
          <w:p w14:paraId="239B285E" w14:textId="77777777" w:rsidR="00AB53D0" w:rsidRPr="00784D00" w:rsidRDefault="00AB53D0" w:rsidP="00EB5F6F">
            <w:pPr>
              <w:rPr>
                <w:b/>
                <w:bCs/>
                <w:szCs w:val="22"/>
              </w:rPr>
            </w:pPr>
            <w:r w:rsidRPr="00784D00">
              <w:rPr>
                <w:b/>
                <w:bCs/>
                <w:szCs w:val="22"/>
              </w:rPr>
              <w:t>UNFCCC</w:t>
            </w:r>
          </w:p>
        </w:tc>
      </w:tr>
      <w:tr w:rsidR="00AB53D0" w:rsidRPr="00784D00" w14:paraId="7B2B35D8" w14:textId="77777777" w:rsidTr="00EB5F6F">
        <w:tc>
          <w:tcPr>
            <w:tcW w:w="2269" w:type="dxa"/>
            <w:tcBorders>
              <w:top w:val="single" w:sz="8" w:space="0" w:color="9BBB59"/>
              <w:left w:val="single" w:sz="8" w:space="0" w:color="9BBB59"/>
              <w:bottom w:val="single" w:sz="8" w:space="0" w:color="9BBB59"/>
            </w:tcBorders>
            <w:shd w:val="clear" w:color="auto" w:fill="auto"/>
          </w:tcPr>
          <w:p w14:paraId="4715F88A" w14:textId="77777777" w:rsidR="00AB53D0" w:rsidRPr="00784D00" w:rsidRDefault="00AB53D0" w:rsidP="00EB5F6F">
            <w:pPr>
              <w:jc w:val="left"/>
              <w:rPr>
                <w:b/>
                <w:bCs/>
                <w:sz w:val="20"/>
                <w:szCs w:val="22"/>
              </w:rPr>
            </w:pPr>
            <w:r w:rsidRPr="00784D00">
              <w:rPr>
                <w:b/>
                <w:bCs/>
                <w:sz w:val="20"/>
                <w:szCs w:val="22"/>
              </w:rPr>
              <w:t xml:space="preserve">i). UN Framework Convention on Climate Change (UNFCCC) </w:t>
            </w:r>
          </w:p>
        </w:tc>
        <w:tc>
          <w:tcPr>
            <w:tcW w:w="1276" w:type="dxa"/>
            <w:tcBorders>
              <w:top w:val="single" w:sz="8" w:space="0" w:color="9BBB59"/>
              <w:bottom w:val="single" w:sz="8" w:space="0" w:color="9BBB59"/>
            </w:tcBorders>
            <w:shd w:val="clear" w:color="auto" w:fill="auto"/>
          </w:tcPr>
          <w:p w14:paraId="30EC9748" w14:textId="77777777" w:rsidR="00AB53D0" w:rsidRPr="00784D00" w:rsidRDefault="00AB53D0" w:rsidP="00EB5F6F">
            <w:pPr>
              <w:jc w:val="left"/>
              <w:rPr>
                <w:sz w:val="20"/>
                <w:szCs w:val="22"/>
              </w:rPr>
            </w:pPr>
            <w:r w:rsidRPr="00784D00">
              <w:rPr>
                <w:sz w:val="20"/>
                <w:szCs w:val="22"/>
              </w:rPr>
              <w:t xml:space="preserve">Ratified </w:t>
            </w:r>
          </w:p>
          <w:p w14:paraId="7F747421" w14:textId="77777777" w:rsidR="00AB53D0" w:rsidRPr="00784D00" w:rsidRDefault="00AB53D0" w:rsidP="00EB5F6F">
            <w:pPr>
              <w:jc w:val="left"/>
              <w:rPr>
                <w:sz w:val="20"/>
                <w:szCs w:val="22"/>
              </w:rPr>
            </w:pPr>
            <w:r w:rsidRPr="00784D00">
              <w:rPr>
                <w:sz w:val="20"/>
                <w:szCs w:val="22"/>
              </w:rPr>
              <w:t xml:space="preserve">28/12/1994 </w:t>
            </w:r>
          </w:p>
        </w:tc>
        <w:tc>
          <w:tcPr>
            <w:tcW w:w="3452" w:type="dxa"/>
            <w:gridSpan w:val="2"/>
            <w:tcBorders>
              <w:top w:val="single" w:sz="8" w:space="0" w:color="9BBB59"/>
              <w:bottom w:val="single" w:sz="8" w:space="0" w:color="9BBB59"/>
            </w:tcBorders>
            <w:shd w:val="clear" w:color="auto" w:fill="auto"/>
          </w:tcPr>
          <w:p w14:paraId="31980110" w14:textId="77777777" w:rsidR="00AB53D0" w:rsidRPr="00784D00" w:rsidRDefault="00AB53D0" w:rsidP="00EB5F6F">
            <w:pPr>
              <w:jc w:val="left"/>
              <w:rPr>
                <w:sz w:val="20"/>
                <w:szCs w:val="22"/>
              </w:rPr>
            </w:pPr>
            <w:r w:rsidRPr="00784D00">
              <w:rPr>
                <w:sz w:val="20"/>
                <w:szCs w:val="22"/>
              </w:rPr>
              <w:t xml:space="preserve">Sets an overall framework for intergovernmental efforts to tackle the challenge posed by climate change. </w:t>
            </w:r>
          </w:p>
          <w:p w14:paraId="2F6D8C05" w14:textId="77777777" w:rsidR="00AB53D0" w:rsidRPr="00784D00" w:rsidRDefault="00AB53D0" w:rsidP="00EB5F6F">
            <w:pPr>
              <w:jc w:val="left"/>
              <w:rPr>
                <w:sz w:val="20"/>
                <w:szCs w:val="22"/>
              </w:rPr>
            </w:pPr>
          </w:p>
        </w:tc>
        <w:tc>
          <w:tcPr>
            <w:tcW w:w="3352" w:type="dxa"/>
            <w:tcBorders>
              <w:top w:val="single" w:sz="8" w:space="0" w:color="9BBB59"/>
              <w:bottom w:val="single" w:sz="8" w:space="0" w:color="9BBB59"/>
              <w:right w:val="single" w:sz="8" w:space="0" w:color="9BBB59"/>
            </w:tcBorders>
            <w:shd w:val="clear" w:color="auto" w:fill="auto"/>
          </w:tcPr>
          <w:p w14:paraId="18A1610E" w14:textId="77777777" w:rsidR="00AB53D0" w:rsidRPr="00784D00" w:rsidRDefault="00AB53D0" w:rsidP="00EB5F6F">
            <w:pPr>
              <w:jc w:val="left"/>
              <w:rPr>
                <w:sz w:val="20"/>
                <w:szCs w:val="22"/>
              </w:rPr>
            </w:pPr>
            <w:r w:rsidRPr="00784D00">
              <w:rPr>
                <w:sz w:val="20"/>
                <w:szCs w:val="22"/>
                <w:u w:val="single"/>
              </w:rPr>
              <w:t>MECDM:</w:t>
            </w:r>
            <w:r w:rsidRPr="00784D00">
              <w:rPr>
                <w:sz w:val="20"/>
                <w:szCs w:val="22"/>
              </w:rPr>
              <w:t xml:space="preserve"> (climate change division) </w:t>
            </w:r>
          </w:p>
          <w:p w14:paraId="02150346" w14:textId="77777777" w:rsidR="00AB53D0" w:rsidRPr="00784D00" w:rsidRDefault="00AB53D0" w:rsidP="00EB5F6F">
            <w:pPr>
              <w:jc w:val="left"/>
              <w:rPr>
                <w:sz w:val="20"/>
                <w:szCs w:val="22"/>
              </w:rPr>
            </w:pPr>
            <w:r w:rsidRPr="00784D00">
              <w:rPr>
                <w:i/>
                <w:iCs/>
                <w:sz w:val="20"/>
                <w:szCs w:val="22"/>
              </w:rPr>
              <w:t xml:space="preserve">Project: </w:t>
            </w:r>
            <w:r w:rsidRPr="00784D00">
              <w:rPr>
                <w:sz w:val="20"/>
                <w:szCs w:val="22"/>
              </w:rPr>
              <w:t xml:space="preserve">NAPA; First &amp; Second National Communication on Climate Change; NCSA </w:t>
            </w:r>
          </w:p>
        </w:tc>
      </w:tr>
      <w:tr w:rsidR="00AB53D0" w:rsidRPr="00784D00" w14:paraId="2D5AEEF6" w14:textId="77777777" w:rsidTr="00EB5F6F">
        <w:tc>
          <w:tcPr>
            <w:tcW w:w="2269" w:type="dxa"/>
            <w:shd w:val="clear" w:color="auto" w:fill="auto"/>
          </w:tcPr>
          <w:p w14:paraId="43BDA020" w14:textId="77777777" w:rsidR="00AB53D0" w:rsidRPr="00784D00" w:rsidRDefault="00AB53D0" w:rsidP="00EB5F6F">
            <w:pPr>
              <w:jc w:val="left"/>
              <w:rPr>
                <w:b/>
                <w:bCs/>
                <w:sz w:val="20"/>
                <w:szCs w:val="22"/>
              </w:rPr>
            </w:pPr>
            <w:r w:rsidRPr="00784D00">
              <w:rPr>
                <w:b/>
                <w:bCs/>
                <w:sz w:val="20"/>
                <w:szCs w:val="22"/>
              </w:rPr>
              <w:t xml:space="preserve">ii). Kyoto Protocol on </w:t>
            </w:r>
          </w:p>
        </w:tc>
        <w:tc>
          <w:tcPr>
            <w:tcW w:w="1276" w:type="dxa"/>
            <w:shd w:val="clear" w:color="auto" w:fill="auto"/>
          </w:tcPr>
          <w:p w14:paraId="5CB4B162" w14:textId="77777777" w:rsidR="00AB53D0" w:rsidRPr="00784D00" w:rsidRDefault="00AB53D0" w:rsidP="00EB5F6F">
            <w:pPr>
              <w:jc w:val="left"/>
              <w:rPr>
                <w:sz w:val="20"/>
                <w:szCs w:val="22"/>
              </w:rPr>
            </w:pPr>
            <w:r w:rsidRPr="00784D00">
              <w:rPr>
                <w:sz w:val="20"/>
                <w:szCs w:val="22"/>
              </w:rPr>
              <w:t xml:space="preserve">Ratified </w:t>
            </w:r>
          </w:p>
          <w:p w14:paraId="1B05DA90" w14:textId="77777777" w:rsidR="00AB53D0" w:rsidRPr="00784D00" w:rsidRDefault="00AB53D0" w:rsidP="00EB5F6F">
            <w:pPr>
              <w:jc w:val="left"/>
              <w:rPr>
                <w:sz w:val="20"/>
                <w:szCs w:val="22"/>
              </w:rPr>
            </w:pPr>
            <w:r w:rsidRPr="00784D00">
              <w:rPr>
                <w:sz w:val="20"/>
                <w:szCs w:val="22"/>
              </w:rPr>
              <w:t xml:space="preserve">13/3/2003 </w:t>
            </w:r>
          </w:p>
        </w:tc>
        <w:tc>
          <w:tcPr>
            <w:tcW w:w="3452" w:type="dxa"/>
            <w:gridSpan w:val="2"/>
            <w:shd w:val="clear" w:color="auto" w:fill="auto"/>
          </w:tcPr>
          <w:p w14:paraId="4A9E979C" w14:textId="77777777" w:rsidR="00AB53D0" w:rsidRPr="00784D00" w:rsidRDefault="00AB53D0" w:rsidP="00EB5F6F">
            <w:pPr>
              <w:jc w:val="left"/>
              <w:rPr>
                <w:sz w:val="20"/>
                <w:szCs w:val="22"/>
              </w:rPr>
            </w:pPr>
            <w:r w:rsidRPr="00784D00">
              <w:rPr>
                <w:sz w:val="20"/>
                <w:szCs w:val="22"/>
              </w:rPr>
              <w:t xml:space="preserve">Reduce greenhouse gases especially carbon dioxide for the 39 industrial/ developed by an average of 5.2 % by 2012. </w:t>
            </w:r>
          </w:p>
        </w:tc>
        <w:tc>
          <w:tcPr>
            <w:tcW w:w="3352" w:type="dxa"/>
            <w:shd w:val="clear" w:color="auto" w:fill="auto"/>
          </w:tcPr>
          <w:p w14:paraId="412B1895" w14:textId="77777777" w:rsidR="00AB53D0" w:rsidRPr="00784D00" w:rsidRDefault="00AB53D0" w:rsidP="00EB5F6F">
            <w:pPr>
              <w:jc w:val="left"/>
              <w:rPr>
                <w:sz w:val="20"/>
                <w:szCs w:val="22"/>
              </w:rPr>
            </w:pPr>
            <w:r w:rsidRPr="00784D00">
              <w:rPr>
                <w:sz w:val="20"/>
                <w:szCs w:val="22"/>
              </w:rPr>
              <w:t xml:space="preserve">MECDM </w:t>
            </w:r>
          </w:p>
        </w:tc>
      </w:tr>
      <w:tr w:rsidR="00AB53D0" w:rsidRPr="00784D00" w14:paraId="4021EFDF" w14:textId="77777777" w:rsidTr="00EB5F6F">
        <w:tc>
          <w:tcPr>
            <w:tcW w:w="2269" w:type="dxa"/>
            <w:tcBorders>
              <w:top w:val="single" w:sz="8" w:space="0" w:color="9BBB59"/>
              <w:left w:val="single" w:sz="8" w:space="0" w:color="9BBB59"/>
              <w:bottom w:val="single" w:sz="8" w:space="0" w:color="9BBB59"/>
            </w:tcBorders>
            <w:shd w:val="clear" w:color="auto" w:fill="auto"/>
          </w:tcPr>
          <w:p w14:paraId="148E1D40" w14:textId="77777777" w:rsidR="00AB53D0" w:rsidRPr="00784D00" w:rsidRDefault="00AB53D0" w:rsidP="00EB5F6F">
            <w:pPr>
              <w:jc w:val="left"/>
              <w:rPr>
                <w:b/>
                <w:bCs/>
                <w:sz w:val="20"/>
                <w:szCs w:val="22"/>
              </w:rPr>
            </w:pPr>
            <w:r w:rsidRPr="00784D00">
              <w:rPr>
                <w:b/>
                <w:bCs/>
                <w:sz w:val="20"/>
                <w:szCs w:val="22"/>
              </w:rPr>
              <w:t xml:space="preserve">iii). Montreal Protocol </w:t>
            </w:r>
          </w:p>
        </w:tc>
        <w:tc>
          <w:tcPr>
            <w:tcW w:w="1276" w:type="dxa"/>
            <w:tcBorders>
              <w:top w:val="single" w:sz="8" w:space="0" w:color="9BBB59"/>
              <w:bottom w:val="single" w:sz="8" w:space="0" w:color="9BBB59"/>
            </w:tcBorders>
            <w:shd w:val="clear" w:color="auto" w:fill="auto"/>
          </w:tcPr>
          <w:p w14:paraId="2B04D779" w14:textId="77777777" w:rsidR="00AB53D0" w:rsidRPr="00784D00" w:rsidRDefault="00AB53D0" w:rsidP="00EB5F6F">
            <w:pPr>
              <w:jc w:val="left"/>
              <w:rPr>
                <w:sz w:val="20"/>
                <w:szCs w:val="22"/>
              </w:rPr>
            </w:pPr>
            <w:r w:rsidRPr="00784D00">
              <w:rPr>
                <w:sz w:val="20"/>
                <w:szCs w:val="22"/>
              </w:rPr>
              <w:t xml:space="preserve">Acceded </w:t>
            </w:r>
          </w:p>
          <w:p w14:paraId="73CB11C6" w14:textId="77777777" w:rsidR="00AB53D0" w:rsidRPr="00784D00" w:rsidRDefault="00AB53D0" w:rsidP="00EB5F6F">
            <w:pPr>
              <w:jc w:val="left"/>
              <w:rPr>
                <w:sz w:val="20"/>
                <w:szCs w:val="22"/>
              </w:rPr>
            </w:pPr>
            <w:r w:rsidRPr="00784D00">
              <w:rPr>
                <w:sz w:val="20"/>
                <w:szCs w:val="22"/>
              </w:rPr>
              <w:t xml:space="preserve">17/6/1993 </w:t>
            </w:r>
          </w:p>
        </w:tc>
        <w:tc>
          <w:tcPr>
            <w:tcW w:w="3452" w:type="dxa"/>
            <w:gridSpan w:val="2"/>
            <w:tcBorders>
              <w:top w:val="single" w:sz="8" w:space="0" w:color="9BBB59"/>
              <w:bottom w:val="single" w:sz="8" w:space="0" w:color="9BBB59"/>
            </w:tcBorders>
            <w:shd w:val="clear" w:color="auto" w:fill="auto"/>
          </w:tcPr>
          <w:p w14:paraId="5075CA72" w14:textId="77777777" w:rsidR="00AB53D0" w:rsidRPr="00784D00" w:rsidRDefault="00AB53D0" w:rsidP="00EB5F6F">
            <w:pPr>
              <w:jc w:val="left"/>
              <w:rPr>
                <w:sz w:val="20"/>
                <w:szCs w:val="22"/>
              </w:rPr>
            </w:pPr>
            <w:r w:rsidRPr="00784D00">
              <w:rPr>
                <w:sz w:val="20"/>
                <w:szCs w:val="22"/>
              </w:rPr>
              <w:t xml:space="preserve">Allows phase out of substances that deplete the ozone layer according a fixed schedule. </w:t>
            </w:r>
          </w:p>
        </w:tc>
        <w:tc>
          <w:tcPr>
            <w:tcW w:w="3352" w:type="dxa"/>
            <w:tcBorders>
              <w:top w:val="single" w:sz="8" w:space="0" w:color="9BBB59"/>
              <w:bottom w:val="single" w:sz="8" w:space="0" w:color="9BBB59"/>
              <w:right w:val="single" w:sz="8" w:space="0" w:color="9BBB59"/>
            </w:tcBorders>
            <w:shd w:val="clear" w:color="auto" w:fill="auto"/>
          </w:tcPr>
          <w:p w14:paraId="51E45872" w14:textId="77777777" w:rsidR="00AB53D0" w:rsidRPr="00784D00" w:rsidRDefault="00AB53D0" w:rsidP="00EB5F6F">
            <w:pPr>
              <w:jc w:val="left"/>
              <w:rPr>
                <w:sz w:val="20"/>
                <w:szCs w:val="22"/>
              </w:rPr>
            </w:pPr>
            <w:r w:rsidRPr="00784D00">
              <w:rPr>
                <w:sz w:val="20"/>
                <w:szCs w:val="22"/>
              </w:rPr>
              <w:t xml:space="preserve">ECD/Energy Division </w:t>
            </w:r>
          </w:p>
        </w:tc>
      </w:tr>
      <w:tr w:rsidR="00AB53D0" w:rsidRPr="00784D00" w14:paraId="549FE2E5" w14:textId="77777777" w:rsidTr="00EB5F6F">
        <w:tc>
          <w:tcPr>
            <w:tcW w:w="2269" w:type="dxa"/>
            <w:shd w:val="clear" w:color="auto" w:fill="auto"/>
          </w:tcPr>
          <w:p w14:paraId="70FC0B69" w14:textId="77777777" w:rsidR="00AB53D0" w:rsidRPr="00784D00" w:rsidRDefault="00AB53D0" w:rsidP="00EB5F6F">
            <w:pPr>
              <w:jc w:val="left"/>
              <w:rPr>
                <w:b/>
                <w:bCs/>
                <w:sz w:val="20"/>
                <w:szCs w:val="22"/>
              </w:rPr>
            </w:pPr>
            <w:r w:rsidRPr="00784D00">
              <w:rPr>
                <w:b/>
                <w:bCs/>
                <w:sz w:val="20"/>
                <w:szCs w:val="22"/>
              </w:rPr>
              <w:t xml:space="preserve">iv). Ozone Layer </w:t>
            </w:r>
          </w:p>
          <w:p w14:paraId="104EAD57" w14:textId="77777777" w:rsidR="00AB53D0" w:rsidRPr="00784D00" w:rsidRDefault="00AB53D0" w:rsidP="00EB5F6F">
            <w:pPr>
              <w:jc w:val="left"/>
              <w:rPr>
                <w:b/>
                <w:bCs/>
                <w:sz w:val="20"/>
                <w:szCs w:val="22"/>
              </w:rPr>
            </w:pPr>
            <w:r w:rsidRPr="00784D00">
              <w:rPr>
                <w:b/>
                <w:bCs/>
                <w:sz w:val="20"/>
                <w:szCs w:val="22"/>
              </w:rPr>
              <w:t xml:space="preserve">Convention (Vienna) </w:t>
            </w:r>
          </w:p>
        </w:tc>
        <w:tc>
          <w:tcPr>
            <w:tcW w:w="1276" w:type="dxa"/>
            <w:shd w:val="clear" w:color="auto" w:fill="auto"/>
          </w:tcPr>
          <w:p w14:paraId="355C8F30" w14:textId="77777777" w:rsidR="00AB53D0" w:rsidRPr="00784D00" w:rsidRDefault="00AB53D0" w:rsidP="00EB5F6F">
            <w:pPr>
              <w:jc w:val="left"/>
              <w:rPr>
                <w:sz w:val="20"/>
                <w:szCs w:val="22"/>
              </w:rPr>
            </w:pPr>
            <w:r w:rsidRPr="00784D00">
              <w:rPr>
                <w:sz w:val="20"/>
                <w:szCs w:val="22"/>
              </w:rPr>
              <w:t xml:space="preserve">Acceded </w:t>
            </w:r>
          </w:p>
          <w:p w14:paraId="3AEE0133" w14:textId="77777777" w:rsidR="00AB53D0" w:rsidRPr="00784D00" w:rsidRDefault="00AB53D0" w:rsidP="00EB5F6F">
            <w:pPr>
              <w:jc w:val="left"/>
              <w:rPr>
                <w:sz w:val="20"/>
                <w:szCs w:val="22"/>
              </w:rPr>
            </w:pPr>
            <w:r w:rsidRPr="00784D00">
              <w:rPr>
                <w:sz w:val="20"/>
                <w:szCs w:val="22"/>
              </w:rPr>
              <w:t xml:space="preserve">17/6/1993 </w:t>
            </w:r>
          </w:p>
        </w:tc>
        <w:tc>
          <w:tcPr>
            <w:tcW w:w="3452" w:type="dxa"/>
            <w:gridSpan w:val="2"/>
            <w:shd w:val="clear" w:color="auto" w:fill="auto"/>
          </w:tcPr>
          <w:p w14:paraId="57B0D66C" w14:textId="77777777" w:rsidR="00AB53D0" w:rsidRPr="00784D00" w:rsidRDefault="00AB53D0" w:rsidP="00EB5F6F">
            <w:pPr>
              <w:jc w:val="left"/>
              <w:rPr>
                <w:sz w:val="20"/>
                <w:szCs w:val="22"/>
              </w:rPr>
            </w:pPr>
            <w:r w:rsidRPr="00784D00">
              <w:rPr>
                <w:sz w:val="20"/>
                <w:szCs w:val="22"/>
              </w:rPr>
              <w:t xml:space="preserve">Protection of the ozone layer through intergovernmental cooperation on research, systematic observation of the ozone layer and monitoring of chlorofluorocarbon production </w:t>
            </w:r>
          </w:p>
        </w:tc>
        <w:tc>
          <w:tcPr>
            <w:tcW w:w="3352" w:type="dxa"/>
            <w:shd w:val="clear" w:color="auto" w:fill="auto"/>
          </w:tcPr>
          <w:p w14:paraId="361EBF5B" w14:textId="77777777" w:rsidR="00AB53D0" w:rsidRPr="00784D00" w:rsidRDefault="00AB53D0" w:rsidP="00EB5F6F">
            <w:pPr>
              <w:jc w:val="left"/>
              <w:rPr>
                <w:sz w:val="20"/>
                <w:szCs w:val="22"/>
                <w:u w:val="single"/>
              </w:rPr>
            </w:pPr>
            <w:r w:rsidRPr="00784D00">
              <w:rPr>
                <w:sz w:val="20"/>
                <w:szCs w:val="22"/>
                <w:u w:val="single"/>
              </w:rPr>
              <w:t xml:space="preserve">MECM/ Energy Division: </w:t>
            </w:r>
          </w:p>
        </w:tc>
      </w:tr>
      <w:tr w:rsidR="00AB53D0" w:rsidRPr="00784D00" w14:paraId="1542B217" w14:textId="77777777" w:rsidTr="00EB5F6F">
        <w:tc>
          <w:tcPr>
            <w:tcW w:w="10349" w:type="dxa"/>
            <w:gridSpan w:val="5"/>
            <w:tcBorders>
              <w:top w:val="single" w:sz="8" w:space="0" w:color="9BBB59"/>
              <w:left w:val="single" w:sz="8" w:space="0" w:color="9BBB59"/>
              <w:bottom w:val="single" w:sz="8" w:space="0" w:color="9BBB59"/>
              <w:right w:val="single" w:sz="8" w:space="0" w:color="9BBB59"/>
            </w:tcBorders>
            <w:shd w:val="clear" w:color="auto" w:fill="EAF1DD"/>
          </w:tcPr>
          <w:p w14:paraId="14D0470E" w14:textId="77777777" w:rsidR="00AB53D0" w:rsidRPr="00784D00" w:rsidRDefault="00AB53D0" w:rsidP="00EB5F6F">
            <w:pPr>
              <w:jc w:val="left"/>
              <w:rPr>
                <w:b/>
                <w:bCs/>
                <w:szCs w:val="22"/>
              </w:rPr>
            </w:pPr>
            <w:r w:rsidRPr="00784D00">
              <w:rPr>
                <w:b/>
                <w:bCs/>
                <w:szCs w:val="22"/>
              </w:rPr>
              <w:t>UNCBD</w:t>
            </w:r>
          </w:p>
        </w:tc>
      </w:tr>
      <w:tr w:rsidR="00AB53D0" w:rsidRPr="00784D00" w14:paraId="0CC456DB" w14:textId="77777777" w:rsidTr="00EB5F6F">
        <w:tc>
          <w:tcPr>
            <w:tcW w:w="2269" w:type="dxa"/>
            <w:shd w:val="clear" w:color="auto" w:fill="auto"/>
          </w:tcPr>
          <w:p w14:paraId="3AB6D334" w14:textId="77777777" w:rsidR="00AB53D0" w:rsidRPr="00784D00" w:rsidRDefault="00AB53D0" w:rsidP="00EB5F6F">
            <w:pPr>
              <w:jc w:val="left"/>
              <w:rPr>
                <w:b/>
                <w:bCs/>
                <w:sz w:val="20"/>
                <w:szCs w:val="20"/>
              </w:rPr>
            </w:pPr>
            <w:r w:rsidRPr="00784D00">
              <w:rPr>
                <w:b/>
                <w:bCs/>
                <w:sz w:val="20"/>
                <w:szCs w:val="20"/>
              </w:rPr>
              <w:t xml:space="preserve">i). Convention on </w:t>
            </w:r>
          </w:p>
          <w:p w14:paraId="12D14A3C" w14:textId="77777777" w:rsidR="00AB53D0" w:rsidRPr="00784D00" w:rsidRDefault="00AB53D0" w:rsidP="00EB5F6F">
            <w:pPr>
              <w:jc w:val="left"/>
              <w:rPr>
                <w:b/>
                <w:bCs/>
                <w:sz w:val="20"/>
                <w:szCs w:val="20"/>
              </w:rPr>
            </w:pPr>
            <w:r w:rsidRPr="00784D00">
              <w:rPr>
                <w:b/>
                <w:bCs/>
                <w:sz w:val="20"/>
                <w:szCs w:val="20"/>
              </w:rPr>
              <w:t>Biological Diversity (UNCBD)</w:t>
            </w:r>
          </w:p>
        </w:tc>
        <w:tc>
          <w:tcPr>
            <w:tcW w:w="1276" w:type="dxa"/>
            <w:shd w:val="clear" w:color="auto" w:fill="auto"/>
          </w:tcPr>
          <w:p w14:paraId="02199932" w14:textId="77777777" w:rsidR="00AB53D0" w:rsidRPr="00784D00" w:rsidRDefault="00AB53D0" w:rsidP="00EB5F6F">
            <w:pPr>
              <w:jc w:val="left"/>
              <w:rPr>
                <w:sz w:val="20"/>
                <w:szCs w:val="20"/>
              </w:rPr>
            </w:pPr>
            <w:r w:rsidRPr="00784D00">
              <w:rPr>
                <w:sz w:val="20"/>
                <w:szCs w:val="20"/>
              </w:rPr>
              <w:t xml:space="preserve">Ratified </w:t>
            </w:r>
          </w:p>
          <w:p w14:paraId="2B16CBE3" w14:textId="77777777" w:rsidR="00AB53D0" w:rsidRPr="00784D00" w:rsidRDefault="00AB53D0" w:rsidP="00EB5F6F">
            <w:pPr>
              <w:jc w:val="left"/>
              <w:rPr>
                <w:sz w:val="20"/>
                <w:szCs w:val="20"/>
              </w:rPr>
            </w:pPr>
            <w:r w:rsidRPr="00784D00">
              <w:rPr>
                <w:sz w:val="20"/>
                <w:szCs w:val="20"/>
              </w:rPr>
              <w:t xml:space="preserve">3/10/1995 </w:t>
            </w:r>
          </w:p>
        </w:tc>
        <w:tc>
          <w:tcPr>
            <w:tcW w:w="3452" w:type="dxa"/>
            <w:gridSpan w:val="2"/>
            <w:shd w:val="clear" w:color="auto" w:fill="auto"/>
          </w:tcPr>
          <w:p w14:paraId="24988A34" w14:textId="77777777" w:rsidR="00AB53D0" w:rsidRPr="00784D00" w:rsidRDefault="00AB53D0" w:rsidP="00EB5F6F">
            <w:pPr>
              <w:jc w:val="left"/>
              <w:rPr>
                <w:sz w:val="20"/>
                <w:szCs w:val="20"/>
              </w:rPr>
            </w:pPr>
            <w:r w:rsidRPr="00784D00">
              <w:rPr>
                <w:sz w:val="20"/>
                <w:szCs w:val="20"/>
              </w:rPr>
              <w:t xml:space="preserve">Conserve biological diversity through the sustainable use of its components and the fair and equitable sharing of the benefits arising out of utilizing genetic resources. </w:t>
            </w:r>
          </w:p>
        </w:tc>
        <w:tc>
          <w:tcPr>
            <w:tcW w:w="3352" w:type="dxa"/>
            <w:shd w:val="clear" w:color="auto" w:fill="auto"/>
          </w:tcPr>
          <w:p w14:paraId="0AFAA2FE" w14:textId="77777777" w:rsidR="00AB53D0" w:rsidRPr="00784D00" w:rsidRDefault="00AB53D0" w:rsidP="00EB5F6F">
            <w:pPr>
              <w:jc w:val="left"/>
              <w:rPr>
                <w:sz w:val="20"/>
                <w:szCs w:val="20"/>
                <w:u w:val="single"/>
              </w:rPr>
            </w:pPr>
            <w:r w:rsidRPr="00784D00">
              <w:rPr>
                <w:sz w:val="20"/>
                <w:szCs w:val="20"/>
                <w:u w:val="single"/>
              </w:rPr>
              <w:t>MECDM:</w:t>
            </w:r>
          </w:p>
          <w:p w14:paraId="4C4BA34B" w14:textId="77777777" w:rsidR="00AB53D0" w:rsidRPr="00784D00" w:rsidRDefault="00AB53D0" w:rsidP="00EB5F6F">
            <w:pPr>
              <w:jc w:val="left"/>
              <w:rPr>
                <w:sz w:val="20"/>
                <w:szCs w:val="20"/>
              </w:rPr>
            </w:pPr>
            <w:r w:rsidRPr="00784D00">
              <w:rPr>
                <w:i/>
                <w:iCs/>
                <w:sz w:val="20"/>
                <w:szCs w:val="20"/>
              </w:rPr>
              <w:t xml:space="preserve">Project: </w:t>
            </w:r>
            <w:r w:rsidRPr="00784D00">
              <w:rPr>
                <w:sz w:val="20"/>
                <w:szCs w:val="20"/>
              </w:rPr>
              <w:t xml:space="preserve">NCSA; NBSAP; International Waters Programme; 3rd and 4th national reports. </w:t>
            </w:r>
          </w:p>
        </w:tc>
      </w:tr>
      <w:tr w:rsidR="00AB53D0" w:rsidRPr="00784D00" w14:paraId="59504715" w14:textId="77777777" w:rsidTr="00EB5F6F">
        <w:tc>
          <w:tcPr>
            <w:tcW w:w="2269" w:type="dxa"/>
            <w:tcBorders>
              <w:top w:val="single" w:sz="8" w:space="0" w:color="9BBB59"/>
              <w:left w:val="single" w:sz="8" w:space="0" w:color="9BBB59"/>
              <w:bottom w:val="single" w:sz="8" w:space="0" w:color="9BBB59"/>
            </w:tcBorders>
            <w:shd w:val="clear" w:color="auto" w:fill="auto"/>
          </w:tcPr>
          <w:p w14:paraId="6344C488" w14:textId="77777777" w:rsidR="00AB53D0" w:rsidRPr="00784D00" w:rsidRDefault="00AB53D0" w:rsidP="00EB5F6F">
            <w:pPr>
              <w:jc w:val="left"/>
              <w:rPr>
                <w:b/>
                <w:bCs/>
                <w:sz w:val="20"/>
                <w:szCs w:val="20"/>
              </w:rPr>
            </w:pPr>
            <w:r w:rsidRPr="00784D00">
              <w:rPr>
                <w:b/>
                <w:bCs/>
                <w:sz w:val="20"/>
                <w:szCs w:val="20"/>
              </w:rPr>
              <w:t xml:space="preserve">ii) Convention on Illegal Trade in Endangered Species of Flora and Fauna (CITES) </w:t>
            </w:r>
          </w:p>
        </w:tc>
        <w:tc>
          <w:tcPr>
            <w:tcW w:w="1276" w:type="dxa"/>
            <w:tcBorders>
              <w:top w:val="single" w:sz="8" w:space="0" w:color="9BBB59"/>
              <w:bottom w:val="single" w:sz="8" w:space="0" w:color="9BBB59"/>
            </w:tcBorders>
            <w:shd w:val="clear" w:color="auto" w:fill="auto"/>
          </w:tcPr>
          <w:p w14:paraId="60347F5A" w14:textId="77777777" w:rsidR="00AB53D0" w:rsidRPr="00784D00" w:rsidRDefault="00AB53D0" w:rsidP="00EB5F6F">
            <w:pPr>
              <w:jc w:val="left"/>
              <w:rPr>
                <w:sz w:val="20"/>
                <w:szCs w:val="20"/>
              </w:rPr>
            </w:pPr>
            <w:r w:rsidRPr="00784D00">
              <w:rPr>
                <w:sz w:val="20"/>
                <w:szCs w:val="20"/>
              </w:rPr>
              <w:t xml:space="preserve">Acceded </w:t>
            </w:r>
          </w:p>
          <w:p w14:paraId="590699C1" w14:textId="77777777" w:rsidR="00AB53D0" w:rsidRPr="00784D00" w:rsidRDefault="00AB53D0" w:rsidP="00EB5F6F">
            <w:pPr>
              <w:jc w:val="left"/>
              <w:rPr>
                <w:sz w:val="20"/>
                <w:szCs w:val="20"/>
              </w:rPr>
            </w:pPr>
            <w:r w:rsidRPr="00784D00">
              <w:rPr>
                <w:sz w:val="20"/>
                <w:szCs w:val="20"/>
              </w:rPr>
              <w:t xml:space="preserve">24 /6/ 2007 </w:t>
            </w:r>
          </w:p>
        </w:tc>
        <w:tc>
          <w:tcPr>
            <w:tcW w:w="3452" w:type="dxa"/>
            <w:gridSpan w:val="2"/>
            <w:tcBorders>
              <w:top w:val="single" w:sz="8" w:space="0" w:color="9BBB59"/>
              <w:bottom w:val="single" w:sz="8" w:space="0" w:color="9BBB59"/>
            </w:tcBorders>
            <w:shd w:val="clear" w:color="auto" w:fill="auto"/>
          </w:tcPr>
          <w:p w14:paraId="6D4556D4" w14:textId="77777777" w:rsidR="00AB53D0" w:rsidRPr="00784D00" w:rsidRDefault="00AB53D0" w:rsidP="00EB5F6F">
            <w:pPr>
              <w:jc w:val="left"/>
              <w:rPr>
                <w:sz w:val="20"/>
                <w:szCs w:val="20"/>
              </w:rPr>
            </w:pPr>
            <w:r w:rsidRPr="00784D00">
              <w:rPr>
                <w:sz w:val="20"/>
                <w:szCs w:val="20"/>
              </w:rPr>
              <w:t xml:space="preserve">Regulation and restriction of trade in specimens of wild animals and plants through a certification system for imports and exports. </w:t>
            </w:r>
          </w:p>
        </w:tc>
        <w:tc>
          <w:tcPr>
            <w:tcW w:w="3352" w:type="dxa"/>
            <w:tcBorders>
              <w:top w:val="single" w:sz="8" w:space="0" w:color="9BBB59"/>
              <w:bottom w:val="single" w:sz="8" w:space="0" w:color="9BBB59"/>
              <w:right w:val="single" w:sz="8" w:space="0" w:color="9BBB59"/>
            </w:tcBorders>
            <w:shd w:val="clear" w:color="auto" w:fill="auto"/>
          </w:tcPr>
          <w:p w14:paraId="1820FB6E" w14:textId="77777777" w:rsidR="00AB53D0" w:rsidRPr="00784D00" w:rsidRDefault="00AB53D0" w:rsidP="00EB5F6F">
            <w:pPr>
              <w:jc w:val="left"/>
              <w:rPr>
                <w:sz w:val="20"/>
                <w:szCs w:val="20"/>
                <w:u w:val="single"/>
              </w:rPr>
            </w:pPr>
            <w:r w:rsidRPr="00784D00">
              <w:rPr>
                <w:sz w:val="20"/>
                <w:szCs w:val="20"/>
                <w:u w:val="single"/>
              </w:rPr>
              <w:t>MECM:</w:t>
            </w:r>
          </w:p>
          <w:p w14:paraId="445A5A8A" w14:textId="77777777" w:rsidR="00AB53D0" w:rsidRPr="00784D00" w:rsidRDefault="00AB53D0" w:rsidP="00EB5F6F">
            <w:pPr>
              <w:jc w:val="left"/>
              <w:rPr>
                <w:sz w:val="20"/>
                <w:szCs w:val="20"/>
                <w:u w:val="single"/>
              </w:rPr>
            </w:pPr>
            <w:r w:rsidRPr="00784D00">
              <w:rPr>
                <w:sz w:val="20"/>
                <w:szCs w:val="20"/>
              </w:rPr>
              <w:t>Legislation: Wildlife Protection and Management Act 1998 and regulations 2008.</w:t>
            </w:r>
          </w:p>
        </w:tc>
      </w:tr>
      <w:tr w:rsidR="00AB53D0" w:rsidRPr="00784D00" w14:paraId="73F48217" w14:textId="77777777" w:rsidTr="00EB5F6F">
        <w:tc>
          <w:tcPr>
            <w:tcW w:w="2269" w:type="dxa"/>
            <w:shd w:val="clear" w:color="auto" w:fill="auto"/>
          </w:tcPr>
          <w:p w14:paraId="77C3E07E" w14:textId="77777777" w:rsidR="00AB53D0" w:rsidRPr="00784D00" w:rsidRDefault="00AB53D0" w:rsidP="00EB5F6F">
            <w:pPr>
              <w:jc w:val="left"/>
              <w:rPr>
                <w:b/>
                <w:bCs/>
                <w:sz w:val="20"/>
                <w:szCs w:val="20"/>
              </w:rPr>
            </w:pPr>
            <w:r w:rsidRPr="00784D00">
              <w:rPr>
                <w:b/>
                <w:bCs/>
                <w:sz w:val="20"/>
                <w:szCs w:val="20"/>
              </w:rPr>
              <w:t xml:space="preserve">iii). World Heritage </w:t>
            </w:r>
          </w:p>
          <w:p w14:paraId="3088493F" w14:textId="77777777" w:rsidR="00AB53D0" w:rsidRPr="00784D00" w:rsidRDefault="00AB53D0" w:rsidP="00EB5F6F">
            <w:pPr>
              <w:jc w:val="left"/>
              <w:rPr>
                <w:b/>
                <w:bCs/>
                <w:sz w:val="20"/>
                <w:szCs w:val="20"/>
              </w:rPr>
            </w:pPr>
            <w:r w:rsidRPr="00784D00">
              <w:rPr>
                <w:b/>
                <w:bCs/>
                <w:sz w:val="20"/>
                <w:szCs w:val="20"/>
              </w:rPr>
              <w:t xml:space="preserve">Convention </w:t>
            </w:r>
          </w:p>
        </w:tc>
        <w:tc>
          <w:tcPr>
            <w:tcW w:w="1276" w:type="dxa"/>
            <w:shd w:val="clear" w:color="auto" w:fill="auto"/>
          </w:tcPr>
          <w:p w14:paraId="776EB8F2" w14:textId="77777777" w:rsidR="00AB53D0" w:rsidRPr="00784D00" w:rsidRDefault="00AB53D0" w:rsidP="00EB5F6F">
            <w:pPr>
              <w:jc w:val="left"/>
              <w:rPr>
                <w:sz w:val="20"/>
                <w:szCs w:val="20"/>
              </w:rPr>
            </w:pPr>
            <w:r w:rsidRPr="00784D00">
              <w:rPr>
                <w:sz w:val="20"/>
                <w:szCs w:val="20"/>
              </w:rPr>
              <w:t xml:space="preserve">Acceded </w:t>
            </w:r>
          </w:p>
          <w:p w14:paraId="6DBA0B8E" w14:textId="77777777" w:rsidR="00AB53D0" w:rsidRPr="00784D00" w:rsidRDefault="00AB53D0" w:rsidP="00EB5F6F">
            <w:pPr>
              <w:jc w:val="left"/>
              <w:rPr>
                <w:sz w:val="20"/>
                <w:szCs w:val="20"/>
              </w:rPr>
            </w:pPr>
            <w:r w:rsidRPr="00784D00">
              <w:rPr>
                <w:sz w:val="20"/>
                <w:szCs w:val="20"/>
              </w:rPr>
              <w:t xml:space="preserve">10/6/1992 </w:t>
            </w:r>
          </w:p>
          <w:p w14:paraId="155A394E" w14:textId="77777777" w:rsidR="00AB53D0" w:rsidRPr="00784D00" w:rsidRDefault="00AB53D0" w:rsidP="00EB5F6F">
            <w:pPr>
              <w:jc w:val="left"/>
              <w:rPr>
                <w:sz w:val="20"/>
                <w:szCs w:val="20"/>
              </w:rPr>
            </w:pPr>
          </w:p>
          <w:p w14:paraId="41551C69" w14:textId="77777777" w:rsidR="00AB53D0" w:rsidRPr="00784D00" w:rsidRDefault="00AB53D0" w:rsidP="00EB5F6F">
            <w:pPr>
              <w:jc w:val="left"/>
              <w:rPr>
                <w:sz w:val="20"/>
                <w:szCs w:val="20"/>
              </w:rPr>
            </w:pPr>
          </w:p>
        </w:tc>
        <w:tc>
          <w:tcPr>
            <w:tcW w:w="3452" w:type="dxa"/>
            <w:gridSpan w:val="2"/>
            <w:shd w:val="clear" w:color="auto" w:fill="auto"/>
          </w:tcPr>
          <w:p w14:paraId="792FAF06" w14:textId="77777777" w:rsidR="00AB53D0" w:rsidRPr="00784D00" w:rsidRDefault="00AB53D0" w:rsidP="00EB5F6F">
            <w:pPr>
              <w:jc w:val="left"/>
              <w:rPr>
                <w:sz w:val="20"/>
                <w:szCs w:val="20"/>
              </w:rPr>
            </w:pPr>
            <w:r w:rsidRPr="00784D00">
              <w:rPr>
                <w:sz w:val="20"/>
                <w:szCs w:val="20"/>
              </w:rPr>
              <w:t xml:space="preserve"> </w:t>
            </w:r>
          </w:p>
        </w:tc>
        <w:tc>
          <w:tcPr>
            <w:tcW w:w="3352" w:type="dxa"/>
            <w:shd w:val="clear" w:color="auto" w:fill="auto"/>
          </w:tcPr>
          <w:p w14:paraId="355A72F0" w14:textId="77777777" w:rsidR="00AB53D0" w:rsidRPr="00784D00" w:rsidRDefault="00AB53D0" w:rsidP="00EB5F6F">
            <w:pPr>
              <w:jc w:val="left"/>
              <w:rPr>
                <w:sz w:val="20"/>
                <w:szCs w:val="20"/>
              </w:rPr>
            </w:pPr>
            <w:r w:rsidRPr="00784D00">
              <w:rPr>
                <w:sz w:val="20"/>
                <w:szCs w:val="20"/>
              </w:rPr>
              <w:t xml:space="preserve"> Museum/ECD </w:t>
            </w:r>
          </w:p>
          <w:p w14:paraId="69F84178" w14:textId="77777777" w:rsidR="00AB53D0" w:rsidRPr="00784D00" w:rsidRDefault="00AB53D0" w:rsidP="00EB5F6F">
            <w:pPr>
              <w:jc w:val="left"/>
              <w:rPr>
                <w:sz w:val="20"/>
                <w:szCs w:val="20"/>
              </w:rPr>
            </w:pPr>
            <w:r w:rsidRPr="00784D00">
              <w:rPr>
                <w:i/>
                <w:iCs/>
                <w:sz w:val="20"/>
                <w:szCs w:val="20"/>
              </w:rPr>
              <w:t xml:space="preserve">Project: </w:t>
            </w:r>
            <w:r w:rsidRPr="00784D00">
              <w:rPr>
                <w:sz w:val="20"/>
                <w:szCs w:val="20"/>
              </w:rPr>
              <w:t>Development of alternative livelihood and conservation strategy for Lake Teggano, as a listed site for World Heritage.</w:t>
            </w:r>
          </w:p>
        </w:tc>
      </w:tr>
      <w:tr w:rsidR="00AB53D0" w:rsidRPr="00784D00" w14:paraId="6C8BCC3F" w14:textId="77777777" w:rsidTr="00EB5F6F">
        <w:tc>
          <w:tcPr>
            <w:tcW w:w="10349" w:type="dxa"/>
            <w:gridSpan w:val="5"/>
            <w:tcBorders>
              <w:top w:val="single" w:sz="8" w:space="0" w:color="9BBB59"/>
              <w:left w:val="single" w:sz="8" w:space="0" w:color="9BBB59"/>
              <w:bottom w:val="single" w:sz="8" w:space="0" w:color="9BBB59"/>
              <w:right w:val="single" w:sz="8" w:space="0" w:color="9BBB59"/>
            </w:tcBorders>
            <w:shd w:val="clear" w:color="auto" w:fill="EAF1DD"/>
          </w:tcPr>
          <w:p w14:paraId="062FA2F9" w14:textId="77777777" w:rsidR="00AB53D0" w:rsidRPr="00784D00" w:rsidRDefault="00AB53D0" w:rsidP="00EB5F6F">
            <w:pPr>
              <w:jc w:val="left"/>
              <w:rPr>
                <w:b/>
                <w:bCs/>
                <w:szCs w:val="22"/>
              </w:rPr>
            </w:pPr>
            <w:r w:rsidRPr="00784D00">
              <w:rPr>
                <w:b/>
                <w:bCs/>
                <w:szCs w:val="22"/>
              </w:rPr>
              <w:t xml:space="preserve">Chemicals, Wastes and Marine Pollution </w:t>
            </w:r>
          </w:p>
        </w:tc>
      </w:tr>
      <w:tr w:rsidR="00AB53D0" w:rsidRPr="00784D00" w14:paraId="41196EDF" w14:textId="77777777" w:rsidTr="00EB5F6F">
        <w:tc>
          <w:tcPr>
            <w:tcW w:w="2269" w:type="dxa"/>
            <w:shd w:val="clear" w:color="auto" w:fill="auto"/>
          </w:tcPr>
          <w:p w14:paraId="4A278A04" w14:textId="77777777" w:rsidR="00AB53D0" w:rsidRPr="00784D00" w:rsidRDefault="00AB53D0" w:rsidP="00EB5F6F">
            <w:pPr>
              <w:jc w:val="left"/>
              <w:rPr>
                <w:b/>
                <w:bCs/>
                <w:sz w:val="20"/>
                <w:szCs w:val="20"/>
              </w:rPr>
            </w:pPr>
            <w:r w:rsidRPr="00784D00">
              <w:rPr>
                <w:b/>
                <w:bCs/>
                <w:sz w:val="20"/>
                <w:szCs w:val="20"/>
              </w:rPr>
              <w:t xml:space="preserve">i). Liability for Oil </w:t>
            </w:r>
          </w:p>
          <w:p w14:paraId="69E6A27A" w14:textId="77777777" w:rsidR="00AB53D0" w:rsidRPr="00784D00" w:rsidRDefault="00AB53D0" w:rsidP="00EB5F6F">
            <w:pPr>
              <w:jc w:val="left"/>
              <w:rPr>
                <w:b/>
                <w:bCs/>
                <w:sz w:val="20"/>
                <w:szCs w:val="20"/>
              </w:rPr>
            </w:pPr>
            <w:r w:rsidRPr="00784D00">
              <w:rPr>
                <w:b/>
                <w:bCs/>
                <w:sz w:val="20"/>
                <w:szCs w:val="20"/>
              </w:rPr>
              <w:t xml:space="preserve">Pollution Damage </w:t>
            </w:r>
          </w:p>
        </w:tc>
        <w:tc>
          <w:tcPr>
            <w:tcW w:w="1276" w:type="dxa"/>
            <w:shd w:val="clear" w:color="auto" w:fill="auto"/>
          </w:tcPr>
          <w:p w14:paraId="4FF41928" w14:textId="77777777" w:rsidR="00AB53D0" w:rsidRPr="00784D00" w:rsidRDefault="00AB53D0" w:rsidP="00EB5F6F">
            <w:pPr>
              <w:jc w:val="left"/>
              <w:rPr>
                <w:sz w:val="20"/>
                <w:szCs w:val="20"/>
              </w:rPr>
            </w:pPr>
            <w:r w:rsidRPr="00784D00">
              <w:rPr>
                <w:sz w:val="20"/>
                <w:szCs w:val="20"/>
              </w:rPr>
              <w:t xml:space="preserve">Ratified </w:t>
            </w:r>
          </w:p>
        </w:tc>
        <w:tc>
          <w:tcPr>
            <w:tcW w:w="3452" w:type="dxa"/>
            <w:gridSpan w:val="2"/>
            <w:shd w:val="clear" w:color="auto" w:fill="auto"/>
          </w:tcPr>
          <w:p w14:paraId="6275F084" w14:textId="77777777" w:rsidR="00AB53D0" w:rsidRPr="00784D00" w:rsidRDefault="00AB53D0" w:rsidP="00EB5F6F">
            <w:pPr>
              <w:jc w:val="left"/>
              <w:rPr>
                <w:sz w:val="20"/>
                <w:szCs w:val="20"/>
              </w:rPr>
            </w:pPr>
            <w:r w:rsidRPr="00784D00">
              <w:rPr>
                <w:sz w:val="20"/>
                <w:szCs w:val="20"/>
              </w:rPr>
              <w:t xml:space="preserve">Strict liability of a ship owner for pollution damage to a coastal state within a certain amount. </w:t>
            </w:r>
          </w:p>
        </w:tc>
        <w:tc>
          <w:tcPr>
            <w:tcW w:w="3352" w:type="dxa"/>
            <w:shd w:val="clear" w:color="auto" w:fill="auto"/>
          </w:tcPr>
          <w:p w14:paraId="6198E1C0" w14:textId="77777777" w:rsidR="00AB53D0" w:rsidRPr="00784D00" w:rsidRDefault="00AB53D0" w:rsidP="00EB5F6F">
            <w:pPr>
              <w:jc w:val="left"/>
              <w:rPr>
                <w:sz w:val="20"/>
                <w:szCs w:val="20"/>
              </w:rPr>
            </w:pPr>
            <w:r w:rsidRPr="00784D00">
              <w:rPr>
                <w:sz w:val="20"/>
                <w:szCs w:val="20"/>
              </w:rPr>
              <w:t xml:space="preserve">Marine Division </w:t>
            </w:r>
          </w:p>
        </w:tc>
      </w:tr>
      <w:tr w:rsidR="00AB53D0" w:rsidRPr="00784D00" w14:paraId="60C4C88C" w14:textId="77777777" w:rsidTr="00EB5F6F">
        <w:tc>
          <w:tcPr>
            <w:tcW w:w="2269" w:type="dxa"/>
            <w:tcBorders>
              <w:top w:val="single" w:sz="8" w:space="0" w:color="9BBB59"/>
              <w:left w:val="single" w:sz="8" w:space="0" w:color="9BBB59"/>
              <w:bottom w:val="single" w:sz="8" w:space="0" w:color="9BBB59"/>
            </w:tcBorders>
            <w:shd w:val="clear" w:color="auto" w:fill="auto"/>
          </w:tcPr>
          <w:p w14:paraId="07BF3EFA" w14:textId="77777777" w:rsidR="00AB53D0" w:rsidRPr="00784D00" w:rsidRDefault="00AB53D0" w:rsidP="00EB5F6F">
            <w:pPr>
              <w:jc w:val="left"/>
              <w:rPr>
                <w:b/>
                <w:bCs/>
                <w:sz w:val="20"/>
                <w:szCs w:val="20"/>
              </w:rPr>
            </w:pPr>
            <w:r w:rsidRPr="00784D00">
              <w:rPr>
                <w:b/>
                <w:bCs/>
                <w:sz w:val="20"/>
                <w:szCs w:val="20"/>
              </w:rPr>
              <w:t xml:space="preserve">ii).  Marine Pollution </w:t>
            </w:r>
          </w:p>
          <w:p w14:paraId="4EDFA7C1" w14:textId="77777777" w:rsidR="00AB53D0" w:rsidRPr="00784D00" w:rsidRDefault="00AB53D0" w:rsidP="00EB5F6F">
            <w:pPr>
              <w:jc w:val="left"/>
              <w:rPr>
                <w:b/>
                <w:bCs/>
                <w:sz w:val="20"/>
                <w:szCs w:val="20"/>
              </w:rPr>
            </w:pPr>
            <w:r w:rsidRPr="00784D00">
              <w:rPr>
                <w:b/>
                <w:bCs/>
                <w:sz w:val="20"/>
                <w:szCs w:val="20"/>
              </w:rPr>
              <w:t xml:space="preserve">Convention (London) </w:t>
            </w:r>
          </w:p>
        </w:tc>
        <w:tc>
          <w:tcPr>
            <w:tcW w:w="1276" w:type="dxa"/>
            <w:tcBorders>
              <w:top w:val="single" w:sz="8" w:space="0" w:color="9BBB59"/>
              <w:bottom w:val="single" w:sz="8" w:space="0" w:color="9BBB59"/>
            </w:tcBorders>
            <w:shd w:val="clear" w:color="auto" w:fill="auto"/>
          </w:tcPr>
          <w:p w14:paraId="75337405" w14:textId="77777777" w:rsidR="00AB53D0" w:rsidRPr="00784D00" w:rsidRDefault="00AB53D0" w:rsidP="00EB5F6F">
            <w:pPr>
              <w:jc w:val="left"/>
              <w:rPr>
                <w:sz w:val="20"/>
                <w:szCs w:val="20"/>
              </w:rPr>
            </w:pPr>
            <w:r w:rsidRPr="00784D00">
              <w:rPr>
                <w:sz w:val="20"/>
                <w:szCs w:val="20"/>
              </w:rPr>
              <w:t xml:space="preserve">Ratified </w:t>
            </w:r>
          </w:p>
        </w:tc>
        <w:tc>
          <w:tcPr>
            <w:tcW w:w="3452" w:type="dxa"/>
            <w:gridSpan w:val="2"/>
            <w:tcBorders>
              <w:top w:val="single" w:sz="8" w:space="0" w:color="9BBB59"/>
              <w:bottom w:val="single" w:sz="8" w:space="0" w:color="9BBB59"/>
            </w:tcBorders>
            <w:shd w:val="clear" w:color="auto" w:fill="auto"/>
          </w:tcPr>
          <w:p w14:paraId="51F6ED02" w14:textId="77777777" w:rsidR="00AB53D0" w:rsidRPr="00784D00" w:rsidRDefault="00AB53D0" w:rsidP="00EB5F6F">
            <w:pPr>
              <w:jc w:val="left"/>
              <w:rPr>
                <w:sz w:val="20"/>
                <w:szCs w:val="20"/>
              </w:rPr>
            </w:pPr>
            <w:r w:rsidRPr="00784D00">
              <w:rPr>
                <w:sz w:val="20"/>
                <w:szCs w:val="20"/>
              </w:rPr>
              <w:t xml:space="preserve">Prevention of marine pollution by dumping of wastes and other matter. </w:t>
            </w:r>
          </w:p>
        </w:tc>
        <w:tc>
          <w:tcPr>
            <w:tcW w:w="3352" w:type="dxa"/>
            <w:tcBorders>
              <w:top w:val="single" w:sz="8" w:space="0" w:color="9BBB59"/>
              <w:bottom w:val="single" w:sz="8" w:space="0" w:color="9BBB59"/>
              <w:right w:val="single" w:sz="8" w:space="0" w:color="9BBB59"/>
            </w:tcBorders>
            <w:shd w:val="clear" w:color="auto" w:fill="auto"/>
          </w:tcPr>
          <w:p w14:paraId="08EF560C" w14:textId="77777777" w:rsidR="00AB53D0" w:rsidRPr="00784D00" w:rsidRDefault="00AB53D0" w:rsidP="00EB5F6F">
            <w:pPr>
              <w:jc w:val="left"/>
              <w:rPr>
                <w:sz w:val="20"/>
                <w:szCs w:val="20"/>
              </w:rPr>
            </w:pPr>
            <w:r w:rsidRPr="00784D00">
              <w:rPr>
                <w:sz w:val="20"/>
                <w:szCs w:val="20"/>
              </w:rPr>
              <w:t xml:space="preserve">ECD/Foreign Affairs </w:t>
            </w:r>
          </w:p>
        </w:tc>
      </w:tr>
      <w:tr w:rsidR="00AB53D0" w:rsidRPr="00784D00" w14:paraId="22B6B22B" w14:textId="77777777" w:rsidTr="00EB5F6F">
        <w:tc>
          <w:tcPr>
            <w:tcW w:w="2269" w:type="dxa"/>
            <w:shd w:val="clear" w:color="auto" w:fill="auto"/>
          </w:tcPr>
          <w:p w14:paraId="784E99EB" w14:textId="77777777" w:rsidR="00AB53D0" w:rsidRPr="00784D00" w:rsidRDefault="00AB53D0" w:rsidP="00EB5F6F">
            <w:pPr>
              <w:jc w:val="left"/>
              <w:rPr>
                <w:b/>
                <w:bCs/>
                <w:sz w:val="20"/>
                <w:szCs w:val="20"/>
              </w:rPr>
            </w:pPr>
            <w:r w:rsidRPr="00784D00">
              <w:rPr>
                <w:b/>
                <w:bCs/>
                <w:sz w:val="20"/>
                <w:szCs w:val="20"/>
              </w:rPr>
              <w:t xml:space="preserve">iii). Persistent Organic Pollutants Convention (Stockholm) </w:t>
            </w:r>
          </w:p>
        </w:tc>
        <w:tc>
          <w:tcPr>
            <w:tcW w:w="1276" w:type="dxa"/>
            <w:shd w:val="clear" w:color="auto" w:fill="auto"/>
          </w:tcPr>
          <w:p w14:paraId="7A73BE42" w14:textId="77777777" w:rsidR="00AB53D0" w:rsidRPr="00784D00" w:rsidRDefault="00AB53D0" w:rsidP="00EB5F6F">
            <w:pPr>
              <w:jc w:val="left"/>
              <w:rPr>
                <w:sz w:val="20"/>
                <w:szCs w:val="20"/>
              </w:rPr>
            </w:pPr>
            <w:r w:rsidRPr="00784D00">
              <w:rPr>
                <w:sz w:val="20"/>
                <w:szCs w:val="20"/>
              </w:rPr>
              <w:t xml:space="preserve">Acceded </w:t>
            </w:r>
          </w:p>
          <w:p w14:paraId="4556EDC7" w14:textId="77777777" w:rsidR="00AB53D0" w:rsidRPr="00784D00" w:rsidRDefault="00AB53D0" w:rsidP="00EB5F6F">
            <w:pPr>
              <w:jc w:val="left"/>
              <w:rPr>
                <w:sz w:val="20"/>
                <w:szCs w:val="20"/>
              </w:rPr>
            </w:pPr>
            <w:r w:rsidRPr="00784D00">
              <w:rPr>
                <w:sz w:val="20"/>
                <w:szCs w:val="20"/>
              </w:rPr>
              <w:t xml:space="preserve">28/7/2004 </w:t>
            </w:r>
          </w:p>
        </w:tc>
        <w:tc>
          <w:tcPr>
            <w:tcW w:w="3452" w:type="dxa"/>
            <w:gridSpan w:val="2"/>
            <w:shd w:val="clear" w:color="auto" w:fill="auto"/>
          </w:tcPr>
          <w:p w14:paraId="32ECB240" w14:textId="77777777" w:rsidR="00AB53D0" w:rsidRPr="00784D00" w:rsidRDefault="00AB53D0" w:rsidP="00EB5F6F">
            <w:pPr>
              <w:jc w:val="left"/>
              <w:rPr>
                <w:sz w:val="20"/>
                <w:szCs w:val="20"/>
              </w:rPr>
            </w:pPr>
            <w:r w:rsidRPr="00784D00">
              <w:rPr>
                <w:sz w:val="20"/>
                <w:szCs w:val="20"/>
              </w:rPr>
              <w:t xml:space="preserve">Protection of human health and environment from persistent organic pollutants. </w:t>
            </w:r>
          </w:p>
        </w:tc>
        <w:tc>
          <w:tcPr>
            <w:tcW w:w="3352" w:type="dxa"/>
            <w:shd w:val="clear" w:color="auto" w:fill="auto"/>
          </w:tcPr>
          <w:p w14:paraId="3D7F1B9D" w14:textId="77777777" w:rsidR="00AB53D0" w:rsidRPr="00784D00" w:rsidRDefault="00AB53D0" w:rsidP="00EB5F6F">
            <w:pPr>
              <w:jc w:val="left"/>
              <w:rPr>
                <w:sz w:val="20"/>
                <w:szCs w:val="20"/>
              </w:rPr>
            </w:pPr>
            <w:r w:rsidRPr="00784D00">
              <w:rPr>
                <w:sz w:val="20"/>
                <w:szCs w:val="20"/>
              </w:rPr>
              <w:t xml:space="preserve">ECD/Environmental Health Division </w:t>
            </w:r>
          </w:p>
          <w:p w14:paraId="5053321F" w14:textId="77777777" w:rsidR="00AB53D0" w:rsidRPr="00784D00" w:rsidRDefault="00AB53D0" w:rsidP="00EB5F6F">
            <w:pPr>
              <w:jc w:val="left"/>
              <w:rPr>
                <w:sz w:val="20"/>
                <w:szCs w:val="20"/>
              </w:rPr>
            </w:pPr>
            <w:r w:rsidRPr="00784D00">
              <w:rPr>
                <w:i/>
                <w:iCs/>
                <w:sz w:val="20"/>
                <w:szCs w:val="20"/>
              </w:rPr>
              <w:t xml:space="preserve">Project: </w:t>
            </w:r>
            <w:r w:rsidRPr="00784D00">
              <w:rPr>
                <w:sz w:val="20"/>
                <w:szCs w:val="20"/>
              </w:rPr>
              <w:t xml:space="preserve">National Implementation Plan </w:t>
            </w:r>
          </w:p>
        </w:tc>
      </w:tr>
      <w:tr w:rsidR="00AB53D0" w:rsidRPr="00784D00" w14:paraId="3DC5910F" w14:textId="77777777" w:rsidTr="00EB5F6F">
        <w:tc>
          <w:tcPr>
            <w:tcW w:w="10349" w:type="dxa"/>
            <w:gridSpan w:val="5"/>
            <w:tcBorders>
              <w:top w:val="single" w:sz="8" w:space="0" w:color="9BBB59"/>
              <w:left w:val="single" w:sz="8" w:space="0" w:color="9BBB59"/>
              <w:bottom w:val="single" w:sz="8" w:space="0" w:color="9BBB59"/>
              <w:right w:val="single" w:sz="8" w:space="0" w:color="9BBB59"/>
            </w:tcBorders>
            <w:shd w:val="clear" w:color="auto" w:fill="EAF1DD"/>
          </w:tcPr>
          <w:p w14:paraId="55DDEC78" w14:textId="77777777" w:rsidR="00AB53D0" w:rsidRPr="00784D00" w:rsidRDefault="00AB53D0" w:rsidP="00EB5F6F">
            <w:pPr>
              <w:jc w:val="left"/>
              <w:rPr>
                <w:b/>
                <w:bCs/>
                <w:szCs w:val="22"/>
              </w:rPr>
            </w:pPr>
            <w:r w:rsidRPr="00784D00">
              <w:rPr>
                <w:b/>
                <w:bCs/>
                <w:szCs w:val="22"/>
              </w:rPr>
              <w:t>Regional Agreements</w:t>
            </w:r>
          </w:p>
        </w:tc>
      </w:tr>
      <w:tr w:rsidR="00AB53D0" w:rsidRPr="00784D00" w14:paraId="558BAB50" w14:textId="77777777" w:rsidTr="00EB5F6F">
        <w:tc>
          <w:tcPr>
            <w:tcW w:w="2269" w:type="dxa"/>
            <w:shd w:val="clear" w:color="auto" w:fill="auto"/>
          </w:tcPr>
          <w:p w14:paraId="5F5AC1A4" w14:textId="77777777" w:rsidR="00AB53D0" w:rsidRPr="00784D00" w:rsidRDefault="00AB53D0" w:rsidP="00EB5F6F">
            <w:pPr>
              <w:jc w:val="left"/>
              <w:rPr>
                <w:b/>
                <w:bCs/>
                <w:sz w:val="20"/>
                <w:szCs w:val="20"/>
              </w:rPr>
            </w:pPr>
            <w:r w:rsidRPr="00784D00">
              <w:rPr>
                <w:b/>
                <w:bCs/>
                <w:sz w:val="20"/>
                <w:szCs w:val="20"/>
              </w:rPr>
              <w:t xml:space="preserve">i).Waigani Convention </w:t>
            </w:r>
          </w:p>
        </w:tc>
        <w:tc>
          <w:tcPr>
            <w:tcW w:w="1276" w:type="dxa"/>
            <w:shd w:val="clear" w:color="auto" w:fill="auto"/>
          </w:tcPr>
          <w:p w14:paraId="37C39E93" w14:textId="77777777" w:rsidR="00AB53D0" w:rsidRPr="00784D00" w:rsidRDefault="00AB53D0" w:rsidP="00EB5F6F">
            <w:pPr>
              <w:jc w:val="left"/>
              <w:rPr>
                <w:sz w:val="20"/>
                <w:szCs w:val="20"/>
              </w:rPr>
            </w:pPr>
            <w:r w:rsidRPr="00784D00">
              <w:rPr>
                <w:sz w:val="20"/>
                <w:szCs w:val="20"/>
              </w:rPr>
              <w:t xml:space="preserve">Ratified </w:t>
            </w:r>
          </w:p>
          <w:p w14:paraId="66A739C1" w14:textId="77777777" w:rsidR="00AB53D0" w:rsidRPr="00784D00" w:rsidRDefault="00AB53D0" w:rsidP="00EB5F6F">
            <w:pPr>
              <w:jc w:val="left"/>
              <w:rPr>
                <w:sz w:val="20"/>
                <w:szCs w:val="20"/>
              </w:rPr>
            </w:pPr>
            <w:r w:rsidRPr="00784D00">
              <w:rPr>
                <w:sz w:val="20"/>
                <w:szCs w:val="20"/>
              </w:rPr>
              <w:t xml:space="preserve">7/10/1998 </w:t>
            </w:r>
          </w:p>
        </w:tc>
        <w:tc>
          <w:tcPr>
            <w:tcW w:w="3452" w:type="dxa"/>
            <w:gridSpan w:val="2"/>
            <w:shd w:val="clear" w:color="auto" w:fill="auto"/>
          </w:tcPr>
          <w:p w14:paraId="385F7E7A" w14:textId="77777777" w:rsidR="00AB53D0" w:rsidRPr="00784D00" w:rsidRDefault="00AB53D0" w:rsidP="00EB5F6F">
            <w:pPr>
              <w:jc w:val="left"/>
              <w:rPr>
                <w:sz w:val="20"/>
                <w:szCs w:val="20"/>
              </w:rPr>
            </w:pPr>
            <w:r w:rsidRPr="00784D00">
              <w:rPr>
                <w:sz w:val="20"/>
                <w:szCs w:val="20"/>
              </w:rPr>
              <w:t xml:space="preserve">Ban the importation of into Forum Island Countries of hazardous and radioactive wastes and to control the trans-boundary movement and management of hazardous wastes within the South Pacific region. </w:t>
            </w:r>
          </w:p>
        </w:tc>
        <w:tc>
          <w:tcPr>
            <w:tcW w:w="3352" w:type="dxa"/>
            <w:shd w:val="clear" w:color="auto" w:fill="auto"/>
          </w:tcPr>
          <w:p w14:paraId="4283CE3C" w14:textId="77777777" w:rsidR="00AB53D0" w:rsidRPr="00784D00" w:rsidRDefault="00AB53D0" w:rsidP="00EB5F6F">
            <w:pPr>
              <w:jc w:val="left"/>
              <w:rPr>
                <w:sz w:val="20"/>
                <w:szCs w:val="20"/>
              </w:rPr>
            </w:pPr>
            <w:r w:rsidRPr="00784D00">
              <w:rPr>
                <w:sz w:val="20"/>
                <w:szCs w:val="20"/>
              </w:rPr>
              <w:t xml:space="preserve">ECD </w:t>
            </w:r>
          </w:p>
        </w:tc>
      </w:tr>
      <w:tr w:rsidR="00AB53D0" w:rsidRPr="00784D00" w14:paraId="24F07B53" w14:textId="77777777" w:rsidTr="00EB5F6F">
        <w:tc>
          <w:tcPr>
            <w:tcW w:w="2269" w:type="dxa"/>
            <w:tcBorders>
              <w:top w:val="single" w:sz="8" w:space="0" w:color="9BBB59"/>
              <w:left w:val="single" w:sz="8" w:space="0" w:color="9BBB59"/>
              <w:bottom w:val="single" w:sz="8" w:space="0" w:color="9BBB59"/>
            </w:tcBorders>
            <w:shd w:val="clear" w:color="auto" w:fill="auto"/>
          </w:tcPr>
          <w:p w14:paraId="6A37FBE5" w14:textId="77777777" w:rsidR="00AB53D0" w:rsidRPr="00784D00" w:rsidRDefault="00AB53D0" w:rsidP="00EB5F6F">
            <w:pPr>
              <w:jc w:val="left"/>
              <w:rPr>
                <w:b/>
                <w:bCs/>
                <w:sz w:val="20"/>
                <w:szCs w:val="20"/>
              </w:rPr>
            </w:pPr>
            <w:r w:rsidRPr="00784D00">
              <w:rPr>
                <w:b/>
                <w:bCs/>
                <w:sz w:val="20"/>
                <w:szCs w:val="20"/>
              </w:rPr>
              <w:t xml:space="preserve">ii).Pollution Protocol for </w:t>
            </w:r>
          </w:p>
          <w:p w14:paraId="00C7663F" w14:textId="77777777" w:rsidR="00AB53D0" w:rsidRPr="00784D00" w:rsidRDefault="00AB53D0" w:rsidP="00EB5F6F">
            <w:pPr>
              <w:jc w:val="left"/>
              <w:rPr>
                <w:b/>
                <w:bCs/>
                <w:sz w:val="20"/>
                <w:szCs w:val="20"/>
              </w:rPr>
            </w:pPr>
            <w:r w:rsidRPr="00784D00">
              <w:rPr>
                <w:b/>
                <w:bCs/>
                <w:sz w:val="20"/>
                <w:szCs w:val="20"/>
              </w:rPr>
              <w:t xml:space="preserve">Dumping </w:t>
            </w:r>
          </w:p>
        </w:tc>
        <w:tc>
          <w:tcPr>
            <w:tcW w:w="1276" w:type="dxa"/>
            <w:tcBorders>
              <w:top w:val="single" w:sz="8" w:space="0" w:color="9BBB59"/>
              <w:bottom w:val="single" w:sz="8" w:space="0" w:color="9BBB59"/>
            </w:tcBorders>
            <w:shd w:val="clear" w:color="auto" w:fill="auto"/>
          </w:tcPr>
          <w:p w14:paraId="7CAA417F" w14:textId="77777777" w:rsidR="00AB53D0" w:rsidRPr="00784D00" w:rsidRDefault="00AB53D0" w:rsidP="00EB5F6F">
            <w:pPr>
              <w:jc w:val="left"/>
              <w:rPr>
                <w:sz w:val="20"/>
                <w:szCs w:val="20"/>
              </w:rPr>
            </w:pPr>
            <w:r w:rsidRPr="00784D00">
              <w:rPr>
                <w:sz w:val="20"/>
                <w:szCs w:val="20"/>
              </w:rPr>
              <w:t xml:space="preserve">Ratified </w:t>
            </w:r>
          </w:p>
          <w:p w14:paraId="2A9F9156" w14:textId="77777777" w:rsidR="00AB53D0" w:rsidRPr="00784D00" w:rsidRDefault="00AB53D0" w:rsidP="00EB5F6F">
            <w:pPr>
              <w:jc w:val="left"/>
              <w:rPr>
                <w:sz w:val="20"/>
                <w:szCs w:val="20"/>
              </w:rPr>
            </w:pPr>
            <w:r w:rsidRPr="00784D00">
              <w:rPr>
                <w:sz w:val="20"/>
                <w:szCs w:val="20"/>
              </w:rPr>
              <w:t xml:space="preserve">10/9/1989 </w:t>
            </w:r>
          </w:p>
        </w:tc>
        <w:tc>
          <w:tcPr>
            <w:tcW w:w="3452" w:type="dxa"/>
            <w:gridSpan w:val="2"/>
            <w:tcBorders>
              <w:top w:val="single" w:sz="8" w:space="0" w:color="9BBB59"/>
              <w:bottom w:val="single" w:sz="8" w:space="0" w:color="9BBB59"/>
            </w:tcBorders>
            <w:shd w:val="clear" w:color="auto" w:fill="auto"/>
          </w:tcPr>
          <w:p w14:paraId="46975A59" w14:textId="77777777" w:rsidR="00AB53D0" w:rsidRPr="00784D00" w:rsidRDefault="00AB53D0" w:rsidP="00EB5F6F">
            <w:pPr>
              <w:jc w:val="left"/>
              <w:rPr>
                <w:sz w:val="20"/>
                <w:szCs w:val="20"/>
              </w:rPr>
            </w:pPr>
            <w:r w:rsidRPr="00784D00">
              <w:rPr>
                <w:sz w:val="20"/>
                <w:szCs w:val="20"/>
              </w:rPr>
              <w:t xml:space="preserve">Prevention of pollution of the South Pacific region by dumping. </w:t>
            </w:r>
          </w:p>
        </w:tc>
        <w:tc>
          <w:tcPr>
            <w:tcW w:w="3352" w:type="dxa"/>
            <w:tcBorders>
              <w:top w:val="single" w:sz="8" w:space="0" w:color="9BBB59"/>
              <w:bottom w:val="single" w:sz="8" w:space="0" w:color="9BBB59"/>
              <w:right w:val="single" w:sz="8" w:space="0" w:color="9BBB59"/>
            </w:tcBorders>
            <w:shd w:val="clear" w:color="auto" w:fill="auto"/>
          </w:tcPr>
          <w:p w14:paraId="3771D476" w14:textId="77777777" w:rsidR="00AB53D0" w:rsidRPr="00784D00" w:rsidRDefault="00AB53D0" w:rsidP="00EB5F6F">
            <w:pPr>
              <w:jc w:val="left"/>
              <w:rPr>
                <w:sz w:val="20"/>
                <w:szCs w:val="20"/>
              </w:rPr>
            </w:pPr>
            <w:r w:rsidRPr="00784D00">
              <w:rPr>
                <w:sz w:val="20"/>
                <w:szCs w:val="20"/>
              </w:rPr>
              <w:t xml:space="preserve">Marine Division/ECD </w:t>
            </w:r>
          </w:p>
        </w:tc>
      </w:tr>
      <w:tr w:rsidR="00AB53D0" w:rsidRPr="00784D00" w14:paraId="4493514D" w14:textId="77777777" w:rsidTr="00EB5F6F">
        <w:tc>
          <w:tcPr>
            <w:tcW w:w="2269" w:type="dxa"/>
            <w:shd w:val="clear" w:color="auto" w:fill="auto"/>
          </w:tcPr>
          <w:p w14:paraId="38B7EB6E" w14:textId="77777777" w:rsidR="00AB53D0" w:rsidRPr="00784D00" w:rsidRDefault="00AB53D0" w:rsidP="00EB5F6F">
            <w:pPr>
              <w:jc w:val="left"/>
              <w:rPr>
                <w:b/>
                <w:bCs/>
                <w:sz w:val="20"/>
                <w:szCs w:val="20"/>
              </w:rPr>
            </w:pPr>
            <w:r w:rsidRPr="00784D00">
              <w:rPr>
                <w:b/>
                <w:bCs/>
                <w:sz w:val="20"/>
                <w:szCs w:val="20"/>
              </w:rPr>
              <w:t xml:space="preserve">iii). Pollution Protocol </w:t>
            </w:r>
          </w:p>
          <w:p w14:paraId="02CFB15B" w14:textId="77777777" w:rsidR="00AB53D0" w:rsidRPr="00784D00" w:rsidRDefault="00AB53D0" w:rsidP="00EB5F6F">
            <w:pPr>
              <w:jc w:val="left"/>
              <w:rPr>
                <w:b/>
                <w:bCs/>
                <w:sz w:val="20"/>
                <w:szCs w:val="20"/>
              </w:rPr>
            </w:pPr>
            <w:r w:rsidRPr="00784D00">
              <w:rPr>
                <w:b/>
                <w:bCs/>
                <w:sz w:val="20"/>
                <w:szCs w:val="20"/>
              </w:rPr>
              <w:t xml:space="preserve">for Emergencies </w:t>
            </w:r>
          </w:p>
        </w:tc>
        <w:tc>
          <w:tcPr>
            <w:tcW w:w="1276" w:type="dxa"/>
            <w:shd w:val="clear" w:color="auto" w:fill="auto"/>
          </w:tcPr>
          <w:p w14:paraId="74D3B417" w14:textId="77777777" w:rsidR="00AB53D0" w:rsidRPr="00784D00" w:rsidRDefault="00AB53D0" w:rsidP="00EB5F6F">
            <w:pPr>
              <w:jc w:val="left"/>
              <w:rPr>
                <w:sz w:val="20"/>
                <w:szCs w:val="20"/>
              </w:rPr>
            </w:pPr>
            <w:r w:rsidRPr="00784D00">
              <w:rPr>
                <w:sz w:val="20"/>
                <w:szCs w:val="20"/>
              </w:rPr>
              <w:t xml:space="preserve">Ratified </w:t>
            </w:r>
          </w:p>
          <w:p w14:paraId="78B0D3DC" w14:textId="77777777" w:rsidR="00AB53D0" w:rsidRPr="00784D00" w:rsidRDefault="00AB53D0" w:rsidP="00EB5F6F">
            <w:pPr>
              <w:jc w:val="left"/>
              <w:rPr>
                <w:sz w:val="20"/>
                <w:szCs w:val="20"/>
              </w:rPr>
            </w:pPr>
            <w:r w:rsidRPr="00784D00">
              <w:rPr>
                <w:sz w:val="20"/>
                <w:szCs w:val="20"/>
              </w:rPr>
              <w:t xml:space="preserve">10/9/1989 </w:t>
            </w:r>
          </w:p>
        </w:tc>
        <w:tc>
          <w:tcPr>
            <w:tcW w:w="3452" w:type="dxa"/>
            <w:gridSpan w:val="2"/>
            <w:shd w:val="clear" w:color="auto" w:fill="auto"/>
          </w:tcPr>
          <w:p w14:paraId="32BC9948" w14:textId="77777777" w:rsidR="00AB53D0" w:rsidRPr="00784D00" w:rsidRDefault="00AB53D0" w:rsidP="00EB5F6F">
            <w:pPr>
              <w:jc w:val="left"/>
              <w:rPr>
                <w:sz w:val="20"/>
                <w:szCs w:val="20"/>
              </w:rPr>
            </w:pPr>
            <w:r w:rsidRPr="00784D00">
              <w:rPr>
                <w:sz w:val="20"/>
                <w:szCs w:val="20"/>
              </w:rPr>
              <w:t xml:space="preserve">Cooperation in combating pollution emergencies in the South Pacific region. </w:t>
            </w:r>
          </w:p>
        </w:tc>
        <w:tc>
          <w:tcPr>
            <w:tcW w:w="3352" w:type="dxa"/>
            <w:shd w:val="clear" w:color="auto" w:fill="auto"/>
          </w:tcPr>
          <w:p w14:paraId="08512A77" w14:textId="77777777" w:rsidR="00AB53D0" w:rsidRPr="00784D00" w:rsidRDefault="00AB53D0" w:rsidP="00EB5F6F">
            <w:pPr>
              <w:jc w:val="left"/>
              <w:rPr>
                <w:sz w:val="20"/>
                <w:szCs w:val="20"/>
              </w:rPr>
            </w:pPr>
            <w:r w:rsidRPr="00784D00">
              <w:rPr>
                <w:sz w:val="20"/>
                <w:szCs w:val="20"/>
              </w:rPr>
              <w:t xml:space="preserve">Marine Division/ECD </w:t>
            </w:r>
          </w:p>
          <w:p w14:paraId="2CD6B966" w14:textId="77777777" w:rsidR="00AB53D0" w:rsidRPr="00784D00" w:rsidRDefault="00AB53D0" w:rsidP="00EB5F6F">
            <w:pPr>
              <w:jc w:val="left"/>
              <w:rPr>
                <w:sz w:val="20"/>
                <w:szCs w:val="20"/>
              </w:rPr>
            </w:pPr>
            <w:r w:rsidRPr="00784D00">
              <w:rPr>
                <w:i/>
                <w:iCs/>
                <w:sz w:val="20"/>
                <w:szCs w:val="20"/>
              </w:rPr>
              <w:t xml:space="preserve">Project: </w:t>
            </w:r>
            <w:r w:rsidRPr="00784D00">
              <w:rPr>
                <w:sz w:val="20"/>
                <w:szCs w:val="20"/>
              </w:rPr>
              <w:t xml:space="preserve">National Pollution Prevention Plan </w:t>
            </w:r>
          </w:p>
        </w:tc>
      </w:tr>
      <w:tr w:rsidR="00AB53D0" w:rsidRPr="00784D00" w14:paraId="6C77A004" w14:textId="77777777" w:rsidTr="00EB5F6F">
        <w:tc>
          <w:tcPr>
            <w:tcW w:w="2269" w:type="dxa"/>
            <w:tcBorders>
              <w:top w:val="single" w:sz="8" w:space="0" w:color="9BBB59"/>
              <w:left w:val="single" w:sz="8" w:space="0" w:color="9BBB59"/>
              <w:bottom w:val="single" w:sz="8" w:space="0" w:color="9BBB59"/>
            </w:tcBorders>
            <w:shd w:val="clear" w:color="auto" w:fill="auto"/>
          </w:tcPr>
          <w:p w14:paraId="62A2C93E" w14:textId="77777777" w:rsidR="00AB53D0" w:rsidRPr="00784D00" w:rsidRDefault="00AB53D0" w:rsidP="00EB5F6F">
            <w:pPr>
              <w:jc w:val="left"/>
              <w:rPr>
                <w:b/>
                <w:bCs/>
                <w:sz w:val="20"/>
                <w:szCs w:val="20"/>
              </w:rPr>
            </w:pPr>
            <w:r w:rsidRPr="00784D00">
              <w:rPr>
                <w:b/>
                <w:bCs/>
                <w:sz w:val="20"/>
                <w:szCs w:val="20"/>
              </w:rPr>
              <w:t xml:space="preserve">iv). Natural Resources and Environment of South Pacific (SPREP Convention) </w:t>
            </w:r>
          </w:p>
        </w:tc>
        <w:tc>
          <w:tcPr>
            <w:tcW w:w="1276" w:type="dxa"/>
            <w:tcBorders>
              <w:top w:val="single" w:sz="8" w:space="0" w:color="9BBB59"/>
              <w:bottom w:val="single" w:sz="8" w:space="0" w:color="9BBB59"/>
            </w:tcBorders>
            <w:shd w:val="clear" w:color="auto" w:fill="auto"/>
          </w:tcPr>
          <w:p w14:paraId="1A0F3A4D" w14:textId="77777777" w:rsidR="00AB53D0" w:rsidRPr="00784D00" w:rsidRDefault="00AB53D0" w:rsidP="00EB5F6F">
            <w:pPr>
              <w:jc w:val="left"/>
              <w:rPr>
                <w:sz w:val="20"/>
                <w:szCs w:val="20"/>
              </w:rPr>
            </w:pPr>
            <w:r w:rsidRPr="00784D00">
              <w:rPr>
                <w:sz w:val="20"/>
                <w:szCs w:val="20"/>
              </w:rPr>
              <w:t xml:space="preserve">Ratified </w:t>
            </w:r>
          </w:p>
          <w:p w14:paraId="553C493A" w14:textId="77777777" w:rsidR="00AB53D0" w:rsidRPr="00784D00" w:rsidRDefault="00AB53D0" w:rsidP="00EB5F6F">
            <w:pPr>
              <w:jc w:val="left"/>
              <w:rPr>
                <w:sz w:val="20"/>
                <w:szCs w:val="20"/>
              </w:rPr>
            </w:pPr>
            <w:r w:rsidRPr="00784D00">
              <w:rPr>
                <w:sz w:val="20"/>
                <w:szCs w:val="20"/>
              </w:rPr>
              <w:t xml:space="preserve">10/9/1989 </w:t>
            </w:r>
          </w:p>
        </w:tc>
        <w:tc>
          <w:tcPr>
            <w:tcW w:w="3452" w:type="dxa"/>
            <w:gridSpan w:val="2"/>
            <w:tcBorders>
              <w:top w:val="single" w:sz="8" w:space="0" w:color="9BBB59"/>
              <w:bottom w:val="single" w:sz="8" w:space="0" w:color="9BBB59"/>
            </w:tcBorders>
            <w:shd w:val="clear" w:color="auto" w:fill="auto"/>
          </w:tcPr>
          <w:p w14:paraId="04D22B30" w14:textId="77777777" w:rsidR="00AB53D0" w:rsidRPr="00784D00" w:rsidRDefault="00AB53D0" w:rsidP="00EB5F6F">
            <w:pPr>
              <w:jc w:val="left"/>
              <w:rPr>
                <w:sz w:val="20"/>
                <w:szCs w:val="20"/>
              </w:rPr>
            </w:pPr>
            <w:r w:rsidRPr="00784D00">
              <w:rPr>
                <w:sz w:val="20"/>
                <w:szCs w:val="20"/>
              </w:rPr>
              <w:t xml:space="preserve">Protection of natural resources and environment of the South Pacific Region in terms of management and development of the marine and coastal environment in the South Pacific region. </w:t>
            </w:r>
          </w:p>
        </w:tc>
        <w:tc>
          <w:tcPr>
            <w:tcW w:w="3352" w:type="dxa"/>
            <w:tcBorders>
              <w:top w:val="single" w:sz="8" w:space="0" w:color="9BBB59"/>
              <w:bottom w:val="single" w:sz="8" w:space="0" w:color="9BBB59"/>
              <w:right w:val="single" w:sz="8" w:space="0" w:color="9BBB59"/>
            </w:tcBorders>
            <w:shd w:val="clear" w:color="auto" w:fill="auto"/>
          </w:tcPr>
          <w:p w14:paraId="0DCF803F" w14:textId="77777777" w:rsidR="00AB53D0" w:rsidRPr="00784D00" w:rsidRDefault="00AB53D0" w:rsidP="00EB5F6F">
            <w:pPr>
              <w:jc w:val="left"/>
              <w:rPr>
                <w:sz w:val="20"/>
                <w:szCs w:val="20"/>
              </w:rPr>
            </w:pPr>
            <w:r w:rsidRPr="00784D00">
              <w:rPr>
                <w:sz w:val="20"/>
                <w:szCs w:val="20"/>
              </w:rPr>
              <w:t xml:space="preserve">ECD </w:t>
            </w:r>
          </w:p>
        </w:tc>
      </w:tr>
      <w:tr w:rsidR="00AB53D0" w:rsidRPr="00784D00" w14:paraId="16AB3360" w14:textId="77777777" w:rsidTr="00EB5F6F">
        <w:tc>
          <w:tcPr>
            <w:tcW w:w="2269" w:type="dxa"/>
            <w:tcBorders>
              <w:top w:val="single" w:sz="8" w:space="0" w:color="9BBB59"/>
              <w:left w:val="single" w:sz="8" w:space="0" w:color="9BBB59"/>
              <w:bottom w:val="single" w:sz="8" w:space="0" w:color="9BBB59"/>
            </w:tcBorders>
            <w:shd w:val="clear" w:color="auto" w:fill="auto"/>
          </w:tcPr>
          <w:p w14:paraId="44429CF5" w14:textId="77777777" w:rsidR="00AB53D0" w:rsidRPr="00F17C95" w:rsidRDefault="00AB53D0" w:rsidP="00EB5F6F">
            <w:pPr>
              <w:jc w:val="left"/>
              <w:rPr>
                <w:b/>
                <w:bCs/>
                <w:sz w:val="20"/>
                <w:szCs w:val="20"/>
                <w:lang w:val="en-US"/>
              </w:rPr>
            </w:pPr>
            <w:r w:rsidRPr="00F17C95">
              <w:rPr>
                <w:b/>
                <w:bCs/>
                <w:sz w:val="20"/>
                <w:szCs w:val="20"/>
                <w:lang w:val="en-US"/>
              </w:rPr>
              <w:t xml:space="preserve">Convention for the Protection of </w:t>
            </w:r>
            <w:r>
              <w:rPr>
                <w:b/>
                <w:bCs/>
                <w:sz w:val="20"/>
                <w:szCs w:val="20"/>
                <w:lang w:val="en-US"/>
              </w:rPr>
              <w:t>the Natural Resources and Envi</w:t>
            </w:r>
            <w:r w:rsidRPr="00F17C95">
              <w:rPr>
                <w:b/>
                <w:bCs/>
                <w:sz w:val="20"/>
                <w:szCs w:val="20"/>
                <w:lang w:val="en-US"/>
              </w:rPr>
              <w:t>r</w:t>
            </w:r>
            <w:r>
              <w:rPr>
                <w:b/>
                <w:bCs/>
                <w:sz w:val="20"/>
                <w:szCs w:val="20"/>
                <w:lang w:val="en-US"/>
              </w:rPr>
              <w:t>onment of the South Pacific Re</w:t>
            </w:r>
            <w:r w:rsidRPr="00F17C95">
              <w:rPr>
                <w:b/>
                <w:bCs/>
                <w:sz w:val="20"/>
                <w:szCs w:val="20"/>
                <w:lang w:val="en-US"/>
              </w:rPr>
              <w:t>gion (1986)</w:t>
            </w:r>
          </w:p>
          <w:p w14:paraId="4A8C453C" w14:textId="77777777" w:rsidR="00AB53D0" w:rsidRPr="00784D00" w:rsidRDefault="00AB53D0" w:rsidP="00EB5F6F">
            <w:pPr>
              <w:jc w:val="left"/>
              <w:rPr>
                <w:b/>
                <w:bCs/>
                <w:sz w:val="20"/>
                <w:szCs w:val="20"/>
              </w:rPr>
            </w:pPr>
          </w:p>
        </w:tc>
        <w:tc>
          <w:tcPr>
            <w:tcW w:w="1276" w:type="dxa"/>
            <w:tcBorders>
              <w:top w:val="single" w:sz="8" w:space="0" w:color="9BBB59"/>
              <w:bottom w:val="single" w:sz="8" w:space="0" w:color="9BBB59"/>
            </w:tcBorders>
            <w:shd w:val="clear" w:color="auto" w:fill="auto"/>
          </w:tcPr>
          <w:p w14:paraId="0248EDA9" w14:textId="77777777" w:rsidR="00AB53D0" w:rsidRPr="00784D00" w:rsidRDefault="00AB53D0" w:rsidP="00EB5F6F">
            <w:pPr>
              <w:jc w:val="left"/>
              <w:rPr>
                <w:sz w:val="20"/>
                <w:szCs w:val="20"/>
              </w:rPr>
            </w:pPr>
          </w:p>
        </w:tc>
        <w:tc>
          <w:tcPr>
            <w:tcW w:w="3452" w:type="dxa"/>
            <w:gridSpan w:val="2"/>
            <w:tcBorders>
              <w:top w:val="single" w:sz="8" w:space="0" w:color="9BBB59"/>
              <w:bottom w:val="single" w:sz="8" w:space="0" w:color="9BBB59"/>
            </w:tcBorders>
            <w:shd w:val="clear" w:color="auto" w:fill="auto"/>
          </w:tcPr>
          <w:p w14:paraId="42D21E39" w14:textId="77777777" w:rsidR="00AB53D0" w:rsidRPr="00784D00" w:rsidRDefault="00AB53D0" w:rsidP="00EB5F6F">
            <w:pPr>
              <w:jc w:val="left"/>
              <w:rPr>
                <w:sz w:val="20"/>
                <w:szCs w:val="20"/>
              </w:rPr>
            </w:pPr>
          </w:p>
        </w:tc>
        <w:tc>
          <w:tcPr>
            <w:tcW w:w="3352" w:type="dxa"/>
            <w:tcBorders>
              <w:top w:val="single" w:sz="8" w:space="0" w:color="9BBB59"/>
              <w:bottom w:val="single" w:sz="8" w:space="0" w:color="9BBB59"/>
              <w:right w:val="single" w:sz="8" w:space="0" w:color="9BBB59"/>
            </w:tcBorders>
            <w:shd w:val="clear" w:color="auto" w:fill="auto"/>
          </w:tcPr>
          <w:p w14:paraId="11DE4289" w14:textId="77777777" w:rsidR="00AB53D0" w:rsidRPr="00784D00" w:rsidRDefault="00AB53D0" w:rsidP="00EB5F6F">
            <w:pPr>
              <w:jc w:val="left"/>
              <w:rPr>
                <w:sz w:val="20"/>
                <w:szCs w:val="20"/>
              </w:rPr>
            </w:pPr>
          </w:p>
        </w:tc>
      </w:tr>
      <w:tr w:rsidR="00AB53D0" w:rsidRPr="00784D00" w14:paraId="38B18713" w14:textId="77777777" w:rsidTr="00EB5F6F">
        <w:tc>
          <w:tcPr>
            <w:tcW w:w="10349" w:type="dxa"/>
            <w:gridSpan w:val="5"/>
            <w:shd w:val="clear" w:color="auto" w:fill="EAF1DD"/>
          </w:tcPr>
          <w:p w14:paraId="40DEA6CB" w14:textId="77777777" w:rsidR="00AB53D0" w:rsidRPr="00784D00" w:rsidRDefault="00AB53D0" w:rsidP="00EB5F6F">
            <w:pPr>
              <w:jc w:val="left"/>
              <w:rPr>
                <w:b/>
                <w:bCs/>
                <w:szCs w:val="22"/>
              </w:rPr>
            </w:pPr>
            <w:r w:rsidRPr="00784D00">
              <w:rPr>
                <w:b/>
                <w:bCs/>
                <w:szCs w:val="22"/>
              </w:rPr>
              <w:t>UNCCD</w:t>
            </w:r>
          </w:p>
        </w:tc>
      </w:tr>
      <w:tr w:rsidR="00AB53D0" w:rsidRPr="00784D00" w14:paraId="26D2C4B4" w14:textId="77777777" w:rsidTr="00EB5F6F">
        <w:tc>
          <w:tcPr>
            <w:tcW w:w="2269" w:type="dxa"/>
            <w:tcBorders>
              <w:top w:val="single" w:sz="8" w:space="0" w:color="9BBB59"/>
              <w:left w:val="single" w:sz="8" w:space="0" w:color="9BBB59"/>
              <w:bottom w:val="single" w:sz="8" w:space="0" w:color="9BBB59"/>
            </w:tcBorders>
            <w:shd w:val="clear" w:color="auto" w:fill="auto"/>
          </w:tcPr>
          <w:p w14:paraId="0D97A8C4" w14:textId="77777777" w:rsidR="00AB53D0" w:rsidRPr="00784D00" w:rsidRDefault="00AB53D0" w:rsidP="00EB5F6F">
            <w:pPr>
              <w:jc w:val="left"/>
              <w:rPr>
                <w:b/>
                <w:bCs/>
                <w:sz w:val="20"/>
                <w:szCs w:val="20"/>
              </w:rPr>
            </w:pPr>
            <w:r w:rsidRPr="00784D00">
              <w:rPr>
                <w:b/>
                <w:bCs/>
                <w:sz w:val="20"/>
                <w:szCs w:val="20"/>
              </w:rPr>
              <w:t xml:space="preserve">i) United Nations Convention to Combat Desertification (UNCCD) </w:t>
            </w:r>
          </w:p>
        </w:tc>
        <w:tc>
          <w:tcPr>
            <w:tcW w:w="1276" w:type="dxa"/>
            <w:tcBorders>
              <w:top w:val="single" w:sz="8" w:space="0" w:color="9BBB59"/>
              <w:bottom w:val="single" w:sz="8" w:space="0" w:color="9BBB59"/>
            </w:tcBorders>
            <w:shd w:val="clear" w:color="auto" w:fill="auto"/>
          </w:tcPr>
          <w:p w14:paraId="0E3217E9" w14:textId="77777777" w:rsidR="00AB53D0" w:rsidRPr="00784D00" w:rsidRDefault="00AB53D0" w:rsidP="00EB5F6F">
            <w:pPr>
              <w:jc w:val="left"/>
              <w:rPr>
                <w:sz w:val="20"/>
                <w:szCs w:val="20"/>
              </w:rPr>
            </w:pPr>
            <w:r w:rsidRPr="00784D00">
              <w:rPr>
                <w:sz w:val="20"/>
                <w:szCs w:val="20"/>
              </w:rPr>
              <w:t xml:space="preserve">Acceded </w:t>
            </w:r>
          </w:p>
          <w:p w14:paraId="32CBFBAB" w14:textId="77777777" w:rsidR="00AB53D0" w:rsidRPr="00784D00" w:rsidRDefault="00AB53D0" w:rsidP="00EB5F6F">
            <w:pPr>
              <w:jc w:val="left"/>
              <w:rPr>
                <w:sz w:val="20"/>
                <w:szCs w:val="20"/>
              </w:rPr>
            </w:pPr>
            <w:r w:rsidRPr="00784D00">
              <w:rPr>
                <w:sz w:val="20"/>
                <w:szCs w:val="20"/>
              </w:rPr>
              <w:t xml:space="preserve">16/4/1999 </w:t>
            </w:r>
          </w:p>
        </w:tc>
        <w:tc>
          <w:tcPr>
            <w:tcW w:w="3452" w:type="dxa"/>
            <w:gridSpan w:val="2"/>
            <w:tcBorders>
              <w:top w:val="single" w:sz="8" w:space="0" w:color="9BBB59"/>
              <w:bottom w:val="single" w:sz="8" w:space="0" w:color="9BBB59"/>
            </w:tcBorders>
            <w:shd w:val="clear" w:color="auto" w:fill="auto"/>
          </w:tcPr>
          <w:p w14:paraId="5682A789" w14:textId="77777777" w:rsidR="00AB53D0" w:rsidRPr="00784D00" w:rsidRDefault="00AB53D0" w:rsidP="00EB5F6F">
            <w:pPr>
              <w:jc w:val="left"/>
              <w:rPr>
                <w:sz w:val="20"/>
                <w:szCs w:val="20"/>
              </w:rPr>
            </w:pPr>
            <w:r w:rsidRPr="00784D00">
              <w:rPr>
                <w:sz w:val="20"/>
                <w:szCs w:val="20"/>
              </w:rPr>
              <w:t xml:space="preserve">Agreement to combat desertification and mitigate the effects of drought in countries experiencing drought or desertification. </w:t>
            </w:r>
          </w:p>
        </w:tc>
        <w:tc>
          <w:tcPr>
            <w:tcW w:w="3352" w:type="dxa"/>
            <w:tcBorders>
              <w:top w:val="single" w:sz="8" w:space="0" w:color="9BBB59"/>
              <w:bottom w:val="single" w:sz="8" w:space="0" w:color="9BBB59"/>
              <w:right w:val="single" w:sz="8" w:space="0" w:color="9BBB59"/>
            </w:tcBorders>
            <w:shd w:val="clear" w:color="auto" w:fill="auto"/>
          </w:tcPr>
          <w:p w14:paraId="6D62197E" w14:textId="77777777" w:rsidR="00AB53D0" w:rsidRPr="00784D00" w:rsidRDefault="00AB53D0" w:rsidP="00EB5F6F">
            <w:pPr>
              <w:jc w:val="left"/>
              <w:rPr>
                <w:sz w:val="20"/>
                <w:szCs w:val="20"/>
              </w:rPr>
            </w:pPr>
            <w:r w:rsidRPr="00784D00">
              <w:rPr>
                <w:sz w:val="20"/>
                <w:szCs w:val="20"/>
              </w:rPr>
              <w:t xml:space="preserve">MAL/ECD </w:t>
            </w:r>
          </w:p>
          <w:p w14:paraId="6778F819" w14:textId="77777777" w:rsidR="00AB53D0" w:rsidRPr="00784D00" w:rsidRDefault="00AB53D0" w:rsidP="00EB5F6F">
            <w:pPr>
              <w:jc w:val="left"/>
              <w:rPr>
                <w:sz w:val="20"/>
                <w:szCs w:val="20"/>
              </w:rPr>
            </w:pPr>
            <w:r w:rsidRPr="00784D00">
              <w:rPr>
                <w:i/>
                <w:iCs/>
                <w:sz w:val="20"/>
                <w:szCs w:val="20"/>
              </w:rPr>
              <w:t xml:space="preserve">Project: </w:t>
            </w:r>
            <w:r w:rsidRPr="00784D00">
              <w:rPr>
                <w:sz w:val="20"/>
                <w:szCs w:val="20"/>
              </w:rPr>
              <w:t xml:space="preserve">National Action Plan on Land Degradation and Drought (draft only); NCSA </w:t>
            </w:r>
          </w:p>
        </w:tc>
      </w:tr>
      <w:tr w:rsidR="00AB53D0" w:rsidRPr="00784D00" w14:paraId="4C7A78AE" w14:textId="77777777" w:rsidTr="00EB5F6F">
        <w:tc>
          <w:tcPr>
            <w:tcW w:w="2269" w:type="dxa"/>
            <w:shd w:val="clear" w:color="auto" w:fill="auto"/>
          </w:tcPr>
          <w:p w14:paraId="7ED0FD43" w14:textId="77777777" w:rsidR="00AB53D0" w:rsidRPr="00784D00" w:rsidRDefault="00AB53D0" w:rsidP="00EB5F6F">
            <w:pPr>
              <w:jc w:val="left"/>
              <w:rPr>
                <w:b/>
                <w:bCs/>
                <w:sz w:val="20"/>
                <w:szCs w:val="20"/>
              </w:rPr>
            </w:pPr>
            <w:r w:rsidRPr="00784D00">
              <w:rPr>
                <w:b/>
                <w:bCs/>
                <w:sz w:val="20"/>
                <w:szCs w:val="20"/>
              </w:rPr>
              <w:t xml:space="preserve">ii) Cartagena Protocol on Biosafety </w:t>
            </w:r>
          </w:p>
        </w:tc>
        <w:tc>
          <w:tcPr>
            <w:tcW w:w="1276" w:type="dxa"/>
            <w:shd w:val="clear" w:color="auto" w:fill="auto"/>
          </w:tcPr>
          <w:p w14:paraId="3290E54F" w14:textId="77777777" w:rsidR="00AB53D0" w:rsidRPr="00784D00" w:rsidRDefault="00AB53D0" w:rsidP="00EB5F6F">
            <w:pPr>
              <w:jc w:val="left"/>
              <w:rPr>
                <w:sz w:val="20"/>
                <w:szCs w:val="20"/>
              </w:rPr>
            </w:pPr>
            <w:r w:rsidRPr="00784D00">
              <w:rPr>
                <w:sz w:val="20"/>
                <w:szCs w:val="20"/>
              </w:rPr>
              <w:t xml:space="preserve">Acceded </w:t>
            </w:r>
          </w:p>
        </w:tc>
        <w:tc>
          <w:tcPr>
            <w:tcW w:w="3452" w:type="dxa"/>
            <w:gridSpan w:val="2"/>
            <w:shd w:val="clear" w:color="auto" w:fill="auto"/>
          </w:tcPr>
          <w:p w14:paraId="7BB9C5D0" w14:textId="77777777" w:rsidR="00AB53D0" w:rsidRPr="00784D00" w:rsidRDefault="00AB53D0" w:rsidP="00EB5F6F">
            <w:pPr>
              <w:jc w:val="left"/>
              <w:rPr>
                <w:sz w:val="20"/>
                <w:szCs w:val="20"/>
              </w:rPr>
            </w:pPr>
            <w:r w:rsidRPr="00784D00">
              <w:rPr>
                <w:sz w:val="20"/>
                <w:szCs w:val="20"/>
              </w:rPr>
              <w:t xml:space="preserve">Protection of human health and the environment from </w:t>
            </w:r>
          </w:p>
        </w:tc>
        <w:tc>
          <w:tcPr>
            <w:tcW w:w="3352" w:type="dxa"/>
            <w:shd w:val="clear" w:color="auto" w:fill="auto"/>
          </w:tcPr>
          <w:p w14:paraId="20E6ACA8" w14:textId="77777777" w:rsidR="00AB53D0" w:rsidRPr="00784D00" w:rsidRDefault="00AB53D0" w:rsidP="00EB5F6F">
            <w:pPr>
              <w:jc w:val="left"/>
              <w:rPr>
                <w:sz w:val="20"/>
                <w:szCs w:val="20"/>
              </w:rPr>
            </w:pPr>
            <w:r w:rsidRPr="00784D00">
              <w:rPr>
                <w:sz w:val="20"/>
                <w:szCs w:val="20"/>
              </w:rPr>
              <w:t xml:space="preserve">ECD </w:t>
            </w:r>
          </w:p>
        </w:tc>
      </w:tr>
      <w:tr w:rsidR="00AB53D0" w:rsidRPr="00784D00" w14:paraId="3F21562E" w14:textId="77777777" w:rsidTr="00EB5F6F">
        <w:tc>
          <w:tcPr>
            <w:tcW w:w="2269" w:type="dxa"/>
            <w:tcBorders>
              <w:top w:val="single" w:sz="8" w:space="0" w:color="9BBB59"/>
              <w:left w:val="single" w:sz="8" w:space="0" w:color="9BBB59"/>
              <w:bottom w:val="single" w:sz="8" w:space="0" w:color="9BBB59"/>
            </w:tcBorders>
            <w:shd w:val="clear" w:color="auto" w:fill="EAF1DD"/>
          </w:tcPr>
          <w:p w14:paraId="11748846" w14:textId="77777777" w:rsidR="00AB53D0" w:rsidRPr="00784D00" w:rsidRDefault="00AB53D0" w:rsidP="00EB5F6F">
            <w:pPr>
              <w:jc w:val="left"/>
              <w:rPr>
                <w:b/>
                <w:bCs/>
                <w:sz w:val="20"/>
                <w:szCs w:val="22"/>
              </w:rPr>
            </w:pPr>
            <w:r w:rsidRPr="00784D00">
              <w:rPr>
                <w:b/>
                <w:bCs/>
                <w:sz w:val="20"/>
                <w:szCs w:val="22"/>
              </w:rPr>
              <w:t xml:space="preserve">International Bill on Human Rights </w:t>
            </w:r>
          </w:p>
        </w:tc>
        <w:tc>
          <w:tcPr>
            <w:tcW w:w="1276" w:type="dxa"/>
            <w:tcBorders>
              <w:top w:val="single" w:sz="8" w:space="0" w:color="9BBB59"/>
              <w:bottom w:val="single" w:sz="8" w:space="0" w:color="9BBB59"/>
            </w:tcBorders>
            <w:shd w:val="clear" w:color="auto" w:fill="EAF1DD"/>
          </w:tcPr>
          <w:p w14:paraId="3E9CAFD5" w14:textId="77777777" w:rsidR="00AB53D0" w:rsidRPr="00784D00" w:rsidRDefault="00AB53D0" w:rsidP="00EB5F6F">
            <w:pPr>
              <w:jc w:val="left"/>
              <w:rPr>
                <w:sz w:val="20"/>
                <w:szCs w:val="22"/>
              </w:rPr>
            </w:pPr>
          </w:p>
        </w:tc>
        <w:tc>
          <w:tcPr>
            <w:tcW w:w="3452" w:type="dxa"/>
            <w:gridSpan w:val="2"/>
            <w:tcBorders>
              <w:top w:val="single" w:sz="8" w:space="0" w:color="9BBB59"/>
              <w:bottom w:val="single" w:sz="8" w:space="0" w:color="9BBB59"/>
            </w:tcBorders>
            <w:shd w:val="clear" w:color="auto" w:fill="EAF1DD"/>
          </w:tcPr>
          <w:p w14:paraId="1C126662" w14:textId="77777777" w:rsidR="00AB53D0" w:rsidRPr="00784D00" w:rsidRDefault="00AB53D0" w:rsidP="00EB5F6F">
            <w:pPr>
              <w:jc w:val="left"/>
              <w:rPr>
                <w:sz w:val="20"/>
                <w:szCs w:val="22"/>
              </w:rPr>
            </w:pPr>
          </w:p>
        </w:tc>
        <w:tc>
          <w:tcPr>
            <w:tcW w:w="3352" w:type="dxa"/>
            <w:tcBorders>
              <w:top w:val="single" w:sz="8" w:space="0" w:color="9BBB59"/>
              <w:bottom w:val="single" w:sz="8" w:space="0" w:color="9BBB59"/>
              <w:right w:val="single" w:sz="8" w:space="0" w:color="9BBB59"/>
            </w:tcBorders>
            <w:shd w:val="clear" w:color="auto" w:fill="EAF1DD"/>
          </w:tcPr>
          <w:p w14:paraId="08EE7594" w14:textId="77777777" w:rsidR="00AB53D0" w:rsidRPr="00784D00" w:rsidRDefault="00AB53D0" w:rsidP="00EB5F6F">
            <w:pPr>
              <w:jc w:val="left"/>
              <w:rPr>
                <w:sz w:val="20"/>
                <w:szCs w:val="22"/>
              </w:rPr>
            </w:pPr>
          </w:p>
        </w:tc>
      </w:tr>
    </w:tbl>
    <w:p w14:paraId="7CF3EB03" w14:textId="77777777" w:rsidR="00AB53D0" w:rsidRPr="00784D00" w:rsidRDefault="00AB53D0" w:rsidP="00AB53D0">
      <w:pPr>
        <w:spacing w:before="0"/>
        <w:jc w:val="left"/>
        <w:rPr>
          <w:vanish/>
        </w:rPr>
      </w:pPr>
    </w:p>
    <w:tbl>
      <w:tblPr>
        <w:tblW w:w="10349" w:type="dxa"/>
        <w:tblBorders>
          <w:top w:val="single" w:sz="8" w:space="0" w:color="9BBB59"/>
          <w:left w:val="single" w:sz="8" w:space="0" w:color="9BBB59"/>
          <w:bottom w:val="single" w:sz="8" w:space="0" w:color="9BBB59"/>
          <w:right w:val="single" w:sz="8" w:space="0" w:color="9BBB59"/>
        </w:tblBorders>
        <w:tblLayout w:type="fixed"/>
        <w:tblLook w:val="04A0" w:firstRow="1" w:lastRow="0" w:firstColumn="1" w:lastColumn="0" w:noHBand="0" w:noVBand="1"/>
      </w:tblPr>
      <w:tblGrid>
        <w:gridCol w:w="2269"/>
        <w:gridCol w:w="1276"/>
        <w:gridCol w:w="3452"/>
        <w:gridCol w:w="3352"/>
      </w:tblGrid>
      <w:tr w:rsidR="00AB53D0" w:rsidRPr="002D054B" w14:paraId="0016E72E" w14:textId="77777777" w:rsidTr="00EB5F6F">
        <w:tc>
          <w:tcPr>
            <w:tcW w:w="2269" w:type="dxa"/>
            <w:shd w:val="clear" w:color="auto" w:fill="auto"/>
          </w:tcPr>
          <w:p w14:paraId="348BDD28" w14:textId="77777777" w:rsidR="00AB53D0" w:rsidRPr="002D054B" w:rsidRDefault="00AB53D0" w:rsidP="00EB5F6F">
            <w:pPr>
              <w:jc w:val="left"/>
              <w:rPr>
                <w:b/>
                <w:bCs/>
                <w:sz w:val="20"/>
              </w:rPr>
            </w:pPr>
            <w:r w:rsidRPr="002D054B">
              <w:rPr>
                <w:b/>
                <w:bCs/>
                <w:sz w:val="20"/>
              </w:rPr>
              <w:t>International Covenant on Economic, Social and Cultural Rights (ICESCR) (1966)</w:t>
            </w:r>
          </w:p>
        </w:tc>
        <w:tc>
          <w:tcPr>
            <w:tcW w:w="1276" w:type="dxa"/>
            <w:shd w:val="clear" w:color="auto" w:fill="auto"/>
          </w:tcPr>
          <w:p w14:paraId="74B0262A" w14:textId="77777777" w:rsidR="00AB53D0" w:rsidRPr="002D054B" w:rsidRDefault="00AB53D0" w:rsidP="00EB5F6F">
            <w:pPr>
              <w:jc w:val="left"/>
              <w:rPr>
                <w:szCs w:val="22"/>
              </w:rPr>
            </w:pPr>
          </w:p>
        </w:tc>
        <w:tc>
          <w:tcPr>
            <w:tcW w:w="3452" w:type="dxa"/>
            <w:shd w:val="clear" w:color="auto" w:fill="auto"/>
          </w:tcPr>
          <w:p w14:paraId="24B502E9" w14:textId="77777777" w:rsidR="00AB53D0" w:rsidRPr="002D054B" w:rsidRDefault="00AB53D0" w:rsidP="00EB5F6F">
            <w:pPr>
              <w:jc w:val="left"/>
              <w:rPr>
                <w:szCs w:val="22"/>
              </w:rPr>
            </w:pPr>
          </w:p>
        </w:tc>
        <w:tc>
          <w:tcPr>
            <w:tcW w:w="3352" w:type="dxa"/>
            <w:shd w:val="clear" w:color="auto" w:fill="auto"/>
          </w:tcPr>
          <w:p w14:paraId="4F3D5C9E" w14:textId="77777777" w:rsidR="00AB53D0" w:rsidRPr="002D054B" w:rsidRDefault="00AB53D0" w:rsidP="00EB5F6F">
            <w:pPr>
              <w:jc w:val="left"/>
              <w:rPr>
                <w:szCs w:val="22"/>
              </w:rPr>
            </w:pPr>
          </w:p>
        </w:tc>
      </w:tr>
      <w:tr w:rsidR="00AB53D0" w:rsidRPr="002D054B" w14:paraId="17020726" w14:textId="77777777" w:rsidTr="00EB5F6F">
        <w:tc>
          <w:tcPr>
            <w:tcW w:w="2269" w:type="dxa"/>
            <w:shd w:val="clear" w:color="auto" w:fill="auto"/>
          </w:tcPr>
          <w:p w14:paraId="09AF71A8" w14:textId="77777777" w:rsidR="00AB53D0" w:rsidRPr="002D054B" w:rsidRDefault="00AB53D0" w:rsidP="00EB5F6F">
            <w:pPr>
              <w:jc w:val="left"/>
              <w:rPr>
                <w:b/>
                <w:bCs/>
                <w:sz w:val="20"/>
                <w:szCs w:val="22"/>
              </w:rPr>
            </w:pPr>
            <w:r w:rsidRPr="002D054B">
              <w:rPr>
                <w:b/>
                <w:bCs/>
                <w:sz w:val="20"/>
              </w:rPr>
              <w:t>Optional Protocol on the International Covenant on Economic, Social and Cultural Rights (2008)</w:t>
            </w:r>
          </w:p>
        </w:tc>
        <w:tc>
          <w:tcPr>
            <w:tcW w:w="1276" w:type="dxa"/>
            <w:shd w:val="clear" w:color="auto" w:fill="auto"/>
          </w:tcPr>
          <w:p w14:paraId="2AA7F860" w14:textId="77777777" w:rsidR="00AB53D0" w:rsidRPr="002D054B" w:rsidRDefault="00AB53D0" w:rsidP="00EB5F6F">
            <w:pPr>
              <w:jc w:val="left"/>
              <w:rPr>
                <w:szCs w:val="22"/>
              </w:rPr>
            </w:pPr>
          </w:p>
        </w:tc>
        <w:tc>
          <w:tcPr>
            <w:tcW w:w="3452" w:type="dxa"/>
            <w:shd w:val="clear" w:color="auto" w:fill="auto"/>
          </w:tcPr>
          <w:p w14:paraId="08F040CE" w14:textId="77777777" w:rsidR="00AB53D0" w:rsidRPr="002D054B" w:rsidRDefault="00AB53D0" w:rsidP="00EB5F6F">
            <w:pPr>
              <w:jc w:val="left"/>
              <w:rPr>
                <w:szCs w:val="22"/>
              </w:rPr>
            </w:pPr>
          </w:p>
        </w:tc>
        <w:tc>
          <w:tcPr>
            <w:tcW w:w="3352" w:type="dxa"/>
            <w:shd w:val="clear" w:color="auto" w:fill="auto"/>
          </w:tcPr>
          <w:p w14:paraId="03F2DC82" w14:textId="77777777" w:rsidR="00AB53D0" w:rsidRPr="002D054B" w:rsidRDefault="00AB53D0" w:rsidP="00EB5F6F">
            <w:pPr>
              <w:jc w:val="left"/>
              <w:rPr>
                <w:szCs w:val="22"/>
              </w:rPr>
            </w:pPr>
          </w:p>
        </w:tc>
      </w:tr>
      <w:tr w:rsidR="00AB53D0" w:rsidRPr="002D054B" w14:paraId="400386EF" w14:textId="77777777" w:rsidTr="00EB5F6F">
        <w:tc>
          <w:tcPr>
            <w:tcW w:w="2269" w:type="dxa"/>
            <w:shd w:val="clear" w:color="auto" w:fill="auto"/>
          </w:tcPr>
          <w:p w14:paraId="43D8FED1" w14:textId="77777777" w:rsidR="00AB53D0" w:rsidRPr="002D054B" w:rsidRDefault="00AB53D0" w:rsidP="00EB5F6F">
            <w:pPr>
              <w:jc w:val="left"/>
              <w:rPr>
                <w:b/>
                <w:bCs/>
                <w:sz w:val="20"/>
              </w:rPr>
            </w:pPr>
            <w:r w:rsidRPr="002D054B">
              <w:rPr>
                <w:sz w:val="20"/>
                <w:szCs w:val="22"/>
              </w:rPr>
              <w:t>Convention on All forms of Racial Discrimination</w:t>
            </w:r>
          </w:p>
        </w:tc>
        <w:tc>
          <w:tcPr>
            <w:tcW w:w="1276" w:type="dxa"/>
            <w:shd w:val="clear" w:color="auto" w:fill="auto"/>
          </w:tcPr>
          <w:p w14:paraId="76B472BC" w14:textId="77777777" w:rsidR="00AB53D0" w:rsidRPr="002D054B" w:rsidRDefault="00AB53D0" w:rsidP="00EB5F6F">
            <w:pPr>
              <w:jc w:val="left"/>
              <w:rPr>
                <w:szCs w:val="22"/>
              </w:rPr>
            </w:pPr>
          </w:p>
        </w:tc>
        <w:tc>
          <w:tcPr>
            <w:tcW w:w="3452" w:type="dxa"/>
            <w:shd w:val="clear" w:color="auto" w:fill="auto"/>
          </w:tcPr>
          <w:p w14:paraId="03A29C33" w14:textId="77777777" w:rsidR="00AB53D0" w:rsidRPr="002D054B" w:rsidRDefault="00AB53D0" w:rsidP="00EB5F6F">
            <w:pPr>
              <w:jc w:val="left"/>
              <w:rPr>
                <w:szCs w:val="22"/>
              </w:rPr>
            </w:pPr>
          </w:p>
        </w:tc>
        <w:tc>
          <w:tcPr>
            <w:tcW w:w="3352" w:type="dxa"/>
            <w:shd w:val="clear" w:color="auto" w:fill="auto"/>
          </w:tcPr>
          <w:p w14:paraId="104EF46C" w14:textId="77777777" w:rsidR="00AB53D0" w:rsidRPr="002D054B" w:rsidRDefault="00AB53D0" w:rsidP="00EB5F6F">
            <w:pPr>
              <w:jc w:val="left"/>
              <w:rPr>
                <w:szCs w:val="22"/>
              </w:rPr>
            </w:pPr>
          </w:p>
        </w:tc>
      </w:tr>
      <w:tr w:rsidR="00AB53D0" w:rsidRPr="002D054B" w14:paraId="56741C5D" w14:textId="77777777" w:rsidTr="00EB5F6F">
        <w:tc>
          <w:tcPr>
            <w:tcW w:w="2269" w:type="dxa"/>
            <w:shd w:val="clear" w:color="auto" w:fill="auto"/>
          </w:tcPr>
          <w:p w14:paraId="625C6566" w14:textId="77777777" w:rsidR="00AB53D0" w:rsidRPr="002D054B" w:rsidRDefault="00AB53D0" w:rsidP="00EB5F6F">
            <w:pPr>
              <w:jc w:val="left"/>
              <w:rPr>
                <w:sz w:val="20"/>
              </w:rPr>
            </w:pPr>
            <w:r w:rsidRPr="002D054B">
              <w:rPr>
                <w:sz w:val="20"/>
              </w:rPr>
              <w:t>Convention on the Elimination of All forms of Discrimination Against Women (CEDAW) 1979</w:t>
            </w:r>
          </w:p>
        </w:tc>
        <w:tc>
          <w:tcPr>
            <w:tcW w:w="1276" w:type="dxa"/>
            <w:shd w:val="clear" w:color="auto" w:fill="auto"/>
          </w:tcPr>
          <w:p w14:paraId="0DAAED73" w14:textId="77777777" w:rsidR="00AB53D0" w:rsidRPr="00CA3354" w:rsidRDefault="00AB53D0" w:rsidP="00EB5F6F">
            <w:pPr>
              <w:jc w:val="left"/>
              <w:rPr>
                <w:szCs w:val="22"/>
              </w:rPr>
            </w:pPr>
          </w:p>
        </w:tc>
        <w:tc>
          <w:tcPr>
            <w:tcW w:w="3452" w:type="dxa"/>
            <w:shd w:val="clear" w:color="auto" w:fill="auto"/>
          </w:tcPr>
          <w:p w14:paraId="7163FDC3" w14:textId="77777777" w:rsidR="00AB53D0" w:rsidRPr="00CA3354" w:rsidRDefault="00AB53D0" w:rsidP="00EB5F6F">
            <w:pPr>
              <w:jc w:val="left"/>
              <w:rPr>
                <w:szCs w:val="22"/>
              </w:rPr>
            </w:pPr>
          </w:p>
        </w:tc>
        <w:tc>
          <w:tcPr>
            <w:tcW w:w="3352" w:type="dxa"/>
            <w:shd w:val="clear" w:color="auto" w:fill="auto"/>
          </w:tcPr>
          <w:p w14:paraId="240B0965" w14:textId="77777777" w:rsidR="00AB53D0" w:rsidRPr="00CA3354" w:rsidRDefault="00AB53D0" w:rsidP="00EB5F6F">
            <w:pPr>
              <w:jc w:val="left"/>
              <w:rPr>
                <w:szCs w:val="22"/>
              </w:rPr>
            </w:pPr>
          </w:p>
        </w:tc>
      </w:tr>
      <w:tr w:rsidR="00AB53D0" w:rsidRPr="002D054B" w14:paraId="136ADE52" w14:textId="77777777" w:rsidTr="00EB5F6F">
        <w:tc>
          <w:tcPr>
            <w:tcW w:w="2269" w:type="dxa"/>
            <w:shd w:val="clear" w:color="auto" w:fill="auto"/>
          </w:tcPr>
          <w:p w14:paraId="3F711039" w14:textId="77777777" w:rsidR="00AB53D0" w:rsidRPr="002D054B" w:rsidRDefault="00AB53D0" w:rsidP="00EB5F6F">
            <w:pPr>
              <w:jc w:val="left"/>
              <w:rPr>
                <w:sz w:val="20"/>
                <w:szCs w:val="22"/>
              </w:rPr>
            </w:pPr>
            <w:r w:rsidRPr="002D054B">
              <w:rPr>
                <w:b/>
                <w:bCs/>
                <w:sz w:val="20"/>
                <w:szCs w:val="22"/>
              </w:rPr>
              <w:t>Optional Protocol to the Convention on the Elimination of All forms of Discrimination Against Women (CEDAW) 2008</w:t>
            </w:r>
          </w:p>
        </w:tc>
        <w:tc>
          <w:tcPr>
            <w:tcW w:w="1276" w:type="dxa"/>
            <w:shd w:val="clear" w:color="auto" w:fill="auto"/>
          </w:tcPr>
          <w:p w14:paraId="6F883EE2" w14:textId="77777777" w:rsidR="00AB53D0" w:rsidRPr="00CA3354" w:rsidRDefault="00AB53D0" w:rsidP="00EB5F6F">
            <w:pPr>
              <w:jc w:val="left"/>
              <w:rPr>
                <w:szCs w:val="22"/>
              </w:rPr>
            </w:pPr>
          </w:p>
        </w:tc>
        <w:tc>
          <w:tcPr>
            <w:tcW w:w="3452" w:type="dxa"/>
            <w:shd w:val="clear" w:color="auto" w:fill="auto"/>
          </w:tcPr>
          <w:p w14:paraId="58E15EAF" w14:textId="77777777" w:rsidR="00AB53D0" w:rsidRPr="00CA3354" w:rsidRDefault="00AB53D0" w:rsidP="00EB5F6F">
            <w:pPr>
              <w:jc w:val="left"/>
              <w:rPr>
                <w:szCs w:val="22"/>
              </w:rPr>
            </w:pPr>
          </w:p>
        </w:tc>
        <w:tc>
          <w:tcPr>
            <w:tcW w:w="3352" w:type="dxa"/>
            <w:shd w:val="clear" w:color="auto" w:fill="auto"/>
          </w:tcPr>
          <w:p w14:paraId="58FA3FB5" w14:textId="77777777" w:rsidR="00AB53D0" w:rsidRPr="00CA3354" w:rsidRDefault="00AB53D0" w:rsidP="00EB5F6F">
            <w:pPr>
              <w:jc w:val="left"/>
              <w:rPr>
                <w:szCs w:val="22"/>
              </w:rPr>
            </w:pPr>
          </w:p>
        </w:tc>
      </w:tr>
      <w:tr w:rsidR="00AB53D0" w:rsidRPr="002D054B" w14:paraId="59CCB084" w14:textId="77777777" w:rsidTr="00EB5F6F">
        <w:tc>
          <w:tcPr>
            <w:tcW w:w="2269" w:type="dxa"/>
            <w:shd w:val="clear" w:color="auto" w:fill="auto"/>
          </w:tcPr>
          <w:p w14:paraId="05DFA1EC" w14:textId="77777777" w:rsidR="00AB53D0" w:rsidRPr="002D054B" w:rsidRDefault="00AB53D0" w:rsidP="00EB5F6F">
            <w:pPr>
              <w:jc w:val="left"/>
              <w:rPr>
                <w:sz w:val="20"/>
              </w:rPr>
            </w:pPr>
            <w:r w:rsidRPr="002D054B">
              <w:rPr>
                <w:sz w:val="20"/>
              </w:rPr>
              <w:t>Convention on the Rights of the Child</w:t>
            </w:r>
          </w:p>
        </w:tc>
        <w:tc>
          <w:tcPr>
            <w:tcW w:w="1276" w:type="dxa"/>
            <w:shd w:val="clear" w:color="auto" w:fill="auto"/>
          </w:tcPr>
          <w:p w14:paraId="6F537BB3" w14:textId="77777777" w:rsidR="00AB53D0" w:rsidRPr="00CA3354" w:rsidRDefault="00AB53D0" w:rsidP="00EB5F6F">
            <w:pPr>
              <w:jc w:val="left"/>
              <w:rPr>
                <w:szCs w:val="22"/>
              </w:rPr>
            </w:pPr>
          </w:p>
        </w:tc>
        <w:tc>
          <w:tcPr>
            <w:tcW w:w="3452" w:type="dxa"/>
            <w:shd w:val="clear" w:color="auto" w:fill="auto"/>
          </w:tcPr>
          <w:p w14:paraId="70BD7F3B" w14:textId="77777777" w:rsidR="00AB53D0" w:rsidRPr="00CA3354" w:rsidRDefault="00AB53D0" w:rsidP="00EB5F6F">
            <w:pPr>
              <w:jc w:val="left"/>
              <w:rPr>
                <w:szCs w:val="22"/>
              </w:rPr>
            </w:pPr>
          </w:p>
        </w:tc>
        <w:tc>
          <w:tcPr>
            <w:tcW w:w="3352" w:type="dxa"/>
            <w:shd w:val="clear" w:color="auto" w:fill="auto"/>
          </w:tcPr>
          <w:p w14:paraId="30C6E85B" w14:textId="77777777" w:rsidR="00AB53D0" w:rsidRPr="00CA3354" w:rsidRDefault="00AB53D0" w:rsidP="00EB5F6F">
            <w:pPr>
              <w:jc w:val="left"/>
              <w:rPr>
                <w:szCs w:val="22"/>
              </w:rPr>
            </w:pPr>
          </w:p>
        </w:tc>
      </w:tr>
      <w:tr w:rsidR="00AB53D0" w:rsidRPr="002D054B" w14:paraId="2E340F62" w14:textId="77777777" w:rsidTr="00EB5F6F">
        <w:tc>
          <w:tcPr>
            <w:tcW w:w="2269" w:type="dxa"/>
            <w:shd w:val="clear" w:color="auto" w:fill="auto"/>
          </w:tcPr>
          <w:p w14:paraId="1C9CA068" w14:textId="77777777" w:rsidR="00AB53D0" w:rsidRPr="002D054B" w:rsidRDefault="00AB53D0" w:rsidP="00EB5F6F">
            <w:pPr>
              <w:jc w:val="left"/>
              <w:rPr>
                <w:sz w:val="20"/>
                <w:szCs w:val="22"/>
              </w:rPr>
            </w:pPr>
            <w:r w:rsidRPr="002D054B">
              <w:rPr>
                <w:sz w:val="20"/>
              </w:rPr>
              <w:t>UN Convention A</w:t>
            </w:r>
            <w:r w:rsidRPr="002D054B">
              <w:rPr>
                <w:b/>
                <w:bCs/>
                <w:sz w:val="20"/>
              </w:rPr>
              <w:t>gainst Corruption (2005</w:t>
            </w:r>
            <w:r>
              <w:rPr>
                <w:sz w:val="20"/>
              </w:rPr>
              <w:t>)</w:t>
            </w:r>
          </w:p>
        </w:tc>
        <w:tc>
          <w:tcPr>
            <w:tcW w:w="1276" w:type="dxa"/>
            <w:shd w:val="clear" w:color="auto" w:fill="auto"/>
          </w:tcPr>
          <w:p w14:paraId="3FC27133" w14:textId="77777777" w:rsidR="00AB53D0" w:rsidRPr="00CA3354" w:rsidRDefault="00AB53D0" w:rsidP="00EB5F6F">
            <w:pPr>
              <w:jc w:val="left"/>
              <w:rPr>
                <w:szCs w:val="22"/>
              </w:rPr>
            </w:pPr>
          </w:p>
        </w:tc>
        <w:tc>
          <w:tcPr>
            <w:tcW w:w="3452" w:type="dxa"/>
            <w:shd w:val="clear" w:color="auto" w:fill="auto"/>
          </w:tcPr>
          <w:p w14:paraId="217D8CF1" w14:textId="77777777" w:rsidR="00AB53D0" w:rsidRPr="00CA3354" w:rsidRDefault="00AB53D0" w:rsidP="00EB5F6F">
            <w:pPr>
              <w:jc w:val="left"/>
              <w:rPr>
                <w:szCs w:val="22"/>
              </w:rPr>
            </w:pPr>
          </w:p>
        </w:tc>
        <w:tc>
          <w:tcPr>
            <w:tcW w:w="3352" w:type="dxa"/>
            <w:shd w:val="clear" w:color="auto" w:fill="auto"/>
          </w:tcPr>
          <w:p w14:paraId="6894C41A" w14:textId="77777777" w:rsidR="00AB53D0" w:rsidRPr="00CA3354" w:rsidRDefault="00AB53D0" w:rsidP="00EB5F6F">
            <w:pPr>
              <w:jc w:val="left"/>
              <w:rPr>
                <w:szCs w:val="22"/>
              </w:rPr>
            </w:pPr>
          </w:p>
        </w:tc>
      </w:tr>
    </w:tbl>
    <w:p w14:paraId="1E3EF8B2" w14:textId="77777777" w:rsidR="00AB53D0" w:rsidRDefault="00AB53D0" w:rsidP="00AB53D0"/>
    <w:p w14:paraId="70D79330" w14:textId="77777777" w:rsidR="00AB53D0" w:rsidRDefault="00AB53D0" w:rsidP="00AB53D0">
      <w:pPr>
        <w:pStyle w:val="Heading2"/>
        <w:numPr>
          <w:ilvl w:val="0"/>
          <w:numId w:val="0"/>
        </w:numPr>
      </w:pPr>
    </w:p>
    <w:p w14:paraId="19368011" w14:textId="77777777" w:rsidR="00AB53D0" w:rsidRDefault="00AB53D0" w:rsidP="00AB53D0"/>
    <w:p w14:paraId="58942431" w14:textId="5E88FD8C" w:rsidR="00AB53D0" w:rsidRDefault="00AB53D0" w:rsidP="00AB53D0">
      <w:pPr>
        <w:spacing w:before="0"/>
        <w:sectPr w:rsidR="00AB53D0" w:rsidSect="00014341">
          <w:pgSz w:w="11900" w:h="16840"/>
          <w:pgMar w:top="1440" w:right="1080" w:bottom="1440" w:left="1080" w:header="708" w:footer="708" w:gutter="0"/>
          <w:cols w:space="708"/>
          <w:docGrid w:linePitch="360"/>
        </w:sectPr>
      </w:pPr>
    </w:p>
    <w:p w14:paraId="52A0D06C" w14:textId="7F428746" w:rsidR="006B087B" w:rsidRDefault="006B087B" w:rsidP="006B087B">
      <w:pPr>
        <w:pStyle w:val="Heading1"/>
        <w:numPr>
          <w:ilvl w:val="0"/>
          <w:numId w:val="0"/>
        </w:numPr>
        <w:ind w:left="432" w:hanging="432"/>
      </w:pPr>
      <w:bookmarkStart w:id="67" w:name="_Toc254892879"/>
      <w:r>
        <w:t>Annex 4: List of Existing Domestic Reporting Requirements</w:t>
      </w:r>
      <w:bookmarkEnd w:id="67"/>
    </w:p>
    <w:p w14:paraId="364C76CD" w14:textId="77777777" w:rsidR="006B087B" w:rsidRDefault="006B087B" w:rsidP="006B087B">
      <w:pPr>
        <w:rPr>
          <w:b/>
          <w:u w:val="single"/>
        </w:rPr>
      </w:pPr>
    </w:p>
    <w:p w14:paraId="6EEDDE04" w14:textId="77777777" w:rsidR="006B087B" w:rsidRPr="00F57F55" w:rsidRDefault="006B087B" w:rsidP="006B087B">
      <w:pPr>
        <w:rPr>
          <w:b/>
          <w:u w:val="single"/>
        </w:rPr>
      </w:pPr>
      <w:r w:rsidRPr="00F57F55">
        <w:rPr>
          <w:b/>
          <w:u w:val="single"/>
        </w:rPr>
        <w:t xml:space="preserve">Ministry of Forestry and Research </w:t>
      </w:r>
    </w:p>
    <w:p w14:paraId="366B29B4" w14:textId="77777777" w:rsidR="006B087B" w:rsidRDefault="006B087B" w:rsidP="006B087B">
      <w:r>
        <w:t>Responsible for implementation of the FRTUA as well as a number of forest programmes including the reforestation programme. Within this capacity the ministry has developed and is responsible for a number of information management and reporting processes, including:</w:t>
      </w:r>
    </w:p>
    <w:p w14:paraId="482BA7BF" w14:textId="77777777" w:rsidR="006B087B" w:rsidRDefault="006B087B" w:rsidP="006B087B">
      <w:pPr>
        <w:numPr>
          <w:ilvl w:val="0"/>
          <w:numId w:val="8"/>
        </w:numPr>
      </w:pPr>
      <w:r w:rsidRPr="00054874">
        <w:rPr>
          <w:i/>
        </w:rPr>
        <w:t>Annual reporting</w:t>
      </w:r>
      <w:r>
        <w:t xml:space="preserve"> – the ministry develops an annual report which provides information on the activities of the ministries different programmes including; legislative reform, levels of reforestation, number of licenses issued, log exports and levels of forest monitoring. </w:t>
      </w:r>
    </w:p>
    <w:p w14:paraId="4DCF1D8E" w14:textId="77777777" w:rsidR="006B087B" w:rsidRDefault="006B087B" w:rsidP="006B087B">
      <w:pPr>
        <w:numPr>
          <w:ilvl w:val="0"/>
          <w:numId w:val="8"/>
        </w:numPr>
      </w:pPr>
      <w:r w:rsidRPr="00054874">
        <w:rPr>
          <w:i/>
        </w:rPr>
        <w:t>SOLFRIS</w:t>
      </w:r>
      <w:r>
        <w:t xml:space="preserve"> - the Solomon Forest Resource Information System (SOLFRIS) is the ministry’s main information management system and is intended to maintain updated information on licenses and levels of log exports. </w:t>
      </w:r>
    </w:p>
    <w:p w14:paraId="1DADC241" w14:textId="77777777" w:rsidR="006B087B" w:rsidRDefault="006B087B" w:rsidP="006B087B">
      <w:pPr>
        <w:numPr>
          <w:ilvl w:val="0"/>
          <w:numId w:val="8"/>
        </w:numPr>
      </w:pPr>
      <w:r w:rsidRPr="00054874">
        <w:rPr>
          <w:i/>
        </w:rPr>
        <w:t>The FAO Forest Resource Assessment</w:t>
      </w:r>
      <w:r>
        <w:t xml:space="preserve"> – FAO support a regular assessment of national forest resources </w:t>
      </w:r>
    </w:p>
    <w:p w14:paraId="2E020025" w14:textId="77777777" w:rsidR="006B087B" w:rsidRDefault="006B087B" w:rsidP="006B087B">
      <w:pPr>
        <w:numPr>
          <w:ilvl w:val="0"/>
          <w:numId w:val="8"/>
        </w:numPr>
      </w:pPr>
      <w:r w:rsidRPr="00054874">
        <w:rPr>
          <w:i/>
        </w:rPr>
        <w:t>Adhoc reports</w:t>
      </w:r>
      <w:r>
        <w:t xml:space="preserve"> – a number of additional forest resource assessment reports have also been developed linked both with donor and ministry of finance interest in the sector. The Forest Resource Assessments (not same as above) or 2006 and 2011 have focused on predicting future trends within the commercial forest sector. </w:t>
      </w:r>
    </w:p>
    <w:p w14:paraId="1DCC5EB0" w14:textId="77777777" w:rsidR="006B087B" w:rsidRPr="0057138D" w:rsidRDefault="006B087B" w:rsidP="006B087B">
      <w:r>
        <w:t xml:space="preserve">The National REDD+ Roadmap also recommends that the ministry will also house the National Forest Monitoring System within the REDD+ Implementation Unit as well as a registry of all projects seeking to engaging in activities relating to the commercialisation of forest carbon emission reductions.  </w:t>
      </w:r>
    </w:p>
    <w:p w14:paraId="44595835" w14:textId="77777777" w:rsidR="006B087B" w:rsidRDefault="006B087B" w:rsidP="006B087B"/>
    <w:p w14:paraId="3299D407" w14:textId="77777777" w:rsidR="006B087B" w:rsidRPr="0053657A" w:rsidRDefault="006B087B" w:rsidP="006B087B">
      <w:pPr>
        <w:rPr>
          <w:b/>
          <w:u w:val="single"/>
        </w:rPr>
      </w:pPr>
      <w:r w:rsidRPr="0053657A">
        <w:rPr>
          <w:b/>
          <w:u w:val="single"/>
        </w:rPr>
        <w:t xml:space="preserve">Ministry of Environment Climate Change, Disaster Management and Meteorology </w:t>
      </w:r>
    </w:p>
    <w:p w14:paraId="5267E42A" w14:textId="77777777" w:rsidR="006B087B" w:rsidRDefault="006B087B" w:rsidP="006B087B">
      <w:r>
        <w:t>The ministry is responsible for implementation of both the Environment Act (EA) and the Protected Areas Act the focal point for the CBD and the UNFCCC</w:t>
      </w:r>
      <w:r>
        <w:rPr>
          <w:b/>
        </w:rPr>
        <w:t xml:space="preserve">. </w:t>
      </w:r>
      <w:r>
        <w:t>The EA also requires it</w:t>
      </w:r>
      <w:r w:rsidRPr="0064327B">
        <w:rPr>
          <w:lang w:val="en-US"/>
        </w:rPr>
        <w:t xml:space="preserve"> </w:t>
      </w:r>
      <w:r w:rsidRPr="0064327B">
        <w:rPr>
          <w:i/>
          <w:lang w:val="en-US"/>
        </w:rPr>
        <w:t>ensure freedom of and access to information on environmental matters</w:t>
      </w:r>
      <w:r>
        <w:rPr>
          <w:rStyle w:val="FootnoteReference"/>
          <w:i/>
          <w:lang w:val="en-US"/>
        </w:rPr>
        <w:footnoteReference w:id="145"/>
      </w:r>
      <w:r>
        <w:rPr>
          <w:lang w:val="en-US"/>
        </w:rPr>
        <w:t>.</w:t>
      </w:r>
      <w:r>
        <w:rPr>
          <w:b/>
        </w:rPr>
        <w:t xml:space="preserve"> </w:t>
      </w:r>
      <w:r>
        <w:t xml:space="preserve">These commitments require a number of reporting activities as well as identifying systems through which reporting should be supported. </w:t>
      </w:r>
    </w:p>
    <w:p w14:paraId="76A8EE01" w14:textId="77777777" w:rsidR="006B087B" w:rsidRPr="008E3A08" w:rsidRDefault="006B087B" w:rsidP="006B087B">
      <w:pPr>
        <w:numPr>
          <w:ilvl w:val="0"/>
          <w:numId w:val="9"/>
        </w:numPr>
        <w:rPr>
          <w:i/>
        </w:rPr>
      </w:pPr>
      <w:r w:rsidRPr="008E3A08">
        <w:rPr>
          <w:i/>
        </w:rPr>
        <w:t>Annual Reporting</w:t>
      </w:r>
      <w:r>
        <w:rPr>
          <w:i/>
        </w:rPr>
        <w:t xml:space="preserve"> </w:t>
      </w:r>
      <w:r>
        <w:t>– the ministry develops an annual report covering main activities and key achievements.</w:t>
      </w:r>
    </w:p>
    <w:p w14:paraId="49BF98E5" w14:textId="77777777" w:rsidR="006B087B" w:rsidRDefault="006B087B" w:rsidP="006B087B">
      <w:pPr>
        <w:numPr>
          <w:ilvl w:val="0"/>
          <w:numId w:val="9"/>
        </w:numPr>
      </w:pPr>
      <w:r w:rsidRPr="00054874">
        <w:rPr>
          <w:i/>
        </w:rPr>
        <w:t>National Reporting under the CBD</w:t>
      </w:r>
      <w:r>
        <w:t xml:space="preserve"> – the ministry is required to provide a national report linked to delivery of the National Biodiversity Strategy and action plan and progress towards achieving the Achi Biodiversity Targets. The next report is scheduled for 2014. </w:t>
      </w:r>
    </w:p>
    <w:p w14:paraId="56595ED5" w14:textId="77777777" w:rsidR="006B087B" w:rsidRDefault="006B087B" w:rsidP="006B087B">
      <w:pPr>
        <w:numPr>
          <w:ilvl w:val="0"/>
          <w:numId w:val="9"/>
        </w:numPr>
      </w:pPr>
      <w:r w:rsidRPr="00054874">
        <w:rPr>
          <w:i/>
        </w:rPr>
        <w:t>National Communications under the UNFCCC</w:t>
      </w:r>
      <w:r>
        <w:t xml:space="preserve"> – the ministry will be required to provide information on emissions from the forest sector and may in the future also be required to provide information on progress on REDD+. </w:t>
      </w:r>
    </w:p>
    <w:p w14:paraId="3D9802D2" w14:textId="77777777" w:rsidR="006B087B" w:rsidRDefault="006B087B" w:rsidP="006B087B">
      <w:pPr>
        <w:numPr>
          <w:ilvl w:val="0"/>
          <w:numId w:val="9"/>
        </w:numPr>
      </w:pPr>
      <w:r w:rsidRPr="00054874">
        <w:rPr>
          <w:i/>
        </w:rPr>
        <w:t>State of the Environment Report</w:t>
      </w:r>
      <w:r>
        <w:t xml:space="preserve"> - under the Environment Act the ministry is responsible for development of a State of the Environment Report on a three yearly basis that should contain: </w:t>
      </w:r>
    </w:p>
    <w:p w14:paraId="0BB10C48" w14:textId="77777777" w:rsidR="006B087B" w:rsidRPr="004E0952" w:rsidRDefault="006B087B" w:rsidP="006B087B">
      <w:pPr>
        <w:numPr>
          <w:ilvl w:val="0"/>
          <w:numId w:val="10"/>
        </w:numPr>
        <w:rPr>
          <w:i/>
          <w:lang w:val="en-US"/>
        </w:rPr>
      </w:pPr>
      <w:r w:rsidRPr="004E0952">
        <w:rPr>
          <w:i/>
          <w:lang w:val="en-US"/>
        </w:rPr>
        <w:t>an assessment of the state and condition of the major natural resources of Solomon Islands;</w:t>
      </w:r>
    </w:p>
    <w:p w14:paraId="2230DF67" w14:textId="77777777" w:rsidR="006B087B" w:rsidRPr="00CB4436" w:rsidRDefault="006B087B" w:rsidP="006B087B">
      <w:pPr>
        <w:numPr>
          <w:ilvl w:val="0"/>
          <w:numId w:val="10"/>
        </w:numPr>
        <w:rPr>
          <w:i/>
        </w:rPr>
      </w:pPr>
      <w:r w:rsidRPr="004E0952">
        <w:rPr>
          <w:i/>
          <w:lang w:val="en-US"/>
        </w:rPr>
        <w:t xml:space="preserve">an examination of environmental trends, including implications for the environment and human </w:t>
      </w:r>
      <w:r w:rsidRPr="00CB4436">
        <w:rPr>
          <w:i/>
        </w:rPr>
        <w:t>health;</w:t>
      </w:r>
    </w:p>
    <w:p w14:paraId="47F74391" w14:textId="77777777" w:rsidR="006B087B" w:rsidRPr="00CB4436" w:rsidRDefault="006B087B" w:rsidP="006B087B">
      <w:pPr>
        <w:numPr>
          <w:ilvl w:val="0"/>
          <w:numId w:val="10"/>
        </w:numPr>
        <w:rPr>
          <w:i/>
        </w:rPr>
      </w:pPr>
      <w:r w:rsidRPr="00CB4436">
        <w:rPr>
          <w:i/>
        </w:rPr>
        <w:t>a review of programmes and activities carried on by the private sector, public authorities and non-government organisations that have a direct or indirect bearing on the functions of the Division;</w:t>
      </w:r>
    </w:p>
    <w:p w14:paraId="73E7E0A6" w14:textId="77777777" w:rsidR="006B087B" w:rsidRPr="004E0952" w:rsidRDefault="006B087B" w:rsidP="006B087B">
      <w:pPr>
        <w:numPr>
          <w:ilvl w:val="0"/>
          <w:numId w:val="10"/>
        </w:numPr>
        <w:rPr>
          <w:i/>
          <w:lang w:val="en-US"/>
        </w:rPr>
      </w:pPr>
      <w:r w:rsidRPr="004E0952">
        <w:rPr>
          <w:i/>
          <w:lang w:val="en-US"/>
        </w:rPr>
        <w:t xml:space="preserve">an examination of trends in economic analysis and of cost-effectiveness of controls associated with any of its functions and responsibilities; and </w:t>
      </w:r>
    </w:p>
    <w:p w14:paraId="21A22B61" w14:textId="77777777" w:rsidR="006B087B" w:rsidRPr="004E0952" w:rsidRDefault="006B087B" w:rsidP="006B087B">
      <w:pPr>
        <w:numPr>
          <w:ilvl w:val="0"/>
          <w:numId w:val="10"/>
        </w:numPr>
        <w:rPr>
          <w:lang w:val="en-US"/>
        </w:rPr>
      </w:pPr>
      <w:r w:rsidRPr="004E0952">
        <w:rPr>
          <w:i/>
          <w:lang w:val="en-US"/>
        </w:rPr>
        <w:t>any general recommendations for future legislative or other action which the Director considers appropriate to carry out the Division's functions and responsibilities</w:t>
      </w:r>
      <w:r>
        <w:rPr>
          <w:rStyle w:val="FootnoteReference"/>
          <w:i/>
          <w:lang w:val="en-US"/>
        </w:rPr>
        <w:footnoteReference w:id="146"/>
      </w:r>
      <w:r w:rsidRPr="004E0952">
        <w:rPr>
          <w:i/>
          <w:lang w:val="en-US"/>
        </w:rPr>
        <w:t>.</w:t>
      </w:r>
    </w:p>
    <w:p w14:paraId="6566F171" w14:textId="77777777" w:rsidR="006B087B" w:rsidRDefault="006B087B" w:rsidP="006B087B">
      <w:pPr>
        <w:numPr>
          <w:ilvl w:val="0"/>
          <w:numId w:val="11"/>
        </w:numPr>
      </w:pPr>
      <w:r w:rsidRPr="00054874">
        <w:rPr>
          <w:i/>
        </w:rPr>
        <w:t>Registry of Protected Areas</w:t>
      </w:r>
      <w:r>
        <w:t xml:space="preserve"> - Under the Protected Areas Act the ministry is also responsible for maintaining a registry of Protected Areas</w:t>
      </w:r>
      <w:r>
        <w:rPr>
          <w:rStyle w:val="FootnoteReference"/>
        </w:rPr>
        <w:footnoteReference w:id="147"/>
      </w:r>
      <w:r>
        <w:t xml:space="preserve"> </w:t>
      </w:r>
    </w:p>
    <w:p w14:paraId="394967A6" w14:textId="77777777" w:rsidR="006B087B" w:rsidRDefault="006B087B" w:rsidP="006B087B">
      <w:pPr>
        <w:numPr>
          <w:ilvl w:val="0"/>
          <w:numId w:val="11"/>
        </w:numPr>
      </w:pPr>
      <w:r>
        <w:t xml:space="preserve">Development consent record keeping – Under the EA the </w:t>
      </w:r>
      <w:r w:rsidRPr="006E2416">
        <w:rPr>
          <w:lang w:val="en-US"/>
        </w:rPr>
        <w:t xml:space="preserve">Director </w:t>
      </w:r>
      <w:r>
        <w:rPr>
          <w:lang w:val="en-US"/>
        </w:rPr>
        <w:t xml:space="preserve">is also required to </w:t>
      </w:r>
      <w:r w:rsidRPr="006E2416">
        <w:rPr>
          <w:i/>
          <w:lang w:val="en-US"/>
        </w:rPr>
        <w:t>keep proper records of all development applications, environmental impact assessments, public environmental reports and development consents</w:t>
      </w:r>
      <w:r>
        <w:rPr>
          <w:rStyle w:val="FootnoteReference"/>
          <w:i/>
          <w:lang w:val="en-US"/>
        </w:rPr>
        <w:footnoteReference w:id="148"/>
      </w:r>
      <w:r w:rsidRPr="006E2416">
        <w:rPr>
          <w:i/>
          <w:lang w:val="en-US"/>
        </w:rPr>
        <w:t>.</w:t>
      </w:r>
    </w:p>
    <w:p w14:paraId="501A1ED9" w14:textId="77777777" w:rsidR="006B087B" w:rsidRDefault="006B087B" w:rsidP="006B087B"/>
    <w:p w14:paraId="151E58FB" w14:textId="77777777" w:rsidR="006B087B" w:rsidRDefault="006B087B" w:rsidP="006B087B">
      <w:r>
        <w:t xml:space="preserve">The ministry has recently made progress in upgrading data management and GIS systems with relation to vulnerability assessments but there remains significant scope for building capacity. Establishment of an effective system of information management would allow for both provision of information on the application of safeguards and provision of information on the outcomes of these in terms of biodiversity conservation, linking with existing commitments under the UNCBD. </w:t>
      </w:r>
    </w:p>
    <w:p w14:paraId="4848491C" w14:textId="77777777" w:rsidR="006B087B" w:rsidRDefault="006B087B" w:rsidP="006B087B"/>
    <w:p w14:paraId="18298C4B" w14:textId="77777777" w:rsidR="006B087B" w:rsidRPr="006E2416" w:rsidRDefault="006B087B" w:rsidP="006B087B">
      <w:pPr>
        <w:rPr>
          <w:b/>
          <w:u w:val="single"/>
        </w:rPr>
      </w:pPr>
      <w:r w:rsidRPr="006E2416">
        <w:rPr>
          <w:b/>
          <w:u w:val="single"/>
        </w:rPr>
        <w:t xml:space="preserve">Ministry of Lands and Housing </w:t>
      </w:r>
    </w:p>
    <w:p w14:paraId="0CF7D9EA" w14:textId="77777777" w:rsidR="006B087B" w:rsidRDefault="006B087B" w:rsidP="006B087B">
      <w:r>
        <w:t xml:space="preserve">The ministry is responsible for reporting under the UNCCD and also carries domestic responsibility for reporting on levels of agricultural productivity. </w:t>
      </w:r>
    </w:p>
    <w:p w14:paraId="1B6F901F" w14:textId="77777777" w:rsidR="006B087B" w:rsidRPr="008E3A08" w:rsidRDefault="006B087B" w:rsidP="006B087B">
      <w:pPr>
        <w:numPr>
          <w:ilvl w:val="0"/>
          <w:numId w:val="9"/>
        </w:numPr>
        <w:rPr>
          <w:i/>
        </w:rPr>
      </w:pPr>
      <w:r w:rsidRPr="008E3A08">
        <w:rPr>
          <w:i/>
        </w:rPr>
        <w:t>Annual Reporting</w:t>
      </w:r>
      <w:r>
        <w:rPr>
          <w:i/>
        </w:rPr>
        <w:t xml:space="preserve"> </w:t>
      </w:r>
      <w:r>
        <w:t>– the ministry develops an annual report covering main activities and key achievements.</w:t>
      </w:r>
    </w:p>
    <w:p w14:paraId="21F8ABE3" w14:textId="77777777" w:rsidR="006B087B" w:rsidRPr="008E3A08" w:rsidRDefault="006B087B" w:rsidP="006B087B">
      <w:pPr>
        <w:numPr>
          <w:ilvl w:val="0"/>
          <w:numId w:val="9"/>
        </w:numPr>
        <w:rPr>
          <w:i/>
        </w:rPr>
      </w:pPr>
      <w:r>
        <w:rPr>
          <w:i/>
        </w:rPr>
        <w:t xml:space="preserve">Reporting under the UNCCD – </w:t>
      </w:r>
      <w:r>
        <w:t xml:space="preserve">the ministry is required to provide reporting on a periodic basis against the convention. </w:t>
      </w:r>
    </w:p>
    <w:p w14:paraId="5BE6E6E6" w14:textId="77777777" w:rsidR="006B087B" w:rsidRDefault="006B087B" w:rsidP="006B087B"/>
    <w:p w14:paraId="4434F1AD" w14:textId="77777777" w:rsidR="006B087B" w:rsidRPr="006E2416" w:rsidRDefault="006B087B" w:rsidP="006B087B">
      <w:pPr>
        <w:rPr>
          <w:b/>
          <w:u w:val="single"/>
        </w:rPr>
      </w:pPr>
      <w:r w:rsidRPr="006E2416">
        <w:rPr>
          <w:b/>
          <w:u w:val="single"/>
        </w:rPr>
        <w:t xml:space="preserve">Ministry of Finance </w:t>
      </w:r>
      <w:r>
        <w:rPr>
          <w:b/>
          <w:u w:val="single"/>
        </w:rPr>
        <w:t xml:space="preserve">(MoF) </w:t>
      </w:r>
      <w:r w:rsidRPr="006E2416">
        <w:rPr>
          <w:b/>
          <w:u w:val="single"/>
        </w:rPr>
        <w:t>and Central Bank of the Solomon Islands</w:t>
      </w:r>
      <w:r>
        <w:rPr>
          <w:b/>
          <w:u w:val="single"/>
        </w:rPr>
        <w:t xml:space="preserve"> (CBSI)</w:t>
      </w:r>
    </w:p>
    <w:p w14:paraId="3E2857CF" w14:textId="77777777" w:rsidR="006B087B" w:rsidRDefault="006B087B" w:rsidP="006B087B">
      <w:r>
        <w:t xml:space="preserve">The MoF and the CBSI collect key economic data on the country. Information collected includes levels of timber exports and revenue from the forestry sector. </w:t>
      </w:r>
    </w:p>
    <w:p w14:paraId="2CBD717F" w14:textId="77777777" w:rsidR="006B087B" w:rsidRDefault="006B087B" w:rsidP="006B087B"/>
    <w:p w14:paraId="7AB7F20B" w14:textId="77777777" w:rsidR="006B087B" w:rsidRPr="008E3A08" w:rsidRDefault="006B087B" w:rsidP="006B087B">
      <w:pPr>
        <w:rPr>
          <w:b/>
        </w:rPr>
      </w:pPr>
      <w:r w:rsidRPr="008E3A08">
        <w:rPr>
          <w:b/>
        </w:rPr>
        <w:t>Other sources of information</w:t>
      </w:r>
    </w:p>
    <w:p w14:paraId="7DCD9930" w14:textId="77777777" w:rsidR="006B087B" w:rsidRPr="008E3A08" w:rsidRDefault="006B087B" w:rsidP="006B087B">
      <w:r w:rsidRPr="008E3A08">
        <w:rPr>
          <w:i/>
        </w:rPr>
        <w:t xml:space="preserve">Public Solicitors Office </w:t>
      </w:r>
      <w:r>
        <w:rPr>
          <w:i/>
        </w:rPr>
        <w:t xml:space="preserve">(PSO) </w:t>
      </w:r>
      <w:r>
        <w:t xml:space="preserve">– the PSO including the Land Owners Advocacy and Legal Support Unit (LALSU) provide a key mechanism for providing access to justice. Information on levels of complaints received and cases processed can provide an important indication of both the application of existing safeguards and access to justice related to them. </w:t>
      </w:r>
    </w:p>
    <w:p w14:paraId="537AB6C1" w14:textId="77777777" w:rsidR="006B087B" w:rsidRDefault="006B087B" w:rsidP="006B087B">
      <w:r w:rsidRPr="0053657A">
        <w:rPr>
          <w:i/>
        </w:rPr>
        <w:t>Non-Governmental Organisations (NGOs)</w:t>
      </w:r>
      <w:r>
        <w:t xml:space="preserve"> – NGOs play a number of roles within the Solomon Islands and are capable of both collecting and developing information that can strengthen reporting (for example levels of biodiversity) as well as reporting on performance of government systems against international standards (through organisations such as Transparency Solomon Islands). Use of information from these sectors can also help to provide further legitimacy to government data collection systems. </w:t>
      </w:r>
    </w:p>
    <w:p w14:paraId="25C1EEBE" w14:textId="77777777" w:rsidR="006B087B" w:rsidRDefault="006B087B" w:rsidP="006B087B"/>
    <w:p w14:paraId="50BFD134" w14:textId="7D558A44" w:rsidR="006D2E84" w:rsidRPr="0089366F" w:rsidRDefault="006D2E84" w:rsidP="000F17EF">
      <w:pPr>
        <w:spacing w:before="0"/>
      </w:pPr>
    </w:p>
    <w:p w14:paraId="1327D206" w14:textId="79B0EDD8" w:rsidR="006D2E84" w:rsidRDefault="006D2E84" w:rsidP="006D2E84"/>
    <w:p w14:paraId="52540BCD" w14:textId="77777777" w:rsidR="000F17EF" w:rsidRPr="006D2E84" w:rsidRDefault="000F17EF" w:rsidP="006D2E84">
      <w:pPr>
        <w:sectPr w:rsidR="000F17EF" w:rsidRPr="006D2E84" w:rsidSect="00014341">
          <w:pgSz w:w="11900" w:h="16840"/>
          <w:pgMar w:top="1440" w:right="1080" w:bottom="1440" w:left="1080" w:header="708" w:footer="708" w:gutter="0"/>
          <w:cols w:space="708"/>
          <w:docGrid w:linePitch="360"/>
        </w:sectPr>
      </w:pPr>
    </w:p>
    <w:p w14:paraId="31F29D2A" w14:textId="77777777" w:rsidR="00A32911" w:rsidRPr="009D0F35" w:rsidRDefault="00A32911" w:rsidP="00AB53D0">
      <w:pPr>
        <w:pStyle w:val="Heading1"/>
        <w:numPr>
          <w:ilvl w:val="0"/>
          <w:numId w:val="0"/>
        </w:numPr>
        <w:ind w:left="431" w:hanging="431"/>
      </w:pPr>
    </w:p>
    <w:sectPr w:rsidR="00A32911" w:rsidRPr="009D0F35" w:rsidSect="00AB53D0">
      <w:pgSz w:w="16840" w:h="11900"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Phil Cowling" w:date="2014-02-26T22:00:00Z" w:initials="PC">
    <w:p w14:paraId="1013D286" w14:textId="4672D59B" w:rsidR="00293771" w:rsidRDefault="00293771">
      <w:pPr>
        <w:pStyle w:val="CommentText"/>
      </w:pPr>
      <w:r>
        <w:rPr>
          <w:rStyle w:val="CommentReference"/>
        </w:rPr>
        <w:annotationRef/>
      </w:r>
      <w:r>
        <w:t xml:space="preserve">Further text and links to criteria to be added. </w:t>
      </w:r>
    </w:p>
  </w:comment>
  <w:comment w:id="22" w:author="Phil Cowling" w:date="2014-02-26T22:00:00Z" w:initials="PC">
    <w:p w14:paraId="1733D11D" w14:textId="50CDB9DD" w:rsidR="00AD59B0" w:rsidRDefault="00AD59B0">
      <w:pPr>
        <w:pStyle w:val="CommentText"/>
      </w:pPr>
      <w:r>
        <w:rPr>
          <w:rStyle w:val="CommentReference"/>
        </w:rPr>
        <w:annotationRef/>
      </w:r>
      <w:r>
        <w:t>Need to add criteria that each of these will address</w:t>
      </w:r>
      <w:r w:rsidR="00293771">
        <w:t xml:space="preserve"> – will re-review once completed annex 2. </w:t>
      </w:r>
      <w:bookmarkStart w:id="23" w:name="_GoBack"/>
      <w:bookmarkEnd w:id="23"/>
    </w:p>
  </w:comment>
  <w:comment w:id="24" w:author="Phil Cowling" w:date="2014-02-26T21:58:00Z" w:initials="PC">
    <w:p w14:paraId="2B4E52C0" w14:textId="245E0023" w:rsidR="00293771" w:rsidRDefault="00293771">
      <w:pPr>
        <w:pStyle w:val="CommentText"/>
      </w:pPr>
      <w:r>
        <w:rPr>
          <w:rStyle w:val="CommentReference"/>
        </w:rPr>
        <w:annotationRef/>
      </w:r>
      <w:r>
        <w:t xml:space="preserve">Additional outcome reporting points to be identified. </w:t>
      </w:r>
    </w:p>
  </w:comment>
  <w:comment w:id="26" w:author="Phil Cowling" w:date="2014-02-26T21:58:00Z" w:initials="PC">
    <w:p w14:paraId="0EAA7200" w14:textId="3B3CEC9F" w:rsidR="00293771" w:rsidRDefault="00293771">
      <w:pPr>
        <w:pStyle w:val="CommentText"/>
      </w:pPr>
      <w:r>
        <w:rPr>
          <w:rStyle w:val="CommentReference"/>
        </w:rPr>
        <w:annotationRef/>
      </w:r>
      <w:r>
        <w:t>Indicators to be reviewed again</w:t>
      </w:r>
    </w:p>
  </w:comment>
  <w:comment w:id="60" w:author="Phil Cowling" w:date="2014-02-26T21:57:00Z" w:initials="PC">
    <w:p w14:paraId="4A5B4223" w14:textId="21888D89" w:rsidR="00293771" w:rsidRDefault="00293771">
      <w:pPr>
        <w:pStyle w:val="CommentText"/>
      </w:pPr>
      <w:r>
        <w:rPr>
          <w:rStyle w:val="CommentReference"/>
        </w:rPr>
        <w:annotationRef/>
      </w:r>
      <w:r>
        <w:t xml:space="preserve">Annex to be updated to provide priority actions by Ministry as well as cross cutting actions.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86A3B" w14:textId="77777777" w:rsidR="00AD59B0" w:rsidRDefault="00AD59B0" w:rsidP="00014341">
      <w:r>
        <w:separator/>
      </w:r>
    </w:p>
  </w:endnote>
  <w:endnote w:type="continuationSeparator" w:id="0">
    <w:p w14:paraId="407E651B" w14:textId="77777777" w:rsidR="00AD59B0" w:rsidRDefault="00AD59B0" w:rsidP="0001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260CF" w14:textId="77777777" w:rsidR="00AD59B0" w:rsidRDefault="00AD59B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0A6DA" w14:textId="77777777" w:rsidR="00AD59B0" w:rsidRPr="00014341" w:rsidRDefault="00AD59B0" w:rsidP="00014341">
    <w:pPr>
      <w:pStyle w:val="Footer"/>
      <w:jc w:val="right"/>
    </w:pPr>
    <w:r w:rsidRPr="00014341">
      <w:t xml:space="preserve">Page </w:t>
    </w:r>
    <w:r w:rsidRPr="00014341">
      <w:fldChar w:fldCharType="begin"/>
    </w:r>
    <w:r w:rsidRPr="00014341">
      <w:instrText xml:space="preserve"> PAGE </w:instrText>
    </w:r>
    <w:r w:rsidRPr="00014341">
      <w:fldChar w:fldCharType="separate"/>
    </w:r>
    <w:r w:rsidR="00293771">
      <w:rPr>
        <w:noProof/>
      </w:rPr>
      <w:t>1</w:t>
    </w:r>
    <w:r w:rsidRPr="00014341">
      <w:fldChar w:fldCharType="end"/>
    </w:r>
    <w:r w:rsidRPr="00014341">
      <w:t xml:space="preserve"> of </w:t>
    </w:r>
    <w:r w:rsidRPr="00014341">
      <w:fldChar w:fldCharType="begin"/>
    </w:r>
    <w:r w:rsidRPr="00014341">
      <w:instrText xml:space="preserve"> NUMPAGES </w:instrText>
    </w:r>
    <w:r w:rsidRPr="00014341">
      <w:fldChar w:fldCharType="separate"/>
    </w:r>
    <w:r w:rsidR="00293771">
      <w:rPr>
        <w:noProof/>
      </w:rPr>
      <w:t>2</w:t>
    </w:r>
    <w:r w:rsidRPr="00014341">
      <w:fldChar w:fldCharType="end"/>
    </w:r>
    <w:r>
      <w:rPr>
        <w:noProof/>
        <w:lang w:val="en-US"/>
      </w:rPr>
      <mc:AlternateContent>
        <mc:Choice Requires="wps">
          <w:drawing>
            <wp:anchor distT="4294967295" distB="4294967295" distL="114300" distR="114300" simplePos="0" relativeHeight="251658240" behindDoc="0" locked="0" layoutInCell="1" allowOverlap="1" wp14:anchorId="68428F7B" wp14:editId="5C8756F2">
              <wp:simplePos x="0" y="0"/>
              <wp:positionH relativeFrom="column">
                <wp:posOffset>-113665</wp:posOffset>
              </wp:positionH>
              <wp:positionV relativeFrom="paragraph">
                <wp:posOffset>-227331</wp:posOffset>
              </wp:positionV>
              <wp:extent cx="6286500" cy="0"/>
              <wp:effectExtent l="0" t="0" r="1270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8.9pt,-17.85pt" to="486.1pt,-1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" strokecolor="windowText" strokeweight="1pt">
              <o:lock v:ext="edit" shapetype="f"/>
            </v:lin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7579C" w14:textId="77777777" w:rsidR="00AD59B0" w:rsidRDefault="00AD59B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A3F79" w14:textId="77777777" w:rsidR="00AD59B0" w:rsidRDefault="00AD59B0" w:rsidP="00014341">
      <w:r>
        <w:separator/>
      </w:r>
    </w:p>
  </w:footnote>
  <w:footnote w:type="continuationSeparator" w:id="0">
    <w:p w14:paraId="07AC1107" w14:textId="77777777" w:rsidR="00AD59B0" w:rsidRDefault="00AD59B0" w:rsidP="00014341">
      <w:r>
        <w:continuationSeparator/>
      </w:r>
    </w:p>
  </w:footnote>
  <w:footnote w:id="1">
    <w:p w14:paraId="4F1F6605" w14:textId="77777777" w:rsidR="00AD59B0" w:rsidRPr="00772305" w:rsidRDefault="00AD59B0">
      <w:pPr>
        <w:pStyle w:val="FootnoteText"/>
        <w:rPr>
          <w:sz w:val="20"/>
          <w:lang w:val="en-US"/>
        </w:rPr>
      </w:pPr>
      <w:r w:rsidRPr="00772305">
        <w:rPr>
          <w:rStyle w:val="FootnoteReference"/>
          <w:sz w:val="20"/>
        </w:rPr>
        <w:footnoteRef/>
      </w:r>
      <w:r w:rsidRPr="00772305">
        <w:rPr>
          <w:sz w:val="20"/>
        </w:rPr>
        <w:t xml:space="preserve"> R</w:t>
      </w:r>
      <w:r w:rsidRPr="00772305">
        <w:rPr>
          <w:sz w:val="20"/>
          <w:lang w:val="en-US"/>
        </w:rPr>
        <w:t>ey, D., Roberts, J., Korwin, S., Rivera, L., and Ribet, U. (2013) A Guide to Understanding and Im- plementing the UNFCCC REDD+ Safeguards. ClientEarth, London, United Kingdom.</w:t>
      </w:r>
    </w:p>
  </w:footnote>
  <w:footnote w:id="2">
    <w:p w14:paraId="02999B12" w14:textId="77777777" w:rsidR="00AD59B0" w:rsidRPr="005C0FD7" w:rsidRDefault="00AD59B0">
      <w:pPr>
        <w:pStyle w:val="FootnoteText"/>
        <w:rPr>
          <w:lang w:val="en-US"/>
        </w:rPr>
      </w:pPr>
      <w:r w:rsidRPr="00772305">
        <w:rPr>
          <w:rStyle w:val="FootnoteReference"/>
          <w:sz w:val="20"/>
        </w:rPr>
        <w:footnoteRef/>
      </w:r>
      <w:r w:rsidRPr="00772305">
        <w:rPr>
          <w:sz w:val="20"/>
        </w:rPr>
        <w:t xml:space="preserve"> </w:t>
      </w:r>
      <w:r w:rsidRPr="00772305">
        <w:rPr>
          <w:sz w:val="20"/>
          <w:lang w:val="en-US"/>
        </w:rPr>
        <w:t>Ibid</w:t>
      </w:r>
    </w:p>
  </w:footnote>
  <w:footnote w:id="3">
    <w:p w14:paraId="59DEBF6E" w14:textId="77777777" w:rsidR="00AD59B0" w:rsidRPr="00C8631C" w:rsidRDefault="00AD59B0" w:rsidP="00C8631C">
      <w:pPr>
        <w:pStyle w:val="FootnoteText"/>
        <w:spacing w:before="0"/>
        <w:rPr>
          <w:sz w:val="20"/>
          <w:szCs w:val="20"/>
          <w:lang w:val="en-US"/>
        </w:rPr>
      </w:pPr>
      <w:r w:rsidRPr="00C8631C">
        <w:rPr>
          <w:rStyle w:val="FootnoteReference"/>
          <w:sz w:val="20"/>
          <w:szCs w:val="20"/>
        </w:rPr>
        <w:footnoteRef/>
      </w:r>
      <w:r w:rsidRPr="00C8631C">
        <w:rPr>
          <w:sz w:val="20"/>
          <w:szCs w:val="20"/>
        </w:rPr>
        <w:t xml:space="preserve"> </w:t>
      </w:r>
      <w:r w:rsidRPr="00C8631C">
        <w:rPr>
          <w:sz w:val="20"/>
          <w:szCs w:val="20"/>
          <w:lang w:val="en-US"/>
        </w:rPr>
        <w:t>(Rey et al. 2013).</w:t>
      </w:r>
    </w:p>
  </w:footnote>
  <w:footnote w:id="4">
    <w:p w14:paraId="5162BA26" w14:textId="77777777" w:rsidR="00AD59B0" w:rsidRPr="00C8631C" w:rsidRDefault="00AD59B0" w:rsidP="00C8631C">
      <w:pPr>
        <w:pStyle w:val="FootnoteText"/>
        <w:spacing w:before="0"/>
        <w:rPr>
          <w:sz w:val="20"/>
          <w:szCs w:val="20"/>
          <w:lang w:val="en-US"/>
        </w:rPr>
      </w:pPr>
      <w:r w:rsidRPr="00C8631C">
        <w:rPr>
          <w:rStyle w:val="FootnoteReference"/>
          <w:sz w:val="20"/>
          <w:szCs w:val="20"/>
        </w:rPr>
        <w:footnoteRef/>
      </w:r>
      <w:r w:rsidRPr="00C8631C">
        <w:rPr>
          <w:sz w:val="20"/>
          <w:szCs w:val="20"/>
        </w:rPr>
        <w:t xml:space="preserve"> </w:t>
      </w:r>
      <w:r w:rsidRPr="00C8631C">
        <w:rPr>
          <w:sz w:val="20"/>
          <w:szCs w:val="20"/>
          <w:lang w:val="en-US"/>
        </w:rPr>
        <w:t>Including the existence of “a country-led process for the development of a national system for providing information on how the UNFCCC REDD+ safeguards are being addressed and respected,” UNFCCC Decision 1/CP.16 paragraph 71 (d)</w:t>
      </w:r>
    </w:p>
  </w:footnote>
  <w:footnote w:id="5">
    <w:p w14:paraId="538C36D2" w14:textId="77777777" w:rsidR="00AD59B0" w:rsidRPr="00C8631C" w:rsidRDefault="00AD59B0" w:rsidP="00C8631C">
      <w:pPr>
        <w:pStyle w:val="FootnoteText"/>
        <w:spacing w:before="0"/>
        <w:rPr>
          <w:sz w:val="20"/>
          <w:szCs w:val="20"/>
          <w:lang w:val="en-US"/>
        </w:rPr>
      </w:pPr>
      <w:r w:rsidRPr="00C8631C">
        <w:rPr>
          <w:rStyle w:val="FootnoteReference"/>
          <w:sz w:val="20"/>
          <w:szCs w:val="20"/>
        </w:rPr>
        <w:footnoteRef/>
      </w:r>
      <w:r w:rsidRPr="00C8631C">
        <w:rPr>
          <w:sz w:val="20"/>
          <w:szCs w:val="20"/>
        </w:rPr>
        <w:t xml:space="preserve"> </w:t>
      </w:r>
      <w:r w:rsidRPr="00C8631C">
        <w:rPr>
          <w:sz w:val="20"/>
          <w:szCs w:val="20"/>
          <w:lang w:val="en-US"/>
        </w:rPr>
        <w:t>UNFCCC Decision 2/CP.17 – the Durban Decision links the disbursement of REDD+ finance with the effective implementation of the Cancun safeguards.</w:t>
      </w:r>
    </w:p>
  </w:footnote>
  <w:footnote w:id="6">
    <w:p w14:paraId="45903E8A" w14:textId="55D4FDF7" w:rsidR="00AD59B0" w:rsidRPr="003701EE" w:rsidRDefault="00AD59B0" w:rsidP="00C8631C">
      <w:pPr>
        <w:pStyle w:val="FootnoteText"/>
        <w:spacing w:before="0"/>
        <w:rPr>
          <w:lang w:val="en-US"/>
        </w:rPr>
      </w:pPr>
      <w:r w:rsidRPr="00C8631C">
        <w:rPr>
          <w:rStyle w:val="FootnoteReference"/>
          <w:sz w:val="20"/>
          <w:szCs w:val="20"/>
        </w:rPr>
        <w:footnoteRef/>
      </w:r>
      <w:r w:rsidRPr="00C8631C">
        <w:rPr>
          <w:sz w:val="20"/>
          <w:szCs w:val="20"/>
        </w:rPr>
        <w:t xml:space="preserve"> </w:t>
      </w:r>
      <w:r w:rsidRPr="00C8631C">
        <w:rPr>
          <w:sz w:val="20"/>
          <w:szCs w:val="20"/>
          <w:lang w:val="en-US"/>
        </w:rPr>
        <w:t>Box adapted from Rey, D., Swan, S. &amp; Enright, A. (2013) A country-led approach to REDD+ safeguards and multiple benefits. SNV – The Netherlands Development Organisation, Ho Chi Minh City.</w:t>
      </w:r>
    </w:p>
  </w:footnote>
  <w:footnote w:id="7">
    <w:p w14:paraId="18DC3E7F" w14:textId="6D007B80" w:rsidR="00AD59B0" w:rsidRPr="00CE1C94" w:rsidRDefault="00AD59B0">
      <w:pPr>
        <w:pStyle w:val="FootnoteText"/>
        <w:rPr>
          <w:sz w:val="20"/>
          <w:szCs w:val="20"/>
          <w:lang w:val="en-US"/>
        </w:rPr>
      </w:pPr>
      <w:r w:rsidRPr="00CE1C94">
        <w:rPr>
          <w:rStyle w:val="FootnoteReference"/>
          <w:sz w:val="20"/>
          <w:szCs w:val="20"/>
        </w:rPr>
        <w:footnoteRef/>
      </w:r>
      <w:r w:rsidRPr="00CE1C94">
        <w:rPr>
          <w:sz w:val="20"/>
          <w:szCs w:val="20"/>
        </w:rPr>
        <w:t xml:space="preserve"> </w:t>
      </w:r>
      <w:r w:rsidRPr="00CE1C94">
        <w:rPr>
          <w:sz w:val="20"/>
          <w:szCs w:val="20"/>
          <w:lang w:val="en-US"/>
        </w:rPr>
        <w:t>Table adapted from Rey, D., Swan, S. &amp; Enright, A. (2013) A country-led approach to REDD+ safeguards and multiple benefits. SNV – The Netherlands Development Organisation, Ho Chi Minh City.</w:t>
      </w:r>
    </w:p>
  </w:footnote>
  <w:footnote w:id="8">
    <w:p w14:paraId="4076D3DD" w14:textId="6D1BB440" w:rsidR="00AD59B0" w:rsidRPr="00AF6FF9" w:rsidRDefault="00AD59B0" w:rsidP="008E70C9">
      <w:pPr>
        <w:pStyle w:val="FootnoteText"/>
        <w:spacing w:before="0"/>
        <w:rPr>
          <w:lang w:val="en-US"/>
        </w:rPr>
      </w:pPr>
      <w:r w:rsidRPr="00AF6FF9">
        <w:rPr>
          <w:rStyle w:val="FootnoteReference"/>
          <w:sz w:val="20"/>
        </w:rPr>
        <w:footnoteRef/>
      </w:r>
      <w:r w:rsidRPr="00AF6FF9">
        <w:rPr>
          <w:sz w:val="20"/>
        </w:rPr>
        <w:t xml:space="preserve"> The Environment Act and its Regulations provide a number of areas in which there is a lack of clear guidance on information that should be included within for example a social impact assessment. Interpretation of such terms should be considered based on international bes</w:t>
      </w:r>
      <w:r>
        <w:rPr>
          <w:sz w:val="20"/>
        </w:rPr>
        <w:t>t practice.</w:t>
      </w:r>
    </w:p>
  </w:footnote>
  <w:footnote w:id="9">
    <w:p w14:paraId="795B740E" w14:textId="7C09302F" w:rsidR="00AD59B0" w:rsidRPr="008E70C9" w:rsidRDefault="00AD59B0" w:rsidP="008E70C9">
      <w:pPr>
        <w:pStyle w:val="FootnoteText"/>
        <w:spacing w:before="0"/>
        <w:rPr>
          <w:lang w:val="en-US"/>
        </w:rPr>
      </w:pPr>
      <w:r w:rsidRPr="008E70C9">
        <w:rPr>
          <w:rStyle w:val="FootnoteReference"/>
          <w:sz w:val="20"/>
        </w:rPr>
        <w:footnoteRef/>
      </w:r>
      <w:r w:rsidRPr="008E70C9">
        <w:rPr>
          <w:sz w:val="20"/>
        </w:rPr>
        <w:t xml:space="preserve"> </w:t>
      </w:r>
      <w:r w:rsidRPr="008E70C9">
        <w:rPr>
          <w:sz w:val="20"/>
          <w:lang w:val="en-US"/>
        </w:rPr>
        <w:t xml:space="preserve">This development process should reflect international best practices and can draw on voluntary market standards identified under the Pacific Regional REDD+ Framework. </w:t>
      </w:r>
    </w:p>
  </w:footnote>
  <w:footnote w:id="10">
    <w:p w14:paraId="5143D1D3" w14:textId="5930F140" w:rsidR="00AD59B0" w:rsidRPr="0072428A" w:rsidRDefault="00AD59B0">
      <w:pPr>
        <w:pStyle w:val="FootnoteText"/>
        <w:rPr>
          <w:lang w:val="en-US"/>
        </w:rPr>
      </w:pPr>
      <w:r w:rsidRPr="0072428A">
        <w:rPr>
          <w:rStyle w:val="FootnoteReference"/>
          <w:sz w:val="20"/>
        </w:rPr>
        <w:footnoteRef/>
      </w:r>
      <w:r w:rsidRPr="0072428A">
        <w:rPr>
          <w:sz w:val="20"/>
        </w:rPr>
        <w:t xml:space="preserve"> This process should link to work done by ADB on revisions to Development Consent process</w:t>
      </w:r>
    </w:p>
  </w:footnote>
  <w:footnote w:id="11">
    <w:p w14:paraId="30892E10" w14:textId="77777777" w:rsidR="00AD59B0" w:rsidRPr="00370538" w:rsidRDefault="00AD59B0" w:rsidP="00B71EE3">
      <w:pPr>
        <w:pStyle w:val="FootnoteText"/>
        <w:spacing w:before="0"/>
        <w:rPr>
          <w:sz w:val="28"/>
          <w:lang w:val="en-US"/>
        </w:rPr>
      </w:pPr>
      <w:r w:rsidRPr="00370538">
        <w:rPr>
          <w:rStyle w:val="FootnoteReference"/>
          <w:sz w:val="20"/>
        </w:rPr>
        <w:footnoteRef/>
      </w:r>
      <w:r w:rsidRPr="00370538">
        <w:rPr>
          <w:sz w:val="20"/>
        </w:rPr>
        <w:t xml:space="preserve"> </w:t>
      </w:r>
      <w:r w:rsidRPr="00370538">
        <w:rPr>
          <w:sz w:val="20"/>
          <w:lang w:val="en-US"/>
        </w:rPr>
        <w:t>PA Regulations Sec 60 (1)</w:t>
      </w:r>
    </w:p>
  </w:footnote>
  <w:footnote w:id="12">
    <w:p w14:paraId="19B8F940" w14:textId="77777777" w:rsidR="00AD59B0" w:rsidRPr="006B0CD5" w:rsidRDefault="00AD59B0" w:rsidP="00B71EE3">
      <w:pPr>
        <w:pStyle w:val="FootnoteText"/>
        <w:spacing w:before="0"/>
        <w:rPr>
          <w:sz w:val="20"/>
          <w:lang w:val="en-US"/>
        </w:rPr>
      </w:pPr>
      <w:r w:rsidRPr="006B0CD5">
        <w:rPr>
          <w:rStyle w:val="FootnoteReference"/>
          <w:sz w:val="20"/>
        </w:rPr>
        <w:footnoteRef/>
      </w:r>
      <w:r w:rsidRPr="006B0CD5">
        <w:rPr>
          <w:sz w:val="20"/>
        </w:rPr>
        <w:t xml:space="preserve"> </w:t>
      </w:r>
      <w:r w:rsidRPr="006B0CD5">
        <w:rPr>
          <w:sz w:val="20"/>
          <w:lang w:val="en-US"/>
        </w:rPr>
        <w:t>PA Regulations Sec 58 (2)</w:t>
      </w:r>
    </w:p>
  </w:footnote>
  <w:footnote w:id="13">
    <w:p w14:paraId="683ED321" w14:textId="77777777" w:rsidR="00AD59B0" w:rsidRPr="00934C31" w:rsidRDefault="00AD59B0" w:rsidP="00B71EE3">
      <w:pPr>
        <w:pStyle w:val="FootnoteText"/>
        <w:spacing w:before="0"/>
        <w:rPr>
          <w:sz w:val="18"/>
          <w:lang w:val="en-US"/>
        </w:rPr>
      </w:pPr>
      <w:r w:rsidRPr="006B0CD5">
        <w:rPr>
          <w:rStyle w:val="FootnoteReference"/>
          <w:sz w:val="20"/>
        </w:rPr>
        <w:footnoteRef/>
      </w:r>
      <w:r w:rsidRPr="006B0CD5">
        <w:rPr>
          <w:sz w:val="20"/>
        </w:rPr>
        <w:t xml:space="preserve"> </w:t>
      </w:r>
      <w:r w:rsidRPr="006B0CD5">
        <w:rPr>
          <w:sz w:val="20"/>
          <w:lang w:val="en-US"/>
        </w:rPr>
        <w:t>PA Regulations Sec 58 (3)</w:t>
      </w:r>
    </w:p>
  </w:footnote>
  <w:footnote w:id="14">
    <w:p w14:paraId="4D3692BF" w14:textId="77777777" w:rsidR="00AD59B0" w:rsidRPr="00370538" w:rsidRDefault="00AD59B0" w:rsidP="00B71EE3">
      <w:pPr>
        <w:pStyle w:val="FootnoteText"/>
        <w:spacing w:before="0"/>
        <w:rPr>
          <w:sz w:val="20"/>
          <w:lang w:val="en-US"/>
        </w:rPr>
      </w:pPr>
      <w:r w:rsidRPr="00370538">
        <w:rPr>
          <w:rStyle w:val="FootnoteReference"/>
          <w:sz w:val="20"/>
        </w:rPr>
        <w:footnoteRef/>
      </w:r>
      <w:r w:rsidRPr="00370538">
        <w:rPr>
          <w:sz w:val="20"/>
        </w:rPr>
        <w:t xml:space="preserve"> The PA Advisory Committee, established under Part 2 of the PA Act, is a multi-stakeholder committee (at least 4 non-government members of 10) and is mandated to implement the PA Act. </w:t>
      </w:r>
    </w:p>
  </w:footnote>
  <w:footnote w:id="15">
    <w:p w14:paraId="41A88998" w14:textId="77777777" w:rsidR="00AD59B0" w:rsidRPr="00370538" w:rsidRDefault="00AD59B0" w:rsidP="00B71EE3">
      <w:pPr>
        <w:pStyle w:val="FootnoteText"/>
        <w:spacing w:before="0"/>
        <w:rPr>
          <w:sz w:val="28"/>
          <w:lang w:val="en-US"/>
        </w:rPr>
      </w:pPr>
      <w:r w:rsidRPr="00370538">
        <w:rPr>
          <w:rStyle w:val="FootnoteReference"/>
          <w:sz w:val="20"/>
        </w:rPr>
        <w:footnoteRef/>
      </w:r>
      <w:r w:rsidRPr="00370538">
        <w:rPr>
          <w:sz w:val="20"/>
        </w:rPr>
        <w:t xml:space="preserve"> </w:t>
      </w:r>
      <w:r w:rsidRPr="00370538">
        <w:rPr>
          <w:sz w:val="20"/>
          <w:lang w:val="en-US"/>
        </w:rPr>
        <w:t>PA Act Sec 13-15</w:t>
      </w:r>
    </w:p>
  </w:footnote>
  <w:footnote w:id="16">
    <w:p w14:paraId="79B36EBF" w14:textId="77777777" w:rsidR="00AD59B0" w:rsidRPr="00A56AEC" w:rsidRDefault="00AD59B0" w:rsidP="00132C73">
      <w:pPr>
        <w:pStyle w:val="FootnoteText"/>
        <w:spacing w:before="0"/>
        <w:rPr>
          <w:lang w:val="en-US"/>
        </w:rPr>
      </w:pPr>
      <w:r w:rsidRPr="00A56AEC">
        <w:rPr>
          <w:rStyle w:val="FootnoteReference"/>
          <w:sz w:val="20"/>
        </w:rPr>
        <w:footnoteRef/>
      </w:r>
      <w:r w:rsidRPr="00A56AEC">
        <w:rPr>
          <w:sz w:val="20"/>
        </w:rPr>
        <w:t xml:space="preserve"> </w:t>
      </w:r>
      <w:r w:rsidRPr="00A56AEC">
        <w:rPr>
          <w:sz w:val="20"/>
          <w:lang w:val="en-US"/>
        </w:rPr>
        <w:t>Constitution of the Solomon Islands Chapter 93 the Leadership Code</w:t>
      </w:r>
    </w:p>
  </w:footnote>
  <w:footnote w:id="17">
    <w:p w14:paraId="73AC901E" w14:textId="77777777" w:rsidR="00AD59B0" w:rsidRPr="003902B2" w:rsidRDefault="00AD59B0" w:rsidP="00132C73">
      <w:pPr>
        <w:pStyle w:val="FootnoteText"/>
        <w:spacing w:before="0"/>
        <w:rPr>
          <w:lang w:val="en-US"/>
        </w:rPr>
      </w:pPr>
      <w:r w:rsidRPr="003902B2">
        <w:rPr>
          <w:rStyle w:val="FootnoteReference"/>
          <w:sz w:val="20"/>
        </w:rPr>
        <w:footnoteRef/>
      </w:r>
      <w:r w:rsidRPr="003902B2">
        <w:rPr>
          <w:sz w:val="20"/>
        </w:rPr>
        <w:t xml:space="preserve"> </w:t>
      </w:r>
      <w:r w:rsidRPr="003902B2">
        <w:rPr>
          <w:sz w:val="20"/>
          <w:lang w:val="en-US"/>
        </w:rPr>
        <w:t xml:space="preserve">XXX – Political Economy of Logging in the SI </w:t>
      </w:r>
    </w:p>
  </w:footnote>
  <w:footnote w:id="18">
    <w:p w14:paraId="3E21BD1E" w14:textId="77777777" w:rsidR="00AD59B0" w:rsidRPr="00B66A3F" w:rsidRDefault="00AD59B0" w:rsidP="00132C73">
      <w:pPr>
        <w:pStyle w:val="FootnoteText"/>
        <w:spacing w:before="0"/>
        <w:rPr>
          <w:lang w:val="en-US"/>
        </w:rPr>
      </w:pPr>
      <w:r w:rsidRPr="00B66A3F">
        <w:rPr>
          <w:rStyle w:val="FootnoteReference"/>
          <w:sz w:val="20"/>
        </w:rPr>
        <w:footnoteRef/>
      </w:r>
      <w:r w:rsidRPr="00B66A3F">
        <w:rPr>
          <w:sz w:val="20"/>
        </w:rPr>
        <w:t xml:space="preserve"> Text from Solomon Island High Court decision 101 [2000] </w:t>
      </w:r>
      <w:r w:rsidRPr="00B66A3F">
        <w:rPr>
          <w:i/>
          <w:sz w:val="20"/>
        </w:rPr>
        <w:t>Kasa v Biku</w:t>
      </w:r>
      <w:r w:rsidRPr="00B66A3F">
        <w:rPr>
          <w:sz w:val="20"/>
        </w:rPr>
        <w:t xml:space="preserve"> – quoted in </w:t>
      </w:r>
      <w:r w:rsidRPr="00B66A3F">
        <w:rPr>
          <w:i/>
          <w:sz w:val="20"/>
        </w:rPr>
        <w:t>LALSU Environmental Law Handbook</w:t>
      </w:r>
      <w:r w:rsidRPr="00B66A3F">
        <w:rPr>
          <w:sz w:val="20"/>
        </w:rPr>
        <w:t xml:space="preserve"> unpublished</w:t>
      </w:r>
    </w:p>
  </w:footnote>
  <w:footnote w:id="19">
    <w:p w14:paraId="2F61093B" w14:textId="77777777" w:rsidR="00AD59B0" w:rsidRPr="00CB2ECB" w:rsidRDefault="00AD59B0" w:rsidP="00132C73">
      <w:pPr>
        <w:pStyle w:val="FootnoteText"/>
        <w:spacing w:before="0"/>
        <w:rPr>
          <w:lang w:val="en-US"/>
        </w:rPr>
      </w:pPr>
      <w:r w:rsidRPr="00CB2ECB">
        <w:rPr>
          <w:rStyle w:val="FootnoteReference"/>
          <w:sz w:val="20"/>
        </w:rPr>
        <w:footnoteRef/>
      </w:r>
      <w:r w:rsidRPr="00CB2ECB">
        <w:rPr>
          <w:sz w:val="20"/>
        </w:rPr>
        <w:t xml:space="preserve"> </w:t>
      </w:r>
      <w:r w:rsidRPr="00CB2ECB">
        <w:rPr>
          <w:sz w:val="20"/>
          <w:lang w:val="en-US"/>
        </w:rPr>
        <w:t>FRTU Act Schedule Form 4 Timber Rights Agreement s38</w:t>
      </w:r>
    </w:p>
  </w:footnote>
  <w:footnote w:id="20">
    <w:p w14:paraId="38ABF466" w14:textId="77777777" w:rsidR="00AD59B0" w:rsidRPr="00CB2ECB" w:rsidRDefault="00AD59B0" w:rsidP="00132C73">
      <w:pPr>
        <w:pStyle w:val="Footnotesteph"/>
        <w:rPr>
          <w:rFonts w:ascii="Calibri" w:hAnsi="Calibri"/>
        </w:rPr>
      </w:pPr>
      <w:r w:rsidRPr="00CB2ECB">
        <w:rPr>
          <w:rStyle w:val="FootnoteReference"/>
          <w:sz w:val="20"/>
        </w:rPr>
        <w:footnoteRef/>
      </w:r>
      <w:r w:rsidRPr="00CB2ECB">
        <w:rPr>
          <w:rFonts w:ascii="Calibri" w:hAnsi="Calibri"/>
          <w:sz w:val="20"/>
        </w:rPr>
        <w:t xml:space="preserve"> FRTU Act s 15. </w:t>
      </w:r>
    </w:p>
  </w:footnote>
  <w:footnote w:id="21">
    <w:p w14:paraId="3D848B07" w14:textId="6510948F" w:rsidR="00AD59B0" w:rsidRPr="00EA2014" w:rsidRDefault="00AD59B0" w:rsidP="00EA2014">
      <w:pPr>
        <w:pStyle w:val="FootnoteText"/>
        <w:spacing w:before="0"/>
        <w:rPr>
          <w:lang w:val="en-US"/>
        </w:rPr>
      </w:pPr>
      <w:r w:rsidRPr="00EA2014">
        <w:rPr>
          <w:rStyle w:val="FootnoteReference"/>
          <w:sz w:val="20"/>
        </w:rPr>
        <w:footnoteRef/>
      </w:r>
      <w:r w:rsidRPr="00EA2014">
        <w:rPr>
          <w:sz w:val="20"/>
        </w:rPr>
        <w:t xml:space="preserve"> </w:t>
      </w:r>
      <w:r w:rsidRPr="00EA2014">
        <w:rPr>
          <w:sz w:val="20"/>
          <w:lang w:val="en-US"/>
        </w:rPr>
        <w:t>LALSU pers comms</w:t>
      </w:r>
    </w:p>
  </w:footnote>
  <w:footnote w:id="22">
    <w:p w14:paraId="37CBD056" w14:textId="77777777" w:rsidR="00AD59B0" w:rsidRPr="00E85628" w:rsidRDefault="00AD59B0" w:rsidP="00132C73">
      <w:pPr>
        <w:pStyle w:val="FootnoteText"/>
        <w:spacing w:before="0"/>
        <w:rPr>
          <w:lang w:val="en-US"/>
        </w:rPr>
      </w:pPr>
      <w:r w:rsidRPr="0083320E">
        <w:rPr>
          <w:rStyle w:val="FootnoteReference"/>
          <w:sz w:val="20"/>
        </w:rPr>
        <w:footnoteRef/>
      </w:r>
      <w:r w:rsidRPr="0083320E">
        <w:rPr>
          <w:sz w:val="20"/>
        </w:rPr>
        <w:t xml:space="preserve"> Land Reform Unit pers comms</w:t>
      </w:r>
    </w:p>
  </w:footnote>
  <w:footnote w:id="23">
    <w:p w14:paraId="21044092" w14:textId="77777777" w:rsidR="00AD59B0" w:rsidRPr="00381385" w:rsidRDefault="00AD59B0" w:rsidP="00132C73">
      <w:pPr>
        <w:pStyle w:val="FootnoteText"/>
        <w:spacing w:before="0"/>
        <w:rPr>
          <w:lang w:val="en-US"/>
        </w:rPr>
      </w:pPr>
      <w:r w:rsidRPr="00381385">
        <w:rPr>
          <w:rStyle w:val="FootnoteReference"/>
          <w:sz w:val="20"/>
        </w:rPr>
        <w:footnoteRef/>
      </w:r>
      <w:r w:rsidRPr="00381385">
        <w:rPr>
          <w:sz w:val="20"/>
        </w:rPr>
        <w:t xml:space="preserve"> </w:t>
      </w:r>
      <w:r w:rsidRPr="00381385">
        <w:rPr>
          <w:sz w:val="20"/>
          <w:lang w:val="en-US"/>
        </w:rPr>
        <w:t>Companies Act 2009 Part 12 s165</w:t>
      </w:r>
    </w:p>
  </w:footnote>
  <w:footnote w:id="24">
    <w:p w14:paraId="3B2DE5E6" w14:textId="77777777" w:rsidR="00AD59B0" w:rsidRPr="0083320E" w:rsidRDefault="00AD59B0" w:rsidP="00132C73">
      <w:pPr>
        <w:spacing w:before="0"/>
        <w:rPr>
          <w:sz w:val="20"/>
          <w:szCs w:val="20"/>
          <w:lang w:val="en-US"/>
        </w:rPr>
      </w:pPr>
      <w:r w:rsidRPr="0083320E">
        <w:rPr>
          <w:rStyle w:val="FootnoteReference"/>
          <w:sz w:val="20"/>
          <w:szCs w:val="20"/>
        </w:rPr>
        <w:footnoteRef/>
      </w:r>
      <w:r w:rsidRPr="0083320E">
        <w:rPr>
          <w:sz w:val="20"/>
          <w:szCs w:val="20"/>
        </w:rPr>
        <w:t xml:space="preserve"> </w:t>
      </w:r>
      <w:r w:rsidRPr="0083320E">
        <w:rPr>
          <w:sz w:val="20"/>
          <w:szCs w:val="20"/>
          <w:lang w:val="en-US"/>
        </w:rPr>
        <w:t>PA Act s 4 (1) although all members are identified by the Minister they must take into account experience and skills in resource and conservation management and representatives from the fishery and forestry industries (2).</w:t>
      </w:r>
    </w:p>
  </w:footnote>
  <w:footnote w:id="25">
    <w:p w14:paraId="6AD97F9E" w14:textId="77777777" w:rsidR="00AD59B0" w:rsidRPr="0083320E" w:rsidRDefault="00AD59B0" w:rsidP="00132C73">
      <w:pPr>
        <w:spacing w:before="0"/>
        <w:rPr>
          <w:sz w:val="20"/>
          <w:szCs w:val="20"/>
          <w:lang w:val="en-US"/>
        </w:rPr>
      </w:pPr>
      <w:r w:rsidRPr="0083320E">
        <w:rPr>
          <w:rStyle w:val="FootnoteReference"/>
          <w:sz w:val="20"/>
          <w:szCs w:val="20"/>
        </w:rPr>
        <w:footnoteRef/>
      </w:r>
      <w:r w:rsidRPr="0083320E">
        <w:rPr>
          <w:sz w:val="20"/>
          <w:szCs w:val="20"/>
        </w:rPr>
        <w:t xml:space="preserve"> PA Act </w:t>
      </w:r>
      <w:r w:rsidRPr="0083320E">
        <w:rPr>
          <w:sz w:val="20"/>
          <w:szCs w:val="20"/>
          <w:lang w:val="en-US"/>
        </w:rPr>
        <w:t>s 5</w:t>
      </w:r>
    </w:p>
  </w:footnote>
  <w:footnote w:id="26">
    <w:p w14:paraId="3501D326" w14:textId="77777777" w:rsidR="00AD59B0" w:rsidRPr="0083320E" w:rsidRDefault="00AD59B0" w:rsidP="00132C73">
      <w:pPr>
        <w:spacing w:before="0"/>
        <w:rPr>
          <w:sz w:val="20"/>
          <w:szCs w:val="20"/>
        </w:rPr>
      </w:pPr>
      <w:r w:rsidRPr="0083320E">
        <w:rPr>
          <w:rStyle w:val="FootnoteReference"/>
          <w:sz w:val="20"/>
          <w:szCs w:val="20"/>
        </w:rPr>
        <w:footnoteRef/>
      </w:r>
      <w:r w:rsidRPr="0083320E">
        <w:rPr>
          <w:sz w:val="20"/>
          <w:szCs w:val="20"/>
        </w:rPr>
        <w:t xml:space="preserve"> Protected Areas Regulations reg 27(3); Protected Areas Act s 12(1).</w:t>
      </w:r>
    </w:p>
  </w:footnote>
  <w:footnote w:id="27">
    <w:p w14:paraId="220E314C" w14:textId="77777777" w:rsidR="00AD59B0" w:rsidRPr="0083320E" w:rsidRDefault="00AD59B0" w:rsidP="00132C73">
      <w:pPr>
        <w:spacing w:before="0"/>
        <w:rPr>
          <w:sz w:val="20"/>
          <w:szCs w:val="20"/>
          <w:lang w:val="en-US"/>
        </w:rPr>
      </w:pPr>
      <w:r w:rsidRPr="0083320E">
        <w:rPr>
          <w:rStyle w:val="FootnoteReference"/>
          <w:sz w:val="20"/>
          <w:szCs w:val="20"/>
        </w:rPr>
        <w:footnoteRef/>
      </w:r>
      <w:r w:rsidRPr="0083320E">
        <w:rPr>
          <w:sz w:val="20"/>
          <w:szCs w:val="20"/>
        </w:rPr>
        <w:t xml:space="preserve"> </w:t>
      </w:r>
      <w:r w:rsidRPr="0083320E">
        <w:rPr>
          <w:sz w:val="20"/>
          <w:szCs w:val="20"/>
          <w:lang w:val="en-US"/>
        </w:rPr>
        <w:t>PA Act s 12 (2)</w:t>
      </w:r>
    </w:p>
  </w:footnote>
  <w:footnote w:id="28">
    <w:p w14:paraId="1585F7F2" w14:textId="77777777" w:rsidR="00AD59B0" w:rsidRPr="0083320E" w:rsidRDefault="00AD59B0" w:rsidP="00132C73">
      <w:pPr>
        <w:spacing w:before="0"/>
        <w:rPr>
          <w:sz w:val="20"/>
          <w:szCs w:val="20"/>
          <w:lang w:val="en-US"/>
        </w:rPr>
      </w:pPr>
      <w:r w:rsidRPr="0083320E">
        <w:rPr>
          <w:rStyle w:val="FootnoteReference"/>
          <w:sz w:val="20"/>
          <w:szCs w:val="20"/>
        </w:rPr>
        <w:footnoteRef/>
      </w:r>
      <w:r w:rsidRPr="0083320E">
        <w:rPr>
          <w:sz w:val="20"/>
          <w:szCs w:val="20"/>
        </w:rPr>
        <w:t xml:space="preserve"> It is not clear what the situation would be should the </w:t>
      </w:r>
      <w:r w:rsidRPr="0083320E">
        <w:rPr>
          <w:sz w:val="20"/>
          <w:szCs w:val="20"/>
          <w:lang w:val="en-CA"/>
        </w:rPr>
        <w:t>PA already be established.</w:t>
      </w:r>
    </w:p>
  </w:footnote>
  <w:footnote w:id="29">
    <w:p w14:paraId="4F85AF64" w14:textId="77777777" w:rsidR="00AD59B0" w:rsidRPr="0083320E" w:rsidRDefault="00AD59B0" w:rsidP="00132C73">
      <w:pPr>
        <w:spacing w:before="0"/>
        <w:rPr>
          <w:sz w:val="20"/>
          <w:szCs w:val="20"/>
          <w:lang w:val="en-US"/>
        </w:rPr>
      </w:pPr>
      <w:r w:rsidRPr="0083320E">
        <w:rPr>
          <w:rStyle w:val="FootnoteReference"/>
          <w:sz w:val="20"/>
          <w:szCs w:val="20"/>
        </w:rPr>
        <w:footnoteRef/>
      </w:r>
      <w:r w:rsidRPr="0083320E">
        <w:rPr>
          <w:sz w:val="20"/>
          <w:szCs w:val="20"/>
        </w:rPr>
        <w:t xml:space="preserve"> </w:t>
      </w:r>
      <w:r w:rsidRPr="0083320E">
        <w:rPr>
          <w:sz w:val="20"/>
          <w:szCs w:val="20"/>
          <w:lang w:val="en-US"/>
        </w:rPr>
        <w:t xml:space="preserve">PA Act </w:t>
      </w:r>
      <w:r w:rsidRPr="0083320E">
        <w:rPr>
          <w:sz w:val="20"/>
          <w:szCs w:val="20"/>
          <w:lang w:val="en-CA"/>
        </w:rPr>
        <w:t>s 32 (1)</w:t>
      </w:r>
    </w:p>
  </w:footnote>
  <w:footnote w:id="30">
    <w:p w14:paraId="56A67D2C" w14:textId="77777777" w:rsidR="00AD59B0" w:rsidRPr="0083320E" w:rsidRDefault="00AD59B0" w:rsidP="00132C73">
      <w:pPr>
        <w:spacing w:before="0"/>
        <w:rPr>
          <w:sz w:val="20"/>
          <w:szCs w:val="20"/>
          <w:lang w:val="en-US"/>
        </w:rPr>
      </w:pPr>
      <w:r w:rsidRPr="0083320E">
        <w:rPr>
          <w:rStyle w:val="FootnoteReference"/>
          <w:sz w:val="20"/>
          <w:szCs w:val="20"/>
        </w:rPr>
        <w:footnoteRef/>
      </w:r>
      <w:r w:rsidRPr="0083320E">
        <w:rPr>
          <w:sz w:val="20"/>
          <w:szCs w:val="20"/>
        </w:rPr>
        <w:t xml:space="preserve"> </w:t>
      </w:r>
      <w:r w:rsidRPr="0083320E">
        <w:rPr>
          <w:sz w:val="20"/>
          <w:szCs w:val="20"/>
          <w:lang w:val="en-US"/>
        </w:rPr>
        <w:t xml:space="preserve">PA Act s23 </w:t>
      </w:r>
    </w:p>
  </w:footnote>
  <w:footnote w:id="31">
    <w:p w14:paraId="4C1CE5C3" w14:textId="77777777" w:rsidR="00AD59B0" w:rsidRPr="0083320E" w:rsidRDefault="00AD59B0" w:rsidP="00132C73">
      <w:pPr>
        <w:spacing w:before="0"/>
        <w:rPr>
          <w:sz w:val="20"/>
          <w:szCs w:val="20"/>
          <w:lang w:val="en-US"/>
        </w:rPr>
      </w:pPr>
      <w:r w:rsidRPr="0083320E">
        <w:rPr>
          <w:rStyle w:val="FootnoteReference"/>
          <w:sz w:val="20"/>
          <w:szCs w:val="20"/>
        </w:rPr>
        <w:footnoteRef/>
      </w:r>
      <w:r w:rsidRPr="0083320E">
        <w:rPr>
          <w:sz w:val="20"/>
          <w:szCs w:val="20"/>
        </w:rPr>
        <w:t xml:space="preserve"> </w:t>
      </w:r>
      <w:r w:rsidRPr="0083320E">
        <w:rPr>
          <w:sz w:val="20"/>
          <w:szCs w:val="20"/>
          <w:lang w:val="en-US"/>
        </w:rPr>
        <w:t>EA s19 (1) – no guidance is provided on, on what basis this should occur</w:t>
      </w:r>
    </w:p>
  </w:footnote>
  <w:footnote w:id="32">
    <w:p w14:paraId="0BA74F72" w14:textId="77777777" w:rsidR="00AD59B0" w:rsidRPr="0083320E" w:rsidRDefault="00AD59B0" w:rsidP="00132C73">
      <w:pPr>
        <w:spacing w:before="0"/>
        <w:rPr>
          <w:sz w:val="20"/>
          <w:szCs w:val="20"/>
          <w:lang w:val="en-US"/>
        </w:rPr>
      </w:pPr>
      <w:r w:rsidRPr="0083320E">
        <w:rPr>
          <w:rStyle w:val="FootnoteReference"/>
          <w:sz w:val="20"/>
          <w:szCs w:val="20"/>
        </w:rPr>
        <w:footnoteRef/>
      </w:r>
      <w:r w:rsidRPr="0083320E">
        <w:rPr>
          <w:sz w:val="20"/>
          <w:szCs w:val="20"/>
        </w:rPr>
        <w:t xml:space="preserve"> EA s17 (4) </w:t>
      </w:r>
      <w:r w:rsidRPr="0083320E">
        <w:rPr>
          <w:sz w:val="20"/>
          <w:szCs w:val="20"/>
          <w:lang w:val="en-CA"/>
        </w:rPr>
        <w:t>– further guidance on the conditions under which this exemption can occur are provided in Section 17 paragraph 5.</w:t>
      </w:r>
    </w:p>
  </w:footnote>
  <w:footnote w:id="33">
    <w:p w14:paraId="2C9F8795" w14:textId="77777777" w:rsidR="00AD59B0" w:rsidRPr="0083320E" w:rsidRDefault="00AD59B0" w:rsidP="00132C73">
      <w:pPr>
        <w:spacing w:before="0"/>
        <w:rPr>
          <w:sz w:val="20"/>
          <w:szCs w:val="20"/>
        </w:rPr>
      </w:pPr>
      <w:r w:rsidRPr="0083320E">
        <w:rPr>
          <w:rStyle w:val="FootnoteReference"/>
          <w:sz w:val="20"/>
          <w:szCs w:val="20"/>
        </w:rPr>
        <w:footnoteRef/>
      </w:r>
      <w:r w:rsidRPr="0083320E">
        <w:rPr>
          <w:sz w:val="20"/>
          <w:szCs w:val="20"/>
        </w:rPr>
        <w:t xml:space="preserve"> </w:t>
      </w:r>
      <w:r w:rsidRPr="0083320E">
        <w:rPr>
          <w:sz w:val="20"/>
          <w:szCs w:val="20"/>
          <w:lang w:val="en-US"/>
        </w:rPr>
        <w:t xml:space="preserve">EA s21 (4), s24 (3) </w:t>
      </w:r>
      <w:r w:rsidRPr="0083320E">
        <w:rPr>
          <w:sz w:val="20"/>
          <w:szCs w:val="20"/>
        </w:rPr>
        <w:t>Environment Regulations regs 14(1) - (2) and in cases where there was no EIA report submitted Environment Regulations reg 10(1).</w:t>
      </w:r>
    </w:p>
  </w:footnote>
  <w:footnote w:id="34">
    <w:p w14:paraId="7F211752" w14:textId="77777777" w:rsidR="00AD59B0" w:rsidRPr="0083320E" w:rsidRDefault="00AD59B0" w:rsidP="00132C73">
      <w:pPr>
        <w:spacing w:before="0"/>
        <w:rPr>
          <w:sz w:val="20"/>
          <w:szCs w:val="20"/>
        </w:rPr>
      </w:pPr>
      <w:r w:rsidRPr="0083320E">
        <w:rPr>
          <w:rStyle w:val="FootnoteReference"/>
          <w:sz w:val="20"/>
          <w:szCs w:val="20"/>
        </w:rPr>
        <w:footnoteRef/>
      </w:r>
      <w:r w:rsidRPr="0083320E">
        <w:rPr>
          <w:sz w:val="20"/>
          <w:szCs w:val="20"/>
        </w:rPr>
        <w:t xml:space="preserve"> Environment Act s 32(1); Environment Regulations reg 16(2). </w:t>
      </w:r>
    </w:p>
  </w:footnote>
  <w:footnote w:id="35">
    <w:p w14:paraId="3388ADD6" w14:textId="77777777" w:rsidR="00AD59B0" w:rsidRPr="0083320E" w:rsidRDefault="00AD59B0" w:rsidP="00132C73">
      <w:pPr>
        <w:spacing w:before="0"/>
        <w:rPr>
          <w:sz w:val="20"/>
          <w:szCs w:val="20"/>
        </w:rPr>
      </w:pPr>
      <w:r w:rsidRPr="0083320E">
        <w:rPr>
          <w:rStyle w:val="FootnoteReference"/>
          <w:sz w:val="20"/>
          <w:szCs w:val="20"/>
        </w:rPr>
        <w:footnoteRef/>
      </w:r>
      <w:r w:rsidRPr="0083320E">
        <w:rPr>
          <w:sz w:val="20"/>
          <w:szCs w:val="20"/>
        </w:rPr>
        <w:t xml:space="preserve"> Environment Act s 32(6).</w:t>
      </w:r>
    </w:p>
  </w:footnote>
  <w:footnote w:id="36">
    <w:p w14:paraId="1D81A6C3" w14:textId="77777777" w:rsidR="00AD59B0" w:rsidRPr="0072432A" w:rsidRDefault="00AD59B0" w:rsidP="00132C73">
      <w:pPr>
        <w:spacing w:before="0"/>
      </w:pPr>
      <w:r w:rsidRPr="0083320E">
        <w:rPr>
          <w:rStyle w:val="FootnoteReference"/>
          <w:sz w:val="20"/>
          <w:szCs w:val="20"/>
        </w:rPr>
        <w:footnoteRef/>
      </w:r>
      <w:r w:rsidRPr="0083320E">
        <w:rPr>
          <w:sz w:val="20"/>
          <w:szCs w:val="20"/>
        </w:rPr>
        <w:t xml:space="preserve"> Environment Act ss 32(2) - (3).</w:t>
      </w:r>
    </w:p>
  </w:footnote>
  <w:footnote w:id="37">
    <w:p w14:paraId="11E74D47" w14:textId="77777777" w:rsidR="00AD59B0" w:rsidRPr="00CC400D" w:rsidRDefault="00AD59B0" w:rsidP="00C944D5">
      <w:pPr>
        <w:pStyle w:val="FootnoteText"/>
        <w:spacing w:before="0"/>
        <w:rPr>
          <w:sz w:val="20"/>
          <w:szCs w:val="20"/>
          <w:lang w:val="en-US"/>
        </w:rPr>
      </w:pPr>
      <w:r w:rsidRPr="00CC400D">
        <w:rPr>
          <w:rStyle w:val="FootnoteReference"/>
          <w:sz w:val="20"/>
          <w:szCs w:val="20"/>
        </w:rPr>
        <w:footnoteRef/>
      </w:r>
      <w:r w:rsidRPr="00CC400D">
        <w:rPr>
          <w:sz w:val="20"/>
          <w:szCs w:val="20"/>
        </w:rPr>
        <w:t xml:space="preserve">  FTRU Act s 8(1) - (2).</w:t>
      </w:r>
    </w:p>
  </w:footnote>
  <w:footnote w:id="38">
    <w:p w14:paraId="718C4660" w14:textId="77777777" w:rsidR="00AD59B0" w:rsidRPr="00FF7D26" w:rsidRDefault="00AD59B0" w:rsidP="00C944D5">
      <w:pPr>
        <w:pStyle w:val="FootnoteText"/>
        <w:spacing w:before="0"/>
        <w:rPr>
          <w:lang w:val="en-US"/>
        </w:rPr>
      </w:pPr>
      <w:r w:rsidRPr="00CC400D">
        <w:rPr>
          <w:rStyle w:val="FootnoteReference"/>
          <w:sz w:val="20"/>
          <w:szCs w:val="20"/>
        </w:rPr>
        <w:footnoteRef/>
      </w:r>
      <w:r w:rsidRPr="00CC400D">
        <w:rPr>
          <w:sz w:val="20"/>
          <w:szCs w:val="20"/>
        </w:rPr>
        <w:t xml:space="preserve"> </w:t>
      </w:r>
      <w:r>
        <w:rPr>
          <w:sz w:val="20"/>
          <w:szCs w:val="20"/>
        </w:rPr>
        <w:t xml:space="preserve"> </w:t>
      </w:r>
      <w:r w:rsidRPr="00CC400D">
        <w:rPr>
          <w:sz w:val="20"/>
          <w:szCs w:val="20"/>
        </w:rPr>
        <w:t xml:space="preserve">FRTU Act Schedule 1 </w:t>
      </w:r>
      <w:r w:rsidRPr="00CC400D">
        <w:rPr>
          <w:sz w:val="20"/>
          <w:szCs w:val="20"/>
          <w:lang w:val="en-US"/>
        </w:rPr>
        <w:t>Paragraph (4).</w:t>
      </w:r>
    </w:p>
  </w:footnote>
  <w:footnote w:id="39">
    <w:p w14:paraId="2D74C9D0" w14:textId="77777777" w:rsidR="00AD59B0" w:rsidRPr="00F20E1E" w:rsidRDefault="00AD59B0" w:rsidP="00C944D5">
      <w:pPr>
        <w:pStyle w:val="FootnoteText"/>
        <w:spacing w:before="0"/>
        <w:rPr>
          <w:lang w:val="en-US"/>
        </w:rPr>
      </w:pPr>
      <w:r w:rsidRPr="003347FD">
        <w:rPr>
          <w:rStyle w:val="FootnoteReference"/>
          <w:sz w:val="20"/>
          <w:szCs w:val="20"/>
        </w:rPr>
        <w:footnoteRef/>
      </w:r>
      <w:r w:rsidRPr="003347FD">
        <w:rPr>
          <w:sz w:val="20"/>
          <w:szCs w:val="20"/>
        </w:rPr>
        <w:t xml:space="preserve"> </w:t>
      </w:r>
      <w:r w:rsidRPr="003347FD">
        <w:rPr>
          <w:sz w:val="20"/>
          <w:szCs w:val="20"/>
          <w:lang w:val="en-US"/>
        </w:rPr>
        <w:t>FRTU Act Schedule Form 4 s 34</w:t>
      </w:r>
    </w:p>
  </w:footnote>
  <w:footnote w:id="40">
    <w:p w14:paraId="746EEAA1" w14:textId="77777777" w:rsidR="00AD59B0" w:rsidRPr="00CC400D" w:rsidRDefault="00AD59B0" w:rsidP="00132C73">
      <w:pPr>
        <w:pStyle w:val="FootnoteText"/>
        <w:spacing w:before="0"/>
        <w:rPr>
          <w:sz w:val="20"/>
          <w:szCs w:val="20"/>
          <w:lang w:val="en-US"/>
        </w:rPr>
      </w:pPr>
      <w:r w:rsidRPr="00CC400D">
        <w:rPr>
          <w:rStyle w:val="FootnoteReference"/>
          <w:sz w:val="20"/>
          <w:szCs w:val="20"/>
        </w:rPr>
        <w:footnoteRef/>
      </w:r>
      <w:r w:rsidRPr="00CC400D">
        <w:rPr>
          <w:sz w:val="20"/>
          <w:szCs w:val="20"/>
        </w:rPr>
        <w:t xml:space="preserve"> </w:t>
      </w:r>
      <w:r w:rsidRPr="00CC400D">
        <w:rPr>
          <w:sz w:val="20"/>
          <w:szCs w:val="20"/>
          <w:lang w:val="en-US"/>
        </w:rPr>
        <w:t>PA Act s11 (1)</w:t>
      </w:r>
    </w:p>
  </w:footnote>
  <w:footnote w:id="41">
    <w:p w14:paraId="5E2C19EC" w14:textId="77777777" w:rsidR="00AD59B0" w:rsidRPr="00CE64E3" w:rsidRDefault="00AD59B0" w:rsidP="00132C73">
      <w:pPr>
        <w:pStyle w:val="FootnoteText"/>
        <w:spacing w:before="0"/>
        <w:rPr>
          <w:lang w:val="en-US"/>
        </w:rPr>
      </w:pPr>
      <w:r w:rsidRPr="00CC400D">
        <w:rPr>
          <w:rStyle w:val="FootnoteReference"/>
          <w:sz w:val="20"/>
          <w:szCs w:val="20"/>
        </w:rPr>
        <w:footnoteRef/>
      </w:r>
      <w:r w:rsidRPr="00CC400D">
        <w:rPr>
          <w:sz w:val="20"/>
          <w:szCs w:val="20"/>
        </w:rPr>
        <w:t xml:space="preserve"> </w:t>
      </w:r>
      <w:r w:rsidRPr="00CC400D">
        <w:rPr>
          <w:sz w:val="20"/>
          <w:szCs w:val="20"/>
          <w:lang w:val="en-US"/>
        </w:rPr>
        <w:t>PA Act Regulations s 32 (1)</w:t>
      </w:r>
    </w:p>
  </w:footnote>
  <w:footnote w:id="42">
    <w:p w14:paraId="5CEB6141" w14:textId="77777777" w:rsidR="00AD59B0" w:rsidRPr="00370538" w:rsidRDefault="00AD59B0" w:rsidP="00132C73">
      <w:pPr>
        <w:pStyle w:val="FootnoteText"/>
        <w:spacing w:before="0"/>
        <w:rPr>
          <w:sz w:val="28"/>
          <w:lang w:val="en-US"/>
        </w:rPr>
      </w:pPr>
      <w:r w:rsidRPr="00370538">
        <w:rPr>
          <w:rStyle w:val="FootnoteReference"/>
        </w:rPr>
        <w:footnoteRef/>
      </w:r>
      <w:r w:rsidRPr="00370538">
        <w:rPr>
          <w:sz w:val="22"/>
        </w:rPr>
        <w:t xml:space="preserve"> </w:t>
      </w:r>
      <w:r w:rsidRPr="00370538">
        <w:rPr>
          <w:sz w:val="20"/>
          <w:lang w:val="en-US"/>
        </w:rPr>
        <w:t>PA Regulations Sec 60 (3)</w:t>
      </w:r>
    </w:p>
  </w:footnote>
  <w:footnote w:id="43">
    <w:p w14:paraId="4CFED161" w14:textId="77777777" w:rsidR="00AD59B0" w:rsidRPr="008A1626" w:rsidRDefault="00AD59B0" w:rsidP="00132C73">
      <w:pPr>
        <w:pStyle w:val="FootnoteText"/>
        <w:spacing w:before="0"/>
        <w:rPr>
          <w:sz w:val="20"/>
          <w:lang w:val="en-US"/>
        </w:rPr>
      </w:pPr>
      <w:r w:rsidRPr="008A1626">
        <w:rPr>
          <w:rStyle w:val="FootnoteReference"/>
          <w:sz w:val="20"/>
        </w:rPr>
        <w:footnoteRef/>
      </w:r>
      <w:r w:rsidRPr="008A1626">
        <w:rPr>
          <w:sz w:val="20"/>
        </w:rPr>
        <w:t xml:space="preserve"> </w:t>
      </w:r>
      <w:r w:rsidRPr="008A1626">
        <w:rPr>
          <w:sz w:val="20"/>
          <w:lang w:val="en-US"/>
        </w:rPr>
        <w:t>Environment Act s 6 (1)</w:t>
      </w:r>
    </w:p>
  </w:footnote>
  <w:footnote w:id="44">
    <w:p w14:paraId="66B35D1D" w14:textId="77777777" w:rsidR="00AD59B0" w:rsidRPr="008A1626" w:rsidRDefault="00AD59B0" w:rsidP="00132C73">
      <w:pPr>
        <w:spacing w:before="0"/>
        <w:rPr>
          <w:i/>
          <w:sz w:val="18"/>
          <w:highlight w:val="lightGray"/>
          <w:lang w:val="en-CA"/>
        </w:rPr>
      </w:pPr>
      <w:r w:rsidRPr="008A1626">
        <w:rPr>
          <w:rStyle w:val="FootnoteReference"/>
          <w:sz w:val="18"/>
        </w:rPr>
        <w:footnoteRef/>
      </w:r>
      <w:r w:rsidRPr="008A1626">
        <w:rPr>
          <w:sz w:val="18"/>
        </w:rPr>
        <w:t xml:space="preserve"> Environment Act s </w:t>
      </w:r>
      <w:r w:rsidRPr="008A1626">
        <w:rPr>
          <w:bCs/>
          <w:sz w:val="18"/>
          <w:lang w:val="en-US"/>
        </w:rPr>
        <w:t>28</w:t>
      </w:r>
      <w:r w:rsidRPr="008A1626">
        <w:rPr>
          <w:sz w:val="18"/>
          <w:lang w:val="en-US"/>
        </w:rPr>
        <w:t xml:space="preserve"> (1)</w:t>
      </w:r>
      <w:r w:rsidRPr="008A1626">
        <w:rPr>
          <w:sz w:val="18"/>
          <w:highlight w:val="lightGray"/>
          <w:lang w:val="en-US"/>
        </w:rPr>
        <w:t xml:space="preserve"> </w:t>
      </w:r>
    </w:p>
  </w:footnote>
  <w:footnote w:id="45">
    <w:p w14:paraId="0A080A70" w14:textId="77777777" w:rsidR="00AD59B0" w:rsidRPr="008A1626" w:rsidRDefault="00AD59B0" w:rsidP="00132C73">
      <w:pPr>
        <w:pStyle w:val="FootnoteText"/>
        <w:spacing w:before="0"/>
        <w:rPr>
          <w:sz w:val="20"/>
          <w:lang w:val="en-US"/>
        </w:rPr>
      </w:pPr>
      <w:r w:rsidRPr="008A1626">
        <w:rPr>
          <w:rStyle w:val="FootnoteReference"/>
          <w:sz w:val="20"/>
        </w:rPr>
        <w:footnoteRef/>
      </w:r>
      <w:r w:rsidRPr="008A1626">
        <w:rPr>
          <w:sz w:val="20"/>
        </w:rPr>
        <w:t xml:space="preserve"> Environment Act s </w:t>
      </w:r>
      <w:r w:rsidRPr="008A1626">
        <w:rPr>
          <w:bCs/>
          <w:sz w:val="20"/>
          <w:lang w:val="en-US"/>
        </w:rPr>
        <w:t>27</w:t>
      </w:r>
    </w:p>
  </w:footnote>
  <w:footnote w:id="46">
    <w:p w14:paraId="7185298D" w14:textId="77777777" w:rsidR="00AD59B0" w:rsidRPr="008A1626" w:rsidRDefault="00AD59B0" w:rsidP="00132C73">
      <w:pPr>
        <w:pStyle w:val="FootnoteText"/>
        <w:spacing w:before="0"/>
        <w:rPr>
          <w:sz w:val="20"/>
          <w:lang w:val="en-US"/>
        </w:rPr>
      </w:pPr>
      <w:r w:rsidRPr="008A1626">
        <w:rPr>
          <w:rStyle w:val="FootnoteReference"/>
          <w:sz w:val="20"/>
        </w:rPr>
        <w:footnoteRef/>
      </w:r>
      <w:r w:rsidRPr="008A1626">
        <w:rPr>
          <w:sz w:val="20"/>
        </w:rPr>
        <w:t xml:space="preserve"> </w:t>
      </w:r>
      <w:r w:rsidRPr="008A1626">
        <w:rPr>
          <w:sz w:val="20"/>
          <w:lang w:val="en-US"/>
        </w:rPr>
        <w:t xml:space="preserve">Environment Act s 8 </w:t>
      </w:r>
    </w:p>
  </w:footnote>
  <w:footnote w:id="47">
    <w:p w14:paraId="1C97EF46" w14:textId="77777777" w:rsidR="00AD59B0" w:rsidRPr="008A1626" w:rsidRDefault="00AD59B0" w:rsidP="00132C73">
      <w:pPr>
        <w:pStyle w:val="FootnoteText"/>
        <w:spacing w:before="0"/>
        <w:rPr>
          <w:sz w:val="20"/>
          <w:lang w:val="en-US"/>
        </w:rPr>
      </w:pPr>
      <w:r w:rsidRPr="008A1626">
        <w:rPr>
          <w:rStyle w:val="FootnoteReference"/>
          <w:sz w:val="20"/>
        </w:rPr>
        <w:footnoteRef/>
      </w:r>
      <w:r w:rsidRPr="008A1626">
        <w:rPr>
          <w:sz w:val="20"/>
        </w:rPr>
        <w:t xml:space="preserve"> Environment Act Regulations s </w:t>
      </w:r>
      <w:r w:rsidRPr="008A1626">
        <w:rPr>
          <w:bCs/>
          <w:sz w:val="20"/>
          <w:lang w:val="en-US"/>
        </w:rPr>
        <w:t>11 (1-2)</w:t>
      </w:r>
    </w:p>
  </w:footnote>
  <w:footnote w:id="48">
    <w:p w14:paraId="0BC31D62" w14:textId="77777777" w:rsidR="00AD59B0" w:rsidRPr="00296E0B" w:rsidRDefault="00AD59B0" w:rsidP="00132C73">
      <w:pPr>
        <w:pStyle w:val="FootnoteText"/>
        <w:spacing w:before="0"/>
        <w:rPr>
          <w:lang w:val="en-US"/>
        </w:rPr>
      </w:pPr>
      <w:r w:rsidRPr="008A1626">
        <w:rPr>
          <w:rStyle w:val="FootnoteReference"/>
          <w:sz w:val="20"/>
        </w:rPr>
        <w:footnoteRef/>
      </w:r>
      <w:r w:rsidRPr="008A1626">
        <w:rPr>
          <w:sz w:val="20"/>
        </w:rPr>
        <w:t xml:space="preserve"> Environment Act Regulati</w:t>
      </w:r>
      <w:r>
        <w:rPr>
          <w:sz w:val="20"/>
        </w:rPr>
        <w:t xml:space="preserve">ons </w:t>
      </w:r>
      <w:r w:rsidRPr="008A1626">
        <w:rPr>
          <w:sz w:val="20"/>
        </w:rPr>
        <w:t xml:space="preserve">s </w:t>
      </w:r>
      <w:r w:rsidRPr="008A1626">
        <w:rPr>
          <w:bCs/>
          <w:sz w:val="20"/>
          <w:lang w:val="en-US"/>
        </w:rPr>
        <w:t>11 (4)</w:t>
      </w:r>
    </w:p>
  </w:footnote>
  <w:footnote w:id="49">
    <w:p w14:paraId="574B00FB" w14:textId="77777777" w:rsidR="00AD59B0" w:rsidRPr="00CC400D" w:rsidRDefault="00AD59B0" w:rsidP="00132C73">
      <w:pPr>
        <w:pStyle w:val="FootnoteText"/>
        <w:spacing w:before="0"/>
        <w:rPr>
          <w:sz w:val="20"/>
          <w:szCs w:val="20"/>
          <w:lang w:val="en-US"/>
        </w:rPr>
      </w:pPr>
      <w:r w:rsidRPr="00CC400D">
        <w:rPr>
          <w:rStyle w:val="FootnoteReference"/>
          <w:sz w:val="20"/>
          <w:szCs w:val="20"/>
        </w:rPr>
        <w:footnoteRef/>
      </w:r>
      <w:r w:rsidRPr="00CC400D">
        <w:rPr>
          <w:sz w:val="20"/>
          <w:szCs w:val="20"/>
        </w:rPr>
        <w:t xml:space="preserve">  FRTU Act Schedule 1 </w:t>
      </w:r>
      <w:r w:rsidRPr="00CC400D">
        <w:rPr>
          <w:sz w:val="20"/>
          <w:szCs w:val="20"/>
          <w:lang w:val="en-US"/>
        </w:rPr>
        <w:t>Paragraph (4).</w:t>
      </w:r>
    </w:p>
  </w:footnote>
  <w:footnote w:id="50">
    <w:p w14:paraId="737188DA" w14:textId="77777777" w:rsidR="00AD59B0" w:rsidRPr="00DB11B7" w:rsidRDefault="00AD59B0" w:rsidP="00132C73">
      <w:pPr>
        <w:pStyle w:val="FootnoteText"/>
        <w:spacing w:before="0"/>
        <w:rPr>
          <w:lang w:val="en-US"/>
        </w:rPr>
      </w:pPr>
      <w:r w:rsidRPr="00DB11B7">
        <w:rPr>
          <w:rStyle w:val="FootnoteReference"/>
          <w:sz w:val="20"/>
        </w:rPr>
        <w:footnoteRef/>
      </w:r>
      <w:r w:rsidRPr="00DB11B7">
        <w:rPr>
          <w:sz w:val="20"/>
        </w:rPr>
        <w:t xml:space="preserve"> </w:t>
      </w:r>
      <w:r w:rsidRPr="00DB11B7">
        <w:rPr>
          <w:sz w:val="20"/>
          <w:lang w:val="en-US"/>
        </w:rPr>
        <w:t>Environmental Regulations s10</w:t>
      </w:r>
    </w:p>
  </w:footnote>
  <w:footnote w:id="51">
    <w:p w14:paraId="659C1412" w14:textId="77777777" w:rsidR="00AD59B0" w:rsidRPr="00823CF1" w:rsidRDefault="00AD59B0" w:rsidP="00132C73">
      <w:pPr>
        <w:pStyle w:val="FootnoteText"/>
        <w:spacing w:before="0"/>
        <w:rPr>
          <w:lang w:val="en-US"/>
        </w:rPr>
      </w:pPr>
      <w:r w:rsidRPr="00823CF1">
        <w:rPr>
          <w:rStyle w:val="FootnoteReference"/>
          <w:sz w:val="20"/>
        </w:rPr>
        <w:footnoteRef/>
      </w:r>
      <w:r w:rsidRPr="00823CF1">
        <w:rPr>
          <w:sz w:val="20"/>
        </w:rPr>
        <w:t xml:space="preserve"> </w:t>
      </w:r>
      <w:r w:rsidRPr="00823CF1">
        <w:rPr>
          <w:sz w:val="20"/>
          <w:lang w:val="en-US"/>
        </w:rPr>
        <w:t>Environmental Regulations s5</w:t>
      </w:r>
    </w:p>
  </w:footnote>
  <w:footnote w:id="52">
    <w:p w14:paraId="2FBAE090" w14:textId="77777777" w:rsidR="00AD59B0" w:rsidRPr="00DE0C8F" w:rsidRDefault="00AD59B0" w:rsidP="00132C73">
      <w:pPr>
        <w:pStyle w:val="FootnoteText"/>
        <w:spacing w:before="0"/>
        <w:rPr>
          <w:sz w:val="20"/>
          <w:szCs w:val="20"/>
          <w:lang w:val="en-US"/>
        </w:rPr>
      </w:pPr>
      <w:r w:rsidRPr="00DE0C8F">
        <w:rPr>
          <w:rStyle w:val="FootnoteReference"/>
          <w:sz w:val="20"/>
          <w:szCs w:val="20"/>
        </w:rPr>
        <w:footnoteRef/>
      </w:r>
      <w:r w:rsidRPr="00DE0C8F">
        <w:rPr>
          <w:sz w:val="20"/>
          <w:szCs w:val="20"/>
        </w:rPr>
        <w:t xml:space="preserve"> </w:t>
      </w:r>
      <w:r w:rsidRPr="00DE0C8F">
        <w:rPr>
          <w:sz w:val="20"/>
          <w:szCs w:val="20"/>
          <w:lang w:val="en-US"/>
        </w:rPr>
        <w:t>Environment Act s 6</w:t>
      </w:r>
    </w:p>
  </w:footnote>
  <w:footnote w:id="53">
    <w:p w14:paraId="2F45CEFA" w14:textId="77777777" w:rsidR="00AD59B0" w:rsidRPr="00DE0C8F" w:rsidRDefault="00AD59B0" w:rsidP="00132C73">
      <w:pPr>
        <w:pStyle w:val="FootnoteText"/>
        <w:spacing w:before="0"/>
        <w:rPr>
          <w:sz w:val="20"/>
          <w:szCs w:val="20"/>
          <w:lang w:val="en-US"/>
        </w:rPr>
      </w:pPr>
      <w:r w:rsidRPr="00DE0C8F">
        <w:rPr>
          <w:rStyle w:val="FootnoteReference"/>
          <w:sz w:val="20"/>
          <w:szCs w:val="20"/>
        </w:rPr>
        <w:footnoteRef/>
      </w:r>
      <w:r w:rsidRPr="00DE0C8F">
        <w:rPr>
          <w:sz w:val="20"/>
          <w:szCs w:val="20"/>
        </w:rPr>
        <w:t xml:space="preserve"> </w:t>
      </w:r>
      <w:r w:rsidRPr="00DE0C8F">
        <w:rPr>
          <w:sz w:val="20"/>
          <w:szCs w:val="20"/>
          <w:lang w:val="en-US"/>
        </w:rPr>
        <w:t>PA Act s 4 (1)</w:t>
      </w:r>
    </w:p>
  </w:footnote>
  <w:footnote w:id="54">
    <w:p w14:paraId="24221E6B" w14:textId="77777777" w:rsidR="00AD59B0" w:rsidRPr="00927CBC" w:rsidRDefault="00AD59B0" w:rsidP="00132C73">
      <w:pPr>
        <w:pStyle w:val="FootnoteText"/>
        <w:spacing w:before="0"/>
        <w:rPr>
          <w:lang w:val="en-US"/>
        </w:rPr>
      </w:pPr>
      <w:r w:rsidRPr="00DE0C8F">
        <w:rPr>
          <w:rStyle w:val="FootnoteReference"/>
          <w:sz w:val="20"/>
          <w:szCs w:val="20"/>
        </w:rPr>
        <w:footnoteRef/>
      </w:r>
      <w:r w:rsidRPr="00DE0C8F">
        <w:rPr>
          <w:sz w:val="20"/>
          <w:szCs w:val="20"/>
        </w:rPr>
        <w:t xml:space="preserve"> </w:t>
      </w:r>
      <w:r w:rsidRPr="00DE0C8F">
        <w:rPr>
          <w:sz w:val="20"/>
          <w:szCs w:val="20"/>
          <w:lang w:val="en-US"/>
        </w:rPr>
        <w:t>PA Act s 5 (c)</w:t>
      </w:r>
    </w:p>
  </w:footnote>
  <w:footnote w:id="55">
    <w:p w14:paraId="4BF5C14B" w14:textId="77777777" w:rsidR="00AD59B0" w:rsidRPr="00DE0C8F" w:rsidRDefault="00AD59B0" w:rsidP="00132C73">
      <w:pPr>
        <w:spacing w:before="0"/>
        <w:rPr>
          <w:sz w:val="20"/>
          <w:szCs w:val="20"/>
        </w:rPr>
      </w:pPr>
      <w:r w:rsidRPr="00DE0C8F">
        <w:rPr>
          <w:rStyle w:val="FootnoteReference"/>
          <w:sz w:val="20"/>
          <w:szCs w:val="20"/>
        </w:rPr>
        <w:footnoteRef/>
      </w:r>
      <w:r w:rsidRPr="00DE0C8F">
        <w:rPr>
          <w:sz w:val="20"/>
          <w:szCs w:val="20"/>
        </w:rPr>
        <w:t xml:space="preserve"> Protected Areas Regulations reg 44.</w:t>
      </w:r>
      <w:r>
        <w:rPr>
          <w:sz w:val="20"/>
          <w:szCs w:val="20"/>
        </w:rPr>
        <w:t xml:space="preserve">- less guidance is provided on the required process should the area be proposed by the MECDM. </w:t>
      </w:r>
    </w:p>
  </w:footnote>
  <w:footnote w:id="56">
    <w:p w14:paraId="2E052C98" w14:textId="77777777" w:rsidR="00AD59B0" w:rsidRPr="00DE0C8F" w:rsidRDefault="00AD59B0" w:rsidP="00132C73">
      <w:pPr>
        <w:pStyle w:val="FootnoteText"/>
        <w:spacing w:before="0"/>
        <w:rPr>
          <w:sz w:val="20"/>
          <w:szCs w:val="20"/>
          <w:lang w:val="en-US"/>
        </w:rPr>
      </w:pPr>
      <w:r w:rsidRPr="00DE0C8F">
        <w:rPr>
          <w:rStyle w:val="FootnoteReference"/>
          <w:sz w:val="20"/>
          <w:szCs w:val="20"/>
        </w:rPr>
        <w:footnoteRef/>
      </w:r>
      <w:r w:rsidRPr="00DE0C8F">
        <w:rPr>
          <w:sz w:val="20"/>
          <w:szCs w:val="20"/>
        </w:rPr>
        <w:t xml:space="preserve"> </w:t>
      </w:r>
      <w:r w:rsidRPr="00DE0C8F">
        <w:rPr>
          <w:sz w:val="20"/>
          <w:szCs w:val="20"/>
          <w:lang w:val="en-US"/>
        </w:rPr>
        <w:t>PA Act Regulations s 22</w:t>
      </w:r>
    </w:p>
  </w:footnote>
  <w:footnote w:id="57">
    <w:p w14:paraId="178C8E99" w14:textId="77777777" w:rsidR="00AD59B0" w:rsidRPr="00DE0C8F" w:rsidRDefault="00AD59B0" w:rsidP="00132C73">
      <w:pPr>
        <w:pStyle w:val="FootnoteText"/>
        <w:spacing w:before="0"/>
        <w:rPr>
          <w:sz w:val="20"/>
          <w:szCs w:val="20"/>
          <w:lang w:val="en-US"/>
        </w:rPr>
      </w:pPr>
      <w:r w:rsidRPr="00DE0C8F">
        <w:rPr>
          <w:rStyle w:val="FootnoteReference"/>
          <w:sz w:val="20"/>
          <w:szCs w:val="20"/>
        </w:rPr>
        <w:footnoteRef/>
      </w:r>
      <w:r w:rsidRPr="00DE0C8F">
        <w:rPr>
          <w:sz w:val="20"/>
          <w:szCs w:val="20"/>
        </w:rPr>
        <w:t xml:space="preserve"> </w:t>
      </w:r>
      <w:r w:rsidRPr="00DE0C8F">
        <w:rPr>
          <w:sz w:val="20"/>
          <w:szCs w:val="20"/>
          <w:lang w:val="en-US"/>
        </w:rPr>
        <w:t>PA Act Regulations s 27 (3)</w:t>
      </w:r>
    </w:p>
  </w:footnote>
  <w:footnote w:id="58">
    <w:p w14:paraId="06475316" w14:textId="77777777" w:rsidR="00AD59B0" w:rsidRPr="00DE0C8F" w:rsidRDefault="00AD59B0" w:rsidP="00132C73">
      <w:pPr>
        <w:spacing w:before="0"/>
        <w:rPr>
          <w:sz w:val="20"/>
          <w:szCs w:val="20"/>
        </w:rPr>
      </w:pPr>
      <w:r w:rsidRPr="00DE0C8F">
        <w:rPr>
          <w:rStyle w:val="FootnoteReference"/>
          <w:sz w:val="20"/>
          <w:szCs w:val="20"/>
        </w:rPr>
        <w:footnoteRef/>
      </w:r>
      <w:r w:rsidRPr="00DE0C8F">
        <w:rPr>
          <w:sz w:val="20"/>
          <w:szCs w:val="20"/>
        </w:rPr>
        <w:t xml:space="preserve"> Protected Areas Act s 12(1).</w:t>
      </w:r>
    </w:p>
  </w:footnote>
  <w:footnote w:id="59">
    <w:p w14:paraId="794B1BC0" w14:textId="77777777" w:rsidR="00AD59B0" w:rsidRPr="00DE0C8F" w:rsidRDefault="00AD59B0" w:rsidP="00132C73">
      <w:pPr>
        <w:pStyle w:val="FootnoteText"/>
        <w:spacing w:before="0"/>
        <w:rPr>
          <w:sz w:val="20"/>
          <w:szCs w:val="20"/>
          <w:lang w:val="en-US"/>
        </w:rPr>
      </w:pPr>
      <w:r w:rsidRPr="00DE0C8F">
        <w:rPr>
          <w:rStyle w:val="FootnoteReference"/>
          <w:sz w:val="20"/>
          <w:szCs w:val="20"/>
        </w:rPr>
        <w:footnoteRef/>
      </w:r>
      <w:r w:rsidRPr="00DE0C8F">
        <w:rPr>
          <w:sz w:val="20"/>
          <w:szCs w:val="20"/>
        </w:rPr>
        <w:t xml:space="preserve"> </w:t>
      </w:r>
      <w:r w:rsidRPr="00DE0C8F">
        <w:rPr>
          <w:sz w:val="20"/>
          <w:szCs w:val="20"/>
          <w:lang w:val="en-US"/>
        </w:rPr>
        <w:t>PA Act s 12 (3)</w:t>
      </w:r>
    </w:p>
  </w:footnote>
  <w:footnote w:id="60">
    <w:p w14:paraId="51748DC2" w14:textId="77777777" w:rsidR="00AD59B0" w:rsidRPr="00DE0C8F" w:rsidRDefault="00AD59B0" w:rsidP="00132C73">
      <w:pPr>
        <w:pStyle w:val="FootnoteText"/>
        <w:spacing w:before="0"/>
        <w:rPr>
          <w:sz w:val="20"/>
          <w:szCs w:val="20"/>
          <w:lang w:val="en-US"/>
        </w:rPr>
      </w:pPr>
      <w:r w:rsidRPr="00DE0C8F">
        <w:rPr>
          <w:rStyle w:val="FootnoteReference"/>
          <w:sz w:val="20"/>
          <w:szCs w:val="20"/>
        </w:rPr>
        <w:footnoteRef/>
      </w:r>
      <w:r w:rsidRPr="00DE0C8F">
        <w:rPr>
          <w:sz w:val="20"/>
          <w:szCs w:val="20"/>
        </w:rPr>
        <w:t xml:space="preserve"> </w:t>
      </w:r>
      <w:r w:rsidRPr="00DE0C8F">
        <w:rPr>
          <w:sz w:val="20"/>
          <w:szCs w:val="20"/>
          <w:lang w:val="en-US"/>
        </w:rPr>
        <w:t>PA Act Regulations s 32 (1)</w:t>
      </w:r>
    </w:p>
  </w:footnote>
  <w:footnote w:id="61">
    <w:p w14:paraId="7F6F32CD" w14:textId="77777777" w:rsidR="00AD59B0" w:rsidRPr="002D02AF" w:rsidRDefault="00AD59B0" w:rsidP="00132C73">
      <w:pPr>
        <w:pStyle w:val="FootnoteText"/>
        <w:spacing w:before="0"/>
        <w:rPr>
          <w:lang w:val="en-US"/>
        </w:rPr>
      </w:pPr>
      <w:r w:rsidRPr="00DE0C8F">
        <w:rPr>
          <w:rStyle w:val="FootnoteReference"/>
          <w:sz w:val="20"/>
          <w:szCs w:val="20"/>
        </w:rPr>
        <w:footnoteRef/>
      </w:r>
      <w:r w:rsidRPr="00DE0C8F">
        <w:rPr>
          <w:sz w:val="20"/>
          <w:szCs w:val="20"/>
        </w:rPr>
        <w:t xml:space="preserve"> </w:t>
      </w:r>
      <w:r w:rsidRPr="00DE0C8F">
        <w:rPr>
          <w:sz w:val="20"/>
          <w:szCs w:val="20"/>
          <w:lang w:val="en-US"/>
        </w:rPr>
        <w:t>PA Regulations s 32 (3)</w:t>
      </w:r>
    </w:p>
  </w:footnote>
  <w:footnote w:id="62">
    <w:p w14:paraId="1D4912BC" w14:textId="77777777" w:rsidR="00AD59B0" w:rsidRPr="00823CF1" w:rsidRDefault="00AD59B0" w:rsidP="000C66D1">
      <w:pPr>
        <w:pStyle w:val="FootnoteText"/>
        <w:spacing w:before="0"/>
        <w:rPr>
          <w:lang w:val="en-US"/>
        </w:rPr>
      </w:pPr>
      <w:r w:rsidRPr="00823CF1">
        <w:rPr>
          <w:rStyle w:val="FootnoteReference"/>
          <w:sz w:val="20"/>
        </w:rPr>
        <w:footnoteRef/>
      </w:r>
      <w:r w:rsidRPr="00823CF1">
        <w:rPr>
          <w:sz w:val="20"/>
        </w:rPr>
        <w:t xml:space="preserve"> </w:t>
      </w:r>
      <w:r w:rsidRPr="00823CF1">
        <w:rPr>
          <w:sz w:val="20"/>
          <w:lang w:val="en-US"/>
        </w:rPr>
        <w:t>Environmental Regulations s5</w:t>
      </w:r>
    </w:p>
  </w:footnote>
  <w:footnote w:id="63">
    <w:p w14:paraId="67FCCED1" w14:textId="77777777" w:rsidR="00AD59B0" w:rsidRPr="004935B1" w:rsidRDefault="00AD59B0" w:rsidP="00132C73">
      <w:pPr>
        <w:pStyle w:val="FootnoteText"/>
        <w:spacing w:before="0"/>
        <w:rPr>
          <w:sz w:val="20"/>
          <w:lang w:val="en-US"/>
        </w:rPr>
      </w:pPr>
      <w:r w:rsidRPr="004935B1">
        <w:rPr>
          <w:rStyle w:val="FootnoteReference"/>
          <w:sz w:val="20"/>
        </w:rPr>
        <w:footnoteRef/>
      </w:r>
      <w:r w:rsidRPr="004935B1">
        <w:rPr>
          <w:sz w:val="20"/>
        </w:rPr>
        <w:t xml:space="preserve"> </w:t>
      </w:r>
      <w:r w:rsidRPr="004935B1">
        <w:rPr>
          <w:sz w:val="20"/>
          <w:lang w:val="en-US"/>
        </w:rPr>
        <w:t>FRTU Act s 7 (1)</w:t>
      </w:r>
    </w:p>
  </w:footnote>
  <w:footnote w:id="64">
    <w:p w14:paraId="68971AF0" w14:textId="77777777" w:rsidR="00AD59B0" w:rsidRPr="004B65B3" w:rsidRDefault="00AD59B0" w:rsidP="00132C73">
      <w:pPr>
        <w:pStyle w:val="FootnoteText"/>
        <w:spacing w:before="0"/>
        <w:rPr>
          <w:lang w:val="en-US"/>
        </w:rPr>
      </w:pPr>
      <w:r w:rsidRPr="004935B1">
        <w:rPr>
          <w:rStyle w:val="FootnoteReference"/>
          <w:sz w:val="20"/>
        </w:rPr>
        <w:footnoteRef/>
      </w:r>
      <w:r w:rsidRPr="004935B1">
        <w:rPr>
          <w:sz w:val="20"/>
        </w:rPr>
        <w:t xml:space="preserve"> </w:t>
      </w:r>
      <w:r w:rsidRPr="004935B1">
        <w:rPr>
          <w:sz w:val="20"/>
          <w:lang w:val="en-US"/>
        </w:rPr>
        <w:t>FRTU Act Schedule 1 Form 4 s 4</w:t>
      </w:r>
    </w:p>
  </w:footnote>
  <w:footnote w:id="65">
    <w:p w14:paraId="07F1626D" w14:textId="77777777" w:rsidR="00AD59B0" w:rsidRPr="007950F6" w:rsidRDefault="00AD59B0" w:rsidP="00132C73">
      <w:pPr>
        <w:pStyle w:val="FootnoteText"/>
        <w:spacing w:before="0"/>
        <w:rPr>
          <w:lang w:val="en-US"/>
        </w:rPr>
      </w:pPr>
      <w:r w:rsidRPr="00823CF1">
        <w:rPr>
          <w:rStyle w:val="FootnoteReference"/>
          <w:sz w:val="20"/>
        </w:rPr>
        <w:footnoteRef/>
      </w:r>
      <w:r w:rsidRPr="00823CF1">
        <w:rPr>
          <w:sz w:val="20"/>
        </w:rPr>
        <w:t xml:space="preserve"> </w:t>
      </w:r>
      <w:r w:rsidRPr="00823CF1">
        <w:rPr>
          <w:sz w:val="20"/>
          <w:lang w:val="en-US"/>
        </w:rPr>
        <w:t>Environment Act s 7</w:t>
      </w:r>
    </w:p>
  </w:footnote>
  <w:footnote w:id="66">
    <w:p w14:paraId="52599F07" w14:textId="77777777" w:rsidR="00AD59B0" w:rsidRPr="003F7B15" w:rsidRDefault="00AD59B0" w:rsidP="00132C73">
      <w:pPr>
        <w:pStyle w:val="FootnoteText"/>
        <w:spacing w:before="0"/>
        <w:rPr>
          <w:sz w:val="20"/>
          <w:szCs w:val="20"/>
          <w:lang w:val="en-US"/>
        </w:rPr>
      </w:pPr>
      <w:r w:rsidRPr="003F7B15">
        <w:rPr>
          <w:rStyle w:val="FootnoteReference"/>
          <w:sz w:val="20"/>
          <w:szCs w:val="20"/>
        </w:rPr>
        <w:footnoteRef/>
      </w:r>
      <w:r w:rsidRPr="003F7B15">
        <w:rPr>
          <w:sz w:val="20"/>
          <w:szCs w:val="20"/>
        </w:rPr>
        <w:t xml:space="preserve"> </w:t>
      </w:r>
      <w:r w:rsidRPr="003F7B15">
        <w:rPr>
          <w:sz w:val="20"/>
          <w:szCs w:val="20"/>
          <w:lang w:val="en-US"/>
        </w:rPr>
        <w:t>Environment Act s 10</w:t>
      </w:r>
    </w:p>
  </w:footnote>
  <w:footnote w:id="67">
    <w:p w14:paraId="5336A88F" w14:textId="77777777" w:rsidR="00AD59B0" w:rsidRPr="003F7B15" w:rsidRDefault="00AD59B0" w:rsidP="00132C73">
      <w:pPr>
        <w:pStyle w:val="FootnoteText"/>
        <w:spacing w:before="0"/>
        <w:rPr>
          <w:sz w:val="20"/>
          <w:szCs w:val="20"/>
          <w:lang w:val="en-US"/>
        </w:rPr>
      </w:pPr>
      <w:r w:rsidRPr="003F7B15">
        <w:rPr>
          <w:rStyle w:val="FootnoteReference"/>
          <w:sz w:val="20"/>
          <w:szCs w:val="20"/>
        </w:rPr>
        <w:footnoteRef/>
      </w:r>
      <w:r w:rsidRPr="003F7B15">
        <w:rPr>
          <w:sz w:val="20"/>
          <w:szCs w:val="20"/>
        </w:rPr>
        <w:t xml:space="preserve"> </w:t>
      </w:r>
      <w:r w:rsidRPr="003F7B15">
        <w:rPr>
          <w:sz w:val="20"/>
          <w:szCs w:val="20"/>
          <w:lang w:val="en-US"/>
        </w:rPr>
        <w:t>Environment Act s 8</w:t>
      </w:r>
    </w:p>
  </w:footnote>
  <w:footnote w:id="68">
    <w:p w14:paraId="72ED47B1" w14:textId="77777777" w:rsidR="00AD59B0" w:rsidRPr="008A4745" w:rsidRDefault="00AD59B0" w:rsidP="00132C73">
      <w:pPr>
        <w:spacing w:before="0"/>
        <w:rPr>
          <w:sz w:val="20"/>
        </w:rPr>
      </w:pPr>
      <w:r>
        <w:rPr>
          <w:rStyle w:val="FootnoteReference"/>
        </w:rPr>
        <w:footnoteRef/>
      </w:r>
      <w:r>
        <w:t xml:space="preserve"> </w:t>
      </w:r>
      <w:r w:rsidRPr="008A4745">
        <w:rPr>
          <w:sz w:val="20"/>
        </w:rPr>
        <w:t>Environment Regulations reg 11(1).</w:t>
      </w:r>
    </w:p>
  </w:footnote>
  <w:footnote w:id="69">
    <w:p w14:paraId="13E45806" w14:textId="77777777" w:rsidR="00AD59B0" w:rsidRDefault="00AD59B0" w:rsidP="00132C73">
      <w:pPr>
        <w:spacing w:before="0"/>
      </w:pPr>
      <w:r w:rsidRPr="008A4745">
        <w:rPr>
          <w:rStyle w:val="FootnoteReference"/>
          <w:sz w:val="20"/>
        </w:rPr>
        <w:footnoteRef/>
      </w:r>
      <w:r w:rsidRPr="008A4745">
        <w:rPr>
          <w:sz w:val="20"/>
        </w:rPr>
        <w:t xml:space="preserve"> Environment Regulations regs 14(1) - (2).</w:t>
      </w:r>
    </w:p>
  </w:footnote>
  <w:footnote w:id="70">
    <w:p w14:paraId="3A11A86F" w14:textId="77777777" w:rsidR="00AD59B0" w:rsidRPr="003F7B15" w:rsidRDefault="00AD59B0" w:rsidP="00132C73">
      <w:pPr>
        <w:pStyle w:val="FootnoteText"/>
        <w:spacing w:before="0"/>
        <w:rPr>
          <w:sz w:val="20"/>
          <w:szCs w:val="20"/>
          <w:lang w:val="en-US"/>
        </w:rPr>
      </w:pPr>
      <w:r w:rsidRPr="003F7B15">
        <w:rPr>
          <w:rStyle w:val="FootnoteReference"/>
          <w:sz w:val="20"/>
          <w:szCs w:val="20"/>
        </w:rPr>
        <w:footnoteRef/>
      </w:r>
      <w:r w:rsidRPr="003F7B15">
        <w:rPr>
          <w:sz w:val="20"/>
          <w:szCs w:val="20"/>
        </w:rPr>
        <w:t xml:space="preserve"> </w:t>
      </w:r>
      <w:r w:rsidRPr="003F7B15">
        <w:rPr>
          <w:sz w:val="20"/>
          <w:szCs w:val="20"/>
          <w:lang w:val="en-US"/>
        </w:rPr>
        <w:t>PA Act s 4-5</w:t>
      </w:r>
    </w:p>
  </w:footnote>
  <w:footnote w:id="71">
    <w:p w14:paraId="52778463" w14:textId="77777777" w:rsidR="00AD59B0" w:rsidRPr="00927CBC" w:rsidRDefault="00AD59B0" w:rsidP="00132C73">
      <w:pPr>
        <w:pStyle w:val="FootnoteText"/>
        <w:spacing w:before="0"/>
        <w:rPr>
          <w:lang w:val="en-US"/>
        </w:rPr>
      </w:pPr>
      <w:r w:rsidRPr="003F7B15">
        <w:rPr>
          <w:rStyle w:val="FootnoteReference"/>
          <w:sz w:val="20"/>
          <w:szCs w:val="20"/>
        </w:rPr>
        <w:footnoteRef/>
      </w:r>
      <w:r w:rsidRPr="003F7B15">
        <w:rPr>
          <w:sz w:val="20"/>
          <w:szCs w:val="20"/>
        </w:rPr>
        <w:t xml:space="preserve"> </w:t>
      </w:r>
      <w:r w:rsidRPr="003F7B15">
        <w:rPr>
          <w:sz w:val="20"/>
          <w:szCs w:val="20"/>
          <w:lang w:val="en-US"/>
        </w:rPr>
        <w:t>PA Act Regulations s 22</w:t>
      </w:r>
    </w:p>
  </w:footnote>
  <w:footnote w:id="72">
    <w:p w14:paraId="4E1EB08B" w14:textId="77777777" w:rsidR="00AD59B0" w:rsidRPr="003F7B15" w:rsidRDefault="00AD59B0" w:rsidP="00132C73">
      <w:pPr>
        <w:pStyle w:val="FootnoteText"/>
        <w:spacing w:before="0"/>
        <w:rPr>
          <w:sz w:val="20"/>
          <w:szCs w:val="20"/>
          <w:lang w:val="en-US"/>
        </w:rPr>
      </w:pPr>
      <w:r w:rsidRPr="003F7B15">
        <w:rPr>
          <w:rStyle w:val="FootnoteReference"/>
          <w:sz w:val="20"/>
          <w:szCs w:val="20"/>
        </w:rPr>
        <w:footnoteRef/>
      </w:r>
      <w:r w:rsidRPr="003F7B15">
        <w:rPr>
          <w:sz w:val="20"/>
          <w:szCs w:val="20"/>
        </w:rPr>
        <w:t xml:space="preserve"> </w:t>
      </w:r>
      <w:r w:rsidRPr="003F7B15">
        <w:rPr>
          <w:sz w:val="20"/>
          <w:szCs w:val="20"/>
          <w:lang w:val="en-US"/>
        </w:rPr>
        <w:t>PA Act s10 (2)</w:t>
      </w:r>
    </w:p>
  </w:footnote>
  <w:footnote w:id="73">
    <w:p w14:paraId="0A679187" w14:textId="77777777" w:rsidR="00AD59B0" w:rsidRDefault="00AD59B0" w:rsidP="00132C73">
      <w:pPr>
        <w:spacing w:before="0"/>
      </w:pPr>
      <w:r w:rsidRPr="003F7B15">
        <w:rPr>
          <w:rStyle w:val="FootnoteReference"/>
          <w:sz w:val="20"/>
          <w:szCs w:val="20"/>
        </w:rPr>
        <w:footnoteRef/>
      </w:r>
      <w:r w:rsidRPr="003F7B15">
        <w:rPr>
          <w:sz w:val="20"/>
          <w:szCs w:val="20"/>
        </w:rPr>
        <w:t xml:space="preserve"> Protected Areas Act s 12(1).</w:t>
      </w:r>
    </w:p>
  </w:footnote>
  <w:footnote w:id="74">
    <w:p w14:paraId="42469107" w14:textId="77777777" w:rsidR="00AD59B0" w:rsidRPr="009A4C98" w:rsidRDefault="00AD59B0" w:rsidP="00132C73">
      <w:pPr>
        <w:pStyle w:val="FootnoteText"/>
        <w:spacing w:before="0"/>
        <w:rPr>
          <w:sz w:val="20"/>
          <w:szCs w:val="20"/>
          <w:lang w:val="en-US"/>
        </w:rPr>
      </w:pPr>
      <w:r w:rsidRPr="009A4C98">
        <w:rPr>
          <w:rStyle w:val="FootnoteReference"/>
          <w:sz w:val="20"/>
          <w:szCs w:val="20"/>
        </w:rPr>
        <w:footnoteRef/>
      </w:r>
      <w:r w:rsidRPr="009A4C98">
        <w:rPr>
          <w:sz w:val="20"/>
          <w:szCs w:val="20"/>
        </w:rPr>
        <w:t xml:space="preserve"> </w:t>
      </w:r>
      <w:r w:rsidRPr="009A4C98">
        <w:rPr>
          <w:sz w:val="20"/>
          <w:szCs w:val="20"/>
          <w:lang w:val="en-US"/>
        </w:rPr>
        <w:t>XXX</w:t>
      </w:r>
    </w:p>
  </w:footnote>
  <w:footnote w:id="75">
    <w:p w14:paraId="2836A118" w14:textId="77777777" w:rsidR="00AD59B0" w:rsidRPr="009A4C98" w:rsidRDefault="00AD59B0" w:rsidP="00132C73">
      <w:pPr>
        <w:pStyle w:val="FootnoteText"/>
        <w:spacing w:before="0"/>
        <w:rPr>
          <w:sz w:val="20"/>
          <w:szCs w:val="20"/>
          <w:lang w:val="en-US"/>
        </w:rPr>
      </w:pPr>
      <w:r w:rsidRPr="009A4C98">
        <w:rPr>
          <w:rStyle w:val="FootnoteReference"/>
          <w:sz w:val="20"/>
          <w:szCs w:val="20"/>
        </w:rPr>
        <w:footnoteRef/>
      </w:r>
      <w:r w:rsidRPr="009A4C98">
        <w:rPr>
          <w:sz w:val="20"/>
          <w:szCs w:val="20"/>
        </w:rPr>
        <w:t xml:space="preserve">  FRTU Act Schedule 1 </w:t>
      </w:r>
      <w:r w:rsidRPr="009A4C98">
        <w:rPr>
          <w:sz w:val="20"/>
          <w:szCs w:val="20"/>
          <w:lang w:val="en-US"/>
        </w:rPr>
        <w:t>Paragraph (4).</w:t>
      </w:r>
    </w:p>
  </w:footnote>
  <w:footnote w:id="76">
    <w:p w14:paraId="52CEF09B" w14:textId="77777777" w:rsidR="00AD59B0" w:rsidRPr="009A4C98" w:rsidRDefault="00AD59B0" w:rsidP="00132C73">
      <w:pPr>
        <w:pStyle w:val="FootnoteText"/>
        <w:spacing w:before="0"/>
        <w:rPr>
          <w:sz w:val="20"/>
          <w:szCs w:val="20"/>
          <w:lang w:val="en-US"/>
        </w:rPr>
      </w:pPr>
      <w:r w:rsidRPr="009A4C98">
        <w:rPr>
          <w:rStyle w:val="FootnoteReference"/>
          <w:sz w:val="20"/>
          <w:szCs w:val="20"/>
        </w:rPr>
        <w:footnoteRef/>
      </w:r>
      <w:r w:rsidRPr="009A4C98">
        <w:rPr>
          <w:sz w:val="20"/>
          <w:szCs w:val="20"/>
        </w:rPr>
        <w:t xml:space="preserve"> </w:t>
      </w:r>
      <w:r w:rsidRPr="009A4C98">
        <w:rPr>
          <w:sz w:val="20"/>
          <w:szCs w:val="20"/>
          <w:lang w:val="en-US"/>
        </w:rPr>
        <w:t>FRTU Act Schedule Form 4 Timber Rights Agreement s37 and 36 respectively.</w:t>
      </w:r>
    </w:p>
  </w:footnote>
  <w:footnote w:id="77">
    <w:p w14:paraId="67F150CF" w14:textId="77777777" w:rsidR="00AD59B0" w:rsidRDefault="00AD59B0" w:rsidP="00132C73">
      <w:pPr>
        <w:spacing w:before="0"/>
      </w:pPr>
      <w:r w:rsidRPr="009A4C98">
        <w:rPr>
          <w:rStyle w:val="FootnoteReference"/>
          <w:sz w:val="20"/>
          <w:szCs w:val="20"/>
        </w:rPr>
        <w:footnoteRef/>
      </w:r>
      <w:r w:rsidRPr="009A4C98">
        <w:rPr>
          <w:sz w:val="20"/>
          <w:szCs w:val="20"/>
        </w:rPr>
        <w:t xml:space="preserve"> Environment Act s 25.</w:t>
      </w:r>
      <w:r>
        <w:t xml:space="preserve"> </w:t>
      </w:r>
    </w:p>
  </w:footnote>
  <w:footnote w:id="78">
    <w:p w14:paraId="2FB6019F" w14:textId="77777777" w:rsidR="00AD59B0" w:rsidRPr="009A4C98" w:rsidRDefault="00AD59B0" w:rsidP="00132C73">
      <w:pPr>
        <w:spacing w:before="0"/>
        <w:rPr>
          <w:sz w:val="20"/>
          <w:szCs w:val="20"/>
        </w:rPr>
      </w:pPr>
      <w:r w:rsidRPr="009A4C98">
        <w:rPr>
          <w:rStyle w:val="FootnoteReference"/>
          <w:sz w:val="20"/>
          <w:szCs w:val="20"/>
        </w:rPr>
        <w:footnoteRef/>
      </w:r>
      <w:r w:rsidRPr="009A4C98">
        <w:rPr>
          <w:sz w:val="20"/>
          <w:szCs w:val="20"/>
        </w:rPr>
        <w:t xml:space="preserve"> Environment Act s 43. </w:t>
      </w:r>
    </w:p>
  </w:footnote>
  <w:footnote w:id="79">
    <w:p w14:paraId="7469043B" w14:textId="77777777" w:rsidR="00AD59B0" w:rsidRPr="009A4C98" w:rsidRDefault="00AD59B0" w:rsidP="00132C73">
      <w:pPr>
        <w:spacing w:before="0"/>
        <w:rPr>
          <w:sz w:val="20"/>
          <w:szCs w:val="20"/>
        </w:rPr>
      </w:pPr>
      <w:r w:rsidRPr="009A4C98">
        <w:rPr>
          <w:rStyle w:val="FootnoteReference"/>
          <w:sz w:val="20"/>
          <w:szCs w:val="20"/>
        </w:rPr>
        <w:footnoteRef/>
      </w:r>
      <w:r w:rsidRPr="009A4C98">
        <w:rPr>
          <w:sz w:val="20"/>
          <w:szCs w:val="20"/>
        </w:rPr>
        <w:t xml:space="preserve"> Protected Areas Regulations reg 70(1). </w:t>
      </w:r>
    </w:p>
  </w:footnote>
  <w:footnote w:id="80">
    <w:p w14:paraId="7BD4329B" w14:textId="77777777" w:rsidR="00AD59B0" w:rsidRPr="009A4C98" w:rsidRDefault="00AD59B0" w:rsidP="00132C73">
      <w:pPr>
        <w:spacing w:before="0"/>
        <w:rPr>
          <w:sz w:val="20"/>
          <w:szCs w:val="20"/>
        </w:rPr>
      </w:pPr>
      <w:r w:rsidRPr="009A4C98">
        <w:rPr>
          <w:rStyle w:val="FootnoteReference"/>
          <w:sz w:val="20"/>
          <w:szCs w:val="20"/>
        </w:rPr>
        <w:footnoteRef/>
      </w:r>
      <w:r w:rsidRPr="009A4C98">
        <w:rPr>
          <w:sz w:val="20"/>
          <w:szCs w:val="20"/>
        </w:rPr>
        <w:t xml:space="preserve"> Protected Areas Act s 22(3). The table in Schedule 4 of the Regulations contains a column entitled ‘fixed penalties’ but there are no penalties listed in that column. Therefore, no fixed penalties have been prescribed yet.</w:t>
      </w:r>
    </w:p>
  </w:footnote>
  <w:footnote w:id="81">
    <w:p w14:paraId="16A66929" w14:textId="77777777" w:rsidR="00AD59B0" w:rsidRPr="009A4C98" w:rsidRDefault="00AD59B0" w:rsidP="00132C73">
      <w:pPr>
        <w:spacing w:before="0"/>
        <w:rPr>
          <w:sz w:val="20"/>
          <w:szCs w:val="20"/>
        </w:rPr>
      </w:pPr>
      <w:r w:rsidRPr="009A4C98">
        <w:rPr>
          <w:rStyle w:val="FootnoteReference"/>
          <w:sz w:val="20"/>
          <w:szCs w:val="20"/>
        </w:rPr>
        <w:footnoteRef/>
      </w:r>
      <w:r w:rsidRPr="009A4C98">
        <w:rPr>
          <w:sz w:val="20"/>
          <w:szCs w:val="20"/>
        </w:rPr>
        <w:t xml:space="preserve"> Protected Areas Act s 22(5).</w:t>
      </w:r>
    </w:p>
  </w:footnote>
  <w:footnote w:id="82">
    <w:p w14:paraId="091CFF52" w14:textId="77777777" w:rsidR="00AD59B0" w:rsidRPr="009A4C98" w:rsidRDefault="00AD59B0" w:rsidP="00132C73">
      <w:pPr>
        <w:spacing w:before="0"/>
        <w:rPr>
          <w:sz w:val="20"/>
          <w:szCs w:val="20"/>
          <w:lang w:val="en-US"/>
        </w:rPr>
      </w:pPr>
      <w:r w:rsidRPr="009A4C98">
        <w:rPr>
          <w:rStyle w:val="FootnoteReference"/>
          <w:sz w:val="20"/>
          <w:szCs w:val="20"/>
        </w:rPr>
        <w:footnoteRef/>
      </w:r>
      <w:r w:rsidRPr="009A4C98">
        <w:rPr>
          <w:sz w:val="20"/>
          <w:szCs w:val="20"/>
        </w:rPr>
        <w:t xml:space="preserve"> </w:t>
      </w:r>
      <w:r w:rsidRPr="009A4C98">
        <w:rPr>
          <w:sz w:val="20"/>
          <w:szCs w:val="20"/>
          <w:lang w:val="en-US"/>
        </w:rPr>
        <w:t>‘Standing’</w:t>
      </w:r>
      <w:r w:rsidRPr="009A4C98">
        <w:rPr>
          <w:sz w:val="20"/>
          <w:szCs w:val="20"/>
          <w:lang w:val="en-US"/>
        </w:rPr>
        <w:fldChar w:fldCharType="begin"/>
      </w:r>
      <w:r w:rsidRPr="009A4C98">
        <w:rPr>
          <w:sz w:val="20"/>
          <w:szCs w:val="20"/>
          <w:lang w:val="en-US"/>
        </w:rPr>
        <w:instrText xml:space="preserve"> XE "</w:instrText>
      </w:r>
      <w:r w:rsidRPr="009A4C98">
        <w:rPr>
          <w:sz w:val="20"/>
          <w:szCs w:val="20"/>
          <w:lang w:val="en-AU"/>
        </w:rPr>
        <w:instrText>Environmental laws:Standing</w:instrText>
      </w:r>
      <w:r w:rsidRPr="009A4C98">
        <w:rPr>
          <w:sz w:val="20"/>
          <w:szCs w:val="20"/>
          <w:lang w:val="en-US"/>
        </w:rPr>
        <w:instrText xml:space="preserve">" \r "IndexEnv_law_Standing" </w:instrText>
      </w:r>
      <w:r w:rsidRPr="009A4C98">
        <w:rPr>
          <w:sz w:val="20"/>
          <w:szCs w:val="20"/>
          <w:lang w:val="en-US"/>
        </w:rPr>
        <w:fldChar w:fldCharType="end"/>
      </w:r>
      <w:r w:rsidRPr="009A4C98">
        <w:rPr>
          <w:sz w:val="20"/>
          <w:szCs w:val="20"/>
          <w:lang w:val="en-US"/>
        </w:rPr>
        <w:t xml:space="preserve"> is a principle of common law. A person has standing if he has the right to ask a Court to hear a case. The definition of standing has evolved within Solomon Island case law and a number of principles for identifying standing have been identified.  </w:t>
      </w:r>
    </w:p>
  </w:footnote>
  <w:footnote w:id="83">
    <w:p w14:paraId="387BB3D2" w14:textId="77777777" w:rsidR="00AD59B0" w:rsidRPr="009A4C98" w:rsidRDefault="00AD59B0" w:rsidP="00132C73">
      <w:pPr>
        <w:spacing w:before="0"/>
        <w:rPr>
          <w:sz w:val="20"/>
          <w:szCs w:val="20"/>
        </w:rPr>
      </w:pPr>
      <w:r w:rsidRPr="009A4C98">
        <w:rPr>
          <w:rStyle w:val="FootnoteReference"/>
          <w:sz w:val="20"/>
          <w:szCs w:val="20"/>
        </w:rPr>
        <w:footnoteRef/>
      </w:r>
      <w:r w:rsidRPr="009A4C98">
        <w:rPr>
          <w:sz w:val="20"/>
          <w:szCs w:val="20"/>
        </w:rPr>
        <w:t xml:space="preserve"> Limitation Act s 5. </w:t>
      </w:r>
    </w:p>
  </w:footnote>
  <w:footnote w:id="84">
    <w:p w14:paraId="7CAE609E" w14:textId="77777777" w:rsidR="00AD59B0" w:rsidRDefault="00AD59B0" w:rsidP="00132C73">
      <w:pPr>
        <w:spacing w:before="0"/>
      </w:pPr>
      <w:r w:rsidRPr="009A4C98">
        <w:rPr>
          <w:rStyle w:val="FootnoteReference"/>
          <w:sz w:val="20"/>
          <w:szCs w:val="20"/>
        </w:rPr>
        <w:footnoteRef/>
      </w:r>
      <w:r w:rsidRPr="009A4C98">
        <w:rPr>
          <w:sz w:val="20"/>
          <w:szCs w:val="20"/>
        </w:rPr>
        <w:t xml:space="preserve"> </w:t>
      </w:r>
      <w:r w:rsidRPr="009A4C98">
        <w:rPr>
          <w:rStyle w:val="FootnotestephChar"/>
          <w:i/>
          <w:sz w:val="20"/>
        </w:rPr>
        <w:t>Daiwo v Lano</w:t>
      </w:r>
      <w:r w:rsidRPr="009A4C98">
        <w:rPr>
          <w:sz w:val="20"/>
          <w:szCs w:val="20"/>
        </w:rPr>
        <w:t xml:space="preserve"> [2011] SBHC 15. See also </w:t>
      </w:r>
      <w:r w:rsidRPr="009A4C98">
        <w:rPr>
          <w:i/>
          <w:sz w:val="20"/>
          <w:szCs w:val="20"/>
        </w:rPr>
        <w:t>Kere v Karana</w:t>
      </w:r>
      <w:r w:rsidRPr="009A4C98">
        <w:rPr>
          <w:sz w:val="20"/>
          <w:szCs w:val="20"/>
        </w:rPr>
        <w:t xml:space="preserve"> [2000] SBHC 48 for a discussion of trespass on customary land versus trespass on registered land.</w:t>
      </w:r>
      <w:r>
        <w:t xml:space="preserve"> </w:t>
      </w:r>
    </w:p>
  </w:footnote>
  <w:footnote w:id="85">
    <w:p w14:paraId="48BD8BBA" w14:textId="77777777" w:rsidR="00AD59B0" w:rsidRPr="00007A39" w:rsidRDefault="00AD59B0" w:rsidP="002C5EDB">
      <w:pPr>
        <w:pStyle w:val="FootnoteText"/>
        <w:spacing w:before="0"/>
        <w:rPr>
          <w:sz w:val="20"/>
          <w:szCs w:val="20"/>
          <w:lang w:val="en-US"/>
        </w:rPr>
      </w:pPr>
      <w:r w:rsidRPr="00007A39">
        <w:rPr>
          <w:rStyle w:val="FootnoteReference"/>
          <w:sz w:val="20"/>
          <w:szCs w:val="20"/>
        </w:rPr>
        <w:footnoteRef/>
      </w:r>
      <w:r w:rsidRPr="00007A39">
        <w:rPr>
          <w:sz w:val="20"/>
          <w:szCs w:val="20"/>
        </w:rPr>
        <w:t xml:space="preserve"> </w:t>
      </w:r>
      <w:r w:rsidRPr="00007A39">
        <w:rPr>
          <w:sz w:val="20"/>
          <w:szCs w:val="20"/>
          <w:lang w:val="en-US"/>
        </w:rPr>
        <w:t>Constitution of the Solomon Islands Schedule 3 s3</w:t>
      </w:r>
    </w:p>
  </w:footnote>
  <w:footnote w:id="86">
    <w:p w14:paraId="2AA64200" w14:textId="77777777" w:rsidR="00AD59B0" w:rsidRPr="00007A39" w:rsidRDefault="00AD59B0" w:rsidP="002C5EDB">
      <w:pPr>
        <w:pStyle w:val="FootnoteText"/>
        <w:spacing w:before="0"/>
        <w:rPr>
          <w:lang w:val="en-US"/>
        </w:rPr>
      </w:pPr>
      <w:r w:rsidRPr="00007A39">
        <w:rPr>
          <w:rStyle w:val="FootnoteReference"/>
          <w:sz w:val="20"/>
          <w:szCs w:val="20"/>
        </w:rPr>
        <w:footnoteRef/>
      </w:r>
      <w:r w:rsidRPr="00007A39">
        <w:rPr>
          <w:sz w:val="20"/>
          <w:szCs w:val="20"/>
        </w:rPr>
        <w:t xml:space="preserve"> </w:t>
      </w:r>
      <w:r w:rsidRPr="00007A39">
        <w:rPr>
          <w:sz w:val="20"/>
          <w:szCs w:val="20"/>
          <w:lang w:val="en-US"/>
        </w:rPr>
        <w:t>Constitution of the Solomon Islands s15</w:t>
      </w:r>
    </w:p>
  </w:footnote>
  <w:footnote w:id="87">
    <w:p w14:paraId="473ED543" w14:textId="77777777" w:rsidR="00AD59B0" w:rsidRPr="00007A39" w:rsidRDefault="00AD59B0" w:rsidP="002C5EDB">
      <w:pPr>
        <w:pStyle w:val="FootnoteText"/>
        <w:spacing w:before="0"/>
        <w:rPr>
          <w:lang w:val="en-US"/>
        </w:rPr>
      </w:pPr>
      <w:r>
        <w:rPr>
          <w:rStyle w:val="FootnoteReference"/>
        </w:rPr>
        <w:footnoteRef/>
      </w:r>
      <w:r>
        <w:t xml:space="preserve"> </w:t>
      </w:r>
      <w:r w:rsidRPr="00007A39">
        <w:rPr>
          <w:sz w:val="20"/>
          <w:szCs w:val="20"/>
          <w:lang w:val="en-US"/>
        </w:rPr>
        <w:t>Constitution of the Solomon Islands s1</w:t>
      </w:r>
      <w:r>
        <w:rPr>
          <w:sz w:val="20"/>
          <w:szCs w:val="20"/>
          <w:lang w:val="en-US"/>
        </w:rPr>
        <w:t>3</w:t>
      </w:r>
    </w:p>
  </w:footnote>
  <w:footnote w:id="88">
    <w:p w14:paraId="50884E52" w14:textId="77777777" w:rsidR="00AD59B0" w:rsidRPr="00007A39" w:rsidRDefault="00AD59B0" w:rsidP="002C5EDB">
      <w:pPr>
        <w:pStyle w:val="FootnoteText"/>
        <w:spacing w:before="0"/>
        <w:rPr>
          <w:lang w:val="en-US"/>
        </w:rPr>
      </w:pPr>
      <w:r w:rsidRPr="00007A39">
        <w:rPr>
          <w:rStyle w:val="FootnoteReference"/>
          <w:sz w:val="20"/>
          <w:szCs w:val="20"/>
        </w:rPr>
        <w:footnoteRef/>
      </w:r>
      <w:r w:rsidRPr="00007A39">
        <w:rPr>
          <w:sz w:val="20"/>
          <w:szCs w:val="20"/>
        </w:rPr>
        <w:t xml:space="preserve"> </w:t>
      </w:r>
      <w:r w:rsidRPr="00007A39">
        <w:rPr>
          <w:sz w:val="20"/>
          <w:szCs w:val="20"/>
          <w:lang w:val="en-US"/>
        </w:rPr>
        <w:t>Constitution of the Solomon Islands s15</w:t>
      </w:r>
    </w:p>
  </w:footnote>
  <w:footnote w:id="89">
    <w:p w14:paraId="1831779C" w14:textId="77777777" w:rsidR="00AD59B0" w:rsidRPr="0010068E" w:rsidRDefault="00AD59B0" w:rsidP="002C5EDB">
      <w:pPr>
        <w:pStyle w:val="FootnoteText"/>
        <w:spacing w:before="0"/>
        <w:rPr>
          <w:lang w:val="en-US"/>
        </w:rPr>
      </w:pPr>
      <w:r w:rsidRPr="00EF2F80">
        <w:rPr>
          <w:rStyle w:val="FootnoteReference"/>
          <w:sz w:val="20"/>
        </w:rPr>
        <w:footnoteRef/>
      </w:r>
      <w:r w:rsidRPr="00EF2F80">
        <w:rPr>
          <w:sz w:val="20"/>
        </w:rPr>
        <w:t xml:space="preserve"> </w:t>
      </w:r>
      <w:r w:rsidRPr="00EF2F80">
        <w:rPr>
          <w:bCs/>
          <w:sz w:val="20"/>
          <w:lang w:val="en-US"/>
        </w:rPr>
        <w:t>Solomon Islands: National Development Strategy 2011-2020 p13</w:t>
      </w:r>
    </w:p>
  </w:footnote>
  <w:footnote w:id="90">
    <w:p w14:paraId="3CC64AA7" w14:textId="77777777" w:rsidR="00AD59B0" w:rsidRPr="00EF2F80" w:rsidRDefault="00AD59B0" w:rsidP="002C5EDB">
      <w:pPr>
        <w:pStyle w:val="FootnoteText"/>
        <w:spacing w:before="0"/>
        <w:rPr>
          <w:lang w:val="en-US"/>
        </w:rPr>
      </w:pPr>
      <w:r w:rsidRPr="00CE6EB2">
        <w:rPr>
          <w:rStyle w:val="FootnoteReference"/>
          <w:sz w:val="20"/>
        </w:rPr>
        <w:footnoteRef/>
      </w:r>
      <w:r w:rsidRPr="00CE6EB2">
        <w:rPr>
          <w:sz w:val="20"/>
        </w:rPr>
        <w:t xml:space="preserve"> Environmental Regulations s5</w:t>
      </w:r>
    </w:p>
  </w:footnote>
  <w:footnote w:id="91">
    <w:p w14:paraId="1E2ABE3D" w14:textId="77777777" w:rsidR="00AD59B0" w:rsidRPr="007D4D4B" w:rsidRDefault="00AD59B0" w:rsidP="002C5EDB">
      <w:pPr>
        <w:pStyle w:val="FootnoteText"/>
        <w:spacing w:before="0"/>
        <w:rPr>
          <w:sz w:val="20"/>
          <w:szCs w:val="20"/>
          <w:lang w:val="en-US"/>
        </w:rPr>
      </w:pPr>
      <w:r w:rsidRPr="007D4D4B">
        <w:rPr>
          <w:rStyle w:val="FootnoteReference"/>
          <w:sz w:val="20"/>
          <w:szCs w:val="20"/>
        </w:rPr>
        <w:footnoteRef/>
      </w:r>
      <w:r w:rsidRPr="007D4D4B">
        <w:rPr>
          <w:sz w:val="20"/>
          <w:szCs w:val="20"/>
        </w:rPr>
        <w:t xml:space="preserve"> </w:t>
      </w:r>
      <w:r w:rsidRPr="007D4D4B">
        <w:rPr>
          <w:sz w:val="20"/>
          <w:szCs w:val="20"/>
          <w:lang w:val="en-US"/>
        </w:rPr>
        <w:t xml:space="preserve">Constitution of the Solomon Islands S112 Customary Land </w:t>
      </w:r>
    </w:p>
  </w:footnote>
  <w:footnote w:id="92">
    <w:p w14:paraId="68D0EE45" w14:textId="77777777" w:rsidR="00AD59B0" w:rsidRPr="007D4D4B" w:rsidRDefault="00AD59B0" w:rsidP="002C5EDB">
      <w:pPr>
        <w:pStyle w:val="FootnoteText"/>
        <w:spacing w:before="0"/>
        <w:rPr>
          <w:sz w:val="20"/>
          <w:szCs w:val="20"/>
          <w:lang w:val="en-US"/>
        </w:rPr>
      </w:pPr>
      <w:r w:rsidRPr="007D4D4B">
        <w:rPr>
          <w:rStyle w:val="FootnoteReference"/>
          <w:sz w:val="20"/>
          <w:szCs w:val="20"/>
        </w:rPr>
        <w:footnoteRef/>
      </w:r>
      <w:r w:rsidRPr="007D4D4B">
        <w:rPr>
          <w:sz w:val="20"/>
          <w:szCs w:val="20"/>
        </w:rPr>
        <w:t xml:space="preserve">  FRTU Act Schedule 1 </w:t>
      </w:r>
      <w:r w:rsidRPr="007D4D4B">
        <w:rPr>
          <w:sz w:val="20"/>
          <w:szCs w:val="20"/>
          <w:lang w:val="en-US"/>
        </w:rPr>
        <w:t>Paragraph (4).</w:t>
      </w:r>
    </w:p>
  </w:footnote>
  <w:footnote w:id="93">
    <w:p w14:paraId="3251AB2D" w14:textId="77777777" w:rsidR="00AD59B0" w:rsidRDefault="00AD59B0" w:rsidP="002C5EDB">
      <w:pPr>
        <w:pStyle w:val="Footnotesteph"/>
      </w:pPr>
      <w:r w:rsidRPr="007D4D4B">
        <w:rPr>
          <w:rStyle w:val="FootnoteReference"/>
          <w:sz w:val="20"/>
        </w:rPr>
        <w:footnoteRef/>
      </w:r>
      <w:r w:rsidRPr="007D4D4B">
        <w:rPr>
          <w:rFonts w:ascii="Calibri" w:hAnsi="Calibri"/>
          <w:sz w:val="20"/>
        </w:rPr>
        <w:t xml:space="preserve"> Environment Regulations reg 12.</w:t>
      </w:r>
      <w:r>
        <w:t xml:space="preserve"> </w:t>
      </w:r>
    </w:p>
  </w:footnote>
  <w:footnote w:id="94">
    <w:p w14:paraId="0220BC96" w14:textId="77777777" w:rsidR="00AD59B0" w:rsidRPr="00A06B89" w:rsidRDefault="00AD59B0" w:rsidP="002C5EDB">
      <w:pPr>
        <w:pStyle w:val="FootnoteText"/>
        <w:spacing w:before="0"/>
        <w:rPr>
          <w:sz w:val="20"/>
          <w:szCs w:val="20"/>
          <w:lang w:val="en-US"/>
        </w:rPr>
      </w:pPr>
      <w:r w:rsidRPr="00A06B89">
        <w:rPr>
          <w:rStyle w:val="FootnoteReference"/>
          <w:sz w:val="20"/>
          <w:szCs w:val="20"/>
        </w:rPr>
        <w:footnoteRef/>
      </w:r>
      <w:r w:rsidRPr="00A06B89">
        <w:rPr>
          <w:sz w:val="20"/>
          <w:szCs w:val="20"/>
        </w:rPr>
        <w:t xml:space="preserve"> </w:t>
      </w:r>
      <w:r w:rsidRPr="00A06B89">
        <w:rPr>
          <w:sz w:val="20"/>
          <w:szCs w:val="20"/>
          <w:lang w:val="en-US"/>
        </w:rPr>
        <w:t>Constitution of the Solomon Islands s8</w:t>
      </w:r>
    </w:p>
  </w:footnote>
  <w:footnote w:id="95">
    <w:p w14:paraId="3CEF74CC" w14:textId="77777777" w:rsidR="00AD59B0" w:rsidRPr="00A06B89" w:rsidRDefault="00AD59B0" w:rsidP="002C5EDB">
      <w:pPr>
        <w:pStyle w:val="FootnoteText"/>
        <w:spacing w:before="0"/>
        <w:rPr>
          <w:sz w:val="20"/>
          <w:szCs w:val="20"/>
          <w:lang w:val="en-US"/>
        </w:rPr>
      </w:pPr>
      <w:r w:rsidRPr="00A06B89">
        <w:rPr>
          <w:rStyle w:val="FootnoteReference"/>
          <w:sz w:val="20"/>
          <w:szCs w:val="20"/>
        </w:rPr>
        <w:footnoteRef/>
      </w:r>
      <w:r w:rsidRPr="00A06B89">
        <w:rPr>
          <w:sz w:val="20"/>
          <w:szCs w:val="20"/>
        </w:rPr>
        <w:t xml:space="preserve"> </w:t>
      </w:r>
      <w:r w:rsidRPr="00A06B89">
        <w:rPr>
          <w:sz w:val="20"/>
          <w:szCs w:val="20"/>
          <w:lang w:val="en-US"/>
        </w:rPr>
        <w:t xml:space="preserve">Constitution of the Solomon Islands S112 Customary Land </w:t>
      </w:r>
    </w:p>
  </w:footnote>
  <w:footnote w:id="96">
    <w:p w14:paraId="496099B1" w14:textId="77777777" w:rsidR="00AD59B0" w:rsidRPr="00A06B89" w:rsidRDefault="00AD59B0" w:rsidP="002C5EDB">
      <w:pPr>
        <w:pStyle w:val="FootnoteText"/>
        <w:spacing w:before="0"/>
        <w:rPr>
          <w:lang w:val="en-US"/>
        </w:rPr>
      </w:pPr>
      <w:r w:rsidRPr="00A06B89">
        <w:rPr>
          <w:rStyle w:val="FootnoteReference"/>
          <w:sz w:val="20"/>
          <w:szCs w:val="20"/>
        </w:rPr>
        <w:footnoteRef/>
      </w:r>
      <w:r w:rsidRPr="00A06B89">
        <w:rPr>
          <w:sz w:val="20"/>
          <w:szCs w:val="20"/>
        </w:rPr>
        <w:t xml:space="preserve"> </w:t>
      </w:r>
      <w:r w:rsidRPr="00A06B89">
        <w:rPr>
          <w:sz w:val="20"/>
          <w:szCs w:val="20"/>
          <w:lang w:val="en-US"/>
        </w:rPr>
        <w:t>FRTU Act Schedule 1 Form 4 Timber Rights Agreement s23</w:t>
      </w:r>
    </w:p>
  </w:footnote>
  <w:footnote w:id="97">
    <w:p w14:paraId="19F4F524" w14:textId="77777777" w:rsidR="00AD59B0" w:rsidRPr="00A06B89" w:rsidRDefault="00AD59B0" w:rsidP="002C5EDB">
      <w:pPr>
        <w:pStyle w:val="FootnoteText"/>
        <w:spacing w:before="0"/>
        <w:rPr>
          <w:lang w:val="en-US"/>
        </w:rPr>
      </w:pPr>
      <w:r w:rsidRPr="00A06B89">
        <w:rPr>
          <w:rStyle w:val="FootnoteReference"/>
          <w:sz w:val="20"/>
        </w:rPr>
        <w:footnoteRef/>
      </w:r>
      <w:r w:rsidRPr="00A06B89">
        <w:rPr>
          <w:sz w:val="20"/>
        </w:rPr>
        <w:t xml:space="preserve"> </w:t>
      </w:r>
      <w:r w:rsidRPr="00A06B89">
        <w:rPr>
          <w:sz w:val="20"/>
          <w:lang w:val="en-US"/>
        </w:rPr>
        <w:t>Environment Regulations s5</w:t>
      </w:r>
    </w:p>
  </w:footnote>
  <w:footnote w:id="98">
    <w:p w14:paraId="656D37BF" w14:textId="77777777" w:rsidR="00AD59B0" w:rsidRPr="00A06B89" w:rsidRDefault="00AD59B0" w:rsidP="002C5EDB">
      <w:pPr>
        <w:pStyle w:val="Footnotesteph"/>
        <w:rPr>
          <w:rFonts w:ascii="Calibri" w:hAnsi="Calibri"/>
        </w:rPr>
      </w:pPr>
      <w:r w:rsidRPr="00A06B89">
        <w:rPr>
          <w:rStyle w:val="FootnoteReference"/>
          <w:sz w:val="20"/>
        </w:rPr>
        <w:footnoteRef/>
      </w:r>
      <w:r>
        <w:rPr>
          <w:rFonts w:ascii="Calibri" w:hAnsi="Calibri"/>
          <w:sz w:val="20"/>
        </w:rPr>
        <w:t xml:space="preserve"> </w:t>
      </w:r>
      <w:r w:rsidRPr="00A06B89">
        <w:rPr>
          <w:rFonts w:ascii="Calibri" w:hAnsi="Calibri"/>
          <w:sz w:val="20"/>
        </w:rPr>
        <w:t>Protected Areas Act s 10(2).</w:t>
      </w:r>
    </w:p>
  </w:footnote>
  <w:footnote w:id="99">
    <w:p w14:paraId="32CC39F6" w14:textId="7E5207A1" w:rsidR="00AD59B0" w:rsidRPr="005D4C75" w:rsidRDefault="00AD59B0" w:rsidP="005D4C75">
      <w:pPr>
        <w:pStyle w:val="FootnoteText"/>
        <w:spacing w:before="0"/>
        <w:rPr>
          <w:lang w:val="en-US"/>
        </w:rPr>
      </w:pPr>
      <w:r w:rsidRPr="005D4C75">
        <w:rPr>
          <w:rStyle w:val="FootnoteReference"/>
          <w:sz w:val="20"/>
        </w:rPr>
        <w:footnoteRef/>
      </w:r>
      <w:r w:rsidRPr="005D4C75">
        <w:rPr>
          <w:sz w:val="20"/>
        </w:rPr>
        <w:t xml:space="preserve"> </w:t>
      </w:r>
      <w:r w:rsidRPr="005D4C75">
        <w:rPr>
          <w:sz w:val="20"/>
          <w:lang w:val="en-US"/>
        </w:rPr>
        <w:t>Land and Titles Act s133</w:t>
      </w:r>
    </w:p>
  </w:footnote>
  <w:footnote w:id="100">
    <w:p w14:paraId="2A009A24" w14:textId="77777777" w:rsidR="00AD59B0" w:rsidRPr="00842598" w:rsidRDefault="00AD59B0" w:rsidP="002C5EDB">
      <w:pPr>
        <w:pStyle w:val="FootnoteText"/>
        <w:spacing w:before="0"/>
        <w:rPr>
          <w:sz w:val="20"/>
          <w:szCs w:val="20"/>
          <w:lang w:val="en-US"/>
        </w:rPr>
      </w:pPr>
      <w:r w:rsidRPr="00842598">
        <w:rPr>
          <w:rStyle w:val="FootnoteReference"/>
          <w:sz w:val="20"/>
          <w:szCs w:val="20"/>
        </w:rPr>
        <w:footnoteRef/>
      </w:r>
      <w:r w:rsidRPr="00842598">
        <w:rPr>
          <w:sz w:val="20"/>
          <w:szCs w:val="20"/>
        </w:rPr>
        <w:t xml:space="preserve"> </w:t>
      </w:r>
      <w:r w:rsidRPr="00842598">
        <w:rPr>
          <w:sz w:val="20"/>
          <w:szCs w:val="20"/>
          <w:lang w:val="en-US"/>
        </w:rPr>
        <w:t>FRTU Act Schedule Form 4 Timber Rights Agreement s23-24</w:t>
      </w:r>
    </w:p>
  </w:footnote>
  <w:footnote w:id="101">
    <w:p w14:paraId="7426254D" w14:textId="77777777" w:rsidR="00AD59B0" w:rsidRPr="00842598" w:rsidRDefault="00AD59B0" w:rsidP="002C5EDB">
      <w:pPr>
        <w:spacing w:before="0"/>
        <w:rPr>
          <w:sz w:val="20"/>
          <w:szCs w:val="20"/>
        </w:rPr>
      </w:pPr>
      <w:r w:rsidRPr="00842598">
        <w:rPr>
          <w:rStyle w:val="FootnoteReference"/>
          <w:sz w:val="20"/>
          <w:szCs w:val="20"/>
        </w:rPr>
        <w:footnoteRef/>
      </w:r>
      <w:r w:rsidRPr="00842598">
        <w:rPr>
          <w:sz w:val="20"/>
          <w:szCs w:val="20"/>
        </w:rPr>
        <w:t xml:space="preserve"> FRTU Act s 5(2).</w:t>
      </w:r>
    </w:p>
  </w:footnote>
  <w:footnote w:id="102">
    <w:p w14:paraId="7671ED16" w14:textId="77777777" w:rsidR="00AD59B0" w:rsidRPr="00842598" w:rsidRDefault="00AD59B0" w:rsidP="002C5EDB">
      <w:pPr>
        <w:spacing w:before="0"/>
        <w:rPr>
          <w:sz w:val="20"/>
          <w:szCs w:val="20"/>
          <w:lang w:val="en-AU"/>
        </w:rPr>
      </w:pPr>
      <w:r w:rsidRPr="00842598">
        <w:rPr>
          <w:rStyle w:val="FootnoteReference"/>
          <w:sz w:val="20"/>
          <w:szCs w:val="20"/>
        </w:rPr>
        <w:footnoteRef/>
      </w:r>
      <w:r w:rsidRPr="00842598">
        <w:rPr>
          <w:sz w:val="20"/>
          <w:szCs w:val="20"/>
        </w:rPr>
        <w:t xml:space="preserve"> The phrase ‘National Heritage’ is not defined in the Environment Act and there is no natural heritage register in Solomon Islands.</w:t>
      </w:r>
    </w:p>
  </w:footnote>
  <w:footnote w:id="103">
    <w:p w14:paraId="0BA15769" w14:textId="77777777" w:rsidR="00AD59B0" w:rsidRPr="00842598" w:rsidRDefault="00AD59B0" w:rsidP="002C5EDB">
      <w:pPr>
        <w:pStyle w:val="FootnoteText"/>
        <w:spacing w:before="0"/>
        <w:rPr>
          <w:sz w:val="20"/>
          <w:szCs w:val="20"/>
          <w:lang w:val="en-US"/>
        </w:rPr>
      </w:pPr>
      <w:r w:rsidRPr="00842598">
        <w:rPr>
          <w:rStyle w:val="FootnoteReference"/>
          <w:sz w:val="20"/>
          <w:szCs w:val="20"/>
        </w:rPr>
        <w:footnoteRef/>
      </w:r>
      <w:r w:rsidRPr="00842598">
        <w:rPr>
          <w:sz w:val="20"/>
          <w:szCs w:val="20"/>
        </w:rPr>
        <w:t xml:space="preserve"> </w:t>
      </w:r>
      <w:r w:rsidRPr="00842598">
        <w:rPr>
          <w:sz w:val="20"/>
          <w:szCs w:val="20"/>
          <w:lang w:val="en-US"/>
        </w:rPr>
        <w:t>Environment Act s23</w:t>
      </w:r>
    </w:p>
  </w:footnote>
  <w:footnote w:id="104">
    <w:p w14:paraId="47A318B5" w14:textId="77777777" w:rsidR="00AD59B0" w:rsidRPr="00842598" w:rsidRDefault="00AD59B0" w:rsidP="002C5EDB">
      <w:pPr>
        <w:pStyle w:val="FootnoteText"/>
        <w:spacing w:before="0"/>
        <w:rPr>
          <w:sz w:val="20"/>
          <w:szCs w:val="20"/>
          <w:lang w:val="en-US"/>
        </w:rPr>
      </w:pPr>
      <w:r w:rsidRPr="00842598">
        <w:rPr>
          <w:rStyle w:val="FootnoteReference"/>
          <w:sz w:val="20"/>
          <w:szCs w:val="20"/>
        </w:rPr>
        <w:footnoteRef/>
      </w:r>
      <w:r w:rsidRPr="00842598">
        <w:rPr>
          <w:sz w:val="20"/>
          <w:szCs w:val="20"/>
        </w:rPr>
        <w:t xml:space="preserve"> </w:t>
      </w:r>
      <w:r w:rsidRPr="00842598">
        <w:rPr>
          <w:sz w:val="20"/>
          <w:szCs w:val="20"/>
          <w:lang w:val="en-US"/>
        </w:rPr>
        <w:t>Environmental Regulations s5</w:t>
      </w:r>
    </w:p>
  </w:footnote>
  <w:footnote w:id="105">
    <w:p w14:paraId="56F7AF1F" w14:textId="77777777" w:rsidR="00AD59B0" w:rsidRDefault="00AD59B0" w:rsidP="002C5EDB">
      <w:pPr>
        <w:spacing w:before="0"/>
      </w:pPr>
      <w:r w:rsidRPr="007053D6">
        <w:rPr>
          <w:rStyle w:val="FootnoteReference"/>
          <w:sz w:val="20"/>
        </w:rPr>
        <w:footnoteRef/>
      </w:r>
      <w:r>
        <w:rPr>
          <w:sz w:val="20"/>
        </w:rPr>
        <w:t xml:space="preserve"> </w:t>
      </w:r>
      <w:r w:rsidRPr="007053D6">
        <w:rPr>
          <w:sz w:val="20"/>
        </w:rPr>
        <w:t>Environment Act s 2.</w:t>
      </w:r>
    </w:p>
  </w:footnote>
  <w:footnote w:id="106">
    <w:p w14:paraId="77060A28" w14:textId="77777777" w:rsidR="00AD59B0" w:rsidRPr="00842598" w:rsidRDefault="00AD59B0" w:rsidP="002C5EDB">
      <w:pPr>
        <w:spacing w:before="0"/>
        <w:rPr>
          <w:sz w:val="20"/>
          <w:szCs w:val="20"/>
        </w:rPr>
      </w:pPr>
      <w:r w:rsidRPr="00842598">
        <w:rPr>
          <w:rStyle w:val="FootnoteReference"/>
          <w:sz w:val="20"/>
          <w:szCs w:val="20"/>
        </w:rPr>
        <w:footnoteRef/>
      </w:r>
      <w:r w:rsidRPr="00842598">
        <w:rPr>
          <w:sz w:val="20"/>
          <w:szCs w:val="20"/>
        </w:rPr>
        <w:t xml:space="preserve"> Protected Areas Regulations reg 7.</w:t>
      </w:r>
    </w:p>
  </w:footnote>
  <w:footnote w:id="107">
    <w:p w14:paraId="3DC08ED3" w14:textId="77777777" w:rsidR="00AD59B0" w:rsidRPr="00842598" w:rsidRDefault="00AD59B0" w:rsidP="006D2E84">
      <w:pPr>
        <w:pStyle w:val="Footnotesteph"/>
        <w:rPr>
          <w:rFonts w:ascii="Calibri" w:hAnsi="Calibri"/>
          <w:sz w:val="20"/>
        </w:rPr>
      </w:pPr>
      <w:r w:rsidRPr="00842598">
        <w:rPr>
          <w:rStyle w:val="FootnoteReference"/>
          <w:sz w:val="20"/>
        </w:rPr>
        <w:footnoteRef/>
      </w:r>
      <w:r w:rsidRPr="00842598">
        <w:rPr>
          <w:rFonts w:ascii="Calibri" w:hAnsi="Calibri"/>
          <w:sz w:val="20"/>
        </w:rPr>
        <w:t xml:space="preserve"> Protected Areas Regulations reg 63.</w:t>
      </w:r>
    </w:p>
  </w:footnote>
  <w:footnote w:id="108">
    <w:p w14:paraId="1F341CE1" w14:textId="77777777" w:rsidR="00AD59B0" w:rsidRDefault="00AD59B0" w:rsidP="006D2E84">
      <w:r w:rsidRPr="00842598">
        <w:rPr>
          <w:rStyle w:val="FootnoteReference"/>
          <w:sz w:val="20"/>
          <w:szCs w:val="20"/>
        </w:rPr>
        <w:footnoteRef/>
      </w:r>
      <w:r w:rsidRPr="00842598">
        <w:rPr>
          <w:sz w:val="20"/>
          <w:szCs w:val="20"/>
        </w:rPr>
        <w:t xml:space="preserve"> Protected Areas Regulations reg 23(1).</w:t>
      </w:r>
    </w:p>
  </w:footnote>
  <w:footnote w:id="109">
    <w:p w14:paraId="0B978DA1" w14:textId="77777777" w:rsidR="00AD59B0" w:rsidRPr="00007A39" w:rsidRDefault="00AD59B0" w:rsidP="00332178">
      <w:pPr>
        <w:pStyle w:val="FootnoteText"/>
        <w:spacing w:before="0"/>
        <w:rPr>
          <w:lang w:val="en-US"/>
        </w:rPr>
      </w:pPr>
      <w:r w:rsidRPr="00007A39">
        <w:rPr>
          <w:rStyle w:val="FootnoteReference"/>
          <w:sz w:val="20"/>
          <w:szCs w:val="20"/>
        </w:rPr>
        <w:footnoteRef/>
      </w:r>
      <w:r w:rsidRPr="00007A39">
        <w:rPr>
          <w:sz w:val="20"/>
          <w:szCs w:val="20"/>
        </w:rPr>
        <w:t xml:space="preserve"> </w:t>
      </w:r>
      <w:r w:rsidRPr="00007A39">
        <w:rPr>
          <w:sz w:val="20"/>
          <w:szCs w:val="20"/>
          <w:lang w:val="en-US"/>
        </w:rPr>
        <w:t>Constitution of the Solomon Islands s15</w:t>
      </w:r>
    </w:p>
  </w:footnote>
  <w:footnote w:id="110">
    <w:p w14:paraId="2D44B09E" w14:textId="77777777" w:rsidR="00AD59B0" w:rsidRPr="006512AC" w:rsidRDefault="00AD59B0" w:rsidP="002C5EDB">
      <w:pPr>
        <w:pStyle w:val="FootnoteText"/>
        <w:spacing w:before="0"/>
        <w:rPr>
          <w:sz w:val="20"/>
          <w:szCs w:val="20"/>
          <w:lang w:val="en-US"/>
        </w:rPr>
      </w:pPr>
      <w:r w:rsidRPr="006512AC">
        <w:rPr>
          <w:rStyle w:val="FootnoteReference"/>
          <w:sz w:val="20"/>
          <w:szCs w:val="20"/>
        </w:rPr>
        <w:footnoteRef/>
      </w:r>
      <w:r w:rsidRPr="006512AC">
        <w:rPr>
          <w:sz w:val="20"/>
          <w:szCs w:val="20"/>
        </w:rPr>
        <w:t xml:space="preserve"> </w:t>
      </w:r>
      <w:r w:rsidRPr="006512AC">
        <w:rPr>
          <w:sz w:val="20"/>
          <w:szCs w:val="20"/>
          <w:lang w:val="en-US"/>
        </w:rPr>
        <w:t>National Development Strategy 2011-20 p8</w:t>
      </w:r>
    </w:p>
  </w:footnote>
  <w:footnote w:id="111">
    <w:p w14:paraId="3F385ED0" w14:textId="77777777" w:rsidR="00AD59B0" w:rsidRPr="006512AC" w:rsidRDefault="00AD59B0" w:rsidP="002C5EDB">
      <w:pPr>
        <w:pStyle w:val="FootnoteText"/>
        <w:spacing w:before="0"/>
        <w:rPr>
          <w:sz w:val="20"/>
          <w:szCs w:val="20"/>
          <w:lang w:val="en-US"/>
        </w:rPr>
      </w:pPr>
      <w:r w:rsidRPr="006512AC">
        <w:rPr>
          <w:rStyle w:val="FootnoteReference"/>
          <w:sz w:val="20"/>
          <w:szCs w:val="20"/>
        </w:rPr>
        <w:footnoteRef/>
      </w:r>
      <w:r w:rsidRPr="006512AC">
        <w:rPr>
          <w:sz w:val="20"/>
          <w:szCs w:val="20"/>
        </w:rPr>
        <w:t xml:space="preserve"> </w:t>
      </w:r>
      <w:r w:rsidRPr="006512AC">
        <w:rPr>
          <w:sz w:val="20"/>
          <w:szCs w:val="20"/>
          <w:lang w:val="en-US"/>
        </w:rPr>
        <w:t xml:space="preserve">FRTU Act Schedule Form 4 Timber Rights Agreement – sharing of royalties is one are in which negotiation is possible within the form.  </w:t>
      </w:r>
    </w:p>
  </w:footnote>
  <w:footnote w:id="112">
    <w:p w14:paraId="709A1AFD" w14:textId="77777777" w:rsidR="00AD59B0" w:rsidRPr="006512AC" w:rsidRDefault="00AD59B0" w:rsidP="002C5EDB">
      <w:pPr>
        <w:pStyle w:val="FootnoteText"/>
        <w:spacing w:before="0"/>
        <w:rPr>
          <w:sz w:val="20"/>
          <w:szCs w:val="20"/>
          <w:lang w:val="en-US"/>
        </w:rPr>
      </w:pPr>
      <w:r w:rsidRPr="006512AC">
        <w:rPr>
          <w:rStyle w:val="FootnoteReference"/>
          <w:sz w:val="20"/>
          <w:szCs w:val="20"/>
        </w:rPr>
        <w:footnoteRef/>
      </w:r>
      <w:r w:rsidRPr="006512AC">
        <w:rPr>
          <w:sz w:val="20"/>
          <w:szCs w:val="20"/>
        </w:rPr>
        <w:t xml:space="preserve"> </w:t>
      </w:r>
      <w:r w:rsidRPr="006512AC">
        <w:rPr>
          <w:sz w:val="20"/>
          <w:szCs w:val="20"/>
          <w:lang w:val="en-US"/>
        </w:rPr>
        <w:t>Environment Act s 6 (2)</w:t>
      </w:r>
    </w:p>
  </w:footnote>
  <w:footnote w:id="113">
    <w:p w14:paraId="630A5C69" w14:textId="77777777" w:rsidR="00AD59B0" w:rsidRPr="006512AC" w:rsidRDefault="00AD59B0" w:rsidP="00332178">
      <w:pPr>
        <w:pStyle w:val="FootnoteText"/>
        <w:spacing w:before="0"/>
        <w:rPr>
          <w:lang w:val="en-US"/>
        </w:rPr>
      </w:pPr>
      <w:r w:rsidRPr="006512AC">
        <w:rPr>
          <w:rStyle w:val="FootnoteReference"/>
          <w:sz w:val="20"/>
        </w:rPr>
        <w:footnoteRef/>
      </w:r>
      <w:r w:rsidRPr="006512AC">
        <w:rPr>
          <w:sz w:val="20"/>
        </w:rPr>
        <w:t xml:space="preserve"> </w:t>
      </w:r>
      <w:r w:rsidRPr="006512AC">
        <w:rPr>
          <w:sz w:val="20"/>
          <w:lang w:val="en-US"/>
        </w:rPr>
        <w:t>Environment Act s23 and Regulations s5</w:t>
      </w:r>
    </w:p>
  </w:footnote>
  <w:footnote w:id="114">
    <w:p w14:paraId="1F8815C4" w14:textId="77777777" w:rsidR="00AD59B0" w:rsidRPr="006512AC" w:rsidRDefault="00AD59B0" w:rsidP="00332178">
      <w:pPr>
        <w:pStyle w:val="FootnoteText"/>
        <w:spacing w:before="0"/>
        <w:rPr>
          <w:lang w:val="en-US"/>
        </w:rPr>
      </w:pPr>
      <w:r w:rsidRPr="006512AC">
        <w:rPr>
          <w:rStyle w:val="FootnoteReference"/>
          <w:sz w:val="20"/>
          <w:szCs w:val="20"/>
        </w:rPr>
        <w:footnoteRef/>
      </w:r>
      <w:r w:rsidRPr="006512AC">
        <w:rPr>
          <w:sz w:val="20"/>
          <w:szCs w:val="20"/>
        </w:rPr>
        <w:t xml:space="preserve"> </w:t>
      </w:r>
      <w:r w:rsidRPr="006512AC">
        <w:rPr>
          <w:sz w:val="20"/>
          <w:szCs w:val="20"/>
          <w:lang w:val="en-US"/>
        </w:rPr>
        <w:t>PA Act Regulations s32</w:t>
      </w:r>
    </w:p>
  </w:footnote>
  <w:footnote w:id="115">
    <w:p w14:paraId="42B7D014" w14:textId="77777777" w:rsidR="00AD59B0" w:rsidRPr="001C584C" w:rsidRDefault="00AD59B0" w:rsidP="002C5EDB">
      <w:pPr>
        <w:pStyle w:val="FootnoteText"/>
        <w:spacing w:before="0"/>
        <w:rPr>
          <w:sz w:val="20"/>
          <w:szCs w:val="20"/>
          <w:lang w:val="en-US"/>
        </w:rPr>
      </w:pPr>
      <w:r w:rsidRPr="001C584C">
        <w:rPr>
          <w:rStyle w:val="FootnoteReference"/>
          <w:sz w:val="20"/>
          <w:szCs w:val="20"/>
        </w:rPr>
        <w:footnoteRef/>
      </w:r>
      <w:r w:rsidRPr="001C584C">
        <w:rPr>
          <w:sz w:val="20"/>
          <w:szCs w:val="20"/>
        </w:rPr>
        <w:t xml:space="preserve"> </w:t>
      </w:r>
      <w:r w:rsidRPr="001C584C">
        <w:rPr>
          <w:sz w:val="20"/>
          <w:szCs w:val="20"/>
          <w:lang w:val="en-US"/>
        </w:rPr>
        <w:t xml:space="preserve">FRTU Act Form 4 (Timber Rights Agreement) s28 </w:t>
      </w:r>
    </w:p>
  </w:footnote>
  <w:footnote w:id="116">
    <w:p w14:paraId="20B65ADF" w14:textId="77777777" w:rsidR="00AD59B0" w:rsidRPr="001C584C" w:rsidRDefault="00AD59B0" w:rsidP="002C5EDB">
      <w:pPr>
        <w:pStyle w:val="FootnoteText"/>
        <w:spacing w:before="0"/>
        <w:rPr>
          <w:sz w:val="20"/>
          <w:szCs w:val="20"/>
          <w:lang w:val="en-US"/>
        </w:rPr>
      </w:pPr>
      <w:r w:rsidRPr="001C584C">
        <w:rPr>
          <w:rStyle w:val="FootnoteReference"/>
          <w:sz w:val="20"/>
          <w:szCs w:val="20"/>
        </w:rPr>
        <w:footnoteRef/>
      </w:r>
      <w:r w:rsidRPr="001C584C">
        <w:rPr>
          <w:sz w:val="20"/>
          <w:szCs w:val="20"/>
        </w:rPr>
        <w:t xml:space="preserve"> </w:t>
      </w:r>
      <w:r w:rsidRPr="001C584C">
        <w:rPr>
          <w:sz w:val="20"/>
          <w:szCs w:val="20"/>
          <w:lang w:val="en-US"/>
        </w:rPr>
        <w:t>FRTU Act Form 4 (Timber Rights Agreement) s23</w:t>
      </w:r>
    </w:p>
  </w:footnote>
  <w:footnote w:id="117">
    <w:p w14:paraId="0EC8DB0E" w14:textId="77777777" w:rsidR="00AD59B0" w:rsidRPr="005E7DFA" w:rsidRDefault="00AD59B0" w:rsidP="002C5EDB">
      <w:pPr>
        <w:pStyle w:val="FootnoteText"/>
        <w:spacing w:before="0"/>
        <w:rPr>
          <w:sz w:val="20"/>
          <w:lang w:val="en-US"/>
        </w:rPr>
      </w:pPr>
      <w:r w:rsidRPr="001C584C">
        <w:rPr>
          <w:rStyle w:val="FootnoteReference"/>
          <w:sz w:val="20"/>
          <w:szCs w:val="20"/>
        </w:rPr>
        <w:footnoteRef/>
      </w:r>
      <w:r w:rsidRPr="001C584C">
        <w:rPr>
          <w:sz w:val="20"/>
          <w:szCs w:val="20"/>
        </w:rPr>
        <w:t xml:space="preserve"> </w:t>
      </w:r>
      <w:r w:rsidRPr="001C584C">
        <w:rPr>
          <w:sz w:val="20"/>
          <w:szCs w:val="20"/>
          <w:lang w:val="en-US"/>
        </w:rPr>
        <w:t>Environment Act s23</w:t>
      </w:r>
    </w:p>
  </w:footnote>
  <w:footnote w:id="118">
    <w:p w14:paraId="4A886AD9" w14:textId="77777777" w:rsidR="00AD59B0" w:rsidRPr="0050780E" w:rsidRDefault="00AD59B0" w:rsidP="006D2E84">
      <w:pPr>
        <w:pStyle w:val="FootnoteText"/>
        <w:rPr>
          <w:lang w:val="en-US"/>
        </w:rPr>
      </w:pPr>
      <w:r w:rsidRPr="005E7DFA">
        <w:rPr>
          <w:rStyle w:val="FootnoteReference"/>
          <w:sz w:val="20"/>
        </w:rPr>
        <w:footnoteRef/>
      </w:r>
      <w:r w:rsidRPr="005E7DFA">
        <w:rPr>
          <w:sz w:val="20"/>
        </w:rPr>
        <w:t xml:space="preserve"> </w:t>
      </w:r>
      <w:r w:rsidRPr="005E7DFA">
        <w:rPr>
          <w:sz w:val="20"/>
          <w:lang w:val="en-US"/>
        </w:rPr>
        <w:t>Environmental Regulations s32 (1)</w:t>
      </w:r>
    </w:p>
  </w:footnote>
  <w:footnote w:id="119">
    <w:p w14:paraId="73357A1F" w14:textId="3DD12956" w:rsidR="00AD59B0" w:rsidRPr="002C5EDB" w:rsidRDefault="00AD59B0">
      <w:pPr>
        <w:pStyle w:val="FootnoteText"/>
        <w:rPr>
          <w:lang w:val="en-US"/>
        </w:rPr>
      </w:pPr>
      <w:r w:rsidRPr="002C5EDB">
        <w:rPr>
          <w:rStyle w:val="FootnoteReference"/>
          <w:sz w:val="20"/>
        </w:rPr>
        <w:footnoteRef/>
      </w:r>
      <w:r w:rsidRPr="002C5EDB">
        <w:rPr>
          <w:sz w:val="20"/>
        </w:rPr>
        <w:t xml:space="preserve"> </w:t>
      </w:r>
      <w:r w:rsidRPr="002C5EDB">
        <w:rPr>
          <w:sz w:val="20"/>
          <w:lang w:val="en-US"/>
        </w:rPr>
        <w:t>Criteria addressed together due to potential repetition of analysis across criteria.</w:t>
      </w:r>
    </w:p>
  </w:footnote>
  <w:footnote w:id="120">
    <w:p w14:paraId="6E77DA99" w14:textId="77777777" w:rsidR="00AD59B0" w:rsidRPr="0027724F" w:rsidRDefault="00AD59B0" w:rsidP="002C5EDB">
      <w:pPr>
        <w:spacing w:before="0"/>
        <w:rPr>
          <w:sz w:val="20"/>
        </w:rPr>
      </w:pPr>
      <w:r w:rsidRPr="0027724F">
        <w:rPr>
          <w:rStyle w:val="FootnoteReference"/>
          <w:sz w:val="20"/>
        </w:rPr>
        <w:footnoteRef/>
      </w:r>
      <w:r w:rsidRPr="0027724F">
        <w:rPr>
          <w:sz w:val="20"/>
        </w:rPr>
        <w:t xml:space="preserve"> </w:t>
      </w:r>
      <w:r w:rsidRPr="0027724F">
        <w:rPr>
          <w:sz w:val="20"/>
        </w:rPr>
        <w:tab/>
        <w:t>Protected Areas Regulations regs 21(1) - (4).</w:t>
      </w:r>
    </w:p>
  </w:footnote>
  <w:footnote w:id="121">
    <w:p w14:paraId="070A22A3" w14:textId="77777777" w:rsidR="00AD59B0" w:rsidRDefault="00AD59B0" w:rsidP="002C5EDB">
      <w:pPr>
        <w:spacing w:before="0"/>
      </w:pPr>
      <w:r w:rsidRPr="0027724F">
        <w:rPr>
          <w:rStyle w:val="FootnoteReference"/>
          <w:sz w:val="20"/>
        </w:rPr>
        <w:footnoteRef/>
      </w:r>
      <w:r w:rsidRPr="0027724F">
        <w:rPr>
          <w:sz w:val="20"/>
        </w:rPr>
        <w:t xml:space="preserve"> </w:t>
      </w:r>
      <w:r w:rsidRPr="0027724F">
        <w:rPr>
          <w:sz w:val="20"/>
        </w:rPr>
        <w:tab/>
        <w:t>Protected Areas Regulations reg 21(5).</w:t>
      </w:r>
    </w:p>
  </w:footnote>
  <w:footnote w:id="122">
    <w:p w14:paraId="73446529" w14:textId="13424CE6" w:rsidR="00AD59B0" w:rsidRPr="00FD6697" w:rsidRDefault="00AD59B0">
      <w:pPr>
        <w:pStyle w:val="FootnoteText"/>
        <w:rPr>
          <w:lang w:val="en-US"/>
        </w:rPr>
      </w:pPr>
      <w:r w:rsidRPr="00FD6697">
        <w:rPr>
          <w:rStyle w:val="FootnoteReference"/>
          <w:sz w:val="20"/>
        </w:rPr>
        <w:footnoteRef/>
      </w:r>
      <w:r w:rsidRPr="00FD6697">
        <w:rPr>
          <w:sz w:val="20"/>
        </w:rPr>
        <w:t xml:space="preserve"> </w:t>
      </w:r>
      <w:r w:rsidRPr="00FD6697">
        <w:rPr>
          <w:sz w:val="20"/>
          <w:lang w:val="en-US"/>
        </w:rPr>
        <w:t>Principles and criteria addressed together due to potential for high levels of repetition across analysis</w:t>
      </w:r>
    </w:p>
  </w:footnote>
  <w:footnote w:id="123">
    <w:p w14:paraId="2ADF6EDB" w14:textId="77777777" w:rsidR="00AD59B0" w:rsidRPr="007053D6" w:rsidRDefault="00AD59B0" w:rsidP="006D2E84">
      <w:pPr>
        <w:pStyle w:val="FootnoteText"/>
        <w:rPr>
          <w:sz w:val="20"/>
          <w:lang w:val="en-US"/>
        </w:rPr>
      </w:pPr>
      <w:r w:rsidRPr="007053D6">
        <w:rPr>
          <w:rStyle w:val="FootnoteReference"/>
          <w:sz w:val="20"/>
        </w:rPr>
        <w:footnoteRef/>
      </w:r>
      <w:r w:rsidRPr="007053D6">
        <w:rPr>
          <w:sz w:val="20"/>
        </w:rPr>
        <w:t xml:space="preserve"> </w:t>
      </w:r>
      <w:r w:rsidRPr="007053D6">
        <w:rPr>
          <w:sz w:val="20"/>
          <w:lang w:val="en-US"/>
        </w:rPr>
        <w:t xml:space="preserve">A list of prescribed developments is provided in </w:t>
      </w:r>
      <w:r>
        <w:rPr>
          <w:sz w:val="20"/>
          <w:lang w:val="en-US"/>
        </w:rPr>
        <w:t xml:space="preserve">the Second Schedule of the Environment Act within this </w:t>
      </w:r>
      <w:r w:rsidRPr="007053D6">
        <w:rPr>
          <w:sz w:val="20"/>
        </w:rPr>
        <w:t>curiously logging operations fall under the heading ‘Fishing and Marine Product Industry’.</w:t>
      </w:r>
    </w:p>
  </w:footnote>
  <w:footnote w:id="124">
    <w:p w14:paraId="58AC7E68" w14:textId="77777777" w:rsidR="00AD59B0" w:rsidRPr="00E62AFF" w:rsidRDefault="00AD59B0" w:rsidP="006D2E84">
      <w:pPr>
        <w:pStyle w:val="FootnoteText"/>
        <w:rPr>
          <w:lang w:val="en-US"/>
        </w:rPr>
      </w:pPr>
      <w:r w:rsidRPr="007053D6">
        <w:rPr>
          <w:rStyle w:val="FootnoteReference"/>
          <w:sz w:val="20"/>
        </w:rPr>
        <w:footnoteRef/>
      </w:r>
      <w:r w:rsidRPr="007053D6">
        <w:rPr>
          <w:sz w:val="20"/>
        </w:rPr>
        <w:t xml:space="preserve"> </w:t>
      </w:r>
      <w:r w:rsidRPr="007053D6">
        <w:rPr>
          <w:sz w:val="20"/>
          <w:lang w:val="en-US"/>
        </w:rPr>
        <w:t>No guidance is provided as to the basis for exempting a body from the development consent process (</w:t>
      </w:r>
      <w:r w:rsidRPr="007053D6">
        <w:rPr>
          <w:sz w:val="20"/>
        </w:rPr>
        <w:t>Environment Act s 19.</w:t>
      </w:r>
      <w:r w:rsidRPr="007053D6">
        <w:rPr>
          <w:sz w:val="20"/>
          <w:lang w:val="en-US"/>
        </w:rPr>
        <w:t>) while some guidance is provided on grounds for exemption of submission on an EIS or PER</w:t>
      </w:r>
      <w:r>
        <w:rPr>
          <w:sz w:val="20"/>
          <w:lang w:val="en-US"/>
        </w:rPr>
        <w:t xml:space="preserve"> (</w:t>
      </w:r>
      <w:r w:rsidRPr="002003FE">
        <w:rPr>
          <w:sz w:val="20"/>
          <w:lang w:val="en-US"/>
        </w:rPr>
        <w:t>Environment Act s 17(5), Environment Regulations reg 9(1)</w:t>
      </w:r>
      <w:r>
        <w:rPr>
          <w:sz w:val="20"/>
          <w:lang w:val="en-US"/>
        </w:rPr>
        <w:t>)</w:t>
      </w:r>
      <w:r w:rsidRPr="007053D6">
        <w:rPr>
          <w:sz w:val="20"/>
          <w:lang w:val="en-US"/>
        </w:rPr>
        <w:t xml:space="preserve"> No guidance is provided on which of these should be selected for any project however. </w:t>
      </w:r>
    </w:p>
  </w:footnote>
  <w:footnote w:id="125">
    <w:p w14:paraId="6C7A341F" w14:textId="77777777" w:rsidR="00AD59B0" w:rsidRPr="009F1729" w:rsidRDefault="00AD59B0" w:rsidP="006D2E84">
      <w:pPr>
        <w:rPr>
          <w:sz w:val="20"/>
        </w:rPr>
      </w:pPr>
      <w:r w:rsidRPr="009F1729">
        <w:rPr>
          <w:rStyle w:val="FootnoteReference"/>
          <w:sz w:val="20"/>
        </w:rPr>
        <w:footnoteRef/>
      </w:r>
      <w:r w:rsidRPr="009F1729">
        <w:rPr>
          <w:sz w:val="20"/>
        </w:rPr>
        <w:t xml:space="preserve"> Environment Regulations regs 14(1) - (2).</w:t>
      </w:r>
    </w:p>
  </w:footnote>
  <w:footnote w:id="126">
    <w:p w14:paraId="272E6906" w14:textId="77777777" w:rsidR="00AD59B0" w:rsidRPr="0060367F" w:rsidRDefault="00AD59B0" w:rsidP="006D2E84">
      <w:pPr>
        <w:rPr>
          <w:sz w:val="20"/>
        </w:rPr>
      </w:pPr>
      <w:r w:rsidRPr="0060367F">
        <w:rPr>
          <w:rStyle w:val="FootnoteReference"/>
          <w:sz w:val="20"/>
        </w:rPr>
        <w:footnoteRef/>
      </w:r>
      <w:r w:rsidRPr="0060367F">
        <w:rPr>
          <w:sz w:val="20"/>
        </w:rPr>
        <w:t xml:space="preserve"> Environment Act s 43(8)</w:t>
      </w:r>
      <w:r>
        <w:rPr>
          <w:sz w:val="20"/>
        </w:rPr>
        <w:t xml:space="preserve"> and s 45(6)</w:t>
      </w:r>
      <w:r w:rsidRPr="0060367F">
        <w:rPr>
          <w:sz w:val="20"/>
        </w:rPr>
        <w:t>.</w:t>
      </w:r>
    </w:p>
  </w:footnote>
  <w:footnote w:id="127">
    <w:p w14:paraId="3A7FC40D" w14:textId="77777777" w:rsidR="00AD59B0" w:rsidRPr="00A170A5" w:rsidRDefault="00AD59B0" w:rsidP="000F17EF">
      <w:pPr>
        <w:spacing w:before="0"/>
        <w:rPr>
          <w:sz w:val="20"/>
        </w:rPr>
      </w:pPr>
      <w:r w:rsidRPr="00A170A5">
        <w:rPr>
          <w:rStyle w:val="FootnoteReference"/>
          <w:sz w:val="20"/>
        </w:rPr>
        <w:footnoteRef/>
      </w:r>
      <w:r w:rsidRPr="00A170A5">
        <w:rPr>
          <w:sz w:val="20"/>
        </w:rPr>
        <w:t xml:space="preserve"> Protected Areas Act s 10(2).</w:t>
      </w:r>
    </w:p>
  </w:footnote>
  <w:footnote w:id="128">
    <w:p w14:paraId="5290FB64" w14:textId="77777777" w:rsidR="00AD59B0" w:rsidRDefault="00AD59B0" w:rsidP="000F17EF">
      <w:pPr>
        <w:spacing w:before="0"/>
      </w:pPr>
      <w:r w:rsidRPr="00A170A5">
        <w:rPr>
          <w:rStyle w:val="FootnoteReference"/>
          <w:sz w:val="20"/>
        </w:rPr>
        <w:footnoteRef/>
      </w:r>
      <w:r w:rsidRPr="00A170A5">
        <w:rPr>
          <w:sz w:val="20"/>
        </w:rPr>
        <w:t xml:space="preserve"> Protected Areas Act s 10(7).</w:t>
      </w:r>
    </w:p>
  </w:footnote>
  <w:footnote w:id="129">
    <w:p w14:paraId="1F090EE9" w14:textId="77777777" w:rsidR="00AD59B0" w:rsidRPr="00C07EDE" w:rsidRDefault="00AD59B0" w:rsidP="000F17EF">
      <w:pPr>
        <w:pStyle w:val="FootnoteText"/>
        <w:spacing w:before="0"/>
        <w:rPr>
          <w:lang w:val="en-US"/>
        </w:rPr>
      </w:pPr>
      <w:r w:rsidRPr="00C07EDE">
        <w:rPr>
          <w:rStyle w:val="FootnoteReference"/>
          <w:sz w:val="20"/>
        </w:rPr>
        <w:footnoteRef/>
      </w:r>
      <w:r w:rsidRPr="00C07EDE">
        <w:rPr>
          <w:sz w:val="20"/>
        </w:rPr>
        <w:t xml:space="preserve"> </w:t>
      </w:r>
      <w:r w:rsidRPr="00C07EDE">
        <w:rPr>
          <w:sz w:val="20"/>
          <w:lang w:val="en-US"/>
        </w:rPr>
        <w:t xml:space="preserve">Definition of Forest areas will need to be revised to a set definition not requiring specific notice to be issued within the Gazette </w:t>
      </w:r>
    </w:p>
  </w:footnote>
  <w:footnote w:id="130">
    <w:p w14:paraId="0A245E42" w14:textId="77777777" w:rsidR="00AD59B0" w:rsidRPr="0076737E" w:rsidRDefault="00AD59B0" w:rsidP="006B087B">
      <w:pPr>
        <w:pStyle w:val="FootnoteText"/>
        <w:rPr>
          <w:lang w:val="en-US"/>
        </w:rPr>
      </w:pPr>
      <w:r w:rsidRPr="00624BBC">
        <w:rPr>
          <w:rStyle w:val="FootnoteReference"/>
          <w:sz w:val="18"/>
        </w:rPr>
        <w:footnoteRef/>
      </w:r>
      <w:r w:rsidRPr="00624BBC">
        <w:rPr>
          <w:sz w:val="18"/>
        </w:rPr>
        <w:t xml:space="preserve"> Environment Regulations regs 14(1) - (2).</w:t>
      </w:r>
    </w:p>
  </w:footnote>
  <w:footnote w:id="131">
    <w:p w14:paraId="3040CCAA" w14:textId="77777777" w:rsidR="00AD59B0" w:rsidRPr="006B087B" w:rsidRDefault="00AD59B0" w:rsidP="006B087B">
      <w:pPr>
        <w:pStyle w:val="Footnotesteph"/>
        <w:rPr>
          <w:rFonts w:ascii="Calibri" w:hAnsi="Calibri"/>
          <w:sz w:val="20"/>
          <w:szCs w:val="20"/>
        </w:rPr>
      </w:pPr>
      <w:r w:rsidRPr="006B087B">
        <w:rPr>
          <w:rStyle w:val="FootnoteReference"/>
          <w:rFonts w:ascii="Calibri" w:hAnsi="Calibri"/>
          <w:sz w:val="20"/>
          <w:szCs w:val="20"/>
        </w:rPr>
        <w:footnoteRef/>
      </w:r>
      <w:r w:rsidRPr="006B087B">
        <w:rPr>
          <w:rFonts w:ascii="Calibri" w:hAnsi="Calibri"/>
          <w:sz w:val="20"/>
          <w:szCs w:val="20"/>
        </w:rPr>
        <w:t xml:space="preserve"> Environment Act s 19(1)(c).</w:t>
      </w:r>
    </w:p>
  </w:footnote>
  <w:footnote w:id="132">
    <w:p w14:paraId="40F8628F" w14:textId="77777777" w:rsidR="00AD59B0" w:rsidRPr="006B087B" w:rsidRDefault="00AD59B0" w:rsidP="006B087B">
      <w:pPr>
        <w:pStyle w:val="FootnoteText"/>
        <w:spacing w:before="0"/>
        <w:rPr>
          <w:sz w:val="20"/>
          <w:szCs w:val="20"/>
          <w:lang w:val="en-US"/>
        </w:rPr>
      </w:pPr>
      <w:r w:rsidRPr="006B087B">
        <w:rPr>
          <w:rStyle w:val="FootnoteReference"/>
          <w:sz w:val="20"/>
          <w:szCs w:val="20"/>
        </w:rPr>
        <w:footnoteRef/>
      </w:r>
      <w:r w:rsidRPr="006B087B">
        <w:rPr>
          <w:sz w:val="20"/>
          <w:szCs w:val="20"/>
        </w:rPr>
        <w:t xml:space="preserve"> </w:t>
      </w:r>
      <w:r w:rsidRPr="006B087B">
        <w:rPr>
          <w:sz w:val="20"/>
          <w:szCs w:val="20"/>
          <w:lang w:val="en-US"/>
        </w:rPr>
        <w:t>Environment Act Schedule 2</w:t>
      </w:r>
    </w:p>
  </w:footnote>
  <w:footnote w:id="133">
    <w:p w14:paraId="13E9E8C2" w14:textId="77777777" w:rsidR="00AD59B0" w:rsidRPr="006B087B" w:rsidRDefault="00AD59B0" w:rsidP="006B087B">
      <w:pPr>
        <w:pStyle w:val="FootnoteText"/>
        <w:spacing w:before="0"/>
        <w:rPr>
          <w:sz w:val="20"/>
          <w:szCs w:val="20"/>
          <w:lang w:val="en-US"/>
        </w:rPr>
      </w:pPr>
      <w:r w:rsidRPr="006B087B">
        <w:rPr>
          <w:rStyle w:val="FootnoteReference"/>
          <w:sz w:val="20"/>
          <w:szCs w:val="20"/>
        </w:rPr>
        <w:footnoteRef/>
      </w:r>
      <w:r w:rsidRPr="006B087B">
        <w:rPr>
          <w:sz w:val="20"/>
          <w:szCs w:val="20"/>
        </w:rPr>
        <w:t xml:space="preserve"> </w:t>
      </w:r>
      <w:r w:rsidRPr="006B087B">
        <w:rPr>
          <w:sz w:val="20"/>
          <w:szCs w:val="20"/>
          <w:lang w:val="en-US"/>
        </w:rPr>
        <w:t xml:space="preserve">Consideration could be given to providing a threshold over which this these activities require a EIS as opposed to a PER to allow small scale timber milling operations to occur without having to undertake expensive EIS processes. </w:t>
      </w:r>
    </w:p>
  </w:footnote>
  <w:footnote w:id="134">
    <w:p w14:paraId="0F932808" w14:textId="77777777" w:rsidR="00AD59B0" w:rsidRPr="006B087B" w:rsidRDefault="00AD59B0" w:rsidP="006B087B">
      <w:pPr>
        <w:pStyle w:val="FootnoteText"/>
        <w:spacing w:before="0"/>
        <w:rPr>
          <w:sz w:val="20"/>
          <w:szCs w:val="20"/>
          <w:lang w:val="en-US"/>
        </w:rPr>
      </w:pPr>
      <w:r w:rsidRPr="006B087B">
        <w:rPr>
          <w:rStyle w:val="FootnoteReference"/>
          <w:sz w:val="20"/>
          <w:szCs w:val="20"/>
        </w:rPr>
        <w:footnoteRef/>
      </w:r>
      <w:r w:rsidRPr="006B087B">
        <w:rPr>
          <w:sz w:val="20"/>
          <w:szCs w:val="20"/>
        </w:rPr>
        <w:t xml:space="preserve"> </w:t>
      </w:r>
      <w:r w:rsidRPr="006B087B">
        <w:rPr>
          <w:sz w:val="20"/>
          <w:szCs w:val="20"/>
          <w:lang w:val="en-US"/>
        </w:rPr>
        <w:t xml:space="preserve">Environment Act Regulations s9 (1) c </w:t>
      </w:r>
    </w:p>
  </w:footnote>
  <w:footnote w:id="135">
    <w:p w14:paraId="1B736E4F" w14:textId="77777777" w:rsidR="00AD59B0" w:rsidRPr="006B087B" w:rsidRDefault="00AD59B0" w:rsidP="006B087B">
      <w:pPr>
        <w:pStyle w:val="FootnoteText"/>
        <w:spacing w:before="0"/>
        <w:rPr>
          <w:sz w:val="20"/>
          <w:szCs w:val="20"/>
          <w:lang w:val="en-US"/>
        </w:rPr>
      </w:pPr>
      <w:r w:rsidRPr="006B087B">
        <w:rPr>
          <w:rStyle w:val="FootnoteReference"/>
          <w:sz w:val="20"/>
          <w:szCs w:val="20"/>
        </w:rPr>
        <w:footnoteRef/>
      </w:r>
      <w:r w:rsidRPr="006B087B">
        <w:rPr>
          <w:sz w:val="20"/>
          <w:szCs w:val="20"/>
        </w:rPr>
        <w:t xml:space="preserve"> </w:t>
      </w:r>
      <w:r w:rsidRPr="006B087B">
        <w:rPr>
          <w:sz w:val="20"/>
          <w:szCs w:val="20"/>
          <w:lang w:val="en-US"/>
        </w:rPr>
        <w:t>Environment Act Regulations reg s9 (2).</w:t>
      </w:r>
    </w:p>
  </w:footnote>
  <w:footnote w:id="136">
    <w:p w14:paraId="365B9767" w14:textId="77777777" w:rsidR="00AD59B0" w:rsidRPr="0048351D" w:rsidRDefault="00AD59B0" w:rsidP="006B087B">
      <w:pPr>
        <w:pStyle w:val="FootnoteText"/>
        <w:spacing w:before="0"/>
        <w:rPr>
          <w:sz w:val="18"/>
          <w:lang w:val="en-US"/>
        </w:rPr>
      </w:pPr>
      <w:r w:rsidRPr="006B087B">
        <w:rPr>
          <w:rStyle w:val="FootnoteReference"/>
          <w:sz w:val="20"/>
          <w:szCs w:val="20"/>
        </w:rPr>
        <w:footnoteRef/>
      </w:r>
      <w:r w:rsidRPr="006B087B">
        <w:rPr>
          <w:sz w:val="20"/>
          <w:szCs w:val="20"/>
        </w:rPr>
        <w:t xml:space="preserve"> </w:t>
      </w:r>
      <w:r w:rsidRPr="006B087B">
        <w:rPr>
          <w:sz w:val="20"/>
          <w:szCs w:val="20"/>
          <w:lang w:val="en-US"/>
        </w:rPr>
        <w:t>Environment Act s18</w:t>
      </w:r>
    </w:p>
  </w:footnote>
  <w:footnote w:id="137">
    <w:p w14:paraId="72CC27ED" w14:textId="77777777" w:rsidR="00AD59B0" w:rsidRPr="006B087B" w:rsidRDefault="00AD59B0" w:rsidP="006B087B">
      <w:pPr>
        <w:pStyle w:val="FootnoteText"/>
        <w:spacing w:before="0"/>
        <w:rPr>
          <w:sz w:val="28"/>
          <w:lang w:val="en-US"/>
        </w:rPr>
      </w:pPr>
      <w:r w:rsidRPr="006B087B">
        <w:rPr>
          <w:rStyle w:val="FootnoteReference"/>
          <w:sz w:val="20"/>
        </w:rPr>
        <w:footnoteRef/>
      </w:r>
      <w:r w:rsidRPr="006B087B">
        <w:rPr>
          <w:sz w:val="20"/>
        </w:rPr>
        <w:t xml:space="preserve"> </w:t>
      </w:r>
      <w:r w:rsidRPr="006B087B">
        <w:rPr>
          <w:sz w:val="20"/>
          <w:lang w:val="en-US"/>
        </w:rPr>
        <w:t>Environment Act Regulations reg s7 (1).</w:t>
      </w:r>
    </w:p>
  </w:footnote>
  <w:footnote w:id="138">
    <w:p w14:paraId="1D24A350" w14:textId="77777777" w:rsidR="00AD59B0" w:rsidRPr="006B087B" w:rsidRDefault="00AD59B0" w:rsidP="006B087B">
      <w:pPr>
        <w:spacing w:before="0"/>
        <w:rPr>
          <w:sz w:val="20"/>
        </w:rPr>
      </w:pPr>
      <w:r w:rsidRPr="006B087B">
        <w:rPr>
          <w:rStyle w:val="FootnoteReference"/>
          <w:sz w:val="20"/>
        </w:rPr>
        <w:footnoteRef/>
      </w:r>
      <w:r w:rsidRPr="006B087B">
        <w:rPr>
          <w:sz w:val="20"/>
        </w:rPr>
        <w:t xml:space="preserve"> Environment Regulations reg 7(2).</w:t>
      </w:r>
    </w:p>
  </w:footnote>
  <w:footnote w:id="139">
    <w:p w14:paraId="219A036A" w14:textId="77777777" w:rsidR="00AD59B0" w:rsidRPr="006B087B" w:rsidRDefault="00AD59B0" w:rsidP="006B087B">
      <w:pPr>
        <w:spacing w:before="0"/>
        <w:rPr>
          <w:sz w:val="24"/>
        </w:rPr>
      </w:pPr>
      <w:r w:rsidRPr="006B087B">
        <w:rPr>
          <w:rStyle w:val="FootnoteReference"/>
          <w:sz w:val="20"/>
        </w:rPr>
        <w:footnoteRef/>
      </w:r>
      <w:r w:rsidRPr="006B087B">
        <w:rPr>
          <w:sz w:val="20"/>
        </w:rPr>
        <w:t xml:space="preserve"> Environment Act s 17(3).</w:t>
      </w:r>
    </w:p>
  </w:footnote>
  <w:footnote w:id="140">
    <w:p w14:paraId="2C81BAB2" w14:textId="77777777" w:rsidR="00AD59B0" w:rsidRPr="00D8666D" w:rsidRDefault="00AD59B0" w:rsidP="006B087B">
      <w:pPr>
        <w:pStyle w:val="FootnoteText"/>
        <w:spacing w:before="0"/>
        <w:rPr>
          <w:sz w:val="18"/>
          <w:lang w:val="en-US"/>
        </w:rPr>
      </w:pPr>
      <w:r w:rsidRPr="006B087B">
        <w:rPr>
          <w:rStyle w:val="FootnoteReference"/>
          <w:sz w:val="20"/>
        </w:rPr>
        <w:footnoteRef/>
      </w:r>
      <w:r w:rsidRPr="006B087B">
        <w:rPr>
          <w:sz w:val="20"/>
        </w:rPr>
        <w:t xml:space="preserve"> </w:t>
      </w:r>
      <w:r w:rsidRPr="006B087B">
        <w:rPr>
          <w:sz w:val="20"/>
          <w:lang w:val="en-US"/>
        </w:rPr>
        <w:t xml:space="preserve">Further assessment of the detail of information required should be added to ensure that this is in line with international best practice and provides appropriate selectivity to make applications from small businesses possible. </w:t>
      </w:r>
    </w:p>
  </w:footnote>
  <w:footnote w:id="141">
    <w:p w14:paraId="07E4198E" w14:textId="77777777" w:rsidR="00AD59B0" w:rsidRPr="002C2FFE" w:rsidRDefault="00AD59B0" w:rsidP="006B087B">
      <w:pPr>
        <w:pStyle w:val="FootnoteText"/>
        <w:rPr>
          <w:lang w:val="en-US"/>
        </w:rPr>
      </w:pPr>
      <w:r w:rsidRPr="002C2FFE">
        <w:rPr>
          <w:rStyle w:val="FootnoteReference"/>
          <w:sz w:val="18"/>
        </w:rPr>
        <w:footnoteRef/>
      </w:r>
      <w:r w:rsidRPr="002C2FFE">
        <w:rPr>
          <w:sz w:val="18"/>
        </w:rPr>
        <w:t xml:space="preserve"> </w:t>
      </w:r>
      <w:r w:rsidRPr="0048351D">
        <w:rPr>
          <w:sz w:val="18"/>
          <w:lang w:val="en-US"/>
        </w:rPr>
        <w:t>En</w:t>
      </w:r>
      <w:r>
        <w:rPr>
          <w:sz w:val="18"/>
          <w:lang w:val="en-US"/>
        </w:rPr>
        <w:t>vironment Act Regulations reg s15 for list of conditions s17 for requirement for developer to bear the costs</w:t>
      </w:r>
      <w:r w:rsidRPr="0048351D">
        <w:rPr>
          <w:sz w:val="18"/>
          <w:lang w:val="en-US"/>
        </w:rPr>
        <w:t>.</w:t>
      </w:r>
    </w:p>
  </w:footnote>
  <w:footnote w:id="142">
    <w:p w14:paraId="54B51CB9" w14:textId="77777777" w:rsidR="00AD59B0" w:rsidRPr="00D8666D" w:rsidRDefault="00AD59B0" w:rsidP="006B087B">
      <w:pPr>
        <w:pStyle w:val="FootnoteText"/>
        <w:rPr>
          <w:sz w:val="18"/>
          <w:lang w:val="en-US"/>
        </w:rPr>
      </w:pPr>
      <w:r w:rsidRPr="00D8666D">
        <w:rPr>
          <w:rStyle w:val="FootnoteReference"/>
          <w:sz w:val="18"/>
        </w:rPr>
        <w:footnoteRef/>
      </w:r>
      <w:r w:rsidRPr="00D8666D">
        <w:rPr>
          <w:sz w:val="18"/>
        </w:rPr>
        <w:t xml:space="preserve"> </w:t>
      </w:r>
      <w:r w:rsidRPr="00D8666D">
        <w:rPr>
          <w:sz w:val="18"/>
          <w:lang w:val="en-US"/>
        </w:rPr>
        <w:t>Numbers in brackets refer to criteria under the UN-REDD SEPC</w:t>
      </w:r>
    </w:p>
  </w:footnote>
  <w:footnote w:id="143">
    <w:p w14:paraId="431BD1A1" w14:textId="77777777" w:rsidR="00AD59B0" w:rsidRPr="00D8666D" w:rsidRDefault="00AD59B0" w:rsidP="006B087B">
      <w:pPr>
        <w:pStyle w:val="FootnoteText"/>
        <w:rPr>
          <w:lang w:val="en-US"/>
        </w:rPr>
      </w:pPr>
      <w:r w:rsidRPr="00D8666D">
        <w:rPr>
          <w:rStyle w:val="FootnoteReference"/>
          <w:sz w:val="18"/>
        </w:rPr>
        <w:footnoteRef/>
      </w:r>
      <w:r w:rsidRPr="00D8666D">
        <w:rPr>
          <w:sz w:val="18"/>
        </w:rPr>
        <w:t xml:space="preserve"> </w:t>
      </w:r>
      <w:r w:rsidRPr="00D8666D">
        <w:rPr>
          <w:sz w:val="18"/>
          <w:lang w:val="en-US"/>
        </w:rPr>
        <w:t>Impacts can be identified as both positive benefits and detrimental impacts</w:t>
      </w:r>
    </w:p>
  </w:footnote>
  <w:footnote w:id="144">
    <w:p w14:paraId="1D45E0F6" w14:textId="77777777" w:rsidR="00AD59B0" w:rsidRPr="00AD497F" w:rsidRDefault="00AD59B0" w:rsidP="006B087B">
      <w:pPr>
        <w:pStyle w:val="FootnoteText"/>
        <w:rPr>
          <w:lang w:val="en-US"/>
        </w:rPr>
      </w:pPr>
      <w:r>
        <w:rPr>
          <w:rStyle w:val="FootnoteReference"/>
        </w:rPr>
        <w:footnoteRef/>
      </w:r>
      <w:r>
        <w:t xml:space="preserve"> </w:t>
      </w:r>
      <w:r>
        <w:rPr>
          <w:lang w:val="en-US"/>
        </w:rPr>
        <w:t>Environment Act s 28 and 27</w:t>
      </w:r>
    </w:p>
  </w:footnote>
  <w:footnote w:id="145">
    <w:p w14:paraId="1BF0C6B1" w14:textId="77777777" w:rsidR="00AD59B0" w:rsidRPr="006E2416" w:rsidRDefault="00AD59B0" w:rsidP="006B087B">
      <w:pPr>
        <w:pStyle w:val="FootnoteText"/>
        <w:rPr>
          <w:sz w:val="20"/>
          <w:lang w:val="en-US"/>
        </w:rPr>
      </w:pPr>
      <w:r w:rsidRPr="006E2416">
        <w:rPr>
          <w:rStyle w:val="FootnoteReference"/>
          <w:sz w:val="20"/>
        </w:rPr>
        <w:footnoteRef/>
      </w:r>
      <w:r w:rsidRPr="006E2416">
        <w:rPr>
          <w:sz w:val="20"/>
        </w:rPr>
        <w:t xml:space="preserve"> </w:t>
      </w:r>
      <w:r w:rsidRPr="006E2416">
        <w:rPr>
          <w:sz w:val="20"/>
          <w:lang w:val="en-US"/>
        </w:rPr>
        <w:t>Environment Act (1998) S6</w:t>
      </w:r>
    </w:p>
  </w:footnote>
  <w:footnote w:id="146">
    <w:p w14:paraId="7F033BB4" w14:textId="77777777" w:rsidR="00AD59B0" w:rsidRPr="006E2416" w:rsidRDefault="00AD59B0" w:rsidP="006B087B">
      <w:pPr>
        <w:pStyle w:val="FootnoteText"/>
        <w:spacing w:before="0"/>
        <w:rPr>
          <w:sz w:val="20"/>
          <w:lang w:val="en-US"/>
        </w:rPr>
      </w:pPr>
      <w:r w:rsidRPr="006E2416">
        <w:rPr>
          <w:rStyle w:val="FootnoteReference"/>
          <w:sz w:val="20"/>
        </w:rPr>
        <w:footnoteRef/>
      </w:r>
      <w:r w:rsidRPr="006E2416">
        <w:rPr>
          <w:sz w:val="20"/>
        </w:rPr>
        <w:t xml:space="preserve"> </w:t>
      </w:r>
      <w:r w:rsidRPr="006E2416">
        <w:rPr>
          <w:sz w:val="20"/>
          <w:lang w:val="en-US"/>
        </w:rPr>
        <w:t>Environment Act (1998) S8</w:t>
      </w:r>
    </w:p>
  </w:footnote>
  <w:footnote w:id="147">
    <w:p w14:paraId="3A166C91" w14:textId="77777777" w:rsidR="00AD59B0" w:rsidRPr="006E2416" w:rsidRDefault="00AD59B0" w:rsidP="006B087B">
      <w:pPr>
        <w:pStyle w:val="FootnoteText"/>
        <w:spacing w:before="0"/>
        <w:rPr>
          <w:sz w:val="20"/>
          <w:lang w:val="en-US"/>
        </w:rPr>
      </w:pPr>
      <w:r w:rsidRPr="006E2416">
        <w:rPr>
          <w:rStyle w:val="FootnoteReference"/>
          <w:sz w:val="20"/>
        </w:rPr>
        <w:footnoteRef/>
      </w:r>
      <w:r w:rsidRPr="006E2416">
        <w:rPr>
          <w:sz w:val="20"/>
        </w:rPr>
        <w:t xml:space="preserve"> Protected Areas Act (2010) S11</w:t>
      </w:r>
    </w:p>
  </w:footnote>
  <w:footnote w:id="148">
    <w:p w14:paraId="094FBA0A" w14:textId="77777777" w:rsidR="00AD59B0" w:rsidRPr="006E2416" w:rsidRDefault="00AD59B0" w:rsidP="006B087B">
      <w:pPr>
        <w:pStyle w:val="FootnoteText"/>
        <w:spacing w:before="0"/>
        <w:rPr>
          <w:lang w:val="en-US"/>
        </w:rPr>
      </w:pPr>
      <w:r w:rsidRPr="006E2416">
        <w:rPr>
          <w:rStyle w:val="FootnoteReference"/>
          <w:sz w:val="20"/>
        </w:rPr>
        <w:footnoteRef/>
      </w:r>
      <w:r w:rsidRPr="006E2416">
        <w:rPr>
          <w:sz w:val="20"/>
        </w:rPr>
        <w:t xml:space="preserve"> </w:t>
      </w:r>
      <w:r w:rsidRPr="006E2416">
        <w:rPr>
          <w:sz w:val="20"/>
          <w:lang w:val="en-US"/>
        </w:rPr>
        <w:t>Environment Act (1998) S28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9472" w14:textId="77777777" w:rsidR="00AD59B0" w:rsidRDefault="00AD59B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083AA" w14:textId="77777777" w:rsidR="00AD59B0" w:rsidRDefault="00AD59B0">
    <w:pPr>
      <w:pStyle w:val="Header"/>
    </w:pPr>
    <w:r>
      <w:rPr>
        <w:noProof/>
        <w:lang w:val="en-US"/>
      </w:rPr>
      <mc:AlternateContent>
        <mc:Choice Requires="wps">
          <w:drawing>
            <wp:anchor distT="4294967295" distB="4294967295" distL="114300" distR="114300" simplePos="0" relativeHeight="251657216" behindDoc="0" locked="0" layoutInCell="1" allowOverlap="1" wp14:anchorId="03BF04E5" wp14:editId="522B755F">
              <wp:simplePos x="0" y="0"/>
              <wp:positionH relativeFrom="column">
                <wp:posOffset>0</wp:posOffset>
              </wp:positionH>
              <wp:positionV relativeFrom="paragraph">
                <wp:posOffset>236219</wp:posOffset>
              </wp:positionV>
              <wp:extent cx="6286500" cy="0"/>
              <wp:effectExtent l="0" t="0" r="12700" b="2540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8.6pt" to="495pt,1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" strokecolor="windowText" strokeweight="1pt">
              <o:lock v:ext="edit" shapetype="f"/>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75BE1" w14:textId="77777777" w:rsidR="00AD59B0" w:rsidRDefault="00AD59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AD4193"/>
    <w:multiLevelType w:val="hybridMultilevel"/>
    <w:tmpl w:val="C56665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15044B"/>
    <w:multiLevelType w:val="hybridMultilevel"/>
    <w:tmpl w:val="A3F214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3359D4"/>
    <w:multiLevelType w:val="hybridMultilevel"/>
    <w:tmpl w:val="992008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6E499D"/>
    <w:multiLevelType w:val="hybridMultilevel"/>
    <w:tmpl w:val="8616A07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D52119"/>
    <w:multiLevelType w:val="hybridMultilevel"/>
    <w:tmpl w:val="1C5EAB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80018C2"/>
    <w:multiLevelType w:val="hybridMultilevel"/>
    <w:tmpl w:val="EFE267F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8E6571"/>
    <w:multiLevelType w:val="hybridMultilevel"/>
    <w:tmpl w:val="F1B077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A0877FD"/>
    <w:multiLevelType w:val="hybridMultilevel"/>
    <w:tmpl w:val="CB806AC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A1E5368"/>
    <w:multiLevelType w:val="hybridMultilevel"/>
    <w:tmpl w:val="FCACEAA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A7C69B4"/>
    <w:multiLevelType w:val="hybridMultilevel"/>
    <w:tmpl w:val="B39631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16606B"/>
    <w:multiLevelType w:val="hybridMultilevel"/>
    <w:tmpl w:val="49F835D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0745358"/>
    <w:multiLevelType w:val="hybridMultilevel"/>
    <w:tmpl w:val="271EFF8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67C42E7"/>
    <w:multiLevelType w:val="hybridMultilevel"/>
    <w:tmpl w:val="A92C72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EA39CE"/>
    <w:multiLevelType w:val="hybridMultilevel"/>
    <w:tmpl w:val="A81226A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7E2784C"/>
    <w:multiLevelType w:val="hybridMultilevel"/>
    <w:tmpl w:val="E09C80C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8971921"/>
    <w:multiLevelType w:val="hybridMultilevel"/>
    <w:tmpl w:val="7F8E0B5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AE27F04"/>
    <w:multiLevelType w:val="hybridMultilevel"/>
    <w:tmpl w:val="28F2101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1BA655CF"/>
    <w:multiLevelType w:val="hybridMultilevel"/>
    <w:tmpl w:val="7638D7AE"/>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C3544B4"/>
    <w:multiLevelType w:val="hybridMultilevel"/>
    <w:tmpl w:val="E4C04FBC"/>
    <w:lvl w:ilvl="0" w:tplc="04090003">
      <w:start w:val="1"/>
      <w:numFmt w:val="bullet"/>
      <w:lvlText w:val="o"/>
      <w:lvlJc w:val="left"/>
      <w:pPr>
        <w:ind w:left="720" w:hanging="3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D3415AD"/>
    <w:multiLevelType w:val="hybridMultilevel"/>
    <w:tmpl w:val="74E2702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F2D4A41"/>
    <w:multiLevelType w:val="hybridMultilevel"/>
    <w:tmpl w:val="B810F078"/>
    <w:lvl w:ilvl="0" w:tplc="04090017">
      <w:start w:val="1"/>
      <w:numFmt w:val="lowerLetter"/>
      <w:lvlText w:val="%1)"/>
      <w:lvlJc w:val="left"/>
      <w:pPr>
        <w:ind w:left="720" w:hanging="360"/>
      </w:pPr>
      <w:rPr>
        <w:rFonts w:hint="default"/>
      </w:rPr>
    </w:lvl>
    <w:lvl w:ilvl="1" w:tplc="BFA229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034C93"/>
    <w:multiLevelType w:val="hybridMultilevel"/>
    <w:tmpl w:val="992008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4074B22"/>
    <w:multiLevelType w:val="hybridMultilevel"/>
    <w:tmpl w:val="29B802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09758D"/>
    <w:multiLevelType w:val="hybridMultilevel"/>
    <w:tmpl w:val="DD826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6151D04"/>
    <w:multiLevelType w:val="hybridMultilevel"/>
    <w:tmpl w:val="765AF7BE"/>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83D6004"/>
    <w:multiLevelType w:val="hybridMultilevel"/>
    <w:tmpl w:val="6BFADB6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AC57A69"/>
    <w:multiLevelType w:val="hybridMultilevel"/>
    <w:tmpl w:val="F3084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B91198E"/>
    <w:multiLevelType w:val="hybridMultilevel"/>
    <w:tmpl w:val="352A174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D5E2A2A"/>
    <w:multiLevelType w:val="hybridMultilevel"/>
    <w:tmpl w:val="B6069B1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DA26399"/>
    <w:multiLevelType w:val="hybridMultilevel"/>
    <w:tmpl w:val="992008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F797F2B"/>
    <w:multiLevelType w:val="hybridMultilevel"/>
    <w:tmpl w:val="E09C80C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1F3033C"/>
    <w:multiLevelType w:val="hybridMultilevel"/>
    <w:tmpl w:val="A7FCE9B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3C252E6"/>
    <w:multiLevelType w:val="hybridMultilevel"/>
    <w:tmpl w:val="992008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4530BC1"/>
    <w:multiLevelType w:val="hybridMultilevel"/>
    <w:tmpl w:val="309646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8BB0D85"/>
    <w:multiLevelType w:val="hybridMultilevel"/>
    <w:tmpl w:val="8D4641F0"/>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9B63F67"/>
    <w:multiLevelType w:val="hybridMultilevel"/>
    <w:tmpl w:val="992008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CC62787"/>
    <w:multiLevelType w:val="hybridMultilevel"/>
    <w:tmpl w:val="304E8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50216"/>
    <w:multiLevelType w:val="hybridMultilevel"/>
    <w:tmpl w:val="88E2E2E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0">
    <w:nsid w:val="429C0FEB"/>
    <w:multiLevelType w:val="hybridMultilevel"/>
    <w:tmpl w:val="E19E10E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3E14CD5"/>
    <w:multiLevelType w:val="hybridMultilevel"/>
    <w:tmpl w:val="96D612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43FF5479"/>
    <w:multiLevelType w:val="hybridMultilevel"/>
    <w:tmpl w:val="D6B229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57A17D6"/>
    <w:multiLevelType w:val="hybridMultilevel"/>
    <w:tmpl w:val="5C7439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76E1644"/>
    <w:multiLevelType w:val="hybridMultilevel"/>
    <w:tmpl w:val="8758C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7844FCB"/>
    <w:multiLevelType w:val="hybridMultilevel"/>
    <w:tmpl w:val="D6622C5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8594827"/>
    <w:multiLevelType w:val="hybridMultilevel"/>
    <w:tmpl w:val="E09C80C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485B0CD1"/>
    <w:multiLevelType w:val="hybridMultilevel"/>
    <w:tmpl w:val="992008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AA55A86"/>
    <w:multiLevelType w:val="hybridMultilevel"/>
    <w:tmpl w:val="31E69F1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4B2D4993"/>
    <w:multiLevelType w:val="hybridMultilevel"/>
    <w:tmpl w:val="B5B446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CEF20A6"/>
    <w:multiLevelType w:val="hybridMultilevel"/>
    <w:tmpl w:val="7FB245B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4DF44546"/>
    <w:multiLevelType w:val="hybridMultilevel"/>
    <w:tmpl w:val="8BAE366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FCD299B"/>
    <w:multiLevelType w:val="hybridMultilevel"/>
    <w:tmpl w:val="9C58766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12948A6"/>
    <w:multiLevelType w:val="hybridMultilevel"/>
    <w:tmpl w:val="8D5A433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329099B"/>
    <w:multiLevelType w:val="hybridMultilevel"/>
    <w:tmpl w:val="4A0035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4E6D55"/>
    <w:multiLevelType w:val="hybridMultilevel"/>
    <w:tmpl w:val="61EAAAA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6570D5B"/>
    <w:multiLevelType w:val="hybridMultilevel"/>
    <w:tmpl w:val="992008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67A537A"/>
    <w:multiLevelType w:val="hybridMultilevel"/>
    <w:tmpl w:val="51E40FC6"/>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7552DCD"/>
    <w:multiLevelType w:val="hybridMultilevel"/>
    <w:tmpl w:val="E09C80C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788539B"/>
    <w:multiLevelType w:val="hybridMultilevel"/>
    <w:tmpl w:val="2C7E230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9112F54"/>
    <w:multiLevelType w:val="hybridMultilevel"/>
    <w:tmpl w:val="E09C80C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ADC738D"/>
    <w:multiLevelType w:val="hybridMultilevel"/>
    <w:tmpl w:val="992008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B4A60FE"/>
    <w:multiLevelType w:val="hybridMultilevel"/>
    <w:tmpl w:val="992008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DAB3DFB"/>
    <w:multiLevelType w:val="hybridMultilevel"/>
    <w:tmpl w:val="2A72A2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E3D1047"/>
    <w:multiLevelType w:val="hybridMultilevel"/>
    <w:tmpl w:val="29E6A5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0BC690E"/>
    <w:multiLevelType w:val="hybridMultilevel"/>
    <w:tmpl w:val="E09C80C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612356D0"/>
    <w:multiLevelType w:val="hybridMultilevel"/>
    <w:tmpl w:val="721ACF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2330972"/>
    <w:multiLevelType w:val="hybridMultilevel"/>
    <w:tmpl w:val="F1A858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3B018AD"/>
    <w:multiLevelType w:val="hybridMultilevel"/>
    <w:tmpl w:val="DAE4F71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63DA60EE"/>
    <w:multiLevelType w:val="hybridMultilevel"/>
    <w:tmpl w:val="E09C80C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654B4A1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1">
    <w:nsid w:val="680B3AB6"/>
    <w:multiLevelType w:val="hybridMultilevel"/>
    <w:tmpl w:val="0CBABA2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699536E1"/>
    <w:multiLevelType w:val="hybridMultilevel"/>
    <w:tmpl w:val="435801E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6BF677E5"/>
    <w:multiLevelType w:val="hybridMultilevel"/>
    <w:tmpl w:val="D47C293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6C20496E"/>
    <w:multiLevelType w:val="hybridMultilevel"/>
    <w:tmpl w:val="AA0613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D103C2C"/>
    <w:multiLevelType w:val="hybridMultilevel"/>
    <w:tmpl w:val="537C40C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6D8C6FE6"/>
    <w:multiLevelType w:val="hybridMultilevel"/>
    <w:tmpl w:val="1A9C2124"/>
    <w:lvl w:ilvl="0" w:tplc="0409000B">
      <w:start w:val="1"/>
      <w:numFmt w:val="bullet"/>
      <w:lvlText w:val=""/>
      <w:lvlJc w:val="left"/>
      <w:pPr>
        <w:ind w:left="6" w:hanging="360"/>
      </w:pPr>
      <w:rPr>
        <w:rFonts w:ascii="Wingdings" w:hAnsi="Wingdings" w:hint="default"/>
      </w:rPr>
    </w:lvl>
    <w:lvl w:ilvl="1" w:tplc="04090003" w:tentative="1">
      <w:start w:val="1"/>
      <w:numFmt w:val="bullet"/>
      <w:lvlText w:val="o"/>
      <w:lvlJc w:val="left"/>
      <w:pPr>
        <w:ind w:left="726" w:hanging="360"/>
      </w:pPr>
      <w:rPr>
        <w:rFonts w:ascii="Courier New" w:hAnsi="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77">
    <w:nsid w:val="6DAB18F9"/>
    <w:multiLevelType w:val="hybridMultilevel"/>
    <w:tmpl w:val="6FBE316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6EA03428"/>
    <w:multiLevelType w:val="hybridMultilevel"/>
    <w:tmpl w:val="3EA010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71D00AF7"/>
    <w:multiLevelType w:val="hybridMultilevel"/>
    <w:tmpl w:val="992008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3083B81"/>
    <w:multiLevelType w:val="hybridMultilevel"/>
    <w:tmpl w:val="E8907E2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746224A4"/>
    <w:multiLevelType w:val="hybridMultilevel"/>
    <w:tmpl w:val="D7603CE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76B43116"/>
    <w:multiLevelType w:val="hybridMultilevel"/>
    <w:tmpl w:val="88E2E2E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3">
    <w:nsid w:val="76F86666"/>
    <w:multiLevelType w:val="hybridMultilevel"/>
    <w:tmpl w:val="26E46A8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773928C3"/>
    <w:multiLevelType w:val="hybridMultilevel"/>
    <w:tmpl w:val="E09C80C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7AC936AD"/>
    <w:multiLevelType w:val="hybridMultilevel"/>
    <w:tmpl w:val="992008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7B677BD9"/>
    <w:multiLevelType w:val="hybridMultilevel"/>
    <w:tmpl w:val="1BB203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BA94388"/>
    <w:multiLevelType w:val="hybridMultilevel"/>
    <w:tmpl w:val="01AA3C3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7CD3023E"/>
    <w:multiLevelType w:val="hybridMultilevel"/>
    <w:tmpl w:val="567C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CD70AF9"/>
    <w:multiLevelType w:val="hybridMultilevel"/>
    <w:tmpl w:val="A016DC30"/>
    <w:lvl w:ilvl="0" w:tplc="C7603124">
      <w:start w:val="1"/>
      <w:numFmt w:val="bullet"/>
      <w:pStyle w:val="Dotpon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7E8C0D5E"/>
    <w:multiLevelType w:val="hybridMultilevel"/>
    <w:tmpl w:val="E09C80C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7EAE1EC7"/>
    <w:multiLevelType w:val="hybridMultilevel"/>
    <w:tmpl w:val="FE964F0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7F4B3783"/>
    <w:multiLevelType w:val="hybridMultilevel"/>
    <w:tmpl w:val="C2D85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F996AE3"/>
    <w:multiLevelType w:val="hybridMultilevel"/>
    <w:tmpl w:val="E09C80C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FD57305"/>
    <w:multiLevelType w:val="hybridMultilevel"/>
    <w:tmpl w:val="C3180D3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41"/>
  </w:num>
  <w:num w:numId="4">
    <w:abstractNumId w:val="43"/>
  </w:num>
  <w:num w:numId="5">
    <w:abstractNumId w:val="88"/>
  </w:num>
  <w:num w:numId="6">
    <w:abstractNumId w:val="76"/>
  </w:num>
  <w:num w:numId="7">
    <w:abstractNumId w:val="20"/>
  </w:num>
  <w:num w:numId="8">
    <w:abstractNumId w:val="67"/>
  </w:num>
  <w:num w:numId="9">
    <w:abstractNumId w:val="28"/>
  </w:num>
  <w:num w:numId="10">
    <w:abstractNumId w:val="80"/>
  </w:num>
  <w:num w:numId="11">
    <w:abstractNumId w:val="92"/>
  </w:num>
  <w:num w:numId="12">
    <w:abstractNumId w:val="25"/>
  </w:num>
  <w:num w:numId="13">
    <w:abstractNumId w:val="50"/>
  </w:num>
  <w:num w:numId="14">
    <w:abstractNumId w:val="48"/>
  </w:num>
  <w:num w:numId="15">
    <w:abstractNumId w:val="73"/>
  </w:num>
  <w:num w:numId="16">
    <w:abstractNumId w:val="12"/>
  </w:num>
  <w:num w:numId="17">
    <w:abstractNumId w:val="9"/>
  </w:num>
  <w:num w:numId="18">
    <w:abstractNumId w:val="13"/>
  </w:num>
  <w:num w:numId="19">
    <w:abstractNumId w:val="0"/>
  </w:num>
  <w:num w:numId="20">
    <w:abstractNumId w:val="70"/>
  </w:num>
  <w:num w:numId="21">
    <w:abstractNumId w:val="87"/>
  </w:num>
  <w:num w:numId="22">
    <w:abstractNumId w:val="5"/>
  </w:num>
  <w:num w:numId="23">
    <w:abstractNumId w:val="57"/>
  </w:num>
  <w:num w:numId="24">
    <w:abstractNumId w:val="89"/>
  </w:num>
  <w:num w:numId="25">
    <w:abstractNumId w:val="26"/>
  </w:num>
  <w:num w:numId="26">
    <w:abstractNumId w:val="10"/>
  </w:num>
  <w:num w:numId="27">
    <w:abstractNumId w:val="18"/>
  </w:num>
  <w:num w:numId="28">
    <w:abstractNumId w:val="64"/>
  </w:num>
  <w:num w:numId="29">
    <w:abstractNumId w:val="40"/>
  </w:num>
  <w:num w:numId="30">
    <w:abstractNumId w:val="83"/>
  </w:num>
  <w:num w:numId="31">
    <w:abstractNumId w:val="36"/>
  </w:num>
  <w:num w:numId="32">
    <w:abstractNumId w:val="72"/>
  </w:num>
  <w:num w:numId="33">
    <w:abstractNumId w:val="8"/>
  </w:num>
  <w:num w:numId="34">
    <w:abstractNumId w:val="3"/>
  </w:num>
  <w:num w:numId="35">
    <w:abstractNumId w:val="35"/>
  </w:num>
  <w:num w:numId="36">
    <w:abstractNumId w:val="42"/>
  </w:num>
  <w:num w:numId="37">
    <w:abstractNumId w:val="66"/>
  </w:num>
  <w:num w:numId="38">
    <w:abstractNumId w:val="60"/>
  </w:num>
  <w:num w:numId="39">
    <w:abstractNumId w:val="79"/>
  </w:num>
  <w:num w:numId="40">
    <w:abstractNumId w:val="93"/>
  </w:num>
  <w:num w:numId="41">
    <w:abstractNumId w:val="62"/>
  </w:num>
  <w:num w:numId="42">
    <w:abstractNumId w:val="46"/>
  </w:num>
  <w:num w:numId="43">
    <w:abstractNumId w:val="34"/>
  </w:num>
  <w:num w:numId="44">
    <w:abstractNumId w:val="32"/>
  </w:num>
  <w:num w:numId="45">
    <w:abstractNumId w:val="37"/>
  </w:num>
  <w:num w:numId="46">
    <w:abstractNumId w:val="90"/>
  </w:num>
  <w:num w:numId="47">
    <w:abstractNumId w:val="85"/>
  </w:num>
  <w:num w:numId="48">
    <w:abstractNumId w:val="84"/>
  </w:num>
  <w:num w:numId="49">
    <w:abstractNumId w:val="31"/>
  </w:num>
  <w:num w:numId="50">
    <w:abstractNumId w:val="58"/>
  </w:num>
  <w:num w:numId="51">
    <w:abstractNumId w:val="61"/>
  </w:num>
  <w:num w:numId="52">
    <w:abstractNumId w:val="17"/>
  </w:num>
  <w:num w:numId="53">
    <w:abstractNumId w:val="15"/>
  </w:num>
  <w:num w:numId="54">
    <w:abstractNumId w:val="16"/>
  </w:num>
  <w:num w:numId="55">
    <w:abstractNumId w:val="56"/>
  </w:num>
  <w:num w:numId="56">
    <w:abstractNumId w:val="23"/>
  </w:num>
  <w:num w:numId="57">
    <w:abstractNumId w:val="27"/>
  </w:num>
  <w:num w:numId="58">
    <w:abstractNumId w:val="21"/>
  </w:num>
  <w:num w:numId="59">
    <w:abstractNumId w:val="65"/>
  </w:num>
  <w:num w:numId="60">
    <w:abstractNumId w:val="4"/>
  </w:num>
  <w:num w:numId="61">
    <w:abstractNumId w:val="59"/>
  </w:num>
  <w:num w:numId="62">
    <w:abstractNumId w:val="14"/>
  </w:num>
  <w:num w:numId="63">
    <w:abstractNumId w:val="86"/>
  </w:num>
  <w:num w:numId="64">
    <w:abstractNumId w:val="69"/>
  </w:num>
  <w:num w:numId="65">
    <w:abstractNumId w:val="47"/>
  </w:num>
  <w:num w:numId="66">
    <w:abstractNumId w:val="44"/>
  </w:num>
  <w:num w:numId="67">
    <w:abstractNumId w:val="81"/>
  </w:num>
  <w:num w:numId="68">
    <w:abstractNumId w:val="94"/>
  </w:num>
  <w:num w:numId="69">
    <w:abstractNumId w:val="55"/>
  </w:num>
  <w:num w:numId="70">
    <w:abstractNumId w:val="68"/>
  </w:num>
  <w:num w:numId="71">
    <w:abstractNumId w:val="49"/>
  </w:num>
  <w:num w:numId="72">
    <w:abstractNumId w:val="11"/>
  </w:num>
  <w:num w:numId="73">
    <w:abstractNumId w:val="2"/>
  </w:num>
  <w:num w:numId="74">
    <w:abstractNumId w:val="38"/>
  </w:num>
  <w:num w:numId="75">
    <w:abstractNumId w:val="63"/>
  </w:num>
  <w:num w:numId="76">
    <w:abstractNumId w:val="1"/>
  </w:num>
  <w:num w:numId="77">
    <w:abstractNumId w:val="30"/>
  </w:num>
  <w:num w:numId="78">
    <w:abstractNumId w:val="24"/>
  </w:num>
  <w:num w:numId="79">
    <w:abstractNumId w:val="33"/>
  </w:num>
  <w:num w:numId="80">
    <w:abstractNumId w:val="51"/>
  </w:num>
  <w:num w:numId="81">
    <w:abstractNumId w:val="82"/>
  </w:num>
  <w:num w:numId="82">
    <w:abstractNumId w:val="39"/>
  </w:num>
  <w:num w:numId="83">
    <w:abstractNumId w:val="75"/>
  </w:num>
  <w:num w:numId="84">
    <w:abstractNumId w:val="71"/>
  </w:num>
  <w:num w:numId="85">
    <w:abstractNumId w:val="54"/>
  </w:num>
  <w:num w:numId="86">
    <w:abstractNumId w:val="29"/>
  </w:num>
  <w:num w:numId="87">
    <w:abstractNumId w:val="7"/>
  </w:num>
  <w:num w:numId="88">
    <w:abstractNumId w:val="45"/>
  </w:num>
  <w:num w:numId="89">
    <w:abstractNumId w:val="74"/>
  </w:num>
  <w:num w:numId="90">
    <w:abstractNumId w:val="19"/>
  </w:num>
  <w:num w:numId="91">
    <w:abstractNumId w:val="52"/>
  </w:num>
  <w:num w:numId="92">
    <w:abstractNumId w:val="53"/>
  </w:num>
  <w:num w:numId="93">
    <w:abstractNumId w:val="77"/>
  </w:num>
  <w:num w:numId="94">
    <w:abstractNumId w:val="91"/>
  </w:num>
  <w:num w:numId="95">
    <w:abstractNumId w:val="7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ttachedTemplate r:id="rId1"/>
  <w:defaultTabStop w:val="720"/>
  <w:characterSpacingControl w:val="doNotCompress"/>
  <w:savePreviewPicture/>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205"/>
    <w:rsid w:val="00002507"/>
    <w:rsid w:val="0000313E"/>
    <w:rsid w:val="00006488"/>
    <w:rsid w:val="00014341"/>
    <w:rsid w:val="00014AF7"/>
    <w:rsid w:val="0002154B"/>
    <w:rsid w:val="00026477"/>
    <w:rsid w:val="00032B02"/>
    <w:rsid w:val="00033B7D"/>
    <w:rsid w:val="000449C7"/>
    <w:rsid w:val="00054874"/>
    <w:rsid w:val="00055C39"/>
    <w:rsid w:val="000564B5"/>
    <w:rsid w:val="00057006"/>
    <w:rsid w:val="00062F08"/>
    <w:rsid w:val="000735C2"/>
    <w:rsid w:val="0008159B"/>
    <w:rsid w:val="00083747"/>
    <w:rsid w:val="00092E13"/>
    <w:rsid w:val="00097C16"/>
    <w:rsid w:val="000A2443"/>
    <w:rsid w:val="000B383A"/>
    <w:rsid w:val="000B43CD"/>
    <w:rsid w:val="000B6341"/>
    <w:rsid w:val="000C5307"/>
    <w:rsid w:val="000C66D1"/>
    <w:rsid w:val="000D0478"/>
    <w:rsid w:val="000D21E8"/>
    <w:rsid w:val="000D4548"/>
    <w:rsid w:val="000E2205"/>
    <w:rsid w:val="000E4A2D"/>
    <w:rsid w:val="000E5BB2"/>
    <w:rsid w:val="000E7137"/>
    <w:rsid w:val="000F17EF"/>
    <w:rsid w:val="001155F4"/>
    <w:rsid w:val="00132C73"/>
    <w:rsid w:val="00135287"/>
    <w:rsid w:val="00147839"/>
    <w:rsid w:val="00157770"/>
    <w:rsid w:val="00157A6E"/>
    <w:rsid w:val="00157F70"/>
    <w:rsid w:val="00165255"/>
    <w:rsid w:val="00195BE9"/>
    <w:rsid w:val="001A0B68"/>
    <w:rsid w:val="001C08D7"/>
    <w:rsid w:val="001C4B17"/>
    <w:rsid w:val="001D4118"/>
    <w:rsid w:val="001F4370"/>
    <w:rsid w:val="001F7693"/>
    <w:rsid w:val="00204FF4"/>
    <w:rsid w:val="00215FEE"/>
    <w:rsid w:val="00216FD3"/>
    <w:rsid w:val="00220BE4"/>
    <w:rsid w:val="00222521"/>
    <w:rsid w:val="0022385D"/>
    <w:rsid w:val="002273AE"/>
    <w:rsid w:val="00227F3C"/>
    <w:rsid w:val="00232B13"/>
    <w:rsid w:val="002359A5"/>
    <w:rsid w:val="002455A8"/>
    <w:rsid w:val="00274E17"/>
    <w:rsid w:val="002761CD"/>
    <w:rsid w:val="00276E34"/>
    <w:rsid w:val="00284901"/>
    <w:rsid w:val="00285010"/>
    <w:rsid w:val="00293771"/>
    <w:rsid w:val="00295427"/>
    <w:rsid w:val="002A3126"/>
    <w:rsid w:val="002A519C"/>
    <w:rsid w:val="002A6849"/>
    <w:rsid w:val="002B1BC0"/>
    <w:rsid w:val="002B2B73"/>
    <w:rsid w:val="002C5EDB"/>
    <w:rsid w:val="002C677E"/>
    <w:rsid w:val="002D054B"/>
    <w:rsid w:val="002D7633"/>
    <w:rsid w:val="002E02C2"/>
    <w:rsid w:val="002E437B"/>
    <w:rsid w:val="002F02FF"/>
    <w:rsid w:val="002F6513"/>
    <w:rsid w:val="003026A3"/>
    <w:rsid w:val="00305799"/>
    <w:rsid w:val="0030662A"/>
    <w:rsid w:val="00310BD7"/>
    <w:rsid w:val="003175D5"/>
    <w:rsid w:val="00332178"/>
    <w:rsid w:val="00352AB8"/>
    <w:rsid w:val="00355716"/>
    <w:rsid w:val="00360377"/>
    <w:rsid w:val="00361CD8"/>
    <w:rsid w:val="00363A17"/>
    <w:rsid w:val="003701EE"/>
    <w:rsid w:val="00373ECE"/>
    <w:rsid w:val="0037794E"/>
    <w:rsid w:val="00377AB6"/>
    <w:rsid w:val="00396D6E"/>
    <w:rsid w:val="003A1D18"/>
    <w:rsid w:val="003A1F83"/>
    <w:rsid w:val="003A3F6D"/>
    <w:rsid w:val="003B6402"/>
    <w:rsid w:val="003C0D03"/>
    <w:rsid w:val="003C36CE"/>
    <w:rsid w:val="00401E51"/>
    <w:rsid w:val="004022BF"/>
    <w:rsid w:val="00403DFE"/>
    <w:rsid w:val="004069B0"/>
    <w:rsid w:val="004138BC"/>
    <w:rsid w:val="00422234"/>
    <w:rsid w:val="00424BDB"/>
    <w:rsid w:val="00426E90"/>
    <w:rsid w:val="0043353F"/>
    <w:rsid w:val="0044427F"/>
    <w:rsid w:val="004456AB"/>
    <w:rsid w:val="00446696"/>
    <w:rsid w:val="00451563"/>
    <w:rsid w:val="00452005"/>
    <w:rsid w:val="00454589"/>
    <w:rsid w:val="0045566D"/>
    <w:rsid w:val="0046561F"/>
    <w:rsid w:val="00466CEB"/>
    <w:rsid w:val="00476982"/>
    <w:rsid w:val="00495AC0"/>
    <w:rsid w:val="00497E09"/>
    <w:rsid w:val="004A4021"/>
    <w:rsid w:val="004B77FF"/>
    <w:rsid w:val="004C76F0"/>
    <w:rsid w:val="004D35F9"/>
    <w:rsid w:val="004D3F7E"/>
    <w:rsid w:val="004E0952"/>
    <w:rsid w:val="00503F36"/>
    <w:rsid w:val="00504262"/>
    <w:rsid w:val="005067A9"/>
    <w:rsid w:val="005171C9"/>
    <w:rsid w:val="00524700"/>
    <w:rsid w:val="0053657A"/>
    <w:rsid w:val="005676C6"/>
    <w:rsid w:val="0057138D"/>
    <w:rsid w:val="00574199"/>
    <w:rsid w:val="00574A5D"/>
    <w:rsid w:val="00576F98"/>
    <w:rsid w:val="00581EB8"/>
    <w:rsid w:val="005943BE"/>
    <w:rsid w:val="005A5A64"/>
    <w:rsid w:val="005B25BF"/>
    <w:rsid w:val="005C0FD7"/>
    <w:rsid w:val="005C2F62"/>
    <w:rsid w:val="005C6D23"/>
    <w:rsid w:val="005C78A4"/>
    <w:rsid w:val="005D3E7A"/>
    <w:rsid w:val="005D4C75"/>
    <w:rsid w:val="005E4DBC"/>
    <w:rsid w:val="005F3BA6"/>
    <w:rsid w:val="005F4DC4"/>
    <w:rsid w:val="00610C2F"/>
    <w:rsid w:val="00612BC4"/>
    <w:rsid w:val="006131E6"/>
    <w:rsid w:val="00613C22"/>
    <w:rsid w:val="0062467A"/>
    <w:rsid w:val="00624756"/>
    <w:rsid w:val="00625BD3"/>
    <w:rsid w:val="00631B5C"/>
    <w:rsid w:val="006341AC"/>
    <w:rsid w:val="00640CE5"/>
    <w:rsid w:val="0064327B"/>
    <w:rsid w:val="00646177"/>
    <w:rsid w:val="00664236"/>
    <w:rsid w:val="006667E0"/>
    <w:rsid w:val="00673787"/>
    <w:rsid w:val="00683187"/>
    <w:rsid w:val="00686974"/>
    <w:rsid w:val="006A3983"/>
    <w:rsid w:val="006B087B"/>
    <w:rsid w:val="006C2A0D"/>
    <w:rsid w:val="006C3475"/>
    <w:rsid w:val="006C3B24"/>
    <w:rsid w:val="006C3D5E"/>
    <w:rsid w:val="006C4D01"/>
    <w:rsid w:val="006D2E84"/>
    <w:rsid w:val="006D78C6"/>
    <w:rsid w:val="006D7B9D"/>
    <w:rsid w:val="006E023C"/>
    <w:rsid w:val="006E2416"/>
    <w:rsid w:val="006E2D4B"/>
    <w:rsid w:val="006E78A8"/>
    <w:rsid w:val="006F0A70"/>
    <w:rsid w:val="006F23B3"/>
    <w:rsid w:val="006F7635"/>
    <w:rsid w:val="00701D61"/>
    <w:rsid w:val="00721720"/>
    <w:rsid w:val="0072428A"/>
    <w:rsid w:val="00730CE4"/>
    <w:rsid w:val="00733F54"/>
    <w:rsid w:val="0075041E"/>
    <w:rsid w:val="007635F8"/>
    <w:rsid w:val="00764E24"/>
    <w:rsid w:val="00765F27"/>
    <w:rsid w:val="00772305"/>
    <w:rsid w:val="00773A3D"/>
    <w:rsid w:val="007835BB"/>
    <w:rsid w:val="00783CE9"/>
    <w:rsid w:val="00784D00"/>
    <w:rsid w:val="00786443"/>
    <w:rsid w:val="007A0A50"/>
    <w:rsid w:val="007A0F3F"/>
    <w:rsid w:val="007A79FA"/>
    <w:rsid w:val="007D393E"/>
    <w:rsid w:val="007E031E"/>
    <w:rsid w:val="00800760"/>
    <w:rsid w:val="0080367B"/>
    <w:rsid w:val="00805AD0"/>
    <w:rsid w:val="008073FC"/>
    <w:rsid w:val="008144C2"/>
    <w:rsid w:val="00814AD8"/>
    <w:rsid w:val="00820DC6"/>
    <w:rsid w:val="00822E5F"/>
    <w:rsid w:val="00827FAF"/>
    <w:rsid w:val="00831B26"/>
    <w:rsid w:val="0083211B"/>
    <w:rsid w:val="00834ED1"/>
    <w:rsid w:val="008402B8"/>
    <w:rsid w:val="00855549"/>
    <w:rsid w:val="00880A95"/>
    <w:rsid w:val="00883302"/>
    <w:rsid w:val="0088411E"/>
    <w:rsid w:val="008854FC"/>
    <w:rsid w:val="00886575"/>
    <w:rsid w:val="008A5AD1"/>
    <w:rsid w:val="008B18DD"/>
    <w:rsid w:val="008B1BB5"/>
    <w:rsid w:val="008B65CA"/>
    <w:rsid w:val="008C37DE"/>
    <w:rsid w:val="008C4E45"/>
    <w:rsid w:val="008D3F68"/>
    <w:rsid w:val="008D4AAE"/>
    <w:rsid w:val="008D5BC1"/>
    <w:rsid w:val="008D7159"/>
    <w:rsid w:val="008E1FB2"/>
    <w:rsid w:val="008E3061"/>
    <w:rsid w:val="008E3A08"/>
    <w:rsid w:val="008E70C9"/>
    <w:rsid w:val="008F71C3"/>
    <w:rsid w:val="009051D9"/>
    <w:rsid w:val="0090598E"/>
    <w:rsid w:val="0090712D"/>
    <w:rsid w:val="00920077"/>
    <w:rsid w:val="0093079D"/>
    <w:rsid w:val="00945200"/>
    <w:rsid w:val="00946B68"/>
    <w:rsid w:val="00951717"/>
    <w:rsid w:val="009633A3"/>
    <w:rsid w:val="00963925"/>
    <w:rsid w:val="00963ABD"/>
    <w:rsid w:val="00963B1A"/>
    <w:rsid w:val="009648B7"/>
    <w:rsid w:val="0097334D"/>
    <w:rsid w:val="009903AE"/>
    <w:rsid w:val="00997476"/>
    <w:rsid w:val="009C40ED"/>
    <w:rsid w:val="009D0F35"/>
    <w:rsid w:val="009D5775"/>
    <w:rsid w:val="009D6AA0"/>
    <w:rsid w:val="009D70D7"/>
    <w:rsid w:val="009E62A5"/>
    <w:rsid w:val="009F18A2"/>
    <w:rsid w:val="009F25FC"/>
    <w:rsid w:val="00A02D40"/>
    <w:rsid w:val="00A1210A"/>
    <w:rsid w:val="00A239A9"/>
    <w:rsid w:val="00A32911"/>
    <w:rsid w:val="00A34034"/>
    <w:rsid w:val="00A364BE"/>
    <w:rsid w:val="00A41161"/>
    <w:rsid w:val="00A437B9"/>
    <w:rsid w:val="00A46C80"/>
    <w:rsid w:val="00A47BEB"/>
    <w:rsid w:val="00A540C0"/>
    <w:rsid w:val="00A55E3E"/>
    <w:rsid w:val="00A6713A"/>
    <w:rsid w:val="00A71BE7"/>
    <w:rsid w:val="00A80914"/>
    <w:rsid w:val="00AA3724"/>
    <w:rsid w:val="00AA4B89"/>
    <w:rsid w:val="00AA4FCE"/>
    <w:rsid w:val="00AA665A"/>
    <w:rsid w:val="00AB53D0"/>
    <w:rsid w:val="00AB6117"/>
    <w:rsid w:val="00AD59B0"/>
    <w:rsid w:val="00AE57E7"/>
    <w:rsid w:val="00AE5818"/>
    <w:rsid w:val="00AE6E69"/>
    <w:rsid w:val="00AE7C88"/>
    <w:rsid w:val="00AF1A74"/>
    <w:rsid w:val="00AF6FF9"/>
    <w:rsid w:val="00AF73BD"/>
    <w:rsid w:val="00B02735"/>
    <w:rsid w:val="00B30752"/>
    <w:rsid w:val="00B324D7"/>
    <w:rsid w:val="00B4227E"/>
    <w:rsid w:val="00B541C4"/>
    <w:rsid w:val="00B62558"/>
    <w:rsid w:val="00B62688"/>
    <w:rsid w:val="00B64AAD"/>
    <w:rsid w:val="00B71EE3"/>
    <w:rsid w:val="00B75122"/>
    <w:rsid w:val="00B80985"/>
    <w:rsid w:val="00B821E9"/>
    <w:rsid w:val="00B848FD"/>
    <w:rsid w:val="00B86031"/>
    <w:rsid w:val="00B87632"/>
    <w:rsid w:val="00B92BBA"/>
    <w:rsid w:val="00BB247F"/>
    <w:rsid w:val="00BB295C"/>
    <w:rsid w:val="00BB41A5"/>
    <w:rsid w:val="00BB60E6"/>
    <w:rsid w:val="00BC3C36"/>
    <w:rsid w:val="00BE2451"/>
    <w:rsid w:val="00BE623E"/>
    <w:rsid w:val="00BE707C"/>
    <w:rsid w:val="00BE790C"/>
    <w:rsid w:val="00BF1C6F"/>
    <w:rsid w:val="00BF6CB2"/>
    <w:rsid w:val="00C00061"/>
    <w:rsid w:val="00C27A2F"/>
    <w:rsid w:val="00C3366B"/>
    <w:rsid w:val="00C3536C"/>
    <w:rsid w:val="00C356D5"/>
    <w:rsid w:val="00C521B7"/>
    <w:rsid w:val="00C72DA7"/>
    <w:rsid w:val="00C73E94"/>
    <w:rsid w:val="00C745F7"/>
    <w:rsid w:val="00C84530"/>
    <w:rsid w:val="00C8631C"/>
    <w:rsid w:val="00C86DBC"/>
    <w:rsid w:val="00C93B88"/>
    <w:rsid w:val="00C944D5"/>
    <w:rsid w:val="00C9559A"/>
    <w:rsid w:val="00C95A78"/>
    <w:rsid w:val="00CA3354"/>
    <w:rsid w:val="00CA5BE3"/>
    <w:rsid w:val="00CA626B"/>
    <w:rsid w:val="00CA7A72"/>
    <w:rsid w:val="00CB4436"/>
    <w:rsid w:val="00CC373F"/>
    <w:rsid w:val="00CC380C"/>
    <w:rsid w:val="00CE1C94"/>
    <w:rsid w:val="00D05244"/>
    <w:rsid w:val="00D07252"/>
    <w:rsid w:val="00D23887"/>
    <w:rsid w:val="00D3622D"/>
    <w:rsid w:val="00D3773B"/>
    <w:rsid w:val="00D45E2C"/>
    <w:rsid w:val="00D510C8"/>
    <w:rsid w:val="00D556B6"/>
    <w:rsid w:val="00D710AD"/>
    <w:rsid w:val="00D83889"/>
    <w:rsid w:val="00D84A6C"/>
    <w:rsid w:val="00D93C32"/>
    <w:rsid w:val="00DB69F0"/>
    <w:rsid w:val="00DB70A0"/>
    <w:rsid w:val="00DE1EA3"/>
    <w:rsid w:val="00DF0A81"/>
    <w:rsid w:val="00DF5D8B"/>
    <w:rsid w:val="00DF61BB"/>
    <w:rsid w:val="00E11E70"/>
    <w:rsid w:val="00E25A2C"/>
    <w:rsid w:val="00E56A3F"/>
    <w:rsid w:val="00E64AD7"/>
    <w:rsid w:val="00E67108"/>
    <w:rsid w:val="00E72538"/>
    <w:rsid w:val="00E74F79"/>
    <w:rsid w:val="00E7540C"/>
    <w:rsid w:val="00E879E8"/>
    <w:rsid w:val="00E90A17"/>
    <w:rsid w:val="00EA189A"/>
    <w:rsid w:val="00EA2014"/>
    <w:rsid w:val="00EA5DB3"/>
    <w:rsid w:val="00EB190B"/>
    <w:rsid w:val="00EB5F6F"/>
    <w:rsid w:val="00EC102F"/>
    <w:rsid w:val="00EC389F"/>
    <w:rsid w:val="00EC477B"/>
    <w:rsid w:val="00ED59BB"/>
    <w:rsid w:val="00EE5505"/>
    <w:rsid w:val="00F060B1"/>
    <w:rsid w:val="00F07531"/>
    <w:rsid w:val="00F12062"/>
    <w:rsid w:val="00F15CB4"/>
    <w:rsid w:val="00F17C95"/>
    <w:rsid w:val="00F17EEA"/>
    <w:rsid w:val="00F217C9"/>
    <w:rsid w:val="00F32E22"/>
    <w:rsid w:val="00F45E6A"/>
    <w:rsid w:val="00F57F55"/>
    <w:rsid w:val="00F62DB6"/>
    <w:rsid w:val="00F6726A"/>
    <w:rsid w:val="00F749FE"/>
    <w:rsid w:val="00F74AC4"/>
    <w:rsid w:val="00F75662"/>
    <w:rsid w:val="00F761C3"/>
    <w:rsid w:val="00FA09C9"/>
    <w:rsid w:val="00FC0FB6"/>
    <w:rsid w:val="00FC154D"/>
    <w:rsid w:val="00FC1A29"/>
    <w:rsid w:val="00FC2E23"/>
    <w:rsid w:val="00FD58ED"/>
    <w:rsid w:val="00FD6697"/>
    <w:rsid w:val="00FE58ED"/>
    <w:rsid w:val="00FE75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0A88FB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5D"/>
    <w:pPr>
      <w:spacing w:before="120"/>
      <w:jc w:val="both"/>
    </w:pPr>
    <w:rPr>
      <w:rFonts w:ascii="Calibri" w:hAnsi="Calibri"/>
      <w:sz w:val="22"/>
      <w:szCs w:val="24"/>
    </w:rPr>
  </w:style>
  <w:style w:type="paragraph" w:styleId="Heading1">
    <w:name w:val="heading 1"/>
    <w:basedOn w:val="Normal"/>
    <w:next w:val="Normal"/>
    <w:link w:val="Heading1Char"/>
    <w:uiPriority w:val="9"/>
    <w:qFormat/>
    <w:rsid w:val="000E2205"/>
    <w:pPr>
      <w:keepNext/>
      <w:keepLines/>
      <w:numPr>
        <w:numId w:val="20"/>
      </w:numPr>
      <w:outlineLvl w:val="0"/>
    </w:pPr>
    <w:rPr>
      <w:rFonts w:eastAsia="ＭＳ ゴシック"/>
      <w:b/>
      <w:bCs/>
      <w:color w:val="345A8A"/>
      <w:sz w:val="32"/>
      <w:szCs w:val="32"/>
    </w:rPr>
  </w:style>
  <w:style w:type="paragraph" w:styleId="Heading2">
    <w:name w:val="heading 2"/>
    <w:basedOn w:val="Normal"/>
    <w:next w:val="Normal"/>
    <w:link w:val="Heading2Char"/>
    <w:uiPriority w:val="9"/>
    <w:unhideWhenUsed/>
    <w:qFormat/>
    <w:rsid w:val="004138BC"/>
    <w:pPr>
      <w:keepNext/>
      <w:keepLines/>
      <w:numPr>
        <w:ilvl w:val="1"/>
        <w:numId w:val="20"/>
      </w:numPr>
      <w:pBdr>
        <w:top w:val="single" w:sz="8" w:space="1" w:color="auto"/>
        <w:bottom w:val="single" w:sz="8" w:space="1" w:color="auto"/>
      </w:pBdr>
      <w:shd w:val="clear" w:color="auto" w:fill="E6E6E6"/>
      <w:spacing w:before="200"/>
      <w:outlineLvl w:val="1"/>
    </w:pPr>
    <w:rPr>
      <w:rFonts w:eastAsia="ＭＳ ゴシック"/>
      <w:b/>
      <w:bCs/>
      <w:color w:val="4F81BD"/>
      <w:sz w:val="26"/>
      <w:szCs w:val="26"/>
    </w:rPr>
  </w:style>
  <w:style w:type="paragraph" w:styleId="Heading3">
    <w:name w:val="heading 3"/>
    <w:basedOn w:val="Normal"/>
    <w:next w:val="Normal"/>
    <w:link w:val="Heading3Char"/>
    <w:uiPriority w:val="9"/>
    <w:unhideWhenUsed/>
    <w:qFormat/>
    <w:rsid w:val="004138BC"/>
    <w:pPr>
      <w:keepNext/>
      <w:keepLines/>
      <w:numPr>
        <w:ilvl w:val="2"/>
        <w:numId w:val="20"/>
      </w:numPr>
      <w:pBdr>
        <w:bottom w:val="single" w:sz="8" w:space="1" w:color="auto"/>
      </w:pBdr>
      <w:spacing w:before="200"/>
      <w:outlineLvl w:val="2"/>
    </w:pPr>
    <w:rPr>
      <w:rFonts w:eastAsia="ＭＳ ゴシック"/>
      <w:b/>
      <w:bCs/>
      <w:color w:val="4F81BD"/>
    </w:rPr>
  </w:style>
  <w:style w:type="paragraph" w:styleId="Heading4">
    <w:name w:val="heading 4"/>
    <w:basedOn w:val="Normal"/>
    <w:next w:val="Normal"/>
    <w:link w:val="Heading4Char"/>
    <w:uiPriority w:val="9"/>
    <w:unhideWhenUsed/>
    <w:qFormat/>
    <w:rsid w:val="002C5EDB"/>
    <w:pPr>
      <w:keepNext/>
      <w:keepLines/>
      <w:spacing w:before="200"/>
      <w:outlineLvl w:val="3"/>
    </w:pPr>
    <w:rPr>
      <w:rFonts w:eastAsia="ＭＳ ゴシック"/>
      <w:bCs/>
      <w:iCs/>
      <w:color w:val="1F497D" w:themeColor="text2"/>
      <w:sz w:val="24"/>
      <w:u w:val="single"/>
    </w:rPr>
  </w:style>
  <w:style w:type="paragraph" w:styleId="Heading5">
    <w:name w:val="heading 5"/>
    <w:basedOn w:val="Normal"/>
    <w:next w:val="Normal"/>
    <w:link w:val="Heading5Char"/>
    <w:uiPriority w:val="9"/>
    <w:unhideWhenUsed/>
    <w:qFormat/>
    <w:rsid w:val="002C5EDB"/>
    <w:pPr>
      <w:keepNext/>
      <w:keepLines/>
      <w:spacing w:before="200"/>
      <w:outlineLvl w:val="4"/>
    </w:pPr>
    <w:rPr>
      <w:rFonts w:eastAsia="ＭＳ ゴシック"/>
      <w:color w:val="243F60"/>
    </w:rPr>
  </w:style>
  <w:style w:type="paragraph" w:styleId="Heading6">
    <w:name w:val="heading 6"/>
    <w:basedOn w:val="Normal"/>
    <w:next w:val="Normal"/>
    <w:link w:val="Heading6Char"/>
    <w:uiPriority w:val="9"/>
    <w:unhideWhenUsed/>
    <w:qFormat/>
    <w:rsid w:val="00AA4B89"/>
    <w:pPr>
      <w:keepNext/>
      <w:keepLines/>
      <w:numPr>
        <w:ilvl w:val="5"/>
        <w:numId w:val="20"/>
      </w:numPr>
      <w:spacing w:before="200"/>
      <w:outlineLvl w:val="5"/>
    </w:pPr>
    <w:rPr>
      <w:rFonts w:eastAsia="ＭＳ ゴシック"/>
      <w:i/>
      <w:iCs/>
      <w:color w:val="243F60"/>
    </w:rPr>
  </w:style>
  <w:style w:type="paragraph" w:styleId="Heading7">
    <w:name w:val="heading 7"/>
    <w:basedOn w:val="Normal"/>
    <w:next w:val="Normal"/>
    <w:link w:val="Heading7Char"/>
    <w:uiPriority w:val="9"/>
    <w:semiHidden/>
    <w:unhideWhenUsed/>
    <w:qFormat/>
    <w:rsid w:val="00AA4B89"/>
    <w:pPr>
      <w:keepNext/>
      <w:keepLines/>
      <w:numPr>
        <w:ilvl w:val="6"/>
        <w:numId w:val="20"/>
      </w:numPr>
      <w:spacing w:before="200"/>
      <w:outlineLvl w:val="6"/>
    </w:pPr>
    <w:rPr>
      <w:rFonts w:eastAsia="ＭＳ ゴシック"/>
      <w:i/>
      <w:iCs/>
      <w:color w:val="404040"/>
    </w:rPr>
  </w:style>
  <w:style w:type="paragraph" w:styleId="Heading8">
    <w:name w:val="heading 8"/>
    <w:basedOn w:val="Normal"/>
    <w:next w:val="Normal"/>
    <w:link w:val="Heading8Char"/>
    <w:uiPriority w:val="9"/>
    <w:semiHidden/>
    <w:unhideWhenUsed/>
    <w:qFormat/>
    <w:rsid w:val="00AA4B89"/>
    <w:pPr>
      <w:keepNext/>
      <w:keepLines/>
      <w:numPr>
        <w:ilvl w:val="7"/>
        <w:numId w:val="20"/>
      </w:numPr>
      <w:spacing w:before="200"/>
      <w:outlineLvl w:val="7"/>
    </w:pPr>
    <w:rPr>
      <w:rFonts w:eastAsia="ＭＳ ゴシック"/>
      <w:color w:val="404040"/>
      <w:sz w:val="20"/>
      <w:szCs w:val="20"/>
    </w:rPr>
  </w:style>
  <w:style w:type="paragraph" w:styleId="Heading9">
    <w:name w:val="heading 9"/>
    <w:basedOn w:val="Normal"/>
    <w:next w:val="Normal"/>
    <w:link w:val="Heading9Char"/>
    <w:uiPriority w:val="9"/>
    <w:semiHidden/>
    <w:unhideWhenUsed/>
    <w:qFormat/>
    <w:rsid w:val="00AA4B89"/>
    <w:pPr>
      <w:keepNext/>
      <w:keepLines/>
      <w:numPr>
        <w:ilvl w:val="8"/>
        <w:numId w:val="20"/>
      </w:numPr>
      <w:spacing w:before="200"/>
      <w:outlineLvl w:val="8"/>
    </w:pPr>
    <w:rPr>
      <w:rFonts w:eastAsia="ＭＳ ゴシック"/>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8ED"/>
    <w:rPr>
      <w:rFonts w:ascii="Lucida Grande" w:hAnsi="Lucida Grande" w:cs="Lucida Grande"/>
      <w:sz w:val="18"/>
      <w:szCs w:val="18"/>
    </w:rPr>
  </w:style>
  <w:style w:type="character" w:customStyle="1" w:styleId="BalloonTextChar">
    <w:name w:val="Balloon Text Char"/>
    <w:link w:val="BalloonText"/>
    <w:uiPriority w:val="99"/>
    <w:semiHidden/>
    <w:rsid w:val="00FE58ED"/>
    <w:rPr>
      <w:rFonts w:ascii="Lucida Grande" w:hAnsi="Lucida Grande" w:cs="Lucida Grande"/>
      <w:sz w:val="18"/>
      <w:szCs w:val="18"/>
      <w:lang w:val="en-GB"/>
    </w:rPr>
  </w:style>
  <w:style w:type="paragraph" w:styleId="Header">
    <w:name w:val="header"/>
    <w:basedOn w:val="Normal"/>
    <w:link w:val="HeaderChar"/>
    <w:uiPriority w:val="99"/>
    <w:unhideWhenUsed/>
    <w:rsid w:val="00014341"/>
    <w:pPr>
      <w:tabs>
        <w:tab w:val="center" w:pos="4320"/>
        <w:tab w:val="right" w:pos="8640"/>
      </w:tabs>
    </w:pPr>
  </w:style>
  <w:style w:type="character" w:customStyle="1" w:styleId="HeaderChar">
    <w:name w:val="Header Char"/>
    <w:link w:val="Header"/>
    <w:uiPriority w:val="99"/>
    <w:rsid w:val="00014341"/>
    <w:rPr>
      <w:rFonts w:ascii="Calibri" w:hAnsi="Calibri"/>
      <w:lang w:val="en-GB"/>
    </w:rPr>
  </w:style>
  <w:style w:type="paragraph" w:styleId="Footer">
    <w:name w:val="footer"/>
    <w:basedOn w:val="Normal"/>
    <w:link w:val="FooterChar"/>
    <w:uiPriority w:val="99"/>
    <w:unhideWhenUsed/>
    <w:rsid w:val="00014341"/>
    <w:pPr>
      <w:tabs>
        <w:tab w:val="center" w:pos="4320"/>
        <w:tab w:val="right" w:pos="8640"/>
      </w:tabs>
    </w:pPr>
  </w:style>
  <w:style w:type="character" w:customStyle="1" w:styleId="FooterChar">
    <w:name w:val="Footer Char"/>
    <w:link w:val="Footer"/>
    <w:uiPriority w:val="99"/>
    <w:rsid w:val="00014341"/>
    <w:rPr>
      <w:rFonts w:ascii="Calibri" w:hAnsi="Calibri"/>
      <w:lang w:val="en-GB"/>
    </w:rPr>
  </w:style>
  <w:style w:type="character" w:customStyle="1" w:styleId="Heading1Char">
    <w:name w:val="Heading 1 Char"/>
    <w:link w:val="Heading1"/>
    <w:uiPriority w:val="9"/>
    <w:rsid w:val="000E2205"/>
    <w:rPr>
      <w:rFonts w:ascii="Calibri" w:eastAsia="ＭＳ ゴシック" w:hAnsi="Calibri"/>
      <w:b/>
      <w:bCs/>
      <w:color w:val="345A8A"/>
      <w:sz w:val="32"/>
      <w:szCs w:val="32"/>
    </w:rPr>
  </w:style>
  <w:style w:type="character" w:customStyle="1" w:styleId="Heading2Char">
    <w:name w:val="Heading 2 Char"/>
    <w:link w:val="Heading2"/>
    <w:uiPriority w:val="9"/>
    <w:rsid w:val="004138BC"/>
    <w:rPr>
      <w:rFonts w:ascii="Calibri" w:eastAsia="ＭＳ ゴシック" w:hAnsi="Calibri"/>
      <w:b/>
      <w:bCs/>
      <w:color w:val="4F81BD"/>
      <w:sz w:val="26"/>
      <w:szCs w:val="26"/>
      <w:shd w:val="clear" w:color="auto" w:fill="E6E6E6"/>
    </w:rPr>
  </w:style>
  <w:style w:type="character" w:customStyle="1" w:styleId="Heading3Char">
    <w:name w:val="Heading 3 Char"/>
    <w:link w:val="Heading3"/>
    <w:uiPriority w:val="9"/>
    <w:rsid w:val="004138BC"/>
    <w:rPr>
      <w:rFonts w:ascii="Calibri" w:eastAsia="ＭＳ ゴシック" w:hAnsi="Calibri"/>
      <w:b/>
      <w:bCs/>
      <w:color w:val="4F81BD"/>
      <w:sz w:val="22"/>
      <w:szCs w:val="24"/>
    </w:rPr>
  </w:style>
  <w:style w:type="paragraph" w:styleId="ListParagraph">
    <w:name w:val="List Paragraph"/>
    <w:basedOn w:val="Normal"/>
    <w:uiPriority w:val="34"/>
    <w:qFormat/>
    <w:rsid w:val="003026A3"/>
    <w:pPr>
      <w:ind w:left="720"/>
      <w:contextualSpacing/>
    </w:pPr>
  </w:style>
  <w:style w:type="paragraph" w:styleId="Caption">
    <w:name w:val="caption"/>
    <w:basedOn w:val="Normal"/>
    <w:next w:val="Normal"/>
    <w:uiPriority w:val="35"/>
    <w:unhideWhenUsed/>
    <w:qFormat/>
    <w:rsid w:val="00C27A2F"/>
    <w:pPr>
      <w:spacing w:after="200"/>
    </w:pPr>
    <w:rPr>
      <w:b/>
      <w:bCs/>
      <w:color w:val="4F81BD"/>
      <w:sz w:val="18"/>
      <w:szCs w:val="18"/>
    </w:rPr>
  </w:style>
  <w:style w:type="table" w:styleId="TableGrid">
    <w:name w:val="Table Grid"/>
    <w:basedOn w:val="TableNormal"/>
    <w:uiPriority w:val="59"/>
    <w:rsid w:val="00574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95AC0"/>
    <w:pPr>
      <w:pBdr>
        <w:bottom w:val="single" w:sz="8" w:space="4" w:color="4F81BD"/>
      </w:pBdr>
      <w:spacing w:before="0" w:after="300"/>
      <w:contextualSpacing/>
    </w:pPr>
    <w:rPr>
      <w:rFonts w:eastAsia="ＭＳ ゴシック"/>
      <w:color w:val="17365D"/>
      <w:spacing w:val="5"/>
      <w:kern w:val="28"/>
      <w:sz w:val="52"/>
      <w:szCs w:val="52"/>
    </w:rPr>
  </w:style>
  <w:style w:type="character" w:customStyle="1" w:styleId="TitleChar">
    <w:name w:val="Title Char"/>
    <w:link w:val="Title"/>
    <w:uiPriority w:val="10"/>
    <w:rsid w:val="00495AC0"/>
    <w:rPr>
      <w:rFonts w:ascii="Calibri" w:eastAsia="ＭＳ ゴシック" w:hAnsi="Calibri" w:cs="Times New Roman"/>
      <w:color w:val="17365D"/>
      <w:spacing w:val="5"/>
      <w:kern w:val="28"/>
      <w:sz w:val="52"/>
      <w:szCs w:val="52"/>
      <w:lang w:val="en-GB"/>
    </w:rPr>
  </w:style>
  <w:style w:type="character" w:customStyle="1" w:styleId="Heading4Char">
    <w:name w:val="Heading 4 Char"/>
    <w:link w:val="Heading4"/>
    <w:uiPriority w:val="9"/>
    <w:rsid w:val="00AB53D0"/>
    <w:rPr>
      <w:rFonts w:ascii="Calibri" w:eastAsia="ＭＳ ゴシック" w:hAnsi="Calibri"/>
      <w:bCs/>
      <w:iCs/>
      <w:color w:val="1F497D" w:themeColor="text2"/>
      <w:sz w:val="24"/>
      <w:szCs w:val="24"/>
      <w:u w:val="single"/>
    </w:rPr>
  </w:style>
  <w:style w:type="character" w:customStyle="1" w:styleId="Heading5Char">
    <w:name w:val="Heading 5 Char"/>
    <w:link w:val="Heading5"/>
    <w:uiPriority w:val="9"/>
    <w:rsid w:val="00AA4B89"/>
    <w:rPr>
      <w:rFonts w:ascii="Calibri" w:eastAsia="ＭＳ ゴシック" w:hAnsi="Calibri"/>
      <w:color w:val="243F60"/>
      <w:sz w:val="22"/>
      <w:szCs w:val="24"/>
    </w:rPr>
  </w:style>
  <w:style w:type="character" w:customStyle="1" w:styleId="Heading6Char">
    <w:name w:val="Heading 6 Char"/>
    <w:link w:val="Heading6"/>
    <w:uiPriority w:val="9"/>
    <w:rsid w:val="00AA4B89"/>
    <w:rPr>
      <w:rFonts w:ascii="Calibri" w:eastAsia="ＭＳ ゴシック" w:hAnsi="Calibri"/>
      <w:i/>
      <w:iCs/>
      <w:color w:val="243F60"/>
      <w:sz w:val="22"/>
      <w:szCs w:val="24"/>
    </w:rPr>
  </w:style>
  <w:style w:type="character" w:customStyle="1" w:styleId="Heading7Char">
    <w:name w:val="Heading 7 Char"/>
    <w:link w:val="Heading7"/>
    <w:uiPriority w:val="9"/>
    <w:semiHidden/>
    <w:rsid w:val="00AA4B89"/>
    <w:rPr>
      <w:rFonts w:ascii="Calibri" w:eastAsia="ＭＳ ゴシック" w:hAnsi="Calibri"/>
      <w:i/>
      <w:iCs/>
      <w:color w:val="404040"/>
      <w:sz w:val="22"/>
      <w:szCs w:val="24"/>
    </w:rPr>
  </w:style>
  <w:style w:type="character" w:customStyle="1" w:styleId="Heading8Char">
    <w:name w:val="Heading 8 Char"/>
    <w:link w:val="Heading8"/>
    <w:uiPriority w:val="9"/>
    <w:semiHidden/>
    <w:rsid w:val="00AA4B89"/>
    <w:rPr>
      <w:rFonts w:ascii="Calibri" w:eastAsia="ＭＳ ゴシック" w:hAnsi="Calibri"/>
      <w:color w:val="404040"/>
    </w:rPr>
  </w:style>
  <w:style w:type="character" w:customStyle="1" w:styleId="Heading9Char">
    <w:name w:val="Heading 9 Char"/>
    <w:link w:val="Heading9"/>
    <w:uiPriority w:val="9"/>
    <w:semiHidden/>
    <w:rsid w:val="00AA4B89"/>
    <w:rPr>
      <w:rFonts w:ascii="Calibri" w:eastAsia="ＭＳ ゴシック" w:hAnsi="Calibri"/>
      <w:i/>
      <w:iCs/>
      <w:color w:val="404040"/>
    </w:rPr>
  </w:style>
  <w:style w:type="paragraph" w:styleId="TOC1">
    <w:name w:val="toc 1"/>
    <w:basedOn w:val="Normal"/>
    <w:next w:val="Normal"/>
    <w:autoRedefine/>
    <w:uiPriority w:val="39"/>
    <w:unhideWhenUsed/>
    <w:rsid w:val="00AA4B89"/>
  </w:style>
  <w:style w:type="paragraph" w:styleId="TOC2">
    <w:name w:val="toc 2"/>
    <w:basedOn w:val="Normal"/>
    <w:next w:val="Normal"/>
    <w:autoRedefine/>
    <w:uiPriority w:val="39"/>
    <w:unhideWhenUsed/>
    <w:rsid w:val="00AA4B89"/>
    <w:pPr>
      <w:ind w:left="220"/>
    </w:pPr>
  </w:style>
  <w:style w:type="paragraph" w:styleId="TOC3">
    <w:name w:val="toc 3"/>
    <w:basedOn w:val="Normal"/>
    <w:next w:val="Normal"/>
    <w:autoRedefine/>
    <w:uiPriority w:val="39"/>
    <w:unhideWhenUsed/>
    <w:rsid w:val="00AA4B89"/>
    <w:pPr>
      <w:ind w:left="440"/>
    </w:pPr>
  </w:style>
  <w:style w:type="paragraph" w:styleId="TOC4">
    <w:name w:val="toc 4"/>
    <w:basedOn w:val="Normal"/>
    <w:next w:val="Normal"/>
    <w:autoRedefine/>
    <w:uiPriority w:val="39"/>
    <w:unhideWhenUsed/>
    <w:rsid w:val="00AA4B89"/>
    <w:pPr>
      <w:ind w:left="660"/>
    </w:pPr>
  </w:style>
  <w:style w:type="paragraph" w:styleId="TOC5">
    <w:name w:val="toc 5"/>
    <w:basedOn w:val="Normal"/>
    <w:next w:val="Normal"/>
    <w:autoRedefine/>
    <w:uiPriority w:val="39"/>
    <w:unhideWhenUsed/>
    <w:rsid w:val="00AA4B89"/>
    <w:pPr>
      <w:ind w:left="880"/>
    </w:pPr>
  </w:style>
  <w:style w:type="paragraph" w:styleId="TOC6">
    <w:name w:val="toc 6"/>
    <w:basedOn w:val="Normal"/>
    <w:next w:val="Normal"/>
    <w:autoRedefine/>
    <w:uiPriority w:val="39"/>
    <w:unhideWhenUsed/>
    <w:rsid w:val="00AA4B89"/>
    <w:pPr>
      <w:ind w:left="1100"/>
    </w:pPr>
  </w:style>
  <w:style w:type="paragraph" w:styleId="TOC7">
    <w:name w:val="toc 7"/>
    <w:basedOn w:val="Normal"/>
    <w:next w:val="Normal"/>
    <w:autoRedefine/>
    <w:uiPriority w:val="39"/>
    <w:unhideWhenUsed/>
    <w:rsid w:val="00AA4B89"/>
    <w:pPr>
      <w:ind w:left="1320"/>
    </w:pPr>
  </w:style>
  <w:style w:type="paragraph" w:styleId="TOC8">
    <w:name w:val="toc 8"/>
    <w:basedOn w:val="Normal"/>
    <w:next w:val="Normal"/>
    <w:autoRedefine/>
    <w:uiPriority w:val="39"/>
    <w:unhideWhenUsed/>
    <w:rsid w:val="00AA4B89"/>
    <w:pPr>
      <w:ind w:left="1540"/>
    </w:pPr>
  </w:style>
  <w:style w:type="paragraph" w:styleId="TOC9">
    <w:name w:val="toc 9"/>
    <w:basedOn w:val="Normal"/>
    <w:next w:val="Normal"/>
    <w:autoRedefine/>
    <w:uiPriority w:val="39"/>
    <w:unhideWhenUsed/>
    <w:rsid w:val="00AA4B89"/>
    <w:pPr>
      <w:ind w:left="1760"/>
    </w:pPr>
  </w:style>
  <w:style w:type="table" w:styleId="LightGrid-Accent1">
    <w:name w:val="Light Grid Accent 1"/>
    <w:basedOn w:val="TableNormal"/>
    <w:uiPriority w:val="62"/>
    <w:rsid w:val="008B1BB5"/>
    <w:rPr>
      <w:sz w:val="24"/>
      <w:szCs w:val="24"/>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ＭＳ ゴシック"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ＭＳ ゴシック"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ＭＳ ゴシック" w:hAnsi="Calibri" w:cs="Times New Roman"/>
        <w:b/>
        <w:bCs/>
      </w:rPr>
    </w:tblStylePr>
    <w:tblStylePr w:type="lastCol">
      <w:rPr>
        <w:rFonts w:ascii="Calibri" w:eastAsia="ＭＳ ゴシック"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
    <w:name w:val="Default"/>
    <w:rsid w:val="00CA3354"/>
    <w:pPr>
      <w:autoSpaceDE w:val="0"/>
      <w:autoSpaceDN w:val="0"/>
      <w:adjustRightInd w:val="0"/>
    </w:pPr>
    <w:rPr>
      <w:rFonts w:ascii="Trebuchet MS" w:hAnsi="Trebuchet MS" w:cs="Trebuchet MS"/>
      <w:color w:val="000000"/>
      <w:sz w:val="24"/>
      <w:szCs w:val="24"/>
      <w:lang w:val="en-US"/>
    </w:rPr>
  </w:style>
  <w:style w:type="paragraph" w:styleId="FootnoteText">
    <w:name w:val="footnote text"/>
    <w:basedOn w:val="Normal"/>
    <w:link w:val="FootnoteTextChar"/>
    <w:uiPriority w:val="99"/>
    <w:unhideWhenUsed/>
    <w:rsid w:val="00880A95"/>
    <w:rPr>
      <w:sz w:val="24"/>
    </w:rPr>
  </w:style>
  <w:style w:type="character" w:customStyle="1" w:styleId="FootnoteTextChar">
    <w:name w:val="Footnote Text Char"/>
    <w:link w:val="FootnoteText"/>
    <w:uiPriority w:val="99"/>
    <w:rsid w:val="00880A95"/>
    <w:rPr>
      <w:rFonts w:ascii="Calibri" w:hAnsi="Calibri"/>
      <w:sz w:val="24"/>
      <w:szCs w:val="24"/>
    </w:rPr>
  </w:style>
  <w:style w:type="character" w:styleId="FootnoteReference">
    <w:name w:val="footnote reference"/>
    <w:aliases w:val="ftref,16 Point,Superscript 6 Point"/>
    <w:unhideWhenUsed/>
    <w:rsid w:val="00880A95"/>
    <w:rPr>
      <w:vertAlign w:val="superscript"/>
    </w:rPr>
  </w:style>
  <w:style w:type="table" w:styleId="LightShading-Accent3">
    <w:name w:val="Light Shading Accent 3"/>
    <w:basedOn w:val="TableNormal"/>
    <w:uiPriority w:val="60"/>
    <w:rsid w:val="00DE1EA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1-Accent3">
    <w:name w:val="Medium Shading 1 Accent 3"/>
    <w:basedOn w:val="TableNormal"/>
    <w:uiPriority w:val="63"/>
    <w:rsid w:val="00DE1EA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3">
    <w:name w:val="Light List Accent 3"/>
    <w:basedOn w:val="TableNormal"/>
    <w:uiPriority w:val="61"/>
    <w:rsid w:val="00FE75E0"/>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CommentReference">
    <w:name w:val="annotation reference"/>
    <w:uiPriority w:val="99"/>
    <w:semiHidden/>
    <w:unhideWhenUsed/>
    <w:rsid w:val="00646177"/>
    <w:rPr>
      <w:sz w:val="16"/>
      <w:szCs w:val="16"/>
    </w:rPr>
  </w:style>
  <w:style w:type="paragraph" w:styleId="CommentText">
    <w:name w:val="annotation text"/>
    <w:basedOn w:val="Normal"/>
    <w:link w:val="CommentTextChar"/>
    <w:uiPriority w:val="99"/>
    <w:semiHidden/>
    <w:unhideWhenUsed/>
    <w:rsid w:val="00646177"/>
    <w:rPr>
      <w:rFonts w:eastAsia="MS Mincho"/>
      <w:sz w:val="20"/>
      <w:szCs w:val="20"/>
    </w:rPr>
  </w:style>
  <w:style w:type="character" w:customStyle="1" w:styleId="CommentTextChar">
    <w:name w:val="Comment Text Char"/>
    <w:link w:val="CommentText"/>
    <w:uiPriority w:val="99"/>
    <w:semiHidden/>
    <w:rsid w:val="00646177"/>
    <w:rPr>
      <w:rFonts w:ascii="Calibri" w:eastAsia="MS Mincho" w:hAnsi="Calibri"/>
    </w:rPr>
  </w:style>
  <w:style w:type="paragraph" w:styleId="NoSpacing">
    <w:name w:val="No Spacing"/>
    <w:uiPriority w:val="1"/>
    <w:qFormat/>
    <w:rsid w:val="007A79FA"/>
    <w:rPr>
      <w:sz w:val="24"/>
      <w:szCs w:val="24"/>
    </w:rPr>
  </w:style>
  <w:style w:type="paragraph" w:customStyle="1" w:styleId="Dotpont">
    <w:name w:val="Dot pont"/>
    <w:basedOn w:val="ListParagraph"/>
    <w:qFormat/>
    <w:rsid w:val="007A79FA"/>
    <w:pPr>
      <w:numPr>
        <w:numId w:val="24"/>
      </w:numPr>
      <w:tabs>
        <w:tab w:val="num" w:pos="360"/>
      </w:tabs>
      <w:spacing w:before="0" w:after="120"/>
      <w:ind w:left="720" w:firstLine="0"/>
      <w:contextualSpacing w:val="0"/>
    </w:pPr>
    <w:rPr>
      <w:rFonts w:ascii="Arial" w:eastAsia="Calibri" w:hAnsi="Arial"/>
      <w:sz w:val="21"/>
      <w:szCs w:val="22"/>
      <w:lang w:val="en-US"/>
    </w:rPr>
  </w:style>
  <w:style w:type="paragraph" w:customStyle="1" w:styleId="Footnotesteph">
    <w:name w:val="Footnote steph"/>
    <w:basedOn w:val="FootnoteText"/>
    <w:link w:val="FootnotestephChar"/>
    <w:qFormat/>
    <w:rsid w:val="006D2E84"/>
    <w:pPr>
      <w:spacing w:before="0"/>
      <w:ind w:left="504" w:hanging="504"/>
      <w:contextualSpacing/>
    </w:pPr>
    <w:rPr>
      <w:rFonts w:ascii="Arial" w:eastAsiaTheme="minorHAnsi" w:hAnsi="Arial" w:cstheme="minorBidi"/>
      <w:sz w:val="16"/>
    </w:rPr>
  </w:style>
  <w:style w:type="character" w:customStyle="1" w:styleId="FootnotestephChar">
    <w:name w:val="Footnote steph Char"/>
    <w:basedOn w:val="FootnoteTextChar"/>
    <w:link w:val="Footnotesteph"/>
    <w:rsid w:val="006D2E84"/>
    <w:rPr>
      <w:rFonts w:ascii="Arial" w:eastAsiaTheme="minorHAnsi" w:hAnsi="Arial" w:cstheme="minorBidi"/>
      <w:sz w:val="16"/>
      <w:szCs w:val="24"/>
    </w:rPr>
  </w:style>
  <w:style w:type="paragraph" w:styleId="DocumentMap">
    <w:name w:val="Document Map"/>
    <w:basedOn w:val="Normal"/>
    <w:link w:val="DocumentMapChar"/>
    <w:uiPriority w:val="99"/>
    <w:semiHidden/>
    <w:unhideWhenUsed/>
    <w:rsid w:val="006D2E84"/>
    <w:pPr>
      <w:spacing w:before="0"/>
    </w:pPr>
    <w:rPr>
      <w:rFonts w:ascii="Lucida Grande" w:eastAsiaTheme="minorEastAsia" w:hAnsi="Lucida Grande" w:cs="Lucida Grande"/>
      <w:sz w:val="24"/>
    </w:rPr>
  </w:style>
  <w:style w:type="character" w:customStyle="1" w:styleId="DocumentMapChar">
    <w:name w:val="Document Map Char"/>
    <w:basedOn w:val="DefaultParagraphFont"/>
    <w:link w:val="DocumentMap"/>
    <w:uiPriority w:val="99"/>
    <w:semiHidden/>
    <w:rsid w:val="006D2E84"/>
    <w:rPr>
      <w:rFonts w:ascii="Lucida Grande" w:eastAsiaTheme="minorEastAsia" w:hAnsi="Lucida Grande" w:cs="Lucida Grande"/>
      <w:sz w:val="24"/>
      <w:szCs w:val="24"/>
    </w:rPr>
  </w:style>
  <w:style w:type="character" w:styleId="SubtleEmphasis">
    <w:name w:val="Subtle Emphasis"/>
    <w:basedOn w:val="DefaultParagraphFont"/>
    <w:uiPriority w:val="19"/>
    <w:qFormat/>
    <w:rsid w:val="00A34034"/>
    <w:rPr>
      <w:rFonts w:ascii="Calibri" w:hAnsi="Calibri"/>
      <w:i w:val="0"/>
      <w:iCs/>
      <w:color w:val="auto"/>
      <w:sz w:val="22"/>
      <w:bdr w:val="none" w:sz="0" w:space="0" w:color="auto"/>
      <w:shd w:val="clear" w:color="auto" w:fill="F3F3F3"/>
    </w:rPr>
  </w:style>
  <w:style w:type="character" w:styleId="Emphasis">
    <w:name w:val="Emphasis"/>
    <w:basedOn w:val="DefaultParagraphFont"/>
    <w:uiPriority w:val="20"/>
    <w:qFormat/>
    <w:rsid w:val="002E02C2"/>
    <w:rPr>
      <w:i/>
      <w:iCs/>
    </w:rPr>
  </w:style>
  <w:style w:type="paragraph" w:styleId="CommentSubject">
    <w:name w:val="annotation subject"/>
    <w:basedOn w:val="CommentText"/>
    <w:next w:val="CommentText"/>
    <w:link w:val="CommentSubjectChar"/>
    <w:uiPriority w:val="99"/>
    <w:semiHidden/>
    <w:unhideWhenUsed/>
    <w:rsid w:val="00355716"/>
    <w:rPr>
      <w:rFonts w:eastAsia="ＭＳ 明朝"/>
      <w:b/>
      <w:bCs/>
    </w:rPr>
  </w:style>
  <w:style w:type="character" w:customStyle="1" w:styleId="CommentSubjectChar">
    <w:name w:val="Comment Subject Char"/>
    <w:basedOn w:val="CommentTextChar"/>
    <w:link w:val="CommentSubject"/>
    <w:uiPriority w:val="99"/>
    <w:semiHidden/>
    <w:rsid w:val="00355716"/>
    <w:rPr>
      <w:rFonts w:ascii="Calibri" w:eastAsia="MS Mincho" w:hAnsi="Calibri"/>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5D"/>
    <w:pPr>
      <w:spacing w:before="120"/>
      <w:jc w:val="both"/>
    </w:pPr>
    <w:rPr>
      <w:rFonts w:ascii="Calibri" w:hAnsi="Calibri"/>
      <w:sz w:val="22"/>
      <w:szCs w:val="24"/>
    </w:rPr>
  </w:style>
  <w:style w:type="paragraph" w:styleId="Heading1">
    <w:name w:val="heading 1"/>
    <w:basedOn w:val="Normal"/>
    <w:next w:val="Normal"/>
    <w:link w:val="Heading1Char"/>
    <w:uiPriority w:val="9"/>
    <w:qFormat/>
    <w:rsid w:val="000E2205"/>
    <w:pPr>
      <w:keepNext/>
      <w:keepLines/>
      <w:numPr>
        <w:numId w:val="20"/>
      </w:numPr>
      <w:outlineLvl w:val="0"/>
    </w:pPr>
    <w:rPr>
      <w:rFonts w:eastAsia="ＭＳ ゴシック"/>
      <w:b/>
      <w:bCs/>
      <w:color w:val="345A8A"/>
      <w:sz w:val="32"/>
      <w:szCs w:val="32"/>
    </w:rPr>
  </w:style>
  <w:style w:type="paragraph" w:styleId="Heading2">
    <w:name w:val="heading 2"/>
    <w:basedOn w:val="Normal"/>
    <w:next w:val="Normal"/>
    <w:link w:val="Heading2Char"/>
    <w:uiPriority w:val="9"/>
    <w:unhideWhenUsed/>
    <w:qFormat/>
    <w:rsid w:val="004138BC"/>
    <w:pPr>
      <w:keepNext/>
      <w:keepLines/>
      <w:numPr>
        <w:ilvl w:val="1"/>
        <w:numId w:val="20"/>
      </w:numPr>
      <w:pBdr>
        <w:top w:val="single" w:sz="8" w:space="1" w:color="auto"/>
        <w:bottom w:val="single" w:sz="8" w:space="1" w:color="auto"/>
      </w:pBdr>
      <w:shd w:val="clear" w:color="auto" w:fill="E6E6E6"/>
      <w:spacing w:before="200"/>
      <w:outlineLvl w:val="1"/>
    </w:pPr>
    <w:rPr>
      <w:rFonts w:eastAsia="ＭＳ ゴシック"/>
      <w:b/>
      <w:bCs/>
      <w:color w:val="4F81BD"/>
      <w:sz w:val="26"/>
      <w:szCs w:val="26"/>
    </w:rPr>
  </w:style>
  <w:style w:type="paragraph" w:styleId="Heading3">
    <w:name w:val="heading 3"/>
    <w:basedOn w:val="Normal"/>
    <w:next w:val="Normal"/>
    <w:link w:val="Heading3Char"/>
    <w:uiPriority w:val="9"/>
    <w:unhideWhenUsed/>
    <w:qFormat/>
    <w:rsid w:val="004138BC"/>
    <w:pPr>
      <w:keepNext/>
      <w:keepLines/>
      <w:numPr>
        <w:ilvl w:val="2"/>
        <w:numId w:val="20"/>
      </w:numPr>
      <w:pBdr>
        <w:bottom w:val="single" w:sz="8" w:space="1" w:color="auto"/>
      </w:pBdr>
      <w:spacing w:before="200"/>
      <w:outlineLvl w:val="2"/>
    </w:pPr>
    <w:rPr>
      <w:rFonts w:eastAsia="ＭＳ ゴシック"/>
      <w:b/>
      <w:bCs/>
      <w:color w:val="4F81BD"/>
    </w:rPr>
  </w:style>
  <w:style w:type="paragraph" w:styleId="Heading4">
    <w:name w:val="heading 4"/>
    <w:basedOn w:val="Normal"/>
    <w:next w:val="Normal"/>
    <w:link w:val="Heading4Char"/>
    <w:uiPriority w:val="9"/>
    <w:unhideWhenUsed/>
    <w:qFormat/>
    <w:rsid w:val="002C5EDB"/>
    <w:pPr>
      <w:keepNext/>
      <w:keepLines/>
      <w:spacing w:before="200"/>
      <w:outlineLvl w:val="3"/>
    </w:pPr>
    <w:rPr>
      <w:rFonts w:eastAsia="ＭＳ ゴシック"/>
      <w:bCs/>
      <w:iCs/>
      <w:color w:val="1F497D" w:themeColor="text2"/>
      <w:sz w:val="24"/>
      <w:u w:val="single"/>
    </w:rPr>
  </w:style>
  <w:style w:type="paragraph" w:styleId="Heading5">
    <w:name w:val="heading 5"/>
    <w:basedOn w:val="Normal"/>
    <w:next w:val="Normal"/>
    <w:link w:val="Heading5Char"/>
    <w:uiPriority w:val="9"/>
    <w:unhideWhenUsed/>
    <w:qFormat/>
    <w:rsid w:val="002C5EDB"/>
    <w:pPr>
      <w:keepNext/>
      <w:keepLines/>
      <w:spacing w:before="200"/>
      <w:outlineLvl w:val="4"/>
    </w:pPr>
    <w:rPr>
      <w:rFonts w:eastAsia="ＭＳ ゴシック"/>
      <w:color w:val="243F60"/>
    </w:rPr>
  </w:style>
  <w:style w:type="paragraph" w:styleId="Heading6">
    <w:name w:val="heading 6"/>
    <w:basedOn w:val="Normal"/>
    <w:next w:val="Normal"/>
    <w:link w:val="Heading6Char"/>
    <w:uiPriority w:val="9"/>
    <w:unhideWhenUsed/>
    <w:qFormat/>
    <w:rsid w:val="00AA4B89"/>
    <w:pPr>
      <w:keepNext/>
      <w:keepLines/>
      <w:numPr>
        <w:ilvl w:val="5"/>
        <w:numId w:val="20"/>
      </w:numPr>
      <w:spacing w:before="200"/>
      <w:outlineLvl w:val="5"/>
    </w:pPr>
    <w:rPr>
      <w:rFonts w:eastAsia="ＭＳ ゴシック"/>
      <w:i/>
      <w:iCs/>
      <w:color w:val="243F60"/>
    </w:rPr>
  </w:style>
  <w:style w:type="paragraph" w:styleId="Heading7">
    <w:name w:val="heading 7"/>
    <w:basedOn w:val="Normal"/>
    <w:next w:val="Normal"/>
    <w:link w:val="Heading7Char"/>
    <w:uiPriority w:val="9"/>
    <w:semiHidden/>
    <w:unhideWhenUsed/>
    <w:qFormat/>
    <w:rsid w:val="00AA4B89"/>
    <w:pPr>
      <w:keepNext/>
      <w:keepLines/>
      <w:numPr>
        <w:ilvl w:val="6"/>
        <w:numId w:val="20"/>
      </w:numPr>
      <w:spacing w:before="200"/>
      <w:outlineLvl w:val="6"/>
    </w:pPr>
    <w:rPr>
      <w:rFonts w:eastAsia="ＭＳ ゴシック"/>
      <w:i/>
      <w:iCs/>
      <w:color w:val="404040"/>
    </w:rPr>
  </w:style>
  <w:style w:type="paragraph" w:styleId="Heading8">
    <w:name w:val="heading 8"/>
    <w:basedOn w:val="Normal"/>
    <w:next w:val="Normal"/>
    <w:link w:val="Heading8Char"/>
    <w:uiPriority w:val="9"/>
    <w:semiHidden/>
    <w:unhideWhenUsed/>
    <w:qFormat/>
    <w:rsid w:val="00AA4B89"/>
    <w:pPr>
      <w:keepNext/>
      <w:keepLines/>
      <w:numPr>
        <w:ilvl w:val="7"/>
        <w:numId w:val="20"/>
      </w:numPr>
      <w:spacing w:before="200"/>
      <w:outlineLvl w:val="7"/>
    </w:pPr>
    <w:rPr>
      <w:rFonts w:eastAsia="ＭＳ ゴシック"/>
      <w:color w:val="404040"/>
      <w:sz w:val="20"/>
      <w:szCs w:val="20"/>
    </w:rPr>
  </w:style>
  <w:style w:type="paragraph" w:styleId="Heading9">
    <w:name w:val="heading 9"/>
    <w:basedOn w:val="Normal"/>
    <w:next w:val="Normal"/>
    <w:link w:val="Heading9Char"/>
    <w:uiPriority w:val="9"/>
    <w:semiHidden/>
    <w:unhideWhenUsed/>
    <w:qFormat/>
    <w:rsid w:val="00AA4B89"/>
    <w:pPr>
      <w:keepNext/>
      <w:keepLines/>
      <w:numPr>
        <w:ilvl w:val="8"/>
        <w:numId w:val="20"/>
      </w:numPr>
      <w:spacing w:before="200"/>
      <w:outlineLvl w:val="8"/>
    </w:pPr>
    <w:rPr>
      <w:rFonts w:eastAsia="ＭＳ ゴシック"/>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8ED"/>
    <w:rPr>
      <w:rFonts w:ascii="Lucida Grande" w:hAnsi="Lucida Grande" w:cs="Lucida Grande"/>
      <w:sz w:val="18"/>
      <w:szCs w:val="18"/>
    </w:rPr>
  </w:style>
  <w:style w:type="character" w:customStyle="1" w:styleId="BalloonTextChar">
    <w:name w:val="Balloon Text Char"/>
    <w:link w:val="BalloonText"/>
    <w:uiPriority w:val="99"/>
    <w:semiHidden/>
    <w:rsid w:val="00FE58ED"/>
    <w:rPr>
      <w:rFonts w:ascii="Lucida Grande" w:hAnsi="Lucida Grande" w:cs="Lucida Grande"/>
      <w:sz w:val="18"/>
      <w:szCs w:val="18"/>
      <w:lang w:val="en-GB"/>
    </w:rPr>
  </w:style>
  <w:style w:type="paragraph" w:styleId="Header">
    <w:name w:val="header"/>
    <w:basedOn w:val="Normal"/>
    <w:link w:val="HeaderChar"/>
    <w:uiPriority w:val="99"/>
    <w:unhideWhenUsed/>
    <w:rsid w:val="00014341"/>
    <w:pPr>
      <w:tabs>
        <w:tab w:val="center" w:pos="4320"/>
        <w:tab w:val="right" w:pos="8640"/>
      </w:tabs>
    </w:pPr>
  </w:style>
  <w:style w:type="character" w:customStyle="1" w:styleId="HeaderChar">
    <w:name w:val="Header Char"/>
    <w:link w:val="Header"/>
    <w:uiPriority w:val="99"/>
    <w:rsid w:val="00014341"/>
    <w:rPr>
      <w:rFonts w:ascii="Calibri" w:hAnsi="Calibri"/>
      <w:lang w:val="en-GB"/>
    </w:rPr>
  </w:style>
  <w:style w:type="paragraph" w:styleId="Footer">
    <w:name w:val="footer"/>
    <w:basedOn w:val="Normal"/>
    <w:link w:val="FooterChar"/>
    <w:uiPriority w:val="99"/>
    <w:unhideWhenUsed/>
    <w:rsid w:val="00014341"/>
    <w:pPr>
      <w:tabs>
        <w:tab w:val="center" w:pos="4320"/>
        <w:tab w:val="right" w:pos="8640"/>
      </w:tabs>
    </w:pPr>
  </w:style>
  <w:style w:type="character" w:customStyle="1" w:styleId="FooterChar">
    <w:name w:val="Footer Char"/>
    <w:link w:val="Footer"/>
    <w:uiPriority w:val="99"/>
    <w:rsid w:val="00014341"/>
    <w:rPr>
      <w:rFonts w:ascii="Calibri" w:hAnsi="Calibri"/>
      <w:lang w:val="en-GB"/>
    </w:rPr>
  </w:style>
  <w:style w:type="character" w:customStyle="1" w:styleId="Heading1Char">
    <w:name w:val="Heading 1 Char"/>
    <w:link w:val="Heading1"/>
    <w:uiPriority w:val="9"/>
    <w:rsid w:val="000E2205"/>
    <w:rPr>
      <w:rFonts w:ascii="Calibri" w:eastAsia="ＭＳ ゴシック" w:hAnsi="Calibri"/>
      <w:b/>
      <w:bCs/>
      <w:color w:val="345A8A"/>
      <w:sz w:val="32"/>
      <w:szCs w:val="32"/>
    </w:rPr>
  </w:style>
  <w:style w:type="character" w:customStyle="1" w:styleId="Heading2Char">
    <w:name w:val="Heading 2 Char"/>
    <w:link w:val="Heading2"/>
    <w:uiPriority w:val="9"/>
    <w:rsid w:val="004138BC"/>
    <w:rPr>
      <w:rFonts w:ascii="Calibri" w:eastAsia="ＭＳ ゴシック" w:hAnsi="Calibri"/>
      <w:b/>
      <w:bCs/>
      <w:color w:val="4F81BD"/>
      <w:sz w:val="26"/>
      <w:szCs w:val="26"/>
      <w:shd w:val="clear" w:color="auto" w:fill="E6E6E6"/>
    </w:rPr>
  </w:style>
  <w:style w:type="character" w:customStyle="1" w:styleId="Heading3Char">
    <w:name w:val="Heading 3 Char"/>
    <w:link w:val="Heading3"/>
    <w:uiPriority w:val="9"/>
    <w:rsid w:val="004138BC"/>
    <w:rPr>
      <w:rFonts w:ascii="Calibri" w:eastAsia="ＭＳ ゴシック" w:hAnsi="Calibri"/>
      <w:b/>
      <w:bCs/>
      <w:color w:val="4F81BD"/>
      <w:sz w:val="22"/>
      <w:szCs w:val="24"/>
    </w:rPr>
  </w:style>
  <w:style w:type="paragraph" w:styleId="ListParagraph">
    <w:name w:val="List Paragraph"/>
    <w:basedOn w:val="Normal"/>
    <w:uiPriority w:val="34"/>
    <w:qFormat/>
    <w:rsid w:val="003026A3"/>
    <w:pPr>
      <w:ind w:left="720"/>
      <w:contextualSpacing/>
    </w:pPr>
  </w:style>
  <w:style w:type="paragraph" w:styleId="Caption">
    <w:name w:val="caption"/>
    <w:basedOn w:val="Normal"/>
    <w:next w:val="Normal"/>
    <w:uiPriority w:val="35"/>
    <w:unhideWhenUsed/>
    <w:qFormat/>
    <w:rsid w:val="00C27A2F"/>
    <w:pPr>
      <w:spacing w:after="200"/>
    </w:pPr>
    <w:rPr>
      <w:b/>
      <w:bCs/>
      <w:color w:val="4F81BD"/>
      <w:sz w:val="18"/>
      <w:szCs w:val="18"/>
    </w:rPr>
  </w:style>
  <w:style w:type="table" w:styleId="TableGrid">
    <w:name w:val="Table Grid"/>
    <w:basedOn w:val="TableNormal"/>
    <w:uiPriority w:val="59"/>
    <w:rsid w:val="00574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95AC0"/>
    <w:pPr>
      <w:pBdr>
        <w:bottom w:val="single" w:sz="8" w:space="4" w:color="4F81BD"/>
      </w:pBdr>
      <w:spacing w:before="0" w:after="300"/>
      <w:contextualSpacing/>
    </w:pPr>
    <w:rPr>
      <w:rFonts w:eastAsia="ＭＳ ゴシック"/>
      <w:color w:val="17365D"/>
      <w:spacing w:val="5"/>
      <w:kern w:val="28"/>
      <w:sz w:val="52"/>
      <w:szCs w:val="52"/>
    </w:rPr>
  </w:style>
  <w:style w:type="character" w:customStyle="1" w:styleId="TitleChar">
    <w:name w:val="Title Char"/>
    <w:link w:val="Title"/>
    <w:uiPriority w:val="10"/>
    <w:rsid w:val="00495AC0"/>
    <w:rPr>
      <w:rFonts w:ascii="Calibri" w:eastAsia="ＭＳ ゴシック" w:hAnsi="Calibri" w:cs="Times New Roman"/>
      <w:color w:val="17365D"/>
      <w:spacing w:val="5"/>
      <w:kern w:val="28"/>
      <w:sz w:val="52"/>
      <w:szCs w:val="52"/>
      <w:lang w:val="en-GB"/>
    </w:rPr>
  </w:style>
  <w:style w:type="character" w:customStyle="1" w:styleId="Heading4Char">
    <w:name w:val="Heading 4 Char"/>
    <w:link w:val="Heading4"/>
    <w:uiPriority w:val="9"/>
    <w:rsid w:val="00AB53D0"/>
    <w:rPr>
      <w:rFonts w:ascii="Calibri" w:eastAsia="ＭＳ ゴシック" w:hAnsi="Calibri"/>
      <w:bCs/>
      <w:iCs/>
      <w:color w:val="1F497D" w:themeColor="text2"/>
      <w:sz w:val="24"/>
      <w:szCs w:val="24"/>
      <w:u w:val="single"/>
    </w:rPr>
  </w:style>
  <w:style w:type="character" w:customStyle="1" w:styleId="Heading5Char">
    <w:name w:val="Heading 5 Char"/>
    <w:link w:val="Heading5"/>
    <w:uiPriority w:val="9"/>
    <w:rsid w:val="00AA4B89"/>
    <w:rPr>
      <w:rFonts w:ascii="Calibri" w:eastAsia="ＭＳ ゴシック" w:hAnsi="Calibri"/>
      <w:color w:val="243F60"/>
      <w:sz w:val="22"/>
      <w:szCs w:val="24"/>
    </w:rPr>
  </w:style>
  <w:style w:type="character" w:customStyle="1" w:styleId="Heading6Char">
    <w:name w:val="Heading 6 Char"/>
    <w:link w:val="Heading6"/>
    <w:uiPriority w:val="9"/>
    <w:rsid w:val="00AA4B89"/>
    <w:rPr>
      <w:rFonts w:ascii="Calibri" w:eastAsia="ＭＳ ゴシック" w:hAnsi="Calibri"/>
      <w:i/>
      <w:iCs/>
      <w:color w:val="243F60"/>
      <w:sz w:val="22"/>
      <w:szCs w:val="24"/>
    </w:rPr>
  </w:style>
  <w:style w:type="character" w:customStyle="1" w:styleId="Heading7Char">
    <w:name w:val="Heading 7 Char"/>
    <w:link w:val="Heading7"/>
    <w:uiPriority w:val="9"/>
    <w:semiHidden/>
    <w:rsid w:val="00AA4B89"/>
    <w:rPr>
      <w:rFonts w:ascii="Calibri" w:eastAsia="ＭＳ ゴシック" w:hAnsi="Calibri"/>
      <w:i/>
      <w:iCs/>
      <w:color w:val="404040"/>
      <w:sz w:val="22"/>
      <w:szCs w:val="24"/>
    </w:rPr>
  </w:style>
  <w:style w:type="character" w:customStyle="1" w:styleId="Heading8Char">
    <w:name w:val="Heading 8 Char"/>
    <w:link w:val="Heading8"/>
    <w:uiPriority w:val="9"/>
    <w:semiHidden/>
    <w:rsid w:val="00AA4B89"/>
    <w:rPr>
      <w:rFonts w:ascii="Calibri" w:eastAsia="ＭＳ ゴシック" w:hAnsi="Calibri"/>
      <w:color w:val="404040"/>
    </w:rPr>
  </w:style>
  <w:style w:type="character" w:customStyle="1" w:styleId="Heading9Char">
    <w:name w:val="Heading 9 Char"/>
    <w:link w:val="Heading9"/>
    <w:uiPriority w:val="9"/>
    <w:semiHidden/>
    <w:rsid w:val="00AA4B89"/>
    <w:rPr>
      <w:rFonts w:ascii="Calibri" w:eastAsia="ＭＳ ゴシック" w:hAnsi="Calibri"/>
      <w:i/>
      <w:iCs/>
      <w:color w:val="404040"/>
    </w:rPr>
  </w:style>
  <w:style w:type="paragraph" w:styleId="TOC1">
    <w:name w:val="toc 1"/>
    <w:basedOn w:val="Normal"/>
    <w:next w:val="Normal"/>
    <w:autoRedefine/>
    <w:uiPriority w:val="39"/>
    <w:unhideWhenUsed/>
    <w:rsid w:val="00AA4B89"/>
  </w:style>
  <w:style w:type="paragraph" w:styleId="TOC2">
    <w:name w:val="toc 2"/>
    <w:basedOn w:val="Normal"/>
    <w:next w:val="Normal"/>
    <w:autoRedefine/>
    <w:uiPriority w:val="39"/>
    <w:unhideWhenUsed/>
    <w:rsid w:val="00AA4B89"/>
    <w:pPr>
      <w:ind w:left="220"/>
    </w:pPr>
  </w:style>
  <w:style w:type="paragraph" w:styleId="TOC3">
    <w:name w:val="toc 3"/>
    <w:basedOn w:val="Normal"/>
    <w:next w:val="Normal"/>
    <w:autoRedefine/>
    <w:uiPriority w:val="39"/>
    <w:unhideWhenUsed/>
    <w:rsid w:val="00AA4B89"/>
    <w:pPr>
      <w:ind w:left="440"/>
    </w:pPr>
  </w:style>
  <w:style w:type="paragraph" w:styleId="TOC4">
    <w:name w:val="toc 4"/>
    <w:basedOn w:val="Normal"/>
    <w:next w:val="Normal"/>
    <w:autoRedefine/>
    <w:uiPriority w:val="39"/>
    <w:unhideWhenUsed/>
    <w:rsid w:val="00AA4B89"/>
    <w:pPr>
      <w:ind w:left="660"/>
    </w:pPr>
  </w:style>
  <w:style w:type="paragraph" w:styleId="TOC5">
    <w:name w:val="toc 5"/>
    <w:basedOn w:val="Normal"/>
    <w:next w:val="Normal"/>
    <w:autoRedefine/>
    <w:uiPriority w:val="39"/>
    <w:unhideWhenUsed/>
    <w:rsid w:val="00AA4B89"/>
    <w:pPr>
      <w:ind w:left="880"/>
    </w:pPr>
  </w:style>
  <w:style w:type="paragraph" w:styleId="TOC6">
    <w:name w:val="toc 6"/>
    <w:basedOn w:val="Normal"/>
    <w:next w:val="Normal"/>
    <w:autoRedefine/>
    <w:uiPriority w:val="39"/>
    <w:unhideWhenUsed/>
    <w:rsid w:val="00AA4B89"/>
    <w:pPr>
      <w:ind w:left="1100"/>
    </w:pPr>
  </w:style>
  <w:style w:type="paragraph" w:styleId="TOC7">
    <w:name w:val="toc 7"/>
    <w:basedOn w:val="Normal"/>
    <w:next w:val="Normal"/>
    <w:autoRedefine/>
    <w:uiPriority w:val="39"/>
    <w:unhideWhenUsed/>
    <w:rsid w:val="00AA4B89"/>
    <w:pPr>
      <w:ind w:left="1320"/>
    </w:pPr>
  </w:style>
  <w:style w:type="paragraph" w:styleId="TOC8">
    <w:name w:val="toc 8"/>
    <w:basedOn w:val="Normal"/>
    <w:next w:val="Normal"/>
    <w:autoRedefine/>
    <w:uiPriority w:val="39"/>
    <w:unhideWhenUsed/>
    <w:rsid w:val="00AA4B89"/>
    <w:pPr>
      <w:ind w:left="1540"/>
    </w:pPr>
  </w:style>
  <w:style w:type="paragraph" w:styleId="TOC9">
    <w:name w:val="toc 9"/>
    <w:basedOn w:val="Normal"/>
    <w:next w:val="Normal"/>
    <w:autoRedefine/>
    <w:uiPriority w:val="39"/>
    <w:unhideWhenUsed/>
    <w:rsid w:val="00AA4B89"/>
    <w:pPr>
      <w:ind w:left="1760"/>
    </w:pPr>
  </w:style>
  <w:style w:type="table" w:styleId="LightGrid-Accent1">
    <w:name w:val="Light Grid Accent 1"/>
    <w:basedOn w:val="TableNormal"/>
    <w:uiPriority w:val="62"/>
    <w:rsid w:val="008B1BB5"/>
    <w:rPr>
      <w:sz w:val="24"/>
      <w:szCs w:val="24"/>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ＭＳ ゴシック"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ＭＳ ゴシック"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ＭＳ ゴシック" w:hAnsi="Calibri" w:cs="Times New Roman"/>
        <w:b/>
        <w:bCs/>
      </w:rPr>
    </w:tblStylePr>
    <w:tblStylePr w:type="lastCol">
      <w:rPr>
        <w:rFonts w:ascii="Calibri" w:eastAsia="ＭＳ ゴシック"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
    <w:name w:val="Default"/>
    <w:rsid w:val="00CA3354"/>
    <w:pPr>
      <w:autoSpaceDE w:val="0"/>
      <w:autoSpaceDN w:val="0"/>
      <w:adjustRightInd w:val="0"/>
    </w:pPr>
    <w:rPr>
      <w:rFonts w:ascii="Trebuchet MS" w:hAnsi="Trebuchet MS" w:cs="Trebuchet MS"/>
      <w:color w:val="000000"/>
      <w:sz w:val="24"/>
      <w:szCs w:val="24"/>
      <w:lang w:val="en-US"/>
    </w:rPr>
  </w:style>
  <w:style w:type="paragraph" w:styleId="FootnoteText">
    <w:name w:val="footnote text"/>
    <w:basedOn w:val="Normal"/>
    <w:link w:val="FootnoteTextChar"/>
    <w:uiPriority w:val="99"/>
    <w:unhideWhenUsed/>
    <w:rsid w:val="00880A95"/>
    <w:rPr>
      <w:sz w:val="24"/>
    </w:rPr>
  </w:style>
  <w:style w:type="character" w:customStyle="1" w:styleId="FootnoteTextChar">
    <w:name w:val="Footnote Text Char"/>
    <w:link w:val="FootnoteText"/>
    <w:uiPriority w:val="99"/>
    <w:rsid w:val="00880A95"/>
    <w:rPr>
      <w:rFonts w:ascii="Calibri" w:hAnsi="Calibri"/>
      <w:sz w:val="24"/>
      <w:szCs w:val="24"/>
    </w:rPr>
  </w:style>
  <w:style w:type="character" w:styleId="FootnoteReference">
    <w:name w:val="footnote reference"/>
    <w:aliases w:val="ftref,16 Point,Superscript 6 Point"/>
    <w:unhideWhenUsed/>
    <w:rsid w:val="00880A95"/>
    <w:rPr>
      <w:vertAlign w:val="superscript"/>
    </w:rPr>
  </w:style>
  <w:style w:type="table" w:styleId="LightShading-Accent3">
    <w:name w:val="Light Shading Accent 3"/>
    <w:basedOn w:val="TableNormal"/>
    <w:uiPriority w:val="60"/>
    <w:rsid w:val="00DE1EA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1-Accent3">
    <w:name w:val="Medium Shading 1 Accent 3"/>
    <w:basedOn w:val="TableNormal"/>
    <w:uiPriority w:val="63"/>
    <w:rsid w:val="00DE1EA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3">
    <w:name w:val="Light List Accent 3"/>
    <w:basedOn w:val="TableNormal"/>
    <w:uiPriority w:val="61"/>
    <w:rsid w:val="00FE75E0"/>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CommentReference">
    <w:name w:val="annotation reference"/>
    <w:uiPriority w:val="99"/>
    <w:semiHidden/>
    <w:unhideWhenUsed/>
    <w:rsid w:val="00646177"/>
    <w:rPr>
      <w:sz w:val="16"/>
      <w:szCs w:val="16"/>
    </w:rPr>
  </w:style>
  <w:style w:type="paragraph" w:styleId="CommentText">
    <w:name w:val="annotation text"/>
    <w:basedOn w:val="Normal"/>
    <w:link w:val="CommentTextChar"/>
    <w:uiPriority w:val="99"/>
    <w:semiHidden/>
    <w:unhideWhenUsed/>
    <w:rsid w:val="00646177"/>
    <w:rPr>
      <w:rFonts w:eastAsia="MS Mincho"/>
      <w:sz w:val="20"/>
      <w:szCs w:val="20"/>
    </w:rPr>
  </w:style>
  <w:style w:type="character" w:customStyle="1" w:styleId="CommentTextChar">
    <w:name w:val="Comment Text Char"/>
    <w:link w:val="CommentText"/>
    <w:uiPriority w:val="99"/>
    <w:semiHidden/>
    <w:rsid w:val="00646177"/>
    <w:rPr>
      <w:rFonts w:ascii="Calibri" w:eastAsia="MS Mincho" w:hAnsi="Calibri"/>
    </w:rPr>
  </w:style>
  <w:style w:type="paragraph" w:styleId="NoSpacing">
    <w:name w:val="No Spacing"/>
    <w:uiPriority w:val="1"/>
    <w:qFormat/>
    <w:rsid w:val="007A79FA"/>
    <w:rPr>
      <w:sz w:val="24"/>
      <w:szCs w:val="24"/>
    </w:rPr>
  </w:style>
  <w:style w:type="paragraph" w:customStyle="1" w:styleId="Dotpont">
    <w:name w:val="Dot pont"/>
    <w:basedOn w:val="ListParagraph"/>
    <w:qFormat/>
    <w:rsid w:val="007A79FA"/>
    <w:pPr>
      <w:numPr>
        <w:numId w:val="24"/>
      </w:numPr>
      <w:tabs>
        <w:tab w:val="num" w:pos="360"/>
      </w:tabs>
      <w:spacing w:before="0" w:after="120"/>
      <w:ind w:left="720" w:firstLine="0"/>
      <w:contextualSpacing w:val="0"/>
    </w:pPr>
    <w:rPr>
      <w:rFonts w:ascii="Arial" w:eastAsia="Calibri" w:hAnsi="Arial"/>
      <w:sz w:val="21"/>
      <w:szCs w:val="22"/>
      <w:lang w:val="en-US"/>
    </w:rPr>
  </w:style>
  <w:style w:type="paragraph" w:customStyle="1" w:styleId="Footnotesteph">
    <w:name w:val="Footnote steph"/>
    <w:basedOn w:val="FootnoteText"/>
    <w:link w:val="FootnotestephChar"/>
    <w:qFormat/>
    <w:rsid w:val="006D2E84"/>
    <w:pPr>
      <w:spacing w:before="0"/>
      <w:ind w:left="504" w:hanging="504"/>
      <w:contextualSpacing/>
    </w:pPr>
    <w:rPr>
      <w:rFonts w:ascii="Arial" w:eastAsiaTheme="minorHAnsi" w:hAnsi="Arial" w:cstheme="minorBidi"/>
      <w:sz w:val="16"/>
    </w:rPr>
  </w:style>
  <w:style w:type="character" w:customStyle="1" w:styleId="FootnotestephChar">
    <w:name w:val="Footnote steph Char"/>
    <w:basedOn w:val="FootnoteTextChar"/>
    <w:link w:val="Footnotesteph"/>
    <w:rsid w:val="006D2E84"/>
    <w:rPr>
      <w:rFonts w:ascii="Arial" w:eastAsiaTheme="minorHAnsi" w:hAnsi="Arial" w:cstheme="minorBidi"/>
      <w:sz w:val="16"/>
      <w:szCs w:val="24"/>
    </w:rPr>
  </w:style>
  <w:style w:type="paragraph" w:styleId="DocumentMap">
    <w:name w:val="Document Map"/>
    <w:basedOn w:val="Normal"/>
    <w:link w:val="DocumentMapChar"/>
    <w:uiPriority w:val="99"/>
    <w:semiHidden/>
    <w:unhideWhenUsed/>
    <w:rsid w:val="006D2E84"/>
    <w:pPr>
      <w:spacing w:before="0"/>
    </w:pPr>
    <w:rPr>
      <w:rFonts w:ascii="Lucida Grande" w:eastAsiaTheme="minorEastAsia" w:hAnsi="Lucida Grande" w:cs="Lucida Grande"/>
      <w:sz w:val="24"/>
    </w:rPr>
  </w:style>
  <w:style w:type="character" w:customStyle="1" w:styleId="DocumentMapChar">
    <w:name w:val="Document Map Char"/>
    <w:basedOn w:val="DefaultParagraphFont"/>
    <w:link w:val="DocumentMap"/>
    <w:uiPriority w:val="99"/>
    <w:semiHidden/>
    <w:rsid w:val="006D2E84"/>
    <w:rPr>
      <w:rFonts w:ascii="Lucida Grande" w:eastAsiaTheme="minorEastAsia" w:hAnsi="Lucida Grande" w:cs="Lucida Grande"/>
      <w:sz w:val="24"/>
      <w:szCs w:val="24"/>
    </w:rPr>
  </w:style>
  <w:style w:type="character" w:styleId="SubtleEmphasis">
    <w:name w:val="Subtle Emphasis"/>
    <w:basedOn w:val="DefaultParagraphFont"/>
    <w:uiPriority w:val="19"/>
    <w:qFormat/>
    <w:rsid w:val="00A34034"/>
    <w:rPr>
      <w:rFonts w:ascii="Calibri" w:hAnsi="Calibri"/>
      <w:i w:val="0"/>
      <w:iCs/>
      <w:color w:val="auto"/>
      <w:sz w:val="22"/>
      <w:bdr w:val="none" w:sz="0" w:space="0" w:color="auto"/>
      <w:shd w:val="clear" w:color="auto" w:fill="F3F3F3"/>
    </w:rPr>
  </w:style>
  <w:style w:type="character" w:styleId="Emphasis">
    <w:name w:val="Emphasis"/>
    <w:basedOn w:val="DefaultParagraphFont"/>
    <w:uiPriority w:val="20"/>
    <w:qFormat/>
    <w:rsid w:val="002E02C2"/>
    <w:rPr>
      <w:i/>
      <w:iCs/>
    </w:rPr>
  </w:style>
  <w:style w:type="paragraph" w:styleId="CommentSubject">
    <w:name w:val="annotation subject"/>
    <w:basedOn w:val="CommentText"/>
    <w:next w:val="CommentText"/>
    <w:link w:val="CommentSubjectChar"/>
    <w:uiPriority w:val="99"/>
    <w:semiHidden/>
    <w:unhideWhenUsed/>
    <w:rsid w:val="00355716"/>
    <w:rPr>
      <w:rFonts w:eastAsia="ＭＳ 明朝"/>
      <w:b/>
      <w:bCs/>
    </w:rPr>
  </w:style>
  <w:style w:type="character" w:customStyle="1" w:styleId="CommentSubjectChar">
    <w:name w:val="Comment Subject Char"/>
    <w:basedOn w:val="CommentTextChar"/>
    <w:link w:val="CommentSubject"/>
    <w:uiPriority w:val="99"/>
    <w:semiHidden/>
    <w:rsid w:val="00355716"/>
    <w:rPr>
      <w:rFonts w:ascii="Calibri" w:eastAsia="MS Mincho"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307501">
      <w:bodyDiv w:val="1"/>
      <w:marLeft w:val="0"/>
      <w:marRight w:val="0"/>
      <w:marTop w:val="0"/>
      <w:marBottom w:val="0"/>
      <w:divBdr>
        <w:top w:val="none" w:sz="0" w:space="0" w:color="auto"/>
        <w:left w:val="none" w:sz="0" w:space="0" w:color="auto"/>
        <w:bottom w:val="none" w:sz="0" w:space="0" w:color="auto"/>
        <w:right w:val="none" w:sz="0" w:space="0" w:color="auto"/>
      </w:divBdr>
      <w:divsChild>
        <w:div w:id="1238857576">
          <w:marLeft w:val="547"/>
          <w:marRight w:val="0"/>
          <w:marTop w:val="0"/>
          <w:marBottom w:val="0"/>
          <w:divBdr>
            <w:top w:val="none" w:sz="0" w:space="0" w:color="auto"/>
            <w:left w:val="none" w:sz="0" w:space="0" w:color="auto"/>
            <w:bottom w:val="none" w:sz="0" w:space="0" w:color="auto"/>
            <w:right w:val="none" w:sz="0" w:space="0" w:color="auto"/>
          </w:divBdr>
        </w:div>
        <w:div w:id="391121792">
          <w:marLeft w:val="1166"/>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image" Target="media/image1.png"/><Relationship Id="rId15" Type="http://schemas.openxmlformats.org/officeDocument/2006/relationships/comments" Target="comments.xml"/><Relationship Id="rId16" Type="http://schemas.openxmlformats.org/officeDocument/2006/relationships/image" Target="media/image2.jp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hilcowling:Library:Application%20Support:Microsoft:Office:User%20Templates:My%20Templates:Bas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Basic Template.dotx</Template>
  <TotalTime>12</TotalTime>
  <Pages>74</Pages>
  <Words>25275</Words>
  <Characters>144070</Characters>
  <Application>Microsoft Macintosh Word</Application>
  <DocSecurity>0</DocSecurity>
  <Lines>1200</Lines>
  <Paragraphs>338</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
      <vt:lpstr/>
      <vt:lpstr>    Table of Contents: </vt:lpstr>
      <vt:lpstr>    </vt:lpstr>
      <vt:lpstr>    Table of Acronyms</vt:lpstr>
      <vt:lpstr>Overview</vt:lpstr>
      <vt:lpstr>    Objective of Guidelines </vt:lpstr>
      <vt:lpstr>    Target Audience </vt:lpstr>
      <vt:lpstr>    Anticipated Outcomes: </vt:lpstr>
      <vt:lpstr>    Structure of Guidelines</vt:lpstr>
      <vt:lpstr/>
      <vt:lpstr>Safeguards and International Requirements for Safeguards</vt:lpstr>
      <vt:lpstr>    What are safeguards</vt:lpstr>
      <vt:lpstr>    REDD+ Safeguards within the UNFCCC </vt:lpstr>
      <vt:lpstr>        Safeguard Information Systems</vt:lpstr>
      <vt:lpstr>    Existing Frameworks for the Development of National Safeguards </vt:lpstr>
      <vt:lpstr>        The REDD+ SES</vt:lpstr>
      <vt:lpstr>        The FCFP SESA</vt:lpstr>
      <vt:lpstr>        The UN-REDD SEPC</vt:lpstr>
      <vt:lpstr/>
      <vt:lpstr>Understanding the UN-FCCC Safeguards</vt:lpstr>
      <vt:lpstr>    Safeguard a)</vt:lpstr>
      <vt:lpstr>        Complement or be consistent with the objectives of national forest programmes</vt:lpstr>
      <vt:lpstr>        Complement or be consistent with the objectives of relevant international conven</vt:lpstr>
      <vt:lpstr>    Safeguard b)</vt:lpstr>
      <vt:lpstr>        Transparent governance system</vt:lpstr>
      <vt:lpstr>Developing a National Approach to REDD+ Safeguards within the Solomon Islands</vt:lpstr>
      <vt:lpstr>    Developing a National Framework of Safeguards</vt:lpstr>
      <vt:lpstr>        Define your Objectives </vt:lpstr>
      <vt:lpstr>        Identify how to develop your Safeguard Framework </vt:lpstr>
      <vt:lpstr>        Identify Existing Safeguards and Gaps within the Framework of Safeguards </vt:lpstr>
      <vt:lpstr>        Identify Actions that Need to Be Taken</vt:lpstr>
      <vt:lpstr>    </vt:lpstr>
      <vt:lpstr>    Develop National Safeguard Information System</vt:lpstr>
      <vt:lpstr>        Review and development of a REDD+ Safeguards Framework – including nationally sp</vt:lpstr>
      <vt:lpstr>        Assessment of Existing Information Systems and Means of Collecting Data</vt:lpstr>
      <vt:lpstr>        Recommendations: </vt:lpstr>
      <vt:lpstr>Annex 1: List of International Agreements Relevant to REDD+ </vt:lpstr>
      <vt:lpstr>    </vt:lpstr>
      <vt:lpstr>Annex 2: Overview of Assessment of Existing Policies, Laws, Measures and their I</vt:lpstr>
    </vt:vector>
  </TitlesOfParts>
  <Company/>
  <LinksUpToDate>false</LinksUpToDate>
  <CharactersWithSpaces>169007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Cowling</dc:creator>
  <cp:keywords/>
  <dc:description/>
  <cp:lastModifiedBy>Phil Cowling</cp:lastModifiedBy>
  <cp:revision>3</cp:revision>
  <cp:lastPrinted>2013-12-01T20:44:00Z</cp:lastPrinted>
  <dcterms:created xsi:type="dcterms:W3CDTF">2014-02-26T11:44:00Z</dcterms:created>
  <dcterms:modified xsi:type="dcterms:W3CDTF">2014-02-26T12:00:00Z</dcterms:modified>
</cp:coreProperties>
</file>