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9FC" w:rsidRDefault="000A39FC" w:rsidP="000A39FC">
      <w:pPr>
        <w:spacing w:after="0" w:line="240" w:lineRule="auto"/>
        <w:rPr>
          <w:lang w:val="en-US"/>
        </w:rPr>
      </w:pPr>
      <w:r>
        <w:rPr>
          <w:u w:val="single"/>
          <w:lang w:val="en-US"/>
        </w:rPr>
        <w:t xml:space="preserve">SBSTA </w:t>
      </w:r>
      <w:r w:rsidRPr="004E01E1">
        <w:rPr>
          <w:u w:val="single"/>
          <w:lang w:val="en-US"/>
        </w:rPr>
        <w:t>REDD+ contact group</w:t>
      </w:r>
      <w:r>
        <w:rPr>
          <w:u w:val="single"/>
          <w:lang w:val="en-US"/>
        </w:rPr>
        <w:t xml:space="preserve"> (21</w:t>
      </w:r>
      <w:r w:rsidRPr="000A39FC">
        <w:rPr>
          <w:u w:val="single"/>
          <w:vertAlign w:val="superscript"/>
          <w:lang w:val="en-US"/>
        </w:rPr>
        <w:t>st</w:t>
      </w:r>
      <w:r>
        <w:rPr>
          <w:u w:val="single"/>
          <w:lang w:val="en-US"/>
        </w:rPr>
        <w:t xml:space="preserve"> May 2012)</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Draft text (led by Keith and Josephina) + draft conclusions prepared by Chair</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EU – conclusions, why are SIS and RELs not reflected here, as will be discussed later on, on drivers, our discussion went further than what is included here (more limited) + don’t understand 3</w:t>
      </w:r>
      <w:r w:rsidRPr="000C1ACB">
        <w:rPr>
          <w:vertAlign w:val="superscript"/>
          <w:lang w:val="en-US"/>
        </w:rPr>
        <w:t>rd</w:t>
      </w:r>
      <w:r>
        <w:rPr>
          <w:lang w:val="en-US"/>
        </w:rPr>
        <w:t xml:space="preserve"> in the list of points noted by parties, as well as the reference to “form of financing”, please explain</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Chair – yes SIS and RELs will be included; developing RELs requires an understanding of drivers and will inform parties on what are priorities in addressing drivers; form of financing is a reference to the different sources of financing identified by LCA</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Brazil – conclusions need to reflect work done in Bonn, our discussion was focused on MRV and NFMS, just initial considerations on drivers, MRV and NFMS should feature more prominently in conclusions; remove sub-headings, include elements of submissions maybe; seems premature to draft conclusions on drivers, no emerging convergence, only para 4 stands for us, para 5 does not reflect many points made by Parties.</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Chair – sub-headings will be removed, agree that focus was on MRV &amp; NFMS and annex (draft text) will reflect this; para 5 is meant to reflect what was discussed, not what we agree on, to start identifying issues that will require negotiations at next session, perhaps we should explain that context to address your concerns</w:t>
      </w:r>
    </w:p>
    <w:p w:rsidR="000A39FC" w:rsidRDefault="000A39FC" w:rsidP="000A39FC">
      <w:pPr>
        <w:spacing w:after="0" w:line="240" w:lineRule="auto"/>
        <w:rPr>
          <w:lang w:val="en-US"/>
        </w:rPr>
      </w:pPr>
      <w:r>
        <w:rPr>
          <w:lang w:val="en-US"/>
        </w:rPr>
        <w:t>India – ok with conclusions, but also see that draft text on MRV &amp; NFMS has many brackets and we need to sort out some of the issues here or we will run out of time at our next session, on drivers satisfied with para 5 and para 6 indicates that we will continue to work on this issue, so comfortable with this initial text</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US – comfortable with para 5 too, very important to capture the discussions we had on the issue, maybe include “such as” to indicate that list is not complete</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China – sub-title “MRV and NFMS” is not a adequate as NFMS is the basis for MRV; establishment of NFMS and MRV also require technical and financial support, mentioned by several parties, and this may require another para</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Indonesia – here we made more progress on NFMS than on MRV, can work with draft conclusions but para 3 mentions that annex will be basis for our work at next SBSTA, but there was more text proposed that included in annex and the annex needs more discussion here if it is going to be mentioned in conclusions; on drivers, also needs more discussion.</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Chair – we don’t have much more time for contact groups, some informals of course, but next contact group session on Wed will be last one.</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Bolivia – negotiations constantly evolving, in Durban there was an evolution and we should build on these new decisions, in Durban there were references on relation of adaptation to MRV and monitoring systems, and several parties mentioned need for more discussion on finance for MRV (no guarantee of finance currently because no linkages to the formal processes that could provide finance); Wed we will see final conclusions and we can discuss further?</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lastRenderedPageBreak/>
        <w:t>Chair – financing is outside our mandate, best we can do is mention that LCA is discussing finance; on Wed, I’ll edit conclusions based on today’s discussion and we will present that to you on Wed before informal session, but if need to edit further then we won’t be able to close the session that day, propose to remove controversial issues rather than risk having no conclusion at all, which would be a sign of no progress.</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Guyana – welcome conclusions and annex, fair report, annex should clearly say annex on top and need capital on annex in para 3 of conclusions to avoid misunderstanding; many brackets in annex but we welcome additional time available here in Bonn, the cleaner the text we get to Doha, the better; regarding having separate text with regards to MRV and NFMS, we believe we can consider merging the two at a later stage when the text has shrunk</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PNG – conclusions don’t reflect the balance of our discussion, but we support para 5, annex has a lot of redundancy that should be addressed</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Tanzania – para 5 need to reflect support needed to address drivers</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Costa Rica – balance issue indeed, and also addressing drivers may clash with national policies, this is a key point that needs to be mentioned</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Argentina – agree on need to reflect our discussions here + conclusions should not include issues on which there is no agreement between parties, para 5 needs to be further discussed.</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Australia – conclusions ok, reflecting substance of driver issues discussed in important in our view</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Brazil – para 2 reference to drivers in the context of MRV is misplaced and does not reflect our discussion (the MRV systems will not be used to address drivers), para 5 the idea of assessment of drivers is outside of SBSTA mandate (ask to be deleted), what is difference between capacities and capabilities, not clear; RELs as guidance to address guidance also needs more discussion; not sure that all elements mentioned here are within the mandate of SBSTA (e.g. form of financing); idea of international collaboration needs to be more precise; we agree with China that a separate paragraph on financial and technical support would be more appropriate, with mention to these issues; also agree with parties asking for more time to discuss para 5; but we need to show progress so let’s focus on issues – MRV and NFMS – where we have progress; idea that drivers should be addressed at national level should be made much more clear and we should remove all issues falling outside our mandate</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US – value in capturing discussion we had on drivers, noting that this is just a summary of discussion and not negotiating text; “including the role of consumer countries” may be appropriate to address Brazil concerns</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Bolivia – conclusions do not reflect anything that has been agreed, since nothing was agreed, so we ask that adaptation is mentioned as a question that arised in the group (as this is what happened actually!)</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Chair – I’m hearing discomfort with concept of a list, so getting difficult</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Japan – conclusions are fine, let’s take time to discuss annex</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lastRenderedPageBreak/>
        <w:t>EU – para 3 suggest a placeholder for any other issue we may discuss here and on para 5, discussion was very rich, we would recommend to improve the language but should not be too hard; noted many views on governance, certification, anti-corruption and would like to see them included in the text</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PNG – para 2 drivers should be separated from this MRV and is redundant since we have a para on drivers already; to be consistent with Cancun decision, “a” is missing before system</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Sudan – supports TZ, have to take into account the high dependency of LDCs in addressing drivers</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Columbia – PNG’s point on NFMS, seeing what has been agreed in Durban, we should maintain plurality of systems</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Chair – ok to retain plurality of systems, but it sometimes does not make sense grammatically; useful suggestions and we’ll come back to you with a draft reflecting the balance of discussions, I will not propose to include para 5 to be included but if parties that have strong views on this para (EU, Brazil, Bolivia, TZ, US, etc.) they can meet and make a proposal for inclusion, otherwise we will remove it as not enough time to discuss it on Wed</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Joesphina &amp; Keith – drafting group on NFMS &amp; MRV met 6 times, presentation of current text (= Annex), might not finish here but could continue using the REDD+ platform?</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US – can para 13 to 20 be bracketed, as others, since they were added at the end?</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 xml:space="preserve">Philippines – we do need additional guidance on SIS, particularly on missing characteristics of the system (participatory, comparable, </w:t>
      </w:r>
      <w:proofErr w:type="gramStart"/>
      <w:r>
        <w:rPr>
          <w:lang w:val="en-US"/>
        </w:rPr>
        <w:t>accountable</w:t>
      </w:r>
      <w:proofErr w:type="gramEnd"/>
      <w:r>
        <w:rPr>
          <w:lang w:val="en-US"/>
        </w:rPr>
        <w:t>) so at this session we would like this need for additional guidance to be acknowledged so that we can discuss at next session</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Norway – summary of information on safeguards should be submitted in national communications and annual reports, support Philippines and EU (also need guidance on the content of information to be provided), and support acknowledging need for further guidance</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EU – regarding RELs, what is missing from last year is an agreement on technical process to define RELs, should be based on LULUCF modalities as much as possible; safeguards, unfinished business on content of information to be included (template is needed) and regularity of reporting, we made propositions in our submission and prepared to engage with parties on this and we also can learn from first country experiences and outside processes; we can either do this here or flag this as work to do next year; also want to highlight the need to harmonise reporting processes between conventions</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Indonesia – additional guidance on SIS needed indeed, but guidance already given in Durban is enough for countries to start operationalise the system and identify elements needed to assess how we address safeguards, so more useful to give ourselves times to see how countries are implementing Durban decision before we discuss any further; RELs, very complex issue, so again need more time for Parties to fully understand it before we discuss</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 xml:space="preserve">US – agree that timing is important to discuss RELs but it takes us a long time to make decisions here so let’s start now, we did a submission on useful questions to use when </w:t>
      </w:r>
      <w:r>
        <w:rPr>
          <w:lang w:val="en-US"/>
        </w:rPr>
        <w:lastRenderedPageBreak/>
        <w:t>developing a SIS, there are also earlier submissions by parties on SIS and we hope we can look at them all together</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PNG – on SIS we would like to focus on timing/frequency of reporting, nat comms are the way forward, and agree that we need to wait until we make our first report to discuss any additional guidance needed</w:t>
      </w:r>
    </w:p>
    <w:p w:rsidR="000A39FC" w:rsidRDefault="000A39FC" w:rsidP="000A39FC">
      <w:pPr>
        <w:spacing w:after="0" w:line="240" w:lineRule="auto"/>
        <w:rPr>
          <w:lang w:val="en-US"/>
        </w:rPr>
      </w:pPr>
    </w:p>
    <w:p w:rsidR="000A39FC" w:rsidRDefault="000A39FC" w:rsidP="000A39FC">
      <w:pPr>
        <w:spacing w:after="0" w:line="240" w:lineRule="auto"/>
        <w:rPr>
          <w:lang w:val="en-US"/>
        </w:rPr>
      </w:pPr>
      <w:r>
        <w:rPr>
          <w:lang w:val="en-US"/>
        </w:rPr>
        <w:t>Chair – next meeting Wed morning, probably last but we’ll lobby the chair for more meeting.</w:t>
      </w:r>
    </w:p>
    <w:p w:rsidR="000A39FC" w:rsidRDefault="000A39FC" w:rsidP="000A39FC">
      <w:pPr>
        <w:spacing w:after="0" w:line="240" w:lineRule="auto"/>
        <w:rPr>
          <w:lang w:val="en-US"/>
        </w:rPr>
      </w:pPr>
    </w:p>
    <w:p w:rsidR="000A39FC" w:rsidRPr="000A39FC" w:rsidRDefault="000A39FC">
      <w:pPr>
        <w:rPr>
          <w:lang w:val="en-US"/>
        </w:rPr>
      </w:pPr>
    </w:p>
    <w:sectPr w:rsidR="000A39FC" w:rsidRPr="000A39FC" w:rsidSect="00BA12BD">
      <w:pgSz w:w="11907" w:h="16840" w:code="9"/>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39FC"/>
    <w:rsid w:val="000A2570"/>
    <w:rsid w:val="000A39FC"/>
    <w:rsid w:val="00127D05"/>
    <w:rsid w:val="00213F98"/>
    <w:rsid w:val="00906F8A"/>
    <w:rsid w:val="009738C6"/>
    <w:rsid w:val="00A36040"/>
    <w:rsid w:val="00BA12BD"/>
    <w:rsid w:val="00BB2518"/>
    <w:rsid w:val="00BF4E67"/>
    <w:rsid w:val="00C03CED"/>
    <w:rsid w:val="00F357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9FC"/>
    <w:pPr>
      <w:spacing w:after="200" w:line="276" w:lineRule="auto"/>
    </w:pPr>
    <w:rPr>
      <w:rFonts w:ascii="Times New Roman" w:hAnsi="Times New Roman"/>
      <w:sz w:val="24"/>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3F9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13F98"/>
    <w:rPr>
      <w:rFonts w:ascii="Times New Roman" w:hAnsi="Times New Roman"/>
      <w:sz w:val="24"/>
      <w:lang w:val="en-GB"/>
    </w:rPr>
  </w:style>
  <w:style w:type="paragraph" w:styleId="Footer">
    <w:name w:val="footer"/>
    <w:basedOn w:val="Normal"/>
    <w:link w:val="FooterChar"/>
    <w:uiPriority w:val="99"/>
    <w:semiHidden/>
    <w:unhideWhenUsed/>
    <w:rsid w:val="00213F98"/>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213F98"/>
    <w:rPr>
      <w:rFonts w:ascii="Times New Roman" w:hAnsi="Times New Roman"/>
      <w:sz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9684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Emelyne Cheney</dc:creator>
  <cp:lastModifiedBy>kimberly.todd</cp:lastModifiedBy>
  <cp:revision>2</cp:revision>
  <dcterms:created xsi:type="dcterms:W3CDTF">2012-05-21T14:01:00Z</dcterms:created>
  <dcterms:modified xsi:type="dcterms:W3CDTF">2012-05-21T14:01:00Z</dcterms:modified>
</cp:coreProperties>
</file>