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0A42C" w14:textId="77777777" w:rsidR="00DB01B7" w:rsidRPr="003B5A59" w:rsidRDefault="00DB01B7" w:rsidP="00DB01B7">
      <w:pPr>
        <w:jc w:val="center"/>
        <w:rPr>
          <w:rFonts w:ascii="Times New Roman" w:hAnsi="Times New Roman" w:cs="Times New Roman"/>
          <w:b/>
        </w:rPr>
      </w:pPr>
      <w:r w:rsidRPr="003B5A59">
        <w:rPr>
          <w:rFonts w:ascii="Times New Roman" w:hAnsi="Times New Roman" w:cs="Times New Roman"/>
          <w:b/>
          <w:noProof/>
          <w:lang w:val="en-US" w:eastAsia="ja-JP"/>
        </w:rPr>
        <w:drawing>
          <wp:inline distT="0" distB="0" distL="0" distR="0" wp14:anchorId="40269EBF" wp14:editId="24A4D723">
            <wp:extent cx="1390650" cy="1047750"/>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REDD_full_logo_EN (2).png"/>
                    <pic:cNvPicPr>
                      <a:picLocks noChangeAspect="1" noChangeArrowheads="1"/>
                    </pic:cNvPicPr>
                  </pic:nvPicPr>
                  <pic:blipFill>
                    <a:blip r:embed="rId9" cstate="print"/>
                    <a:srcRect/>
                    <a:stretch>
                      <a:fillRect/>
                    </a:stretch>
                  </pic:blipFill>
                  <pic:spPr bwMode="auto">
                    <a:xfrm>
                      <a:off x="0" y="0"/>
                      <a:ext cx="1390650" cy="1047750"/>
                    </a:xfrm>
                    <a:prstGeom prst="rect">
                      <a:avLst/>
                    </a:prstGeom>
                    <a:noFill/>
                    <a:ln w="9525">
                      <a:noFill/>
                      <a:miter lim="800000"/>
                      <a:headEnd/>
                      <a:tailEnd/>
                    </a:ln>
                  </pic:spPr>
                </pic:pic>
              </a:graphicData>
            </a:graphic>
          </wp:inline>
        </w:drawing>
      </w:r>
    </w:p>
    <w:p w14:paraId="58E1CC60" w14:textId="1C010DE0" w:rsidR="00DB01B7" w:rsidRPr="003B5A59" w:rsidRDefault="00DB01B7" w:rsidP="00DB01B7">
      <w:pPr>
        <w:pStyle w:val="Heading2"/>
        <w:numPr>
          <w:ilvl w:val="0"/>
          <w:numId w:val="0"/>
        </w:numPr>
        <w:ind w:left="576"/>
        <w:jc w:val="center"/>
        <w:rPr>
          <w:rFonts w:ascii="Times New Roman" w:hAnsi="Times New Roman" w:cs="Times New Roman"/>
          <w:sz w:val="24"/>
          <w:szCs w:val="24"/>
        </w:rPr>
      </w:pPr>
      <w:r w:rsidRPr="003B5A59">
        <w:rPr>
          <w:rFonts w:ascii="Times New Roman" w:hAnsi="Times New Roman" w:cs="Times New Roman"/>
          <w:sz w:val="24"/>
          <w:szCs w:val="24"/>
        </w:rPr>
        <w:t>UN-REDD</w:t>
      </w:r>
      <w:r w:rsidR="0031571F" w:rsidRPr="003B5A59">
        <w:rPr>
          <w:rFonts w:ascii="Times New Roman" w:hAnsi="Times New Roman" w:cs="Times New Roman"/>
          <w:sz w:val="24"/>
          <w:szCs w:val="24"/>
        </w:rPr>
        <w:t xml:space="preserve"> UNDP Targeted Support, </w:t>
      </w:r>
      <w:r w:rsidRPr="003B5A59">
        <w:rPr>
          <w:rFonts w:ascii="Times New Roman" w:hAnsi="Times New Roman" w:cs="Times New Roman"/>
          <w:sz w:val="24"/>
          <w:szCs w:val="24"/>
        </w:rPr>
        <w:t>Mongolia</w:t>
      </w:r>
    </w:p>
    <w:p w14:paraId="3097ED9E" w14:textId="561783B9" w:rsidR="0006149A" w:rsidRPr="003B5A59" w:rsidRDefault="00EA4876" w:rsidP="00240C62">
      <w:pPr>
        <w:jc w:val="center"/>
        <w:rPr>
          <w:rFonts w:ascii="Times New Roman" w:hAnsi="Times New Roman" w:cs="Times New Roman"/>
        </w:rPr>
      </w:pPr>
      <w:r w:rsidRPr="003B5A59">
        <w:rPr>
          <w:rFonts w:ascii="Times New Roman" w:hAnsi="Times New Roman" w:cs="Times New Roman"/>
        </w:rPr>
        <w:t>Updated</w:t>
      </w:r>
      <w:r w:rsidR="0031571F" w:rsidRPr="003B5A59">
        <w:rPr>
          <w:rFonts w:ascii="Times New Roman" w:hAnsi="Times New Roman" w:cs="Times New Roman"/>
        </w:rPr>
        <w:t xml:space="preserve"> </w:t>
      </w:r>
      <w:r w:rsidRPr="003B5A59">
        <w:rPr>
          <w:rFonts w:ascii="Times New Roman" w:hAnsi="Times New Roman" w:cs="Times New Roman"/>
        </w:rPr>
        <w:t xml:space="preserve">detailed </w:t>
      </w:r>
      <w:r w:rsidR="0031571F" w:rsidRPr="003B5A59">
        <w:rPr>
          <w:rFonts w:ascii="Times New Roman" w:hAnsi="Times New Roman" w:cs="Times New Roman"/>
        </w:rPr>
        <w:t xml:space="preserve">concept note, </w:t>
      </w:r>
      <w:r w:rsidR="000D764A">
        <w:rPr>
          <w:rFonts w:ascii="Times New Roman" w:hAnsi="Times New Roman" w:cs="Times New Roman"/>
        </w:rPr>
        <w:t>10 January</w:t>
      </w:r>
      <w:r w:rsidR="00DB01B7" w:rsidRPr="003B5A59">
        <w:rPr>
          <w:rFonts w:ascii="Times New Roman" w:hAnsi="Times New Roman" w:cs="Times New Roman"/>
        </w:rPr>
        <w:t xml:space="preserve"> 201</w:t>
      </w:r>
      <w:r w:rsidR="000D764A">
        <w:rPr>
          <w:rFonts w:ascii="Times New Roman" w:hAnsi="Times New Roman" w:cs="Times New Roman"/>
        </w:rPr>
        <w:t>3</w:t>
      </w:r>
    </w:p>
    <w:p w14:paraId="41776332" w14:textId="2B4DAED3" w:rsidR="00240C62" w:rsidRPr="003B5A59" w:rsidRDefault="00240C62" w:rsidP="003B5A59">
      <w:pPr>
        <w:pStyle w:val="Heading1"/>
        <w:numPr>
          <w:ilvl w:val="0"/>
          <w:numId w:val="0"/>
        </w:numPr>
        <w:jc w:val="center"/>
        <w:rPr>
          <w:rFonts w:ascii="Times New Roman" w:hAnsi="Times New Roman" w:cs="Times New Roman"/>
        </w:rPr>
      </w:pPr>
      <w:r w:rsidRPr="003B5A59">
        <w:rPr>
          <w:rFonts w:ascii="Times New Roman" w:hAnsi="Times New Roman" w:cs="Times New Roman"/>
        </w:rPr>
        <w:t>Sustainable Fi</w:t>
      </w:r>
      <w:r w:rsidR="00376054">
        <w:rPr>
          <w:rFonts w:ascii="Times New Roman" w:hAnsi="Times New Roman" w:cs="Times New Roman"/>
        </w:rPr>
        <w:t xml:space="preserve">nancing </w:t>
      </w:r>
      <w:r w:rsidR="00CA0CDA">
        <w:rPr>
          <w:rFonts w:ascii="Times New Roman" w:hAnsi="Times New Roman" w:cs="Times New Roman"/>
        </w:rPr>
        <w:t>O</w:t>
      </w:r>
      <w:r w:rsidR="00CA0CDA">
        <w:rPr>
          <w:rFonts w:ascii="Times New Roman" w:hAnsi="Times New Roman" w:cs="Times New Roman"/>
        </w:rPr>
        <w:t xml:space="preserve">ptions </w:t>
      </w:r>
      <w:r w:rsidR="00376054">
        <w:rPr>
          <w:rFonts w:ascii="Times New Roman" w:hAnsi="Times New Roman" w:cs="Times New Roman"/>
        </w:rPr>
        <w:t xml:space="preserve">for </w:t>
      </w:r>
      <w:proofErr w:type="spellStart"/>
      <w:r w:rsidR="00376054">
        <w:rPr>
          <w:rFonts w:ascii="Times New Roman" w:hAnsi="Times New Roman" w:cs="Times New Roman"/>
        </w:rPr>
        <w:t>REDD</w:t>
      </w:r>
      <w:proofErr w:type="spellEnd"/>
      <w:r w:rsidR="00376054">
        <w:rPr>
          <w:rFonts w:ascii="Times New Roman" w:hAnsi="Times New Roman" w:cs="Times New Roman"/>
        </w:rPr>
        <w:t xml:space="preserve">+ Readiness and </w:t>
      </w:r>
      <w:r w:rsidRPr="003B5A59">
        <w:rPr>
          <w:rFonts w:ascii="Times New Roman" w:hAnsi="Times New Roman" w:cs="Times New Roman"/>
        </w:rPr>
        <w:t xml:space="preserve">Effective Forest Sector Policy </w:t>
      </w:r>
      <w:r w:rsidR="0004476A" w:rsidRPr="003B5A59">
        <w:rPr>
          <w:rFonts w:ascii="Times New Roman" w:hAnsi="Times New Roman" w:cs="Times New Roman"/>
        </w:rPr>
        <w:t>Implementation</w:t>
      </w:r>
      <w:r w:rsidR="007C3CE9" w:rsidRPr="003B5A59">
        <w:rPr>
          <w:rFonts w:ascii="Times New Roman" w:hAnsi="Times New Roman" w:cs="Times New Roman"/>
        </w:rPr>
        <w:t xml:space="preserve"> to Support </w:t>
      </w:r>
      <w:proofErr w:type="spellStart"/>
      <w:r w:rsidR="007C3CE9" w:rsidRPr="003B5A59">
        <w:rPr>
          <w:rFonts w:ascii="Times New Roman" w:hAnsi="Times New Roman" w:cs="Times New Roman"/>
        </w:rPr>
        <w:t>REDD</w:t>
      </w:r>
      <w:proofErr w:type="spellEnd"/>
      <w:r w:rsidR="007C3CE9" w:rsidRPr="003B5A59">
        <w:rPr>
          <w:rFonts w:ascii="Times New Roman" w:hAnsi="Times New Roman" w:cs="Times New Roman"/>
        </w:rPr>
        <w:t>+ Roadmap Implementation</w:t>
      </w:r>
    </w:p>
    <w:p w14:paraId="1C253E4C" w14:textId="77777777" w:rsidR="00240C62" w:rsidRPr="003B5A59" w:rsidRDefault="00240C62" w:rsidP="00240C62">
      <w:pPr>
        <w:pStyle w:val="Heading3"/>
        <w:spacing w:before="0"/>
        <w:jc w:val="center"/>
        <w:rPr>
          <w:rFonts w:ascii="Times New Roman" w:hAnsi="Times New Roman" w:cs="Times New Roman"/>
        </w:rPr>
      </w:pPr>
    </w:p>
    <w:p w14:paraId="5BD3A7E0" w14:textId="6D39E13E" w:rsidR="00240C62" w:rsidRPr="003B5A59" w:rsidRDefault="00240C62" w:rsidP="00CC0927">
      <w:pPr>
        <w:pStyle w:val="Heading1"/>
        <w:rPr>
          <w:rFonts w:ascii="Times New Roman" w:hAnsi="Times New Roman" w:cs="Times New Roman"/>
        </w:rPr>
      </w:pPr>
      <w:r w:rsidRPr="003B5A59">
        <w:rPr>
          <w:rFonts w:ascii="Times New Roman" w:hAnsi="Times New Roman" w:cs="Times New Roman"/>
        </w:rPr>
        <w:t>Introduction/ background to targeted support under UN-REDD</w:t>
      </w:r>
    </w:p>
    <w:p w14:paraId="1BA39252" w14:textId="77777777" w:rsidR="002B3368" w:rsidRDefault="002B3368" w:rsidP="00240C62">
      <w:pPr>
        <w:rPr>
          <w:rFonts w:ascii="Times New Roman" w:hAnsi="Times New Roman" w:cs="Times New Roman"/>
        </w:rPr>
      </w:pPr>
    </w:p>
    <w:p w14:paraId="52F9B167" w14:textId="286A7302" w:rsidR="00240C62" w:rsidRPr="003B5A59" w:rsidRDefault="00240C62" w:rsidP="00240C62">
      <w:pPr>
        <w:rPr>
          <w:rFonts w:ascii="Times New Roman" w:hAnsi="Times New Roman" w:cs="Times New Roman"/>
        </w:rPr>
      </w:pPr>
      <w:r w:rsidRPr="003B5A59">
        <w:rPr>
          <w:rFonts w:ascii="Times New Roman" w:hAnsi="Times New Roman" w:cs="Times New Roman"/>
        </w:rPr>
        <w:t>The UN-REDD Programme‘s ‘Support to National Actions - Global Programme Framework Document 2011-2015</w:t>
      </w:r>
      <w:r w:rsidR="002C25A5" w:rsidRPr="003B5A59">
        <w:rPr>
          <w:rFonts w:ascii="Times New Roman" w:hAnsi="Times New Roman" w:cs="Times New Roman"/>
        </w:rPr>
        <w:t xml:space="preserve">’, </w:t>
      </w:r>
      <w:r w:rsidRPr="003B5A59">
        <w:rPr>
          <w:rFonts w:ascii="Times New Roman" w:hAnsi="Times New Roman" w:cs="Times New Roman"/>
        </w:rPr>
        <w:t>defines targeted support as</w:t>
      </w:r>
      <w:r w:rsidR="002C25A5" w:rsidRPr="003B5A59">
        <w:rPr>
          <w:rFonts w:ascii="Times New Roman" w:hAnsi="Times New Roman" w:cs="Times New Roman"/>
        </w:rPr>
        <w:t>:</w:t>
      </w:r>
      <w:r w:rsidRPr="003B5A59">
        <w:rPr>
          <w:rFonts w:ascii="Times New Roman" w:hAnsi="Times New Roman" w:cs="Times New Roman"/>
        </w:rPr>
        <w:t xml:space="preserve"> “All UN-REDD Programme partner countries are eligible to receive targeted support, depending upon availability of funds and capacity of the three agencies</w:t>
      </w:r>
      <w:r w:rsidR="002C25A5" w:rsidRPr="003B5A59">
        <w:rPr>
          <w:rFonts w:ascii="Times New Roman" w:hAnsi="Times New Roman" w:cs="Times New Roman"/>
        </w:rPr>
        <w:t>”</w:t>
      </w:r>
      <w:r w:rsidRPr="003B5A59">
        <w:rPr>
          <w:rFonts w:ascii="Times New Roman" w:hAnsi="Times New Roman" w:cs="Times New Roman"/>
        </w:rPr>
        <w:t xml:space="preserve">. In practical terms, targeted support means specific technical advice and other capacity strengthening support that a country may request on a critical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readiness aspect it has identified, which is not covered through other multilateral or bilateral initiatives and where the UN-REDD Programme has 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w:t>
      </w:r>
      <w:proofErr w:type="spellStart"/>
      <w:r w:rsidRPr="003B5A59">
        <w:rPr>
          <w:rFonts w:ascii="Times New Roman" w:hAnsi="Times New Roman" w:cs="Times New Roman"/>
        </w:rPr>
        <w:t>REDD</w:t>
      </w:r>
      <w:proofErr w:type="spellEnd"/>
      <w:r w:rsidRPr="003B5A59">
        <w:rPr>
          <w:rFonts w:ascii="Times New Roman" w:hAnsi="Times New Roman" w:cs="Times New Roman"/>
        </w:rPr>
        <w:t>+ readiness in a country, which is not available through National Programmes or through other initiatives.”</w:t>
      </w:r>
    </w:p>
    <w:p w14:paraId="50179A3A" w14:textId="77777777" w:rsidR="00240C62" w:rsidRPr="003B5A59" w:rsidRDefault="00240C62" w:rsidP="00240C62">
      <w:pPr>
        <w:rPr>
          <w:rFonts w:ascii="Times New Roman" w:hAnsi="Times New Roman" w:cs="Times New Roman"/>
        </w:rPr>
      </w:pPr>
    </w:p>
    <w:p w14:paraId="34848CCC" w14:textId="2960F83F" w:rsidR="00240C62" w:rsidRPr="003B5A59" w:rsidRDefault="00240C62" w:rsidP="00240C62">
      <w:pPr>
        <w:rPr>
          <w:rFonts w:ascii="Times New Roman" w:hAnsi="Times New Roman" w:cs="Times New Roman"/>
          <w:i/>
        </w:rPr>
      </w:pPr>
      <w:r w:rsidRPr="003B5A59">
        <w:rPr>
          <w:rFonts w:ascii="Times New Roman" w:hAnsi="Times New Roman" w:cs="Times New Roman"/>
        </w:rPr>
        <w:t xml:space="preserve">This note replaces the concept note provided on </w:t>
      </w:r>
      <w:r w:rsidR="002C25A5" w:rsidRPr="003B5A59">
        <w:rPr>
          <w:rFonts w:ascii="Times New Roman" w:hAnsi="Times New Roman" w:cs="Times New Roman"/>
        </w:rPr>
        <w:t>31 July</w:t>
      </w:r>
      <w:r w:rsidRPr="003B5A59">
        <w:rPr>
          <w:rFonts w:ascii="Times New Roman" w:hAnsi="Times New Roman" w:cs="Times New Roman"/>
        </w:rPr>
        <w:t xml:space="preserve">, 2012 and available </w:t>
      </w:r>
      <w:hyperlink r:id="rId10" w:history="1">
        <w:r w:rsidR="002C25A5" w:rsidRPr="003B5A59">
          <w:rPr>
            <w:rStyle w:val="Hyperlink"/>
            <w:rFonts w:ascii="Times New Roman" w:hAnsi="Times New Roman" w:cs="Times New Roman"/>
          </w:rPr>
          <w:t>here</w:t>
        </w:r>
      </w:hyperlink>
      <w:r w:rsidR="002C25A5" w:rsidRPr="003B5A59">
        <w:rPr>
          <w:rFonts w:ascii="Times New Roman" w:hAnsi="Times New Roman" w:cs="Times New Roman"/>
        </w:rPr>
        <w:t>.</w:t>
      </w:r>
    </w:p>
    <w:p w14:paraId="5C1A2CE6" w14:textId="77777777" w:rsidR="00240C62" w:rsidRPr="003B5A59" w:rsidRDefault="00240C62" w:rsidP="00240C62">
      <w:pPr>
        <w:rPr>
          <w:rFonts w:ascii="Times New Roman" w:hAnsi="Times New Roman" w:cs="Times New Roman"/>
          <w:i/>
        </w:rPr>
      </w:pPr>
    </w:p>
    <w:p w14:paraId="733955A2" w14:textId="08A4CF52" w:rsidR="00240C62" w:rsidRPr="003B5A59" w:rsidRDefault="00240C62" w:rsidP="00240C62">
      <w:pPr>
        <w:rPr>
          <w:rFonts w:ascii="Times New Roman" w:hAnsi="Times New Roman" w:cs="Times New Roman"/>
        </w:rPr>
      </w:pPr>
      <w:r w:rsidRPr="003B5A59">
        <w:rPr>
          <w:rFonts w:ascii="Times New Roman" w:hAnsi="Times New Roman" w:cs="Times New Roman"/>
        </w:rPr>
        <w:t>Type(s) of Targeted Support - Please select as appropriate</w:t>
      </w:r>
      <w:r w:rsidR="002C25A5" w:rsidRPr="003B5A59">
        <w:rPr>
          <w:rFonts w:ascii="Times New Roman" w:hAnsi="Times New Roman" w:cs="Times New Roman"/>
        </w:rPr>
        <w:t>:</w:t>
      </w:r>
      <w:r w:rsidRPr="003B5A59">
        <w:rPr>
          <w:rFonts w:ascii="Times New Roman" w:hAnsi="Times New Roman" w:cs="Times New Roman"/>
        </w:rPr>
        <w:t xml:space="preserve"> </w:t>
      </w:r>
    </w:p>
    <w:p w14:paraId="79971F22" w14:textId="77777777" w:rsidR="00240C62" w:rsidRPr="003B5A59" w:rsidRDefault="00240C62" w:rsidP="00240C62">
      <w:pPr>
        <w:rPr>
          <w:rFonts w:ascii="Times New Roman" w:hAnsi="Times New Roman" w:cs="Times New Roman"/>
        </w:rPr>
      </w:pPr>
    </w:p>
    <w:p w14:paraId="35926226" w14:textId="77777777" w:rsidR="00240C62" w:rsidRPr="003B5A59" w:rsidRDefault="00240C62" w:rsidP="00240C62">
      <w:pPr>
        <w:rPr>
          <w:rFonts w:ascii="Times New Roman" w:hAnsi="Times New Roman" w:cs="Times New Roman"/>
        </w:rPr>
      </w:pPr>
      <w:r w:rsidRPr="003B5A59">
        <w:rPr>
          <w:rFonts w:ascii="Times New Roman" w:hAnsi="Times New Roman" w:cs="Times New Roman"/>
        </w:rPr>
        <w:sym w:font="Wingdings" w:char="F0A8"/>
      </w:r>
      <w:r w:rsidRPr="003B5A59">
        <w:rPr>
          <w:rFonts w:ascii="Times New Roman" w:hAnsi="Times New Roman" w:cs="Times New Roman"/>
        </w:rPr>
        <w:t xml:space="preserve"> Funding for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 activities implemented at the national level in support of existing UN-REDD National Programmes </w:t>
      </w:r>
    </w:p>
    <w:p w14:paraId="4BCC1CF4" w14:textId="77777777" w:rsidR="00240C62" w:rsidRPr="003B5A59" w:rsidRDefault="00240C62" w:rsidP="00240C62">
      <w:pPr>
        <w:rPr>
          <w:rFonts w:ascii="Times New Roman" w:hAnsi="Times New Roman" w:cs="Times New Roman"/>
        </w:rPr>
      </w:pPr>
      <w:r w:rsidRPr="003B5A59">
        <w:rPr>
          <w:rFonts w:ascii="Times New Roman" w:hAnsi="Times New Roman" w:cs="Times New Roman"/>
        </w:rPr>
        <w:sym w:font="Wingdings" w:char="F078"/>
      </w:r>
      <w:r w:rsidRPr="003B5A59">
        <w:rPr>
          <w:rFonts w:ascii="Times New Roman" w:hAnsi="Times New Roman" w:cs="Times New Roman"/>
        </w:rPr>
        <w:t xml:space="preserve"> Funding for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activities complementary to other nationally-defined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activities (national strategies, </w:t>
      </w:r>
      <w:proofErr w:type="spellStart"/>
      <w:r w:rsidRPr="003B5A59">
        <w:rPr>
          <w:rFonts w:ascii="Times New Roman" w:hAnsi="Times New Roman" w:cs="Times New Roman"/>
        </w:rPr>
        <w:t>RPP</w:t>
      </w:r>
      <w:proofErr w:type="spellEnd"/>
      <w:r w:rsidRPr="003B5A59">
        <w:rPr>
          <w:rFonts w:ascii="Times New Roman" w:hAnsi="Times New Roman" w:cs="Times New Roman"/>
        </w:rPr>
        <w:t xml:space="preserve"> and/or bilaterally funded </w:t>
      </w:r>
      <w:proofErr w:type="spellStart"/>
      <w:r w:rsidRPr="003B5A59">
        <w:rPr>
          <w:rFonts w:ascii="Times New Roman" w:hAnsi="Times New Roman" w:cs="Times New Roman"/>
        </w:rPr>
        <w:t>REDD</w:t>
      </w:r>
      <w:proofErr w:type="spellEnd"/>
      <w:r w:rsidRPr="003B5A59">
        <w:rPr>
          <w:rFonts w:ascii="Times New Roman" w:hAnsi="Times New Roman" w:cs="Times New Roman"/>
        </w:rPr>
        <w:t>+ activities)</w:t>
      </w:r>
    </w:p>
    <w:p w14:paraId="707F8B9D" w14:textId="77777777" w:rsidR="00240C62" w:rsidRPr="003B5A59" w:rsidRDefault="00240C62" w:rsidP="00240C62">
      <w:pPr>
        <w:rPr>
          <w:rFonts w:ascii="Times New Roman" w:hAnsi="Times New Roman" w:cs="Times New Roman"/>
          <w:lang w:val="en-US"/>
        </w:rPr>
      </w:pPr>
      <w:r w:rsidRPr="003B5A59">
        <w:rPr>
          <w:rFonts w:ascii="Times New Roman" w:hAnsi="Times New Roman" w:cs="Times New Roman"/>
        </w:rPr>
        <w:sym w:font="Wingdings" w:char="F078"/>
      </w:r>
      <w:r w:rsidRPr="003B5A59">
        <w:rPr>
          <w:rFonts w:ascii="Times New Roman" w:hAnsi="Times New Roman" w:cs="Times New Roman"/>
        </w:rPr>
        <w:t xml:space="preserve">Funding to support national counterparts in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partner countries to participate in capacity building that will benefit the implementation of national </w:t>
      </w:r>
      <w:proofErr w:type="spellStart"/>
      <w:r w:rsidRPr="003B5A59">
        <w:rPr>
          <w:rFonts w:ascii="Times New Roman" w:hAnsi="Times New Roman" w:cs="Times New Roman"/>
        </w:rPr>
        <w:t>REDD</w:t>
      </w:r>
      <w:proofErr w:type="spellEnd"/>
      <w:r w:rsidRPr="003B5A59">
        <w:rPr>
          <w:rFonts w:ascii="Times New Roman" w:hAnsi="Times New Roman" w:cs="Times New Roman"/>
        </w:rPr>
        <w:t>+ activities</w:t>
      </w:r>
    </w:p>
    <w:p w14:paraId="4F839C57" w14:textId="77777777" w:rsidR="00DB01B7" w:rsidRPr="003B5A59" w:rsidRDefault="00DB01B7">
      <w:pPr>
        <w:rPr>
          <w:rFonts w:ascii="Times New Roman" w:hAnsi="Times New Roman" w:cs="Times New Roman"/>
        </w:rPr>
      </w:pPr>
    </w:p>
    <w:p w14:paraId="03471288" w14:textId="3E2103C0" w:rsidR="00AC68B8" w:rsidRPr="003B5A59" w:rsidRDefault="002D6525" w:rsidP="002D6525">
      <w:pPr>
        <w:pStyle w:val="Heading1"/>
        <w:rPr>
          <w:rFonts w:ascii="Times New Roman" w:hAnsi="Times New Roman" w:cs="Times New Roman"/>
        </w:rPr>
      </w:pPr>
      <w:r w:rsidRPr="003B5A59">
        <w:rPr>
          <w:rFonts w:ascii="Times New Roman" w:hAnsi="Times New Roman" w:cs="Times New Roman"/>
        </w:rPr>
        <w:lastRenderedPageBreak/>
        <w:t>Overall o</w:t>
      </w:r>
      <w:r w:rsidR="00AC68B8" w:rsidRPr="003B5A59">
        <w:rPr>
          <w:rFonts w:ascii="Times New Roman" w:hAnsi="Times New Roman" w:cs="Times New Roman"/>
        </w:rPr>
        <w:t xml:space="preserve">bjective </w:t>
      </w:r>
    </w:p>
    <w:p w14:paraId="589E8E53" w14:textId="77777777" w:rsidR="00AC68B8" w:rsidRPr="003B5A59" w:rsidRDefault="00AC68B8" w:rsidP="00AC68B8">
      <w:pPr>
        <w:rPr>
          <w:rFonts w:ascii="Times New Roman" w:hAnsi="Times New Roman" w:cs="Times New Roman"/>
        </w:rPr>
      </w:pPr>
    </w:p>
    <w:p w14:paraId="31799B02" w14:textId="08203F37" w:rsidR="00EA4876" w:rsidRPr="003B5A59" w:rsidRDefault="004373F4" w:rsidP="006D0A05">
      <w:pPr>
        <w:rPr>
          <w:rFonts w:ascii="Times New Roman" w:hAnsi="Times New Roman" w:cs="Times New Roman"/>
        </w:rPr>
      </w:pPr>
      <w:r w:rsidRPr="003B5A59">
        <w:rPr>
          <w:rFonts w:ascii="Times New Roman" w:hAnsi="Times New Roman" w:cs="Times New Roman"/>
        </w:rPr>
        <w:t xml:space="preserve">The overall objective </w:t>
      </w:r>
      <w:r w:rsidR="00AD663E" w:rsidRPr="003B5A59">
        <w:rPr>
          <w:rFonts w:ascii="Times New Roman" w:hAnsi="Times New Roman" w:cs="Times New Roman"/>
        </w:rPr>
        <w:t>of</w:t>
      </w:r>
      <w:r w:rsidR="00AC68B8" w:rsidRPr="003B5A59">
        <w:rPr>
          <w:rFonts w:ascii="Times New Roman" w:hAnsi="Times New Roman" w:cs="Times New Roman"/>
        </w:rPr>
        <w:t xml:space="preserve"> this proposal </w:t>
      </w:r>
      <w:r w:rsidR="00AD663E" w:rsidRPr="003B5A59">
        <w:rPr>
          <w:rFonts w:ascii="Times New Roman" w:hAnsi="Times New Roman" w:cs="Times New Roman"/>
        </w:rPr>
        <w:t xml:space="preserve">is </w:t>
      </w:r>
      <w:r w:rsidR="00AC68B8" w:rsidRPr="003B5A59">
        <w:rPr>
          <w:rFonts w:ascii="Times New Roman" w:hAnsi="Times New Roman" w:cs="Times New Roman"/>
        </w:rPr>
        <w:t xml:space="preserve">to contribute to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Readiness efforts in Mongolia, </w:t>
      </w:r>
      <w:r w:rsidR="00AD663E" w:rsidRPr="003B5A59">
        <w:rPr>
          <w:rFonts w:ascii="Times New Roman" w:hAnsi="Times New Roman" w:cs="Times New Roman"/>
        </w:rPr>
        <w:t xml:space="preserve">through the design and </w:t>
      </w:r>
      <w:r w:rsidR="00B25AD6" w:rsidRPr="003B5A59">
        <w:rPr>
          <w:rFonts w:ascii="Times New Roman" w:hAnsi="Times New Roman" w:cs="Times New Roman"/>
        </w:rPr>
        <w:t>implementation</w:t>
      </w:r>
      <w:r w:rsidR="00AD663E" w:rsidRPr="003B5A59">
        <w:rPr>
          <w:rFonts w:ascii="Times New Roman" w:hAnsi="Times New Roman" w:cs="Times New Roman"/>
        </w:rPr>
        <w:t xml:space="preserve"> of products that contribute</w:t>
      </w:r>
      <w:r w:rsidRPr="003B5A59">
        <w:rPr>
          <w:rFonts w:ascii="Times New Roman" w:hAnsi="Times New Roman" w:cs="Times New Roman"/>
        </w:rPr>
        <w:t xml:space="preserve"> to the successful delivery of </w:t>
      </w:r>
      <w:r w:rsidRPr="003B5A59">
        <w:rPr>
          <w:rFonts w:ascii="Times New Roman" w:hAnsi="Times New Roman" w:cs="Times New Roman"/>
          <w:b/>
          <w:bCs/>
        </w:rPr>
        <w:t>Outcome 1</w:t>
      </w:r>
      <w:r w:rsidRPr="003B5A59">
        <w:rPr>
          <w:rFonts w:ascii="Times New Roman" w:hAnsi="Times New Roman" w:cs="Times New Roman"/>
        </w:rPr>
        <w:t xml:space="preserve"> of the </w:t>
      </w:r>
      <w:proofErr w:type="spellStart"/>
      <w:r w:rsidR="002C25A5" w:rsidRPr="003B5A59">
        <w:rPr>
          <w:rFonts w:ascii="Times New Roman" w:hAnsi="Times New Roman" w:cs="Times New Roman"/>
        </w:rPr>
        <w:t>REDD</w:t>
      </w:r>
      <w:proofErr w:type="spellEnd"/>
      <w:r w:rsidR="002C25A5" w:rsidRPr="003B5A59">
        <w:rPr>
          <w:rFonts w:ascii="Times New Roman" w:hAnsi="Times New Roman" w:cs="Times New Roman"/>
        </w:rPr>
        <w:t xml:space="preserve">+ </w:t>
      </w:r>
      <w:r w:rsidRPr="003B5A59">
        <w:rPr>
          <w:rFonts w:ascii="Times New Roman" w:hAnsi="Times New Roman" w:cs="Times New Roman"/>
        </w:rPr>
        <w:t xml:space="preserve">Roadmap.  </w:t>
      </w:r>
    </w:p>
    <w:p w14:paraId="28A2A774" w14:textId="58F88E77" w:rsidR="00AC68B8" w:rsidRPr="003B5A59" w:rsidRDefault="00EA4876" w:rsidP="002D6525">
      <w:pPr>
        <w:pStyle w:val="Heading1"/>
        <w:rPr>
          <w:rFonts w:ascii="Times New Roman" w:hAnsi="Times New Roman" w:cs="Times New Roman"/>
        </w:rPr>
      </w:pPr>
      <w:r w:rsidRPr="003B5A59" w:rsidDel="00EA4876">
        <w:rPr>
          <w:rFonts w:ascii="Times New Roman" w:hAnsi="Times New Roman" w:cs="Times New Roman"/>
          <w:lang w:val="en-GB"/>
        </w:rPr>
        <w:t xml:space="preserve"> </w:t>
      </w:r>
      <w:r w:rsidR="00E16F74" w:rsidRPr="003B5A59">
        <w:rPr>
          <w:rFonts w:ascii="Times New Roman" w:hAnsi="Times New Roman" w:cs="Times New Roman"/>
        </w:rPr>
        <w:t>Context for the Work</w:t>
      </w:r>
    </w:p>
    <w:p w14:paraId="46FDD1EA" w14:textId="1A7A45E8" w:rsidR="002D6525" w:rsidRPr="003B5A59" w:rsidRDefault="002D6525" w:rsidP="002D6525">
      <w:pPr>
        <w:rPr>
          <w:rFonts w:ascii="Times New Roman" w:hAnsi="Times New Roman" w:cs="Times New Roman"/>
          <w:lang w:val="en-US"/>
        </w:rPr>
      </w:pPr>
      <w:r w:rsidRPr="003B5A59">
        <w:rPr>
          <w:rFonts w:ascii="Times New Roman" w:hAnsi="Times New Roman" w:cs="Times New Roman"/>
          <w:lang w:val="en-US"/>
        </w:rPr>
        <w:t>Mongolia currently has one of the fastest GDP growth rates in the Asian region</w:t>
      </w:r>
      <w:r w:rsidR="00EB6569" w:rsidRPr="003B5A59">
        <w:rPr>
          <w:rFonts w:ascii="Times New Roman" w:hAnsi="Times New Roman" w:cs="Times New Roman"/>
          <w:lang w:val="en-US"/>
        </w:rPr>
        <w:t>,</w:t>
      </w:r>
      <w:r w:rsidRPr="003B5A59">
        <w:rPr>
          <w:rFonts w:ascii="Times New Roman" w:hAnsi="Times New Roman" w:cs="Times New Roman"/>
          <w:lang w:val="en-US"/>
        </w:rPr>
        <w:t xml:space="preserve"> at 17.</w:t>
      </w:r>
      <w:r w:rsidR="00B43DE1" w:rsidRPr="003B5A59">
        <w:rPr>
          <w:rFonts w:ascii="Times New Roman" w:hAnsi="Times New Roman" w:cs="Times New Roman"/>
          <w:lang w:val="en-US"/>
        </w:rPr>
        <w:t>6</w:t>
      </w:r>
      <w:r w:rsidRPr="003B5A59">
        <w:rPr>
          <w:rFonts w:ascii="Times New Roman" w:hAnsi="Times New Roman" w:cs="Times New Roman"/>
          <w:lang w:val="en-US"/>
        </w:rPr>
        <w:t>% in 2011.</w:t>
      </w:r>
      <w:r w:rsidR="00B8768D" w:rsidRPr="00B8768D">
        <w:rPr>
          <w:rFonts w:ascii="Times New Roman" w:hAnsi="Times New Roman" w:cs="Times New Roman"/>
          <w:lang w:val="en-US"/>
        </w:rPr>
        <w:t xml:space="preserve"> </w:t>
      </w:r>
      <w:r w:rsidR="00B8768D" w:rsidRPr="00CA0CDA">
        <w:rPr>
          <w:rFonts w:ascii="Times New Roman" w:hAnsi="Times New Roman" w:cs="Times New Roman"/>
          <w:lang w:val="en-US"/>
        </w:rPr>
        <w:t>GDP increase for 2012</w:t>
      </w:r>
      <w:r w:rsidR="00B8768D">
        <w:rPr>
          <w:rFonts w:ascii="Times New Roman" w:hAnsi="Times New Roman" w:cs="Times New Roman"/>
          <w:lang w:val="en-US"/>
        </w:rPr>
        <w:t xml:space="preserve"> </w:t>
      </w:r>
      <w:r w:rsidR="00CA0CDA">
        <w:rPr>
          <w:rFonts w:ascii="Times New Roman" w:hAnsi="Times New Roman" w:cs="Times New Roman"/>
          <w:lang w:val="en-US"/>
        </w:rPr>
        <w:t xml:space="preserve">was </w:t>
      </w:r>
      <w:r w:rsidR="00B8768D">
        <w:rPr>
          <w:rFonts w:ascii="Times New Roman" w:hAnsi="Times New Roman" w:cs="Times New Roman"/>
          <w:lang w:val="en-US"/>
        </w:rPr>
        <w:t xml:space="preserve">estimated at </w:t>
      </w:r>
      <w:r w:rsidR="00B8768D" w:rsidRPr="003B5A59">
        <w:rPr>
          <w:rFonts w:ascii="Times New Roman" w:hAnsi="Times New Roman" w:cs="Times New Roman"/>
          <w:lang w:val="en-US"/>
        </w:rPr>
        <w:t>1</w:t>
      </w:r>
      <w:r w:rsidR="00B8768D">
        <w:rPr>
          <w:rFonts w:ascii="Times New Roman" w:hAnsi="Times New Roman" w:cs="Times New Roman"/>
          <w:lang w:val="en-US"/>
        </w:rPr>
        <w:t>2.3%</w:t>
      </w:r>
      <w:r w:rsidRPr="003B5A59">
        <w:rPr>
          <w:rFonts w:ascii="Times New Roman" w:hAnsi="Times New Roman" w:cs="Times New Roman"/>
          <w:lang w:val="en-US"/>
        </w:rPr>
        <w:t>. This rapid growth has been fueled by the mining boom in the country. As the Mongolian economy continues to grow rapidly, one of the challenges is to ensure the country takes a path towards sustainable development, including the sustainable management of its natural resources.</w:t>
      </w:r>
    </w:p>
    <w:p w14:paraId="126AD514" w14:textId="77777777" w:rsidR="002D6525" w:rsidRPr="003B5A59" w:rsidRDefault="002D6525" w:rsidP="002D6525">
      <w:pPr>
        <w:rPr>
          <w:rFonts w:ascii="Times New Roman" w:hAnsi="Times New Roman" w:cs="Times New Roman"/>
          <w:lang w:val="en-US"/>
        </w:rPr>
      </w:pPr>
    </w:p>
    <w:p w14:paraId="5789E4DA" w14:textId="1D58CA0B" w:rsidR="00267914" w:rsidRPr="003B5A59" w:rsidRDefault="00470140" w:rsidP="002D6525">
      <w:pPr>
        <w:rPr>
          <w:rFonts w:ascii="Times New Roman" w:hAnsi="Times New Roman" w:cs="Times New Roman"/>
          <w:lang w:val="en-US"/>
        </w:rPr>
      </w:pPr>
      <w:r w:rsidRPr="003B5A59">
        <w:rPr>
          <w:rFonts w:ascii="Times New Roman" w:hAnsi="Times New Roman" w:cs="Times New Roman"/>
          <w:lang w:val="en-US"/>
        </w:rPr>
        <w:t xml:space="preserve">As </w:t>
      </w:r>
      <w:r w:rsidR="002D6525" w:rsidRPr="003B5A59">
        <w:rPr>
          <w:rFonts w:ascii="Times New Roman" w:hAnsi="Times New Roman" w:cs="Times New Roman"/>
          <w:lang w:val="en-US"/>
        </w:rPr>
        <w:t>a step towards</w:t>
      </w:r>
      <w:r w:rsidR="00133FDA" w:rsidRPr="003B5A59">
        <w:rPr>
          <w:rFonts w:ascii="Times New Roman" w:hAnsi="Times New Roman" w:cs="Times New Roman"/>
          <w:lang w:val="en-US"/>
        </w:rPr>
        <w:t xml:space="preserve"> </w:t>
      </w:r>
      <w:r w:rsidR="002D6525" w:rsidRPr="003B5A59">
        <w:rPr>
          <w:rFonts w:ascii="Times New Roman" w:hAnsi="Times New Roman" w:cs="Times New Roman"/>
          <w:lang w:val="en-US"/>
        </w:rPr>
        <w:t xml:space="preserve">greener </w:t>
      </w:r>
      <w:r w:rsidR="00EA4876" w:rsidRPr="003B5A59">
        <w:rPr>
          <w:rFonts w:ascii="Times New Roman" w:hAnsi="Times New Roman" w:cs="Times New Roman"/>
          <w:lang w:val="en-US"/>
        </w:rPr>
        <w:t>development</w:t>
      </w:r>
      <w:r w:rsidRPr="003B5A59">
        <w:rPr>
          <w:rFonts w:ascii="Times New Roman" w:hAnsi="Times New Roman" w:cs="Times New Roman"/>
          <w:lang w:val="en-US"/>
        </w:rPr>
        <w:t>,</w:t>
      </w:r>
      <w:r w:rsidR="006D0A05" w:rsidRPr="003B5A59">
        <w:rPr>
          <w:rFonts w:ascii="Times New Roman" w:hAnsi="Times New Roman" w:cs="Times New Roman"/>
          <w:lang w:val="en-US"/>
        </w:rPr>
        <w:t xml:space="preserve"> </w:t>
      </w:r>
      <w:proofErr w:type="spellStart"/>
      <w:r w:rsidR="00EA4876" w:rsidRPr="003B5A59">
        <w:rPr>
          <w:rFonts w:ascii="Times New Roman" w:hAnsi="Times New Roman" w:cs="Times New Roman"/>
          <w:lang w:val="en-US"/>
        </w:rPr>
        <w:t>REDD</w:t>
      </w:r>
      <w:proofErr w:type="spellEnd"/>
      <w:r w:rsidR="00133FDA" w:rsidRPr="003B5A59">
        <w:rPr>
          <w:rFonts w:ascii="Times New Roman" w:hAnsi="Times New Roman" w:cs="Times New Roman"/>
          <w:lang w:val="en-US"/>
        </w:rPr>
        <w:t xml:space="preserve">+ has been identified </w:t>
      </w:r>
      <w:r w:rsidR="00EA4876" w:rsidRPr="003B5A59">
        <w:rPr>
          <w:rFonts w:ascii="Times New Roman" w:hAnsi="Times New Roman" w:cs="Times New Roman"/>
          <w:lang w:val="en-US"/>
        </w:rPr>
        <w:t xml:space="preserve">as one of </w:t>
      </w:r>
      <w:r w:rsidR="00133FDA" w:rsidRPr="003B5A59">
        <w:rPr>
          <w:rFonts w:ascii="Times New Roman" w:hAnsi="Times New Roman" w:cs="Times New Roman"/>
          <w:lang w:val="en-US"/>
        </w:rPr>
        <w:t xml:space="preserve">the </w:t>
      </w:r>
      <w:r w:rsidR="00EA4876" w:rsidRPr="003B5A59">
        <w:rPr>
          <w:rFonts w:ascii="Times New Roman" w:hAnsi="Times New Roman" w:cs="Times New Roman"/>
          <w:lang w:val="en-US"/>
        </w:rPr>
        <w:t xml:space="preserve">strategic vehicles to achieve </w:t>
      </w:r>
      <w:r w:rsidRPr="003B5A59">
        <w:rPr>
          <w:rFonts w:ascii="Times New Roman" w:hAnsi="Times New Roman" w:cs="Times New Roman"/>
          <w:lang w:val="en-US"/>
        </w:rPr>
        <w:t>the country’s</w:t>
      </w:r>
      <w:r w:rsidR="00133FDA" w:rsidRPr="003B5A59">
        <w:rPr>
          <w:rFonts w:ascii="Times New Roman" w:hAnsi="Times New Roman" w:cs="Times New Roman"/>
          <w:lang w:val="en-US"/>
        </w:rPr>
        <w:t xml:space="preserve"> green development</w:t>
      </w:r>
      <w:r w:rsidR="00EA4876" w:rsidRPr="003B5A59">
        <w:rPr>
          <w:rFonts w:ascii="Times New Roman" w:hAnsi="Times New Roman" w:cs="Times New Roman"/>
          <w:lang w:val="en-US"/>
        </w:rPr>
        <w:t xml:space="preserve"> </w:t>
      </w:r>
      <w:r w:rsidR="00133FDA" w:rsidRPr="003B5A59">
        <w:rPr>
          <w:rFonts w:ascii="Times New Roman" w:hAnsi="Times New Roman" w:cs="Times New Roman"/>
          <w:lang w:val="en-US"/>
        </w:rPr>
        <w:t>agenda</w:t>
      </w:r>
      <w:r w:rsidR="00EB6569" w:rsidRPr="003B5A59">
        <w:rPr>
          <w:rFonts w:ascii="Times New Roman" w:hAnsi="Times New Roman" w:cs="Times New Roman"/>
          <w:lang w:val="en-US"/>
        </w:rPr>
        <w:t xml:space="preserve">, as indicated in </w:t>
      </w:r>
      <w:r w:rsidR="00EA4876" w:rsidRPr="003B5A59">
        <w:rPr>
          <w:rFonts w:ascii="Times New Roman" w:hAnsi="Times New Roman" w:cs="Times New Roman"/>
          <w:lang w:val="en-US"/>
        </w:rPr>
        <w:t>Mongolia's proposed nationally appropriate mitigation actions (</w:t>
      </w:r>
      <w:proofErr w:type="spellStart"/>
      <w:r w:rsidR="00EA4876" w:rsidRPr="003B5A59">
        <w:rPr>
          <w:rFonts w:ascii="Times New Roman" w:hAnsi="Times New Roman" w:cs="Times New Roman"/>
          <w:lang w:val="en-US"/>
        </w:rPr>
        <w:t>NAMAs</w:t>
      </w:r>
      <w:proofErr w:type="spellEnd"/>
      <w:r w:rsidR="00EA4876" w:rsidRPr="003B5A59">
        <w:rPr>
          <w:rFonts w:ascii="Times New Roman" w:hAnsi="Times New Roman" w:cs="Times New Roman"/>
          <w:lang w:val="en-US"/>
        </w:rPr>
        <w:t xml:space="preserve">) and Second National Communication to the </w:t>
      </w:r>
      <w:proofErr w:type="spellStart"/>
      <w:r w:rsidR="00EA4876" w:rsidRPr="003B5A59">
        <w:rPr>
          <w:rFonts w:ascii="Times New Roman" w:hAnsi="Times New Roman" w:cs="Times New Roman"/>
          <w:lang w:val="en-US"/>
        </w:rPr>
        <w:t>UNFCCC</w:t>
      </w:r>
      <w:proofErr w:type="spellEnd"/>
      <w:r w:rsidR="00D34708" w:rsidRPr="003B5A59">
        <w:rPr>
          <w:rFonts w:ascii="Times New Roman" w:hAnsi="Times New Roman" w:cs="Times New Roman"/>
          <w:lang w:val="en-US"/>
        </w:rPr>
        <w:t>.  The Government is currently preparing a National Green Development Strategy.</w:t>
      </w:r>
    </w:p>
    <w:p w14:paraId="3D14B3AA" w14:textId="77777777" w:rsidR="00EA4876" w:rsidRPr="003B5A59" w:rsidRDefault="00EA4876" w:rsidP="002D6525">
      <w:pPr>
        <w:rPr>
          <w:rFonts w:ascii="Times New Roman" w:hAnsi="Times New Roman" w:cs="Times New Roman"/>
          <w:lang w:val="en-US"/>
        </w:rPr>
      </w:pPr>
    </w:p>
    <w:p w14:paraId="44B86356" w14:textId="469EF572" w:rsidR="002D6525" w:rsidRPr="003B5A59" w:rsidRDefault="002D6525" w:rsidP="002D6525">
      <w:pPr>
        <w:rPr>
          <w:rFonts w:ascii="Times New Roman" w:hAnsi="Times New Roman" w:cs="Times New Roman"/>
          <w:lang w:val="en-US"/>
        </w:rPr>
      </w:pPr>
      <w:r w:rsidRPr="003B5A59">
        <w:rPr>
          <w:rFonts w:ascii="Times New Roman" w:hAnsi="Times New Roman" w:cs="Times New Roman"/>
          <w:lang w:val="en-US"/>
        </w:rPr>
        <w:t xml:space="preserve">Mongolia is currently in the process of finalizing its National </w:t>
      </w:r>
      <w:proofErr w:type="spellStart"/>
      <w:r w:rsidRPr="003B5A59">
        <w:rPr>
          <w:rFonts w:ascii="Times New Roman" w:hAnsi="Times New Roman" w:cs="Times New Roman"/>
          <w:lang w:val="en-US"/>
        </w:rPr>
        <w:t>REDD</w:t>
      </w:r>
      <w:proofErr w:type="spellEnd"/>
      <w:r w:rsidRPr="003B5A59">
        <w:rPr>
          <w:rFonts w:ascii="Times New Roman" w:hAnsi="Times New Roman" w:cs="Times New Roman"/>
          <w:lang w:val="en-US"/>
        </w:rPr>
        <w:t xml:space="preserve">+ Roadmap to start implementing activities for strengthening and developing relevant policies and measures and building technical and institutional </w:t>
      </w:r>
      <w:proofErr w:type="spellStart"/>
      <w:r w:rsidRPr="003B5A59">
        <w:rPr>
          <w:rFonts w:ascii="Times New Roman" w:hAnsi="Times New Roman" w:cs="Times New Roman"/>
          <w:lang w:val="en-US"/>
        </w:rPr>
        <w:t>REDD</w:t>
      </w:r>
      <w:proofErr w:type="spellEnd"/>
      <w:r w:rsidRPr="003B5A59">
        <w:rPr>
          <w:rFonts w:ascii="Times New Roman" w:hAnsi="Times New Roman" w:cs="Times New Roman"/>
          <w:lang w:val="en-US"/>
        </w:rPr>
        <w:t xml:space="preserve">+ capacities. The Roadmap sets out to deliver the following outcomes through the first phase of </w:t>
      </w:r>
      <w:proofErr w:type="spellStart"/>
      <w:r w:rsidRPr="003B5A59">
        <w:rPr>
          <w:rFonts w:ascii="Times New Roman" w:hAnsi="Times New Roman" w:cs="Times New Roman"/>
          <w:lang w:val="en-US"/>
        </w:rPr>
        <w:t>REDD</w:t>
      </w:r>
      <w:proofErr w:type="spellEnd"/>
      <w:r w:rsidRPr="003B5A59">
        <w:rPr>
          <w:rFonts w:ascii="Times New Roman" w:hAnsi="Times New Roman" w:cs="Times New Roman"/>
          <w:lang w:val="en-US"/>
        </w:rPr>
        <w:t>+:</w:t>
      </w:r>
    </w:p>
    <w:p w14:paraId="70C7B534" w14:textId="77777777" w:rsidR="002D6525" w:rsidRPr="003B5A59" w:rsidRDefault="002D6525" w:rsidP="002D6525">
      <w:pPr>
        <w:rPr>
          <w:rFonts w:ascii="Times New Roman" w:hAnsi="Times New Roman" w:cs="Times New Roman"/>
          <w:lang w:val="en-US"/>
        </w:rPr>
      </w:pPr>
    </w:p>
    <w:p w14:paraId="2A3C22E0" w14:textId="2092E8CC" w:rsidR="005808DF" w:rsidRPr="003B5A59" w:rsidRDefault="005808DF" w:rsidP="005565F2">
      <w:pPr>
        <w:pStyle w:val="ListParagraph"/>
        <w:numPr>
          <w:ilvl w:val="0"/>
          <w:numId w:val="2"/>
        </w:numPr>
        <w:rPr>
          <w:rFonts w:ascii="Times New Roman" w:hAnsi="Times New Roman"/>
        </w:rPr>
      </w:pPr>
      <w:r w:rsidRPr="003B5A59">
        <w:rPr>
          <w:rFonts w:ascii="Times New Roman" w:hAnsi="Times New Roman"/>
        </w:rPr>
        <w:t xml:space="preserve">Outcome 1: National </w:t>
      </w:r>
      <w:proofErr w:type="spellStart"/>
      <w:r w:rsidRPr="003B5A59">
        <w:rPr>
          <w:rFonts w:ascii="Times New Roman" w:hAnsi="Times New Roman"/>
        </w:rPr>
        <w:t>REDD</w:t>
      </w:r>
      <w:proofErr w:type="spellEnd"/>
      <w:r w:rsidRPr="003B5A59">
        <w:rPr>
          <w:rFonts w:ascii="Times New Roman" w:hAnsi="Times New Roman"/>
        </w:rPr>
        <w:t>+ manage</w:t>
      </w:r>
      <w:r w:rsidR="00EB6569" w:rsidRPr="003B5A59">
        <w:rPr>
          <w:rFonts w:ascii="Times New Roman" w:hAnsi="Times New Roman"/>
        </w:rPr>
        <w:t>ment arrangements established and</w:t>
      </w:r>
      <w:r w:rsidRPr="003B5A59">
        <w:rPr>
          <w:rFonts w:ascii="Times New Roman" w:hAnsi="Times New Roman"/>
        </w:rPr>
        <w:t xml:space="preserve"> Improved Stakeholder Consultation and Engagement</w:t>
      </w:r>
      <w:r w:rsidR="00EB6569" w:rsidRPr="003B5A59">
        <w:rPr>
          <w:rFonts w:ascii="Times New Roman" w:hAnsi="Times New Roman"/>
        </w:rPr>
        <w:t>.</w:t>
      </w:r>
      <w:r w:rsidRPr="003B5A59">
        <w:rPr>
          <w:rFonts w:ascii="Times New Roman" w:hAnsi="Times New Roman"/>
        </w:rPr>
        <w:t xml:space="preserve"> </w:t>
      </w:r>
    </w:p>
    <w:p w14:paraId="6012C4FD" w14:textId="3EF9B094" w:rsidR="005808DF" w:rsidRPr="003B5A59" w:rsidRDefault="005808DF" w:rsidP="005565F2">
      <w:pPr>
        <w:pStyle w:val="ListParagraph"/>
        <w:numPr>
          <w:ilvl w:val="0"/>
          <w:numId w:val="2"/>
        </w:numPr>
        <w:rPr>
          <w:rFonts w:ascii="Times New Roman" w:hAnsi="Times New Roman"/>
        </w:rPr>
      </w:pPr>
      <w:r w:rsidRPr="003B5A59">
        <w:rPr>
          <w:rFonts w:ascii="Times New Roman" w:hAnsi="Times New Roman"/>
        </w:rPr>
        <w:t xml:space="preserve">Outcome 2: National </w:t>
      </w:r>
      <w:proofErr w:type="spellStart"/>
      <w:r w:rsidRPr="003B5A59">
        <w:rPr>
          <w:rFonts w:ascii="Times New Roman" w:hAnsi="Times New Roman"/>
        </w:rPr>
        <w:t>REDD</w:t>
      </w:r>
      <w:proofErr w:type="spellEnd"/>
      <w:r w:rsidRPr="003B5A59">
        <w:rPr>
          <w:rFonts w:ascii="Times New Roman" w:hAnsi="Times New Roman"/>
        </w:rPr>
        <w:t>+ Strategy prepared, with implementation framework and demonstration activities</w:t>
      </w:r>
      <w:r w:rsidR="0024666E" w:rsidRPr="003B5A59">
        <w:rPr>
          <w:rFonts w:ascii="Times New Roman" w:hAnsi="Times New Roman"/>
        </w:rPr>
        <w:t xml:space="preserve">. </w:t>
      </w:r>
      <w:r w:rsidRPr="003B5A59">
        <w:rPr>
          <w:rFonts w:ascii="Times New Roman" w:hAnsi="Times New Roman"/>
        </w:rPr>
        <w:t>Improved stakeholder awareness and effective engagement</w:t>
      </w:r>
      <w:r w:rsidR="00EB6569" w:rsidRPr="003B5A59">
        <w:rPr>
          <w:rFonts w:ascii="Times New Roman" w:hAnsi="Times New Roman"/>
        </w:rPr>
        <w:t>.</w:t>
      </w:r>
      <w:r w:rsidRPr="003B5A59">
        <w:rPr>
          <w:rFonts w:ascii="Times New Roman" w:hAnsi="Times New Roman"/>
        </w:rPr>
        <w:t xml:space="preserve"> </w:t>
      </w:r>
    </w:p>
    <w:p w14:paraId="4B1C010A" w14:textId="0BF7E8C6" w:rsidR="005808DF" w:rsidRPr="003B5A59" w:rsidRDefault="005808DF" w:rsidP="005565F2">
      <w:pPr>
        <w:pStyle w:val="ListParagraph"/>
        <w:numPr>
          <w:ilvl w:val="0"/>
          <w:numId w:val="2"/>
        </w:numPr>
        <w:rPr>
          <w:rFonts w:ascii="Times New Roman" w:hAnsi="Times New Roman"/>
        </w:rPr>
      </w:pPr>
      <w:r w:rsidRPr="003B5A59">
        <w:rPr>
          <w:rFonts w:ascii="Times New Roman" w:hAnsi="Times New Roman"/>
        </w:rPr>
        <w:t>Outcome 3: Reference emission levels and reference levels developed</w:t>
      </w:r>
      <w:r w:rsidR="0024666E" w:rsidRPr="003B5A59">
        <w:rPr>
          <w:rFonts w:ascii="Times New Roman" w:hAnsi="Times New Roman"/>
        </w:rPr>
        <w:t xml:space="preserve">. </w:t>
      </w:r>
      <w:r w:rsidRPr="003B5A59">
        <w:rPr>
          <w:rFonts w:ascii="Times New Roman" w:hAnsi="Times New Roman"/>
        </w:rPr>
        <w:t xml:space="preserve">National </w:t>
      </w:r>
      <w:proofErr w:type="spellStart"/>
      <w:r w:rsidRPr="003B5A59">
        <w:rPr>
          <w:rFonts w:ascii="Times New Roman" w:hAnsi="Times New Roman"/>
        </w:rPr>
        <w:t>REDD</w:t>
      </w:r>
      <w:proofErr w:type="spellEnd"/>
      <w:r w:rsidRPr="003B5A59">
        <w:rPr>
          <w:rFonts w:ascii="Times New Roman" w:hAnsi="Times New Roman"/>
        </w:rPr>
        <w:t>+ Strategy and implementation framework</w:t>
      </w:r>
      <w:r w:rsidR="00EB6569" w:rsidRPr="003B5A59">
        <w:rPr>
          <w:rFonts w:ascii="Times New Roman" w:hAnsi="Times New Roman"/>
        </w:rPr>
        <w:t>.</w:t>
      </w:r>
      <w:r w:rsidRPr="003B5A59">
        <w:rPr>
          <w:rFonts w:ascii="Times New Roman" w:hAnsi="Times New Roman"/>
        </w:rPr>
        <w:t xml:space="preserve"> </w:t>
      </w:r>
    </w:p>
    <w:p w14:paraId="0C60C264" w14:textId="40A9A096" w:rsidR="005808DF" w:rsidRPr="003B5A59" w:rsidRDefault="005808DF" w:rsidP="005565F2">
      <w:pPr>
        <w:pStyle w:val="ListParagraph"/>
        <w:numPr>
          <w:ilvl w:val="0"/>
          <w:numId w:val="2"/>
        </w:numPr>
        <w:rPr>
          <w:rFonts w:ascii="Times New Roman" w:hAnsi="Times New Roman"/>
        </w:rPr>
      </w:pPr>
      <w:r w:rsidRPr="003B5A59">
        <w:rPr>
          <w:rFonts w:ascii="Times New Roman" w:hAnsi="Times New Roman"/>
        </w:rPr>
        <w:t>Outcome 4: National forest monitoring system and safeguards information system developed</w:t>
      </w:r>
      <w:r w:rsidR="0024666E" w:rsidRPr="003B5A59">
        <w:rPr>
          <w:rFonts w:ascii="Times New Roman" w:hAnsi="Times New Roman"/>
        </w:rPr>
        <w:t xml:space="preserve">. </w:t>
      </w:r>
      <w:r w:rsidRPr="003B5A59">
        <w:rPr>
          <w:rFonts w:ascii="Times New Roman" w:hAnsi="Times New Roman"/>
        </w:rPr>
        <w:t xml:space="preserve">Monitoring and </w:t>
      </w:r>
      <w:proofErr w:type="spellStart"/>
      <w:r w:rsidRPr="003B5A59">
        <w:rPr>
          <w:rFonts w:ascii="Times New Roman" w:hAnsi="Times New Roman"/>
        </w:rPr>
        <w:t>MRV</w:t>
      </w:r>
      <w:proofErr w:type="spellEnd"/>
      <w:r w:rsidRPr="003B5A59">
        <w:rPr>
          <w:rFonts w:ascii="Times New Roman" w:hAnsi="Times New Roman"/>
        </w:rPr>
        <w:t xml:space="preserve"> functions for </w:t>
      </w:r>
      <w:proofErr w:type="spellStart"/>
      <w:r w:rsidRPr="003B5A59">
        <w:rPr>
          <w:rFonts w:ascii="Times New Roman" w:hAnsi="Times New Roman"/>
        </w:rPr>
        <w:t>REDD</w:t>
      </w:r>
      <w:proofErr w:type="spellEnd"/>
      <w:r w:rsidRPr="003B5A59">
        <w:rPr>
          <w:rFonts w:ascii="Times New Roman" w:hAnsi="Times New Roman"/>
        </w:rPr>
        <w:t>+ activities developed</w:t>
      </w:r>
      <w:r w:rsidR="00EB6569" w:rsidRPr="003B5A59">
        <w:rPr>
          <w:rFonts w:ascii="Times New Roman" w:hAnsi="Times New Roman"/>
        </w:rPr>
        <w:t>.</w:t>
      </w:r>
    </w:p>
    <w:p w14:paraId="6B0D543E" w14:textId="77777777" w:rsidR="002D6525" w:rsidRPr="003B5A59" w:rsidRDefault="002D6525" w:rsidP="002D6525">
      <w:pPr>
        <w:ind w:left="360"/>
        <w:rPr>
          <w:rFonts w:ascii="Times New Roman" w:hAnsi="Times New Roman" w:cs="Times New Roman"/>
          <w:lang w:val="en-US"/>
        </w:rPr>
      </w:pPr>
    </w:p>
    <w:p w14:paraId="12387644" w14:textId="1830F33B" w:rsidR="00E556D1" w:rsidRPr="003B5A59" w:rsidRDefault="00E556D1" w:rsidP="00AB0521">
      <w:pPr>
        <w:rPr>
          <w:rFonts w:ascii="Times New Roman" w:hAnsi="Times New Roman" w:cs="Times New Roman"/>
        </w:rPr>
      </w:pPr>
      <w:r w:rsidRPr="003B5A59">
        <w:rPr>
          <w:rFonts w:ascii="Times New Roman" w:hAnsi="Times New Roman" w:cs="Times New Roman"/>
        </w:rPr>
        <w:t xml:space="preserve">The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Roadmap was prepared by the previous government, setting out a plan of activities to prepare a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Strategy in Mongolia. </w:t>
      </w:r>
      <w:r w:rsidR="00B8768D" w:rsidRPr="003B5A59">
        <w:rPr>
          <w:rFonts w:ascii="Times New Roman" w:hAnsi="Times New Roman" w:cs="Times New Roman"/>
        </w:rPr>
        <w:t>F</w:t>
      </w:r>
      <w:r w:rsidR="00B8768D">
        <w:rPr>
          <w:rFonts w:ascii="Times New Roman" w:hAnsi="Times New Roman" w:cs="Times New Roman"/>
        </w:rPr>
        <w:t>unding</w:t>
      </w:r>
      <w:r w:rsidR="00B8768D" w:rsidRPr="003B5A59">
        <w:rPr>
          <w:rFonts w:ascii="Times New Roman" w:hAnsi="Times New Roman" w:cs="Times New Roman"/>
        </w:rPr>
        <w:t xml:space="preserve"> </w:t>
      </w:r>
      <w:r w:rsidR="00E42BB0" w:rsidRPr="003B5A59">
        <w:rPr>
          <w:rFonts w:ascii="Times New Roman" w:hAnsi="Times New Roman" w:cs="Times New Roman"/>
        </w:rPr>
        <w:t xml:space="preserve">has been provided by </w:t>
      </w:r>
      <w:r w:rsidR="00626956" w:rsidRPr="003B5A59">
        <w:rPr>
          <w:rFonts w:ascii="Times New Roman" w:hAnsi="Times New Roman" w:cs="Times New Roman"/>
        </w:rPr>
        <w:t>the UNDP Japan partnership fund, the UNDP Country Office,</w:t>
      </w:r>
      <w:r w:rsidR="00E42BB0" w:rsidRPr="003B5A59">
        <w:rPr>
          <w:rFonts w:ascii="Times New Roman" w:hAnsi="Times New Roman" w:cs="Times New Roman"/>
        </w:rPr>
        <w:t xml:space="preserve"> and Targeted Support provided by UNDP and </w:t>
      </w:r>
      <w:proofErr w:type="spellStart"/>
      <w:r w:rsidR="00E42BB0" w:rsidRPr="003B5A59">
        <w:rPr>
          <w:rFonts w:ascii="Times New Roman" w:hAnsi="Times New Roman" w:cs="Times New Roman"/>
        </w:rPr>
        <w:t>FAO</w:t>
      </w:r>
      <w:proofErr w:type="spellEnd"/>
      <w:r w:rsidR="00E42BB0" w:rsidRPr="003B5A59">
        <w:rPr>
          <w:rFonts w:ascii="Times New Roman" w:hAnsi="Times New Roman" w:cs="Times New Roman"/>
        </w:rPr>
        <w:t xml:space="preserve">. </w:t>
      </w:r>
      <w:r w:rsidR="00E42BB0" w:rsidRPr="003B5A59">
        <w:rPr>
          <w:rFonts w:ascii="Times New Roman" w:hAnsi="Times New Roman" w:cs="Times New Roman"/>
          <w:lang w:val="en-US"/>
        </w:rPr>
        <w:t>The Roadmap</w:t>
      </w:r>
      <w:r w:rsidRPr="003B5A59">
        <w:rPr>
          <w:rFonts w:ascii="Times New Roman" w:hAnsi="Times New Roman" w:cs="Times New Roman"/>
          <w:lang w:val="en-US"/>
        </w:rPr>
        <w:t xml:space="preserve"> was validated earlier this year through a multi-stakeholder process. </w:t>
      </w:r>
      <w:r w:rsidR="00B43DE1" w:rsidRPr="003B5A59">
        <w:rPr>
          <w:rFonts w:ascii="Times New Roman" w:hAnsi="Times New Roman" w:cs="Times New Roman"/>
          <w:lang w:val="en-US"/>
        </w:rPr>
        <w:t>The 2012</w:t>
      </w:r>
      <w:r w:rsidR="00F738D4" w:rsidRPr="003B5A59">
        <w:rPr>
          <w:rFonts w:ascii="Times New Roman" w:hAnsi="Times New Roman" w:cs="Times New Roman"/>
          <w:lang w:val="en-US"/>
        </w:rPr>
        <w:t xml:space="preserve"> elections and the formation of a </w:t>
      </w:r>
      <w:r w:rsidRPr="003B5A59">
        <w:rPr>
          <w:rFonts w:ascii="Times New Roman" w:hAnsi="Times New Roman" w:cs="Times New Roman"/>
          <w:lang w:val="en-US"/>
        </w:rPr>
        <w:t>new</w:t>
      </w:r>
      <w:r w:rsidR="00626956" w:rsidRPr="003B5A59">
        <w:rPr>
          <w:rFonts w:ascii="Times New Roman" w:hAnsi="Times New Roman" w:cs="Times New Roman"/>
          <w:lang w:val="en-US"/>
        </w:rPr>
        <w:t xml:space="preserve"> government</w:t>
      </w:r>
      <w:r w:rsidR="00BA7D5E" w:rsidRPr="003B5A59">
        <w:rPr>
          <w:rFonts w:ascii="Times New Roman" w:hAnsi="Times New Roman" w:cs="Times New Roman"/>
          <w:lang w:val="en-US"/>
        </w:rPr>
        <w:t xml:space="preserve"> </w:t>
      </w:r>
      <w:r w:rsidR="00B43DE1" w:rsidRPr="003B5A59">
        <w:rPr>
          <w:rFonts w:ascii="Times New Roman" w:hAnsi="Times New Roman" w:cs="Times New Roman"/>
          <w:lang w:val="en-US"/>
        </w:rPr>
        <w:t>raised some uncertainty in</w:t>
      </w:r>
      <w:r w:rsidR="00626956" w:rsidRPr="003B5A59">
        <w:rPr>
          <w:rFonts w:ascii="Times New Roman" w:hAnsi="Times New Roman" w:cs="Times New Roman"/>
          <w:lang w:val="en-US"/>
        </w:rPr>
        <w:t xml:space="preserve"> the status of the R</w:t>
      </w:r>
      <w:r w:rsidRPr="003B5A59">
        <w:rPr>
          <w:rFonts w:ascii="Times New Roman" w:hAnsi="Times New Roman" w:cs="Times New Roman"/>
          <w:lang w:val="en-US"/>
        </w:rPr>
        <w:t xml:space="preserve">oadmap </w:t>
      </w:r>
      <w:r w:rsidR="00B43DE1" w:rsidRPr="003B5A59">
        <w:rPr>
          <w:rFonts w:ascii="Times New Roman" w:hAnsi="Times New Roman" w:cs="Times New Roman"/>
          <w:lang w:val="en-US"/>
        </w:rPr>
        <w:t xml:space="preserve">but following the election </w:t>
      </w:r>
      <w:r w:rsidR="00B43DE1" w:rsidRPr="003B5A59">
        <w:rPr>
          <w:rFonts w:ascii="Times New Roman" w:hAnsi="Times New Roman" w:cs="Times New Roman"/>
        </w:rPr>
        <w:t>the Government has made clear its continuing commitment</w:t>
      </w:r>
      <w:r w:rsidRPr="003B5A59">
        <w:rPr>
          <w:rFonts w:ascii="Times New Roman" w:hAnsi="Times New Roman" w:cs="Times New Roman"/>
          <w:lang w:val="en-US"/>
        </w:rPr>
        <w:t>.</w:t>
      </w:r>
    </w:p>
    <w:p w14:paraId="40E47E47" w14:textId="77777777" w:rsidR="00E556D1" w:rsidRPr="003B5A59" w:rsidRDefault="00E556D1" w:rsidP="002D6525">
      <w:pPr>
        <w:rPr>
          <w:rFonts w:ascii="Times New Roman" w:hAnsi="Times New Roman" w:cs="Times New Roman"/>
          <w:lang w:val="en-US"/>
        </w:rPr>
      </w:pPr>
    </w:p>
    <w:p w14:paraId="096584DB" w14:textId="1731217C" w:rsidR="00B4142B" w:rsidRPr="003B5A59" w:rsidRDefault="002D6525" w:rsidP="002D6525">
      <w:pPr>
        <w:rPr>
          <w:rFonts w:ascii="Times New Roman" w:hAnsi="Times New Roman" w:cs="Times New Roman"/>
          <w:lang w:val="en-US"/>
        </w:rPr>
      </w:pPr>
      <w:r w:rsidRPr="003B5A59">
        <w:rPr>
          <w:rFonts w:ascii="Times New Roman" w:hAnsi="Times New Roman" w:cs="Times New Roman"/>
          <w:lang w:val="en-US"/>
        </w:rPr>
        <w:t xml:space="preserve">The implementation of the Roadmap </w:t>
      </w:r>
      <w:r w:rsidR="00E556D1" w:rsidRPr="003B5A59">
        <w:rPr>
          <w:rFonts w:ascii="Times New Roman" w:hAnsi="Times New Roman" w:cs="Times New Roman"/>
          <w:lang w:val="en-US"/>
        </w:rPr>
        <w:t xml:space="preserve">will </w:t>
      </w:r>
      <w:r w:rsidR="00CF286B" w:rsidRPr="003B5A59">
        <w:rPr>
          <w:rFonts w:ascii="Times New Roman" w:hAnsi="Times New Roman" w:cs="Times New Roman"/>
          <w:lang w:val="en-US"/>
        </w:rPr>
        <w:t xml:space="preserve">not only </w:t>
      </w:r>
      <w:r w:rsidR="00E556D1" w:rsidRPr="003B5A59">
        <w:rPr>
          <w:rFonts w:ascii="Times New Roman" w:hAnsi="Times New Roman" w:cs="Times New Roman"/>
          <w:lang w:val="en-US"/>
        </w:rPr>
        <w:t>require</w:t>
      </w:r>
      <w:r w:rsidR="00267914" w:rsidRPr="003B5A59">
        <w:rPr>
          <w:rFonts w:ascii="Times New Roman" w:hAnsi="Times New Roman" w:cs="Times New Roman"/>
          <w:lang w:val="en-US"/>
        </w:rPr>
        <w:t xml:space="preserve"> </w:t>
      </w:r>
      <w:r w:rsidRPr="003B5A59">
        <w:rPr>
          <w:rFonts w:ascii="Times New Roman" w:hAnsi="Times New Roman" w:cs="Times New Roman"/>
          <w:lang w:val="en-US"/>
        </w:rPr>
        <w:t xml:space="preserve">substantial financing from </w:t>
      </w:r>
      <w:r w:rsidR="00267914" w:rsidRPr="003B5A59">
        <w:rPr>
          <w:rFonts w:ascii="Times New Roman" w:hAnsi="Times New Roman" w:cs="Times New Roman"/>
          <w:lang w:val="en-US"/>
        </w:rPr>
        <w:t>various</w:t>
      </w:r>
      <w:r w:rsidR="00E42BB0" w:rsidRPr="003B5A59">
        <w:rPr>
          <w:rFonts w:ascii="Times New Roman" w:hAnsi="Times New Roman" w:cs="Times New Roman"/>
          <w:lang w:val="en-US"/>
        </w:rPr>
        <w:t xml:space="preserve"> sources</w:t>
      </w:r>
      <w:r w:rsidR="00267914" w:rsidRPr="003B5A59">
        <w:rPr>
          <w:rFonts w:ascii="Times New Roman" w:hAnsi="Times New Roman" w:cs="Times New Roman"/>
          <w:lang w:val="en-US"/>
        </w:rPr>
        <w:t xml:space="preserve"> </w:t>
      </w:r>
      <w:r w:rsidR="00B4142B" w:rsidRPr="003B5A59">
        <w:rPr>
          <w:rFonts w:ascii="Times New Roman" w:hAnsi="Times New Roman" w:cs="Times New Roman"/>
          <w:lang w:val="en-US"/>
        </w:rPr>
        <w:t>for</w:t>
      </w:r>
      <w:r w:rsidR="00267914" w:rsidRPr="003B5A59">
        <w:rPr>
          <w:rFonts w:ascii="Times New Roman" w:hAnsi="Times New Roman" w:cs="Times New Roman"/>
          <w:lang w:val="en-US"/>
        </w:rPr>
        <w:t xml:space="preserve"> technical capacity building activities, but also </w:t>
      </w:r>
      <w:r w:rsidR="00100A32" w:rsidRPr="003B5A59">
        <w:rPr>
          <w:rFonts w:ascii="Times New Roman" w:hAnsi="Times New Roman" w:cs="Times New Roman"/>
          <w:lang w:val="en-US"/>
        </w:rPr>
        <w:t>adequate</w:t>
      </w:r>
      <w:r w:rsidR="00267914" w:rsidRPr="003B5A59">
        <w:rPr>
          <w:rFonts w:ascii="Times New Roman" w:hAnsi="Times New Roman" w:cs="Times New Roman"/>
          <w:lang w:val="en-US"/>
        </w:rPr>
        <w:t xml:space="preserve"> institutional capacities and resources at the </w:t>
      </w:r>
      <w:proofErr w:type="spellStart"/>
      <w:r w:rsidR="00267914" w:rsidRPr="003B5A59">
        <w:rPr>
          <w:rFonts w:ascii="Times New Roman" w:hAnsi="Times New Roman" w:cs="Times New Roman"/>
          <w:lang w:val="en-US"/>
        </w:rPr>
        <w:t>MoEGD</w:t>
      </w:r>
      <w:proofErr w:type="spellEnd"/>
      <w:r w:rsidR="00267914" w:rsidRPr="003B5A59">
        <w:rPr>
          <w:rFonts w:ascii="Times New Roman" w:hAnsi="Times New Roman" w:cs="Times New Roman"/>
          <w:lang w:val="en-US"/>
        </w:rPr>
        <w:t xml:space="preserve"> to </w:t>
      </w:r>
      <w:r w:rsidR="00B4142B" w:rsidRPr="003B5A59">
        <w:rPr>
          <w:rFonts w:ascii="Times New Roman" w:hAnsi="Times New Roman" w:cs="Times New Roman"/>
          <w:lang w:val="en-US"/>
        </w:rPr>
        <w:t xml:space="preserve">effectively and strategically manage </w:t>
      </w:r>
      <w:r w:rsidR="00CF286B" w:rsidRPr="003B5A59">
        <w:rPr>
          <w:rFonts w:ascii="Times New Roman" w:hAnsi="Times New Roman" w:cs="Times New Roman"/>
          <w:lang w:val="en-US"/>
        </w:rPr>
        <w:t xml:space="preserve">the </w:t>
      </w:r>
      <w:proofErr w:type="spellStart"/>
      <w:r w:rsidR="00CF286B" w:rsidRPr="003B5A59">
        <w:rPr>
          <w:rFonts w:ascii="Times New Roman" w:hAnsi="Times New Roman" w:cs="Times New Roman"/>
          <w:lang w:val="en-US"/>
        </w:rPr>
        <w:t>REDD</w:t>
      </w:r>
      <w:proofErr w:type="spellEnd"/>
      <w:r w:rsidR="00CF286B" w:rsidRPr="003B5A59">
        <w:rPr>
          <w:rFonts w:ascii="Times New Roman" w:hAnsi="Times New Roman" w:cs="Times New Roman"/>
          <w:lang w:val="en-US"/>
        </w:rPr>
        <w:t xml:space="preserve">+ Readiness process. This will include </w:t>
      </w:r>
      <w:r w:rsidR="00B4142B" w:rsidRPr="003B5A59">
        <w:rPr>
          <w:rFonts w:ascii="Times New Roman" w:hAnsi="Times New Roman" w:cs="Times New Roman"/>
          <w:lang w:val="en-US"/>
        </w:rPr>
        <w:t xml:space="preserve">linking </w:t>
      </w:r>
      <w:proofErr w:type="spellStart"/>
      <w:r w:rsidR="00CF286B" w:rsidRPr="003B5A59">
        <w:rPr>
          <w:rFonts w:ascii="Times New Roman" w:hAnsi="Times New Roman" w:cs="Times New Roman"/>
          <w:lang w:val="en-US"/>
        </w:rPr>
        <w:t>REDD</w:t>
      </w:r>
      <w:proofErr w:type="spellEnd"/>
      <w:r w:rsidR="00CF286B" w:rsidRPr="003B5A59">
        <w:rPr>
          <w:rFonts w:ascii="Times New Roman" w:hAnsi="Times New Roman" w:cs="Times New Roman"/>
          <w:lang w:val="en-US"/>
        </w:rPr>
        <w:t xml:space="preserve">+ </w:t>
      </w:r>
      <w:r w:rsidR="00EB6569" w:rsidRPr="003B5A59">
        <w:rPr>
          <w:rFonts w:ascii="Times New Roman" w:hAnsi="Times New Roman" w:cs="Times New Roman"/>
          <w:lang w:val="en-US"/>
        </w:rPr>
        <w:t xml:space="preserve">to </w:t>
      </w:r>
      <w:r w:rsidR="00B4142B" w:rsidRPr="003B5A59">
        <w:rPr>
          <w:rFonts w:ascii="Times New Roman" w:hAnsi="Times New Roman" w:cs="Times New Roman"/>
          <w:lang w:val="en-US"/>
        </w:rPr>
        <w:t xml:space="preserve">overall forest sector development and the national green development agenda in order to ensure successful and </w:t>
      </w:r>
      <w:r w:rsidR="00E45187" w:rsidRPr="003B5A59">
        <w:rPr>
          <w:rFonts w:ascii="Times New Roman" w:hAnsi="Times New Roman" w:cs="Times New Roman"/>
          <w:lang w:val="en-US"/>
        </w:rPr>
        <w:t>long-lasting outcomes.</w:t>
      </w:r>
      <w:r w:rsidR="00B4142B" w:rsidRPr="003B5A59">
        <w:rPr>
          <w:rFonts w:ascii="Times New Roman" w:hAnsi="Times New Roman" w:cs="Times New Roman"/>
          <w:lang w:val="en-US"/>
        </w:rPr>
        <w:t xml:space="preserve"> </w:t>
      </w:r>
      <w:r w:rsidR="00CF286B" w:rsidRPr="003B5A59">
        <w:rPr>
          <w:rFonts w:ascii="Times New Roman" w:hAnsi="Times New Roman" w:cs="Times New Roman"/>
          <w:lang w:val="en-US"/>
        </w:rPr>
        <w:t>It</w:t>
      </w:r>
      <w:r w:rsidR="00B4142B" w:rsidRPr="003B5A59">
        <w:rPr>
          <w:rFonts w:ascii="Times New Roman" w:hAnsi="Times New Roman" w:cs="Times New Roman"/>
          <w:lang w:val="en-US"/>
        </w:rPr>
        <w:t xml:space="preserve"> will also include </w:t>
      </w:r>
      <w:r w:rsidR="00CF286B" w:rsidRPr="003B5A59">
        <w:rPr>
          <w:rFonts w:ascii="Times New Roman" w:hAnsi="Times New Roman" w:cs="Times New Roman"/>
          <w:lang w:val="en-US"/>
        </w:rPr>
        <w:lastRenderedPageBreak/>
        <w:t xml:space="preserve">ensuring adequate </w:t>
      </w:r>
      <w:r w:rsidR="00B4142B" w:rsidRPr="003B5A59">
        <w:rPr>
          <w:rFonts w:ascii="Times New Roman" w:hAnsi="Times New Roman" w:cs="Times New Roman"/>
          <w:lang w:val="en-US"/>
        </w:rPr>
        <w:t>Gove</w:t>
      </w:r>
      <w:r w:rsidR="0073519E" w:rsidRPr="003B5A59">
        <w:rPr>
          <w:rFonts w:ascii="Times New Roman" w:hAnsi="Times New Roman" w:cs="Times New Roman"/>
          <w:lang w:val="en-US"/>
        </w:rPr>
        <w:t>r</w:t>
      </w:r>
      <w:r w:rsidR="00B4142B" w:rsidRPr="003B5A59">
        <w:rPr>
          <w:rFonts w:ascii="Times New Roman" w:hAnsi="Times New Roman" w:cs="Times New Roman"/>
          <w:lang w:val="en-US"/>
        </w:rPr>
        <w:t>n</w:t>
      </w:r>
      <w:r w:rsidR="00CF286B" w:rsidRPr="003B5A59">
        <w:rPr>
          <w:rFonts w:ascii="Times New Roman" w:hAnsi="Times New Roman" w:cs="Times New Roman"/>
          <w:lang w:val="en-US"/>
        </w:rPr>
        <w:t>ment</w:t>
      </w:r>
      <w:r w:rsidR="00B4142B" w:rsidRPr="003B5A59">
        <w:rPr>
          <w:rFonts w:ascii="Times New Roman" w:hAnsi="Times New Roman" w:cs="Times New Roman"/>
          <w:lang w:val="en-US"/>
        </w:rPr>
        <w:t xml:space="preserve"> c</w:t>
      </w:r>
      <w:r w:rsidRPr="003B5A59">
        <w:rPr>
          <w:rFonts w:ascii="Times New Roman" w:hAnsi="Times New Roman" w:cs="Times New Roman"/>
          <w:lang w:val="en-US"/>
        </w:rPr>
        <w:t>apacity to</w:t>
      </w:r>
      <w:r w:rsidR="00B4142B" w:rsidRPr="003B5A59">
        <w:rPr>
          <w:rFonts w:ascii="Times New Roman" w:hAnsi="Times New Roman" w:cs="Times New Roman"/>
          <w:lang w:val="en-US"/>
        </w:rPr>
        <w:t xml:space="preserve"> </w:t>
      </w:r>
      <w:r w:rsidRPr="003B5A59">
        <w:rPr>
          <w:rFonts w:ascii="Times New Roman" w:hAnsi="Times New Roman" w:cs="Times New Roman"/>
          <w:lang w:val="en-US"/>
        </w:rPr>
        <w:t xml:space="preserve">manage </w:t>
      </w:r>
      <w:proofErr w:type="spellStart"/>
      <w:r w:rsidR="00B4142B" w:rsidRPr="003B5A59">
        <w:rPr>
          <w:rFonts w:ascii="Times New Roman" w:hAnsi="Times New Roman" w:cs="Times New Roman"/>
          <w:lang w:val="en-US"/>
        </w:rPr>
        <w:t>REDD</w:t>
      </w:r>
      <w:proofErr w:type="spellEnd"/>
      <w:r w:rsidR="00B4142B" w:rsidRPr="003B5A59">
        <w:rPr>
          <w:rFonts w:ascii="Times New Roman" w:hAnsi="Times New Roman" w:cs="Times New Roman"/>
          <w:lang w:val="en-US"/>
        </w:rPr>
        <w:t>+ financing</w:t>
      </w:r>
      <w:r w:rsidR="00E42BB0" w:rsidRPr="003B5A59">
        <w:rPr>
          <w:rFonts w:ascii="Times New Roman" w:hAnsi="Times New Roman" w:cs="Times New Roman"/>
          <w:lang w:val="en-US"/>
        </w:rPr>
        <w:t xml:space="preserve"> in an</w:t>
      </w:r>
      <w:r w:rsidRPr="003B5A59">
        <w:rPr>
          <w:rFonts w:ascii="Times New Roman" w:hAnsi="Times New Roman" w:cs="Times New Roman"/>
          <w:lang w:val="en-US"/>
        </w:rPr>
        <w:t xml:space="preserve"> accountable and transparent manner</w:t>
      </w:r>
      <w:r w:rsidR="00E45187" w:rsidRPr="003B5A59">
        <w:rPr>
          <w:rFonts w:ascii="Times New Roman" w:hAnsi="Times New Roman" w:cs="Times New Roman"/>
          <w:lang w:val="en-US"/>
        </w:rPr>
        <w:t>.</w:t>
      </w:r>
      <w:r w:rsidRPr="003B5A59">
        <w:rPr>
          <w:rFonts w:ascii="Times New Roman" w:hAnsi="Times New Roman" w:cs="Times New Roman"/>
          <w:lang w:val="en-US"/>
        </w:rPr>
        <w:t xml:space="preserve"> </w:t>
      </w:r>
    </w:p>
    <w:p w14:paraId="7C7E68E1" w14:textId="77777777" w:rsidR="00CF286B" w:rsidRPr="003B5A59" w:rsidRDefault="00CF286B" w:rsidP="00CF286B">
      <w:pPr>
        <w:rPr>
          <w:rFonts w:ascii="Times New Roman" w:hAnsi="Times New Roman" w:cs="Times New Roman"/>
          <w:lang w:val="en-US"/>
        </w:rPr>
      </w:pPr>
    </w:p>
    <w:p w14:paraId="6237BA44" w14:textId="321AD024" w:rsidR="002C215B" w:rsidRPr="003B5A59" w:rsidRDefault="00626956" w:rsidP="00AB0521">
      <w:pPr>
        <w:rPr>
          <w:rFonts w:ascii="Times New Roman" w:hAnsi="Times New Roman" w:cs="Times New Roman"/>
          <w:lang w:val="en-US"/>
        </w:rPr>
      </w:pPr>
      <w:r w:rsidRPr="003B5A59">
        <w:rPr>
          <w:rFonts w:ascii="Times New Roman" w:hAnsi="Times New Roman" w:cs="Times New Roman"/>
        </w:rPr>
        <w:t xml:space="preserve">A </w:t>
      </w:r>
      <w:r w:rsidR="00CC0132" w:rsidRPr="003B5A59">
        <w:rPr>
          <w:rFonts w:ascii="Times New Roman" w:hAnsi="Times New Roman" w:cs="Times New Roman"/>
        </w:rPr>
        <w:t>key challenge that</w:t>
      </w:r>
      <w:r w:rsidR="00E556D1" w:rsidRPr="003B5A59">
        <w:rPr>
          <w:rFonts w:ascii="Times New Roman" w:hAnsi="Times New Roman" w:cs="Times New Roman"/>
        </w:rPr>
        <w:t xml:space="preserve"> emerged during the pr</w:t>
      </w:r>
      <w:r w:rsidR="00CC0132" w:rsidRPr="003B5A59">
        <w:rPr>
          <w:rFonts w:ascii="Times New Roman" w:hAnsi="Times New Roman" w:cs="Times New Roman"/>
        </w:rPr>
        <w:t xml:space="preserve">eparation of the </w:t>
      </w:r>
      <w:proofErr w:type="spellStart"/>
      <w:r w:rsidR="00CC0132" w:rsidRPr="003B5A59">
        <w:rPr>
          <w:rFonts w:ascii="Times New Roman" w:hAnsi="Times New Roman" w:cs="Times New Roman"/>
        </w:rPr>
        <w:t>REDD</w:t>
      </w:r>
      <w:proofErr w:type="spellEnd"/>
      <w:r w:rsidR="00CC0132" w:rsidRPr="003B5A59">
        <w:rPr>
          <w:rFonts w:ascii="Times New Roman" w:hAnsi="Times New Roman" w:cs="Times New Roman"/>
        </w:rPr>
        <w:t xml:space="preserve">+ Roadmap is that </w:t>
      </w:r>
      <w:r w:rsidR="00CA0CDA">
        <w:rPr>
          <w:rFonts w:ascii="Times New Roman" w:hAnsi="Times New Roman" w:cs="Times New Roman"/>
        </w:rPr>
        <w:t>the forest sector does</w:t>
      </w:r>
      <w:r w:rsidR="002C215B" w:rsidRPr="003B5A59">
        <w:rPr>
          <w:rFonts w:ascii="Times New Roman" w:hAnsi="Times New Roman" w:cs="Times New Roman"/>
        </w:rPr>
        <w:t xml:space="preserve"> not appear to have </w:t>
      </w:r>
      <w:r w:rsidR="00E42BB0" w:rsidRPr="003B5A59">
        <w:rPr>
          <w:rFonts w:ascii="Times New Roman" w:hAnsi="Times New Roman" w:cs="Times New Roman"/>
        </w:rPr>
        <w:t>been a major priority compared to other natural resource sectors</w:t>
      </w:r>
      <w:r w:rsidR="002C215B" w:rsidRPr="003B5A59">
        <w:rPr>
          <w:rFonts w:ascii="Times New Roman" w:hAnsi="Times New Roman" w:cs="Times New Roman"/>
        </w:rPr>
        <w:t xml:space="preserve">, despite their </w:t>
      </w:r>
      <w:r w:rsidR="00CF286B" w:rsidRPr="003B5A59">
        <w:rPr>
          <w:rFonts w:ascii="Times New Roman" w:hAnsi="Times New Roman" w:cs="Times New Roman"/>
        </w:rPr>
        <w:t>importance</w:t>
      </w:r>
      <w:r w:rsidR="00155E67" w:rsidRPr="003B5A59">
        <w:rPr>
          <w:rFonts w:ascii="Times New Roman" w:hAnsi="Times New Roman" w:cs="Times New Roman"/>
        </w:rPr>
        <w:t xml:space="preserve"> </w:t>
      </w:r>
      <w:r w:rsidR="00EB6569" w:rsidRPr="003B5A59">
        <w:rPr>
          <w:rFonts w:ascii="Times New Roman" w:hAnsi="Times New Roman" w:cs="Times New Roman"/>
        </w:rPr>
        <w:t xml:space="preserve">to </w:t>
      </w:r>
      <w:r w:rsidR="00155E67" w:rsidRPr="003B5A59">
        <w:rPr>
          <w:rFonts w:ascii="Times New Roman" w:hAnsi="Times New Roman" w:cs="Times New Roman"/>
        </w:rPr>
        <w:t>the national green development agenda</w:t>
      </w:r>
      <w:r w:rsidR="00B43DE1" w:rsidRPr="003B5A59">
        <w:rPr>
          <w:rFonts w:ascii="Times New Roman" w:hAnsi="Times New Roman" w:cs="Times New Roman"/>
        </w:rPr>
        <w:t xml:space="preserve"> and potential for a larger contribution to GDP</w:t>
      </w:r>
      <w:r w:rsidR="002C215B" w:rsidRPr="003B5A59">
        <w:rPr>
          <w:rFonts w:ascii="Times New Roman" w:hAnsi="Times New Roman" w:cs="Times New Roman"/>
        </w:rPr>
        <w:t xml:space="preserve">. </w:t>
      </w:r>
      <w:r w:rsidR="00CF286B" w:rsidRPr="003B5A59">
        <w:rPr>
          <w:rFonts w:ascii="Times New Roman" w:hAnsi="Times New Roman" w:cs="Times New Roman"/>
        </w:rPr>
        <w:t xml:space="preserve">An important driver of this </w:t>
      </w:r>
      <w:r w:rsidR="00D57645" w:rsidRPr="003B5A59">
        <w:rPr>
          <w:rFonts w:ascii="Times New Roman" w:hAnsi="Times New Roman" w:cs="Times New Roman"/>
        </w:rPr>
        <w:t xml:space="preserve">is likely </w:t>
      </w:r>
      <w:r w:rsidR="00CF286B" w:rsidRPr="003B5A59">
        <w:rPr>
          <w:rFonts w:ascii="Times New Roman" w:hAnsi="Times New Roman" w:cs="Times New Roman"/>
        </w:rPr>
        <w:t>related</w:t>
      </w:r>
      <w:r w:rsidR="00D57645" w:rsidRPr="003B5A59">
        <w:rPr>
          <w:rFonts w:ascii="Times New Roman" w:hAnsi="Times New Roman" w:cs="Times New Roman"/>
        </w:rPr>
        <w:t xml:space="preserve"> to the fact that</w:t>
      </w:r>
      <w:r w:rsidR="00D57645" w:rsidRPr="003B5A59">
        <w:rPr>
          <w:rFonts w:ascii="Times New Roman" w:hAnsi="Times New Roman" w:cs="Times New Roman"/>
          <w:lang w:val="en-US"/>
        </w:rPr>
        <w:t xml:space="preserve"> </w:t>
      </w:r>
      <w:r w:rsidR="00CF286B" w:rsidRPr="003B5A59">
        <w:rPr>
          <w:rFonts w:ascii="Times New Roman" w:hAnsi="Times New Roman" w:cs="Times New Roman"/>
          <w:lang w:val="en-US"/>
        </w:rPr>
        <w:t xml:space="preserve">the </w:t>
      </w:r>
      <w:r w:rsidR="00D57645" w:rsidRPr="003B5A59">
        <w:rPr>
          <w:rFonts w:ascii="Times New Roman" w:hAnsi="Times New Roman" w:cs="Times New Roman"/>
          <w:lang w:val="en-US"/>
        </w:rPr>
        <w:t>true value of this sector</w:t>
      </w:r>
      <w:r w:rsidR="00CF286B" w:rsidRPr="003B5A59">
        <w:rPr>
          <w:rFonts w:ascii="Times New Roman" w:hAnsi="Times New Roman" w:cs="Times New Roman"/>
          <w:lang w:val="en-US"/>
        </w:rPr>
        <w:t>, particularly in</w:t>
      </w:r>
      <w:r w:rsidR="00D57645" w:rsidRPr="003B5A59">
        <w:rPr>
          <w:rFonts w:ascii="Times New Roman" w:hAnsi="Times New Roman" w:cs="Times New Roman"/>
          <w:lang w:val="en-US"/>
        </w:rPr>
        <w:t xml:space="preserve"> </w:t>
      </w:r>
      <w:r w:rsidR="00CF286B" w:rsidRPr="003B5A59">
        <w:rPr>
          <w:rFonts w:ascii="Times New Roman" w:hAnsi="Times New Roman" w:cs="Times New Roman"/>
          <w:lang w:val="en-US"/>
        </w:rPr>
        <w:t xml:space="preserve">environmental and social terms is </w:t>
      </w:r>
      <w:r w:rsidR="00D57645" w:rsidRPr="003B5A59">
        <w:rPr>
          <w:rFonts w:ascii="Times New Roman" w:hAnsi="Times New Roman" w:cs="Times New Roman"/>
          <w:lang w:val="en-US"/>
        </w:rPr>
        <w:t xml:space="preserve">yet to be fully understood by the public and policy makers.  This </w:t>
      </w:r>
      <w:r w:rsidR="00CA0CDA">
        <w:rPr>
          <w:rFonts w:ascii="Times New Roman" w:hAnsi="Times New Roman" w:cs="Times New Roman"/>
          <w:lang w:val="en-US"/>
        </w:rPr>
        <w:t>might have resulted in</w:t>
      </w:r>
      <w:r w:rsidR="00D57645" w:rsidRPr="003B5A59">
        <w:rPr>
          <w:rFonts w:ascii="Times New Roman" w:hAnsi="Times New Roman" w:cs="Times New Roman"/>
          <w:lang w:val="en-US"/>
        </w:rPr>
        <w:t xml:space="preserve"> the limited public sector investment to the sector and weak institutional capacity to strategically formulate, implement and coordinate sectorial polices.</w:t>
      </w:r>
      <w:r w:rsidR="00CF286B" w:rsidRPr="003B5A59">
        <w:rPr>
          <w:rFonts w:ascii="Times New Roman" w:hAnsi="Times New Roman" w:cs="Times New Roman"/>
        </w:rPr>
        <w:t xml:space="preserve"> </w:t>
      </w:r>
      <w:r w:rsidR="00B375F9" w:rsidRPr="003B5A59">
        <w:rPr>
          <w:rFonts w:ascii="Times New Roman" w:hAnsi="Times New Roman" w:cs="Times New Roman"/>
        </w:rPr>
        <w:t>This</w:t>
      </w:r>
      <w:r w:rsidR="00D57645" w:rsidRPr="003B5A59">
        <w:rPr>
          <w:rFonts w:ascii="Times New Roman" w:hAnsi="Times New Roman" w:cs="Times New Roman"/>
        </w:rPr>
        <w:t xml:space="preserve"> </w:t>
      </w:r>
      <w:r w:rsidR="00B375F9" w:rsidRPr="003B5A59">
        <w:rPr>
          <w:rFonts w:ascii="Times New Roman" w:hAnsi="Times New Roman" w:cs="Times New Roman"/>
        </w:rPr>
        <w:t>is</w:t>
      </w:r>
      <w:r w:rsidR="002C215B" w:rsidRPr="003B5A59">
        <w:rPr>
          <w:rFonts w:ascii="Times New Roman" w:hAnsi="Times New Roman" w:cs="Times New Roman"/>
        </w:rPr>
        <w:t xml:space="preserve"> </w:t>
      </w:r>
      <w:r w:rsidR="00D57645" w:rsidRPr="003B5A59">
        <w:rPr>
          <w:rFonts w:ascii="Times New Roman" w:hAnsi="Times New Roman" w:cs="Times New Roman"/>
        </w:rPr>
        <w:t xml:space="preserve">particularly </w:t>
      </w:r>
      <w:r w:rsidR="002C215B" w:rsidRPr="003B5A59">
        <w:rPr>
          <w:rFonts w:ascii="Times New Roman" w:hAnsi="Times New Roman" w:cs="Times New Roman"/>
        </w:rPr>
        <w:t xml:space="preserve">important in relation to the Roadmap because Mongolia will need to co-finance </w:t>
      </w:r>
      <w:r w:rsidR="00155E67" w:rsidRPr="003B5A59">
        <w:rPr>
          <w:rFonts w:ascii="Times New Roman" w:hAnsi="Times New Roman" w:cs="Times New Roman"/>
        </w:rPr>
        <w:t>the management and coordination costs of the implementation of the Roadmap</w:t>
      </w:r>
      <w:r w:rsidR="00D57645" w:rsidRPr="003B5A59">
        <w:rPr>
          <w:rFonts w:ascii="Times New Roman" w:hAnsi="Times New Roman" w:cs="Times New Roman"/>
        </w:rPr>
        <w:t xml:space="preserve">. Without such co-financing, </w:t>
      </w:r>
      <w:r w:rsidR="00FD3AA0" w:rsidRPr="003B5A59">
        <w:rPr>
          <w:rFonts w:ascii="Times New Roman" w:hAnsi="Times New Roman" w:cs="Times New Roman"/>
        </w:rPr>
        <w:t xml:space="preserve">ensuring national ownership of </w:t>
      </w:r>
      <w:proofErr w:type="spellStart"/>
      <w:r w:rsidR="00FD3AA0" w:rsidRPr="003B5A59">
        <w:rPr>
          <w:rFonts w:ascii="Times New Roman" w:hAnsi="Times New Roman" w:cs="Times New Roman"/>
        </w:rPr>
        <w:t>REDD</w:t>
      </w:r>
      <w:proofErr w:type="spellEnd"/>
      <w:r w:rsidR="00FD3AA0" w:rsidRPr="003B5A59">
        <w:rPr>
          <w:rFonts w:ascii="Times New Roman" w:hAnsi="Times New Roman" w:cs="Times New Roman"/>
        </w:rPr>
        <w:t xml:space="preserve">+ Readiness capacities will be difficult. </w:t>
      </w:r>
    </w:p>
    <w:p w14:paraId="332CC868" w14:textId="77777777" w:rsidR="00180105" w:rsidRPr="003B5A59" w:rsidRDefault="00180105" w:rsidP="00180105">
      <w:pPr>
        <w:rPr>
          <w:rFonts w:ascii="Times New Roman" w:hAnsi="Times New Roman" w:cs="Times New Roman"/>
        </w:rPr>
      </w:pPr>
    </w:p>
    <w:p w14:paraId="4FE62958" w14:textId="5C386E61" w:rsidR="00CF286B" w:rsidRPr="003B5A59" w:rsidRDefault="00180105" w:rsidP="00E45187">
      <w:pPr>
        <w:rPr>
          <w:rFonts w:ascii="Times New Roman" w:hAnsi="Times New Roman" w:cs="Times New Roman"/>
        </w:rPr>
      </w:pPr>
      <w:r w:rsidRPr="003B5A59">
        <w:rPr>
          <w:rFonts w:ascii="Times New Roman" w:hAnsi="Times New Roman" w:cs="Times New Roman"/>
        </w:rPr>
        <w:t>One of the major changes that emerged with the new government administration is the increase in profile of the Green Development agenda. This is illustrated by the change in the name and position of the Environment Ministry, to the Ministry of Environment and Green Development (</w:t>
      </w:r>
      <w:proofErr w:type="spellStart"/>
      <w:r w:rsidRPr="003B5A59">
        <w:rPr>
          <w:rFonts w:ascii="Times New Roman" w:hAnsi="Times New Roman" w:cs="Times New Roman"/>
        </w:rPr>
        <w:t>MoEGD</w:t>
      </w:r>
      <w:proofErr w:type="spellEnd"/>
      <w:r w:rsidRPr="003B5A59">
        <w:rPr>
          <w:rFonts w:ascii="Times New Roman" w:hAnsi="Times New Roman" w:cs="Times New Roman"/>
        </w:rPr>
        <w:t>)</w:t>
      </w:r>
      <w:r w:rsidR="00E45187" w:rsidRPr="003B5A59">
        <w:rPr>
          <w:rFonts w:ascii="Times New Roman" w:hAnsi="Times New Roman" w:cs="Times New Roman"/>
        </w:rPr>
        <w:t>,</w:t>
      </w:r>
      <w:r w:rsidRPr="003B5A59">
        <w:rPr>
          <w:rFonts w:ascii="Times New Roman" w:hAnsi="Times New Roman" w:cs="Times New Roman"/>
        </w:rPr>
        <w:t xml:space="preserve"> </w:t>
      </w:r>
      <w:r w:rsidR="00CF286B" w:rsidRPr="003B5A59">
        <w:rPr>
          <w:rFonts w:ascii="Times New Roman" w:hAnsi="Times New Roman" w:cs="Times New Roman"/>
        </w:rPr>
        <w:t xml:space="preserve">which </w:t>
      </w:r>
      <w:r w:rsidRPr="003B5A59">
        <w:rPr>
          <w:rFonts w:ascii="Times New Roman" w:hAnsi="Times New Roman" w:cs="Times New Roman"/>
          <w:lang w:val="en-US"/>
        </w:rPr>
        <w:t>oversee</w:t>
      </w:r>
      <w:r w:rsidR="00CF286B" w:rsidRPr="003B5A59">
        <w:rPr>
          <w:rFonts w:ascii="Times New Roman" w:hAnsi="Times New Roman" w:cs="Times New Roman"/>
          <w:lang w:val="en-US"/>
        </w:rPr>
        <w:t>s</w:t>
      </w:r>
      <w:r w:rsidRPr="003B5A59">
        <w:rPr>
          <w:rFonts w:ascii="Times New Roman" w:hAnsi="Times New Roman" w:cs="Times New Roman"/>
          <w:lang w:val="en-US"/>
        </w:rPr>
        <w:t xml:space="preserve"> the overall national development planning process.</w:t>
      </w:r>
      <w:r w:rsidRPr="003B5A59">
        <w:rPr>
          <w:rFonts w:ascii="Times New Roman" w:hAnsi="Times New Roman" w:cs="Times New Roman"/>
        </w:rPr>
        <w:t xml:space="preserve"> It has been accompanied </w:t>
      </w:r>
      <w:r w:rsidRPr="003B5A59">
        <w:rPr>
          <w:rFonts w:ascii="Times New Roman" w:hAnsi="Times New Roman" w:cs="Times New Roman"/>
          <w:lang w:val="en-US"/>
        </w:rPr>
        <w:t>by</w:t>
      </w:r>
      <w:r w:rsidRPr="003B5A59">
        <w:rPr>
          <w:rFonts w:ascii="Times New Roman" w:hAnsi="Times New Roman" w:cs="Times New Roman"/>
        </w:rPr>
        <w:t xml:space="preserve"> a new strategy on Green Development, which has been drafted but will be revised and improved in the period to March 2013. This could provide an opportunity to integrate </w:t>
      </w:r>
      <w:proofErr w:type="spellStart"/>
      <w:r w:rsidRPr="003B5A59">
        <w:rPr>
          <w:rFonts w:ascii="Times New Roman" w:hAnsi="Times New Roman" w:cs="Times New Roman"/>
        </w:rPr>
        <w:t>REDD</w:t>
      </w:r>
      <w:proofErr w:type="spellEnd"/>
      <w:r w:rsidRPr="003B5A59">
        <w:rPr>
          <w:rFonts w:ascii="Times New Roman" w:hAnsi="Times New Roman" w:cs="Times New Roman"/>
        </w:rPr>
        <w:t>+ into the broa</w:t>
      </w:r>
      <w:r w:rsidR="00E45187" w:rsidRPr="003B5A59">
        <w:rPr>
          <w:rFonts w:ascii="Times New Roman" w:hAnsi="Times New Roman" w:cs="Times New Roman"/>
        </w:rPr>
        <w:t xml:space="preserve">der government </w:t>
      </w:r>
      <w:r w:rsidR="00B375F9" w:rsidRPr="003B5A59">
        <w:rPr>
          <w:rFonts w:ascii="Times New Roman" w:hAnsi="Times New Roman" w:cs="Times New Roman"/>
        </w:rPr>
        <w:t>development</w:t>
      </w:r>
      <w:r w:rsidR="00E45187" w:rsidRPr="003B5A59">
        <w:rPr>
          <w:rFonts w:ascii="Times New Roman" w:hAnsi="Times New Roman" w:cs="Times New Roman"/>
        </w:rPr>
        <w:t xml:space="preserve"> agenda.</w:t>
      </w:r>
      <w:r w:rsidRPr="003B5A59">
        <w:rPr>
          <w:rFonts w:ascii="Times New Roman" w:hAnsi="Times New Roman" w:cs="Times New Roman"/>
        </w:rPr>
        <w:t xml:space="preserve"> In order for this to happen, there is a need to better elaborate on the potential role of forests in the Green </w:t>
      </w:r>
      <w:r w:rsidR="00DD7F9E" w:rsidRPr="003B5A59">
        <w:rPr>
          <w:rFonts w:ascii="Times New Roman" w:hAnsi="Times New Roman" w:cs="Times New Roman"/>
        </w:rPr>
        <w:t xml:space="preserve">Development strategies </w:t>
      </w:r>
      <w:r w:rsidRPr="003B5A59">
        <w:rPr>
          <w:rFonts w:ascii="Times New Roman" w:hAnsi="Times New Roman" w:cs="Times New Roman"/>
        </w:rPr>
        <w:t>in Mongolia.</w:t>
      </w:r>
    </w:p>
    <w:p w14:paraId="5F19716C" w14:textId="77777777" w:rsidR="00B375F9" w:rsidRPr="003B5A59" w:rsidRDefault="00B375F9" w:rsidP="00E45187">
      <w:pPr>
        <w:rPr>
          <w:rFonts w:ascii="Times New Roman" w:hAnsi="Times New Roman" w:cs="Times New Roman"/>
        </w:rPr>
      </w:pPr>
    </w:p>
    <w:p w14:paraId="6E21358A" w14:textId="2A9997B5" w:rsidR="00B375F9" w:rsidRPr="003B5A59" w:rsidRDefault="00B375F9" w:rsidP="00E45187">
      <w:pPr>
        <w:rPr>
          <w:rFonts w:ascii="Times New Roman" w:hAnsi="Times New Roman" w:cs="Times New Roman"/>
        </w:rPr>
      </w:pPr>
      <w:r w:rsidRPr="003B5A59">
        <w:rPr>
          <w:rFonts w:ascii="Times New Roman" w:hAnsi="Times New Roman" w:cs="Times New Roman"/>
        </w:rPr>
        <w:t xml:space="preserve">Another major change was the transformation of the Forest Agency into a division within </w:t>
      </w:r>
      <w:proofErr w:type="spellStart"/>
      <w:r w:rsidRPr="003B5A59">
        <w:rPr>
          <w:rFonts w:ascii="Times New Roman" w:hAnsi="Times New Roman" w:cs="Times New Roman"/>
          <w:lang w:val="en-US"/>
        </w:rPr>
        <w:t>MoEGD</w:t>
      </w:r>
      <w:proofErr w:type="spellEnd"/>
      <w:r w:rsidRPr="003B5A59">
        <w:rPr>
          <w:rFonts w:ascii="Times New Roman" w:hAnsi="Times New Roman" w:cs="Times New Roman"/>
          <w:lang w:val="en-US"/>
        </w:rPr>
        <w:t xml:space="preserve">, to oversee forest sector policy formulation and implementation. This may provide another opportunity to raise the profile of the sector, as the Division has policy </w:t>
      </w:r>
      <w:r w:rsidR="00E224A8">
        <w:rPr>
          <w:rFonts w:ascii="Times New Roman" w:hAnsi="Times New Roman" w:cs="Times New Roman"/>
          <w:lang w:val="en-US"/>
        </w:rPr>
        <w:t>development, regulatory</w:t>
      </w:r>
      <w:r w:rsidR="00E224A8" w:rsidRPr="003B5A59">
        <w:rPr>
          <w:rFonts w:ascii="Times New Roman" w:hAnsi="Times New Roman" w:cs="Times New Roman"/>
          <w:lang w:val="en-US"/>
        </w:rPr>
        <w:t xml:space="preserve"> </w:t>
      </w:r>
      <w:r w:rsidRPr="003B5A59">
        <w:rPr>
          <w:rFonts w:ascii="Times New Roman" w:hAnsi="Times New Roman" w:cs="Times New Roman"/>
          <w:lang w:val="en-US"/>
        </w:rPr>
        <w:t>and implementation mandates. The targeted support should help contribute to this objective.</w:t>
      </w:r>
      <w:r w:rsidRPr="003B5A59">
        <w:rPr>
          <w:rFonts w:ascii="Times New Roman" w:hAnsi="Times New Roman" w:cs="Times New Roman"/>
        </w:rPr>
        <w:t xml:space="preserve">  </w:t>
      </w:r>
    </w:p>
    <w:p w14:paraId="10C66F4D" w14:textId="7670CFBB" w:rsidR="00DB01B7" w:rsidRPr="003B5A59" w:rsidRDefault="00CE0ADE" w:rsidP="00E45187">
      <w:pPr>
        <w:pStyle w:val="Heading1"/>
        <w:rPr>
          <w:rFonts w:ascii="Times New Roman" w:hAnsi="Times New Roman" w:cs="Times New Roman"/>
        </w:rPr>
      </w:pPr>
      <w:r w:rsidRPr="003B5A59">
        <w:rPr>
          <w:rFonts w:ascii="Times New Roman" w:hAnsi="Times New Roman" w:cs="Times New Roman"/>
        </w:rPr>
        <w:t>Overall a</w:t>
      </w:r>
      <w:r w:rsidR="00B72F09" w:rsidRPr="003B5A59">
        <w:rPr>
          <w:rFonts w:ascii="Times New Roman" w:hAnsi="Times New Roman" w:cs="Times New Roman"/>
        </w:rPr>
        <w:t>pproach</w:t>
      </w:r>
    </w:p>
    <w:p w14:paraId="00172519" w14:textId="1F348A57" w:rsidR="00784B9D" w:rsidRPr="003B5A59" w:rsidRDefault="00784B9D" w:rsidP="00784B9D">
      <w:pPr>
        <w:rPr>
          <w:rFonts w:ascii="Times New Roman" w:hAnsi="Times New Roman" w:cs="Times New Roman"/>
          <w:lang w:val="en-US"/>
        </w:rPr>
      </w:pPr>
      <w:r w:rsidRPr="003B5A59">
        <w:rPr>
          <w:rFonts w:ascii="Times New Roman" w:hAnsi="Times New Roman" w:cs="Times New Roman"/>
          <w:lang w:val="en-US"/>
        </w:rPr>
        <w:t xml:space="preserve">In order to achieve the objective of this work, the expected outcome is to have the forest sector recognized as </w:t>
      </w:r>
      <w:r w:rsidR="00B43DE1" w:rsidRPr="003B5A59">
        <w:rPr>
          <w:rFonts w:ascii="Times New Roman" w:hAnsi="Times New Roman" w:cs="Times New Roman"/>
          <w:lang w:val="en-US"/>
        </w:rPr>
        <w:t>one of the</w:t>
      </w:r>
      <w:r w:rsidRPr="003B5A59">
        <w:rPr>
          <w:rFonts w:ascii="Times New Roman" w:hAnsi="Times New Roman" w:cs="Times New Roman"/>
          <w:lang w:val="en-US"/>
        </w:rPr>
        <w:t xml:space="preserve"> priority sector</w:t>
      </w:r>
      <w:r w:rsidR="00B43DE1" w:rsidRPr="003B5A59">
        <w:rPr>
          <w:rFonts w:ascii="Times New Roman" w:hAnsi="Times New Roman" w:cs="Times New Roman"/>
          <w:lang w:val="en-US"/>
        </w:rPr>
        <w:t>s</w:t>
      </w:r>
      <w:r w:rsidRPr="003B5A59">
        <w:rPr>
          <w:rFonts w:ascii="Times New Roman" w:hAnsi="Times New Roman" w:cs="Times New Roman"/>
          <w:lang w:val="en-US"/>
        </w:rPr>
        <w:t xml:space="preserve"> </w:t>
      </w:r>
      <w:r w:rsidR="00EB6569" w:rsidRPr="003B5A59">
        <w:rPr>
          <w:rFonts w:ascii="Times New Roman" w:hAnsi="Times New Roman" w:cs="Times New Roman"/>
          <w:lang w:val="en-US"/>
        </w:rPr>
        <w:t>contributing to</w:t>
      </w:r>
      <w:r w:rsidRPr="003B5A59">
        <w:rPr>
          <w:rFonts w:ascii="Times New Roman" w:hAnsi="Times New Roman" w:cs="Times New Roman"/>
          <w:lang w:val="en-US"/>
        </w:rPr>
        <w:t xml:space="preserve"> the national development agenda, and equipped with increased policy implementation capacity to strategically manage and take ownership of the </w:t>
      </w:r>
      <w:proofErr w:type="spellStart"/>
      <w:r w:rsidRPr="003B5A59">
        <w:rPr>
          <w:rFonts w:ascii="Times New Roman" w:hAnsi="Times New Roman" w:cs="Times New Roman"/>
          <w:lang w:val="en-US"/>
        </w:rPr>
        <w:t>REDD</w:t>
      </w:r>
      <w:proofErr w:type="spellEnd"/>
      <w:r w:rsidRPr="003B5A59">
        <w:rPr>
          <w:rFonts w:ascii="Times New Roman" w:hAnsi="Times New Roman" w:cs="Times New Roman"/>
          <w:lang w:val="en-US"/>
        </w:rPr>
        <w:t xml:space="preserve">+ Roadmap process. </w:t>
      </w:r>
    </w:p>
    <w:p w14:paraId="47AFEA25" w14:textId="77777777" w:rsidR="00B25AD6" w:rsidRPr="003B5A59" w:rsidRDefault="00B25AD6" w:rsidP="00784B9D">
      <w:pPr>
        <w:rPr>
          <w:rFonts w:ascii="Times New Roman" w:hAnsi="Times New Roman" w:cs="Times New Roman"/>
          <w:lang w:val="en-US"/>
        </w:rPr>
      </w:pPr>
    </w:p>
    <w:p w14:paraId="42B6794D" w14:textId="15D988F4" w:rsidR="00B25AD6" w:rsidRPr="003B5A59" w:rsidRDefault="00B25AD6" w:rsidP="00784B9D">
      <w:pPr>
        <w:rPr>
          <w:rFonts w:ascii="Times New Roman" w:hAnsi="Times New Roman" w:cs="Times New Roman"/>
          <w:lang w:val="en-US"/>
        </w:rPr>
      </w:pPr>
      <w:r w:rsidRPr="003B5A59">
        <w:rPr>
          <w:rFonts w:ascii="Times New Roman" w:hAnsi="Times New Roman" w:cs="Times New Roman"/>
          <w:lang w:val="en-US"/>
        </w:rPr>
        <w:t>The first step of th</w:t>
      </w:r>
      <w:r w:rsidR="0029737C" w:rsidRPr="003B5A59">
        <w:rPr>
          <w:rFonts w:ascii="Times New Roman" w:hAnsi="Times New Roman" w:cs="Times New Roman"/>
          <w:lang w:val="en-US"/>
        </w:rPr>
        <w:t xml:space="preserve">e work will look broadly at the </w:t>
      </w:r>
      <w:r w:rsidR="008F6266" w:rsidRPr="003B5A59">
        <w:rPr>
          <w:rFonts w:ascii="Times New Roman" w:hAnsi="Times New Roman" w:cs="Times New Roman"/>
          <w:lang w:val="en-US"/>
        </w:rPr>
        <w:t xml:space="preserve">value of the forest sector, </w:t>
      </w:r>
      <w:r w:rsidRPr="003B5A59">
        <w:rPr>
          <w:rFonts w:ascii="Times New Roman" w:hAnsi="Times New Roman" w:cs="Times New Roman"/>
          <w:lang w:val="en-US"/>
        </w:rPr>
        <w:t xml:space="preserve">existing financial flows </w:t>
      </w:r>
      <w:r w:rsidR="0029737C" w:rsidRPr="003B5A59">
        <w:rPr>
          <w:rFonts w:ascii="Times New Roman" w:hAnsi="Times New Roman" w:cs="Times New Roman"/>
          <w:lang w:val="en-US"/>
        </w:rPr>
        <w:t>and structures,</w:t>
      </w:r>
      <w:r w:rsidR="008F6266" w:rsidRPr="003B5A59">
        <w:rPr>
          <w:rFonts w:ascii="Times New Roman" w:hAnsi="Times New Roman" w:cs="Times New Roman"/>
          <w:lang w:val="en-US"/>
        </w:rPr>
        <w:t xml:space="preserve"> and broad options for increased financing.</w:t>
      </w:r>
      <w:r w:rsidR="0029737C" w:rsidRPr="003B5A59">
        <w:rPr>
          <w:rFonts w:ascii="Times New Roman" w:hAnsi="Times New Roman" w:cs="Times New Roman"/>
          <w:lang w:val="en-US"/>
        </w:rPr>
        <w:t xml:space="preserve"> </w:t>
      </w:r>
      <w:r w:rsidR="008F6266" w:rsidRPr="003B5A59">
        <w:rPr>
          <w:rFonts w:ascii="Times New Roman" w:hAnsi="Times New Roman" w:cs="Times New Roman"/>
          <w:lang w:val="en-US"/>
        </w:rPr>
        <w:t>This will give insights into how the sector</w:t>
      </w:r>
      <w:r w:rsidRPr="003B5A59">
        <w:rPr>
          <w:rFonts w:ascii="Times New Roman" w:hAnsi="Times New Roman" w:cs="Times New Roman"/>
          <w:lang w:val="en-US"/>
        </w:rPr>
        <w:t xml:space="preserve"> is being prioritized</w:t>
      </w:r>
      <w:r w:rsidR="009A6F3C" w:rsidRPr="003B5A59">
        <w:rPr>
          <w:rFonts w:ascii="Times New Roman" w:hAnsi="Times New Roman" w:cs="Times New Roman"/>
          <w:lang w:val="en-US"/>
        </w:rPr>
        <w:t xml:space="preserve"> in spending decisions and the effectiveness of existing </w:t>
      </w:r>
      <w:proofErr w:type="spellStart"/>
      <w:r w:rsidR="009A6F3C" w:rsidRPr="003B5A59">
        <w:rPr>
          <w:rFonts w:ascii="Times New Roman" w:hAnsi="Times New Roman" w:cs="Times New Roman"/>
          <w:lang w:val="en-US"/>
        </w:rPr>
        <w:t>programmes</w:t>
      </w:r>
      <w:proofErr w:type="spellEnd"/>
      <w:r w:rsidRPr="003B5A59">
        <w:rPr>
          <w:rFonts w:ascii="Times New Roman" w:hAnsi="Times New Roman" w:cs="Times New Roman"/>
          <w:lang w:val="en-US"/>
        </w:rPr>
        <w:t xml:space="preserve">. </w:t>
      </w:r>
      <w:r w:rsidR="008F6266" w:rsidRPr="003B5A59">
        <w:rPr>
          <w:rFonts w:ascii="Times New Roman" w:hAnsi="Times New Roman" w:cs="Times New Roman"/>
          <w:lang w:val="en-US"/>
        </w:rPr>
        <w:t xml:space="preserve">The aim is to </w:t>
      </w:r>
      <w:r w:rsidR="0029737C" w:rsidRPr="003B5A59">
        <w:rPr>
          <w:rFonts w:ascii="Times New Roman" w:hAnsi="Times New Roman" w:cs="Times New Roman"/>
          <w:lang w:val="en-US"/>
        </w:rPr>
        <w:t xml:space="preserve">help support aspects of the Roadmap linked to financing, priority </w:t>
      </w:r>
      <w:proofErr w:type="spellStart"/>
      <w:r w:rsidR="0029737C" w:rsidRPr="003B5A59">
        <w:rPr>
          <w:rFonts w:ascii="Times New Roman" w:hAnsi="Times New Roman" w:cs="Times New Roman"/>
          <w:lang w:val="en-US"/>
        </w:rPr>
        <w:t>REDD</w:t>
      </w:r>
      <w:proofErr w:type="spellEnd"/>
      <w:r w:rsidR="0029737C" w:rsidRPr="003B5A59">
        <w:rPr>
          <w:rFonts w:ascii="Times New Roman" w:hAnsi="Times New Roman" w:cs="Times New Roman"/>
          <w:lang w:val="en-US"/>
        </w:rPr>
        <w:t xml:space="preserve">+ policies and measures, and policy coordination, and it will have the added benefit of supporting other ongoing work linked to the Green </w:t>
      </w:r>
      <w:r w:rsidR="00101F68" w:rsidRPr="003B5A59">
        <w:rPr>
          <w:rFonts w:ascii="Times New Roman" w:hAnsi="Times New Roman" w:cs="Times New Roman"/>
          <w:lang w:val="en-US"/>
        </w:rPr>
        <w:t>Development</w:t>
      </w:r>
      <w:r w:rsidR="0029737C" w:rsidRPr="003B5A59">
        <w:rPr>
          <w:rFonts w:ascii="Times New Roman" w:hAnsi="Times New Roman" w:cs="Times New Roman"/>
          <w:lang w:val="en-US"/>
        </w:rPr>
        <w:t xml:space="preserve">. </w:t>
      </w:r>
      <w:r w:rsidRPr="003B5A59">
        <w:rPr>
          <w:rFonts w:ascii="Times New Roman" w:hAnsi="Times New Roman" w:cs="Times New Roman"/>
          <w:lang w:val="en-US"/>
        </w:rPr>
        <w:t xml:space="preserve">The second step </w:t>
      </w:r>
      <w:r w:rsidR="0029737C" w:rsidRPr="003B5A59">
        <w:rPr>
          <w:rFonts w:ascii="Times New Roman" w:hAnsi="Times New Roman" w:cs="Times New Roman"/>
          <w:lang w:val="en-US"/>
        </w:rPr>
        <w:t xml:space="preserve">will look in more depth at current policy making and budgeting processes in the sector, to identify and evaluate strategic options and entry points for increasing both financing and capacity. </w:t>
      </w:r>
      <w:r w:rsidR="00405848" w:rsidRPr="003B5A59">
        <w:rPr>
          <w:rFonts w:ascii="Times New Roman" w:hAnsi="Times New Roman" w:cs="Times New Roman"/>
          <w:lang w:val="en-US"/>
        </w:rPr>
        <w:t xml:space="preserve">The third </w:t>
      </w:r>
      <w:r w:rsidR="00405848" w:rsidRPr="003B5A59">
        <w:rPr>
          <w:rFonts w:ascii="Times New Roman" w:hAnsi="Times New Roman" w:cs="Times New Roman"/>
          <w:lang w:val="en-US"/>
        </w:rPr>
        <w:lastRenderedPageBreak/>
        <w:t xml:space="preserve">step will use this analysis to develop specific capacity building and awareness raising plans that contribute to outcome one of the </w:t>
      </w:r>
      <w:proofErr w:type="spellStart"/>
      <w:r w:rsidR="00AB4C7F" w:rsidRPr="003B5A59">
        <w:rPr>
          <w:rFonts w:ascii="Times New Roman" w:hAnsi="Times New Roman" w:cs="Times New Roman"/>
          <w:lang w:val="en-US"/>
        </w:rPr>
        <w:t>REDD</w:t>
      </w:r>
      <w:proofErr w:type="spellEnd"/>
      <w:r w:rsidR="00AB4C7F" w:rsidRPr="003B5A59">
        <w:rPr>
          <w:rFonts w:ascii="Times New Roman" w:hAnsi="Times New Roman" w:cs="Times New Roman"/>
          <w:lang w:val="en-US"/>
        </w:rPr>
        <w:t xml:space="preserve">+ </w:t>
      </w:r>
      <w:r w:rsidR="00405848" w:rsidRPr="003B5A59">
        <w:rPr>
          <w:rFonts w:ascii="Times New Roman" w:hAnsi="Times New Roman" w:cs="Times New Roman"/>
          <w:lang w:val="en-US"/>
        </w:rPr>
        <w:t>Roadmap.</w:t>
      </w:r>
    </w:p>
    <w:p w14:paraId="12F6EAFB" w14:textId="77777777" w:rsidR="00784B9D" w:rsidRPr="003B5A59" w:rsidRDefault="00784B9D" w:rsidP="00784B9D">
      <w:pPr>
        <w:rPr>
          <w:rFonts w:ascii="Times New Roman" w:hAnsi="Times New Roman" w:cs="Times New Roman"/>
        </w:rPr>
      </w:pPr>
    </w:p>
    <w:p w14:paraId="7E6E3561" w14:textId="0A159EB0" w:rsidR="00F403EF" w:rsidRPr="003B5A59" w:rsidRDefault="008F6266" w:rsidP="00B72F09">
      <w:pPr>
        <w:rPr>
          <w:rFonts w:ascii="Times New Roman" w:hAnsi="Times New Roman" w:cs="Times New Roman"/>
        </w:rPr>
      </w:pPr>
      <w:r w:rsidRPr="003B5A59">
        <w:rPr>
          <w:rFonts w:ascii="Times New Roman" w:hAnsi="Times New Roman" w:cs="Times New Roman"/>
        </w:rPr>
        <w:t>All of the</w:t>
      </w:r>
      <w:r w:rsidR="0029737C" w:rsidRPr="003B5A59">
        <w:rPr>
          <w:rFonts w:ascii="Times New Roman" w:hAnsi="Times New Roman" w:cs="Times New Roman"/>
        </w:rPr>
        <w:t xml:space="preserve"> steps will involve close collaboration with government and the participation of other stakeholders.  </w:t>
      </w:r>
    </w:p>
    <w:p w14:paraId="0EC9E13F" w14:textId="77777777" w:rsidR="0029737C" w:rsidRPr="003B5A59" w:rsidRDefault="0029737C" w:rsidP="00B72F09">
      <w:pPr>
        <w:rPr>
          <w:rFonts w:ascii="Times New Roman" w:hAnsi="Times New Roman" w:cs="Times New Roman"/>
        </w:rPr>
      </w:pPr>
    </w:p>
    <w:p w14:paraId="6502C305" w14:textId="4AD156FA" w:rsidR="00F403EF" w:rsidRPr="003B5A59" w:rsidRDefault="00515C53" w:rsidP="00B72F09">
      <w:pPr>
        <w:rPr>
          <w:rFonts w:ascii="Times New Roman" w:hAnsi="Times New Roman" w:cs="Times New Roman"/>
        </w:rPr>
      </w:pPr>
      <w:r w:rsidRPr="003B5A59">
        <w:rPr>
          <w:rFonts w:ascii="Times New Roman" w:hAnsi="Times New Roman" w:cs="Times New Roman"/>
        </w:rPr>
        <w:t xml:space="preserve"> </w:t>
      </w:r>
      <w:r w:rsidR="006F5EB1" w:rsidRPr="003B5A59">
        <w:rPr>
          <w:rFonts w:ascii="Times New Roman" w:hAnsi="Times New Roman" w:cs="Times New Roman"/>
          <w:noProof/>
          <w:lang w:val="en-US" w:eastAsia="ja-JP"/>
        </w:rPr>
        <w:drawing>
          <wp:inline distT="0" distB="0" distL="0" distR="0" wp14:anchorId="1A8DFC33" wp14:editId="72D75E85">
            <wp:extent cx="5943600" cy="4374500"/>
            <wp:effectExtent l="25400" t="25400" r="25400" b="203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74500"/>
                    </a:xfrm>
                    <a:prstGeom prst="rect">
                      <a:avLst/>
                    </a:prstGeom>
                    <a:noFill/>
                    <a:ln>
                      <a:solidFill>
                        <a:srgbClr val="000000"/>
                      </a:solidFill>
                    </a:ln>
                  </pic:spPr>
                </pic:pic>
              </a:graphicData>
            </a:graphic>
          </wp:inline>
        </w:drawing>
      </w:r>
    </w:p>
    <w:p w14:paraId="71BB10A9" w14:textId="7B4C12A7" w:rsidR="003E283E" w:rsidRPr="003B5A59" w:rsidRDefault="003E283E" w:rsidP="00DB01B7">
      <w:pPr>
        <w:rPr>
          <w:rFonts w:ascii="Times New Roman" w:hAnsi="Times New Roman" w:cs="Times New Roman"/>
        </w:rPr>
      </w:pPr>
    </w:p>
    <w:p w14:paraId="575D401F" w14:textId="532B049E" w:rsidR="00CE0ADE" w:rsidRPr="003B5A59" w:rsidRDefault="000515F2" w:rsidP="00E56DA5">
      <w:pPr>
        <w:pStyle w:val="Heading2"/>
        <w:numPr>
          <w:ilvl w:val="0"/>
          <w:numId w:val="0"/>
        </w:numPr>
        <w:rPr>
          <w:rFonts w:ascii="Times New Roman" w:hAnsi="Times New Roman" w:cs="Times New Roman"/>
        </w:rPr>
      </w:pPr>
      <w:r w:rsidRPr="003B5A59">
        <w:rPr>
          <w:rFonts w:ascii="Times New Roman" w:hAnsi="Times New Roman" w:cs="Times New Roman"/>
        </w:rPr>
        <w:t xml:space="preserve">Step 1: </w:t>
      </w:r>
      <w:r w:rsidR="00C059BF" w:rsidRPr="003B5A59">
        <w:rPr>
          <w:rFonts w:ascii="Times New Roman" w:hAnsi="Times New Roman" w:cs="Times New Roman"/>
        </w:rPr>
        <w:t>Under</w:t>
      </w:r>
      <w:r w:rsidR="00DA3469" w:rsidRPr="003B5A59">
        <w:rPr>
          <w:rFonts w:ascii="Times New Roman" w:hAnsi="Times New Roman" w:cs="Times New Roman"/>
        </w:rPr>
        <w:t>standing</w:t>
      </w:r>
      <w:r w:rsidR="00AC3B4A" w:rsidRPr="003B5A59">
        <w:rPr>
          <w:rFonts w:ascii="Times New Roman" w:hAnsi="Times New Roman" w:cs="Times New Roman"/>
        </w:rPr>
        <w:t xml:space="preserve"> land use sector </w:t>
      </w:r>
      <w:r w:rsidR="00270255" w:rsidRPr="003B5A59">
        <w:rPr>
          <w:rFonts w:ascii="Times New Roman" w:hAnsi="Times New Roman" w:cs="Times New Roman"/>
        </w:rPr>
        <w:t xml:space="preserve">financing </w:t>
      </w:r>
      <w:r w:rsidR="00AC3B4A" w:rsidRPr="003B5A59">
        <w:rPr>
          <w:rFonts w:ascii="Times New Roman" w:hAnsi="Times New Roman" w:cs="Times New Roman"/>
        </w:rPr>
        <w:t xml:space="preserve">flows </w:t>
      </w:r>
      <w:r w:rsidR="00815181" w:rsidRPr="003B5A59">
        <w:rPr>
          <w:rFonts w:ascii="Times New Roman" w:hAnsi="Times New Roman" w:cs="Times New Roman"/>
        </w:rPr>
        <w:t>and economic valu</w:t>
      </w:r>
      <w:r w:rsidR="00AC3B4A" w:rsidRPr="003B5A59">
        <w:rPr>
          <w:rFonts w:ascii="Times New Roman" w:hAnsi="Times New Roman" w:cs="Times New Roman"/>
        </w:rPr>
        <w:t>es</w:t>
      </w:r>
    </w:p>
    <w:p w14:paraId="3B83BA0F" w14:textId="4B7A4D83" w:rsidR="00270255" w:rsidRPr="003B5A59" w:rsidRDefault="00CE0ADE" w:rsidP="00270255">
      <w:pPr>
        <w:rPr>
          <w:rFonts w:ascii="Times New Roman" w:hAnsi="Times New Roman" w:cs="Times New Roman"/>
        </w:rPr>
      </w:pPr>
      <w:r w:rsidRPr="003B5A59">
        <w:rPr>
          <w:rFonts w:ascii="Times New Roman" w:hAnsi="Times New Roman" w:cs="Times New Roman"/>
        </w:rPr>
        <w:t xml:space="preserve">The study </w:t>
      </w:r>
      <w:r w:rsidR="00DA3469" w:rsidRPr="003B5A59">
        <w:rPr>
          <w:rFonts w:ascii="Times New Roman" w:hAnsi="Times New Roman" w:cs="Times New Roman"/>
        </w:rPr>
        <w:t xml:space="preserve">will </w:t>
      </w:r>
      <w:r w:rsidRPr="003B5A59">
        <w:rPr>
          <w:rFonts w:ascii="Times New Roman" w:hAnsi="Times New Roman" w:cs="Times New Roman"/>
        </w:rPr>
        <w:t>carry out a public finance assessment of funding flows in the land-use sector, particularly from public sources</w:t>
      </w:r>
      <w:r w:rsidR="00DA3469" w:rsidRPr="003B5A59">
        <w:rPr>
          <w:rFonts w:ascii="Times New Roman" w:hAnsi="Times New Roman" w:cs="Times New Roman"/>
        </w:rPr>
        <w:t>,</w:t>
      </w:r>
      <w:r w:rsidR="00CD12C0" w:rsidRPr="003B5A59">
        <w:rPr>
          <w:rFonts w:ascii="Times New Roman" w:hAnsi="Times New Roman" w:cs="Times New Roman"/>
        </w:rPr>
        <w:t xml:space="preserve"> in order to make basic comparisons </w:t>
      </w:r>
      <w:r w:rsidR="009A6F3C" w:rsidRPr="003B5A59">
        <w:rPr>
          <w:rFonts w:ascii="Times New Roman" w:hAnsi="Times New Roman" w:cs="Times New Roman"/>
        </w:rPr>
        <w:t>between sectors in terms of spending and spending priorities</w:t>
      </w:r>
      <w:r w:rsidRPr="003B5A59">
        <w:rPr>
          <w:rFonts w:ascii="Times New Roman" w:hAnsi="Times New Roman" w:cs="Times New Roman"/>
        </w:rPr>
        <w:t>.</w:t>
      </w:r>
      <w:r w:rsidR="009A6F3C" w:rsidRPr="003B5A59">
        <w:rPr>
          <w:rFonts w:ascii="Times New Roman" w:hAnsi="Times New Roman" w:cs="Times New Roman"/>
        </w:rPr>
        <w:t xml:space="preserve"> It will also draw basic comparisons of the economic, environmental and social opportunities in different sectors, in order to compare whether spending correlates with potential opportunities. This is likely to require a simple land-use classification and use existing data (e.g. employment, production, etc.) to make estimates of current values. The financial analysis will be carried out in more detail for the forestry sector in order to </w:t>
      </w:r>
      <w:r w:rsidR="00270255" w:rsidRPr="003B5A59">
        <w:rPr>
          <w:rFonts w:ascii="Times New Roman" w:hAnsi="Times New Roman" w:cs="Times New Roman"/>
        </w:rPr>
        <w:t xml:space="preserve">better </w:t>
      </w:r>
      <w:r w:rsidR="009A6F3C" w:rsidRPr="003B5A59">
        <w:rPr>
          <w:rFonts w:ascii="Times New Roman" w:hAnsi="Times New Roman" w:cs="Times New Roman"/>
        </w:rPr>
        <w:t xml:space="preserve">understand the allocation of resources and the effectiveness of </w:t>
      </w:r>
      <w:r w:rsidR="00160300">
        <w:rPr>
          <w:rFonts w:ascii="Times New Roman" w:hAnsi="Times New Roman" w:cs="Times New Roman"/>
        </w:rPr>
        <w:t xml:space="preserve">policies and </w:t>
      </w:r>
      <w:r w:rsidR="009A6F3C" w:rsidRPr="003B5A59">
        <w:rPr>
          <w:rFonts w:ascii="Times New Roman" w:hAnsi="Times New Roman" w:cs="Times New Roman"/>
        </w:rPr>
        <w:t>programmes. It will also involve more detailed analysis of the extent of current and future opportunities in the sector in economic, environmental and social term</w:t>
      </w:r>
      <w:r w:rsidR="00270255" w:rsidRPr="003B5A59">
        <w:rPr>
          <w:rFonts w:ascii="Times New Roman" w:hAnsi="Times New Roman" w:cs="Times New Roman"/>
        </w:rPr>
        <w:t>s</w:t>
      </w:r>
      <w:r w:rsidR="009A6F3C" w:rsidRPr="003B5A59">
        <w:rPr>
          <w:rFonts w:ascii="Times New Roman" w:hAnsi="Times New Roman" w:cs="Times New Roman"/>
        </w:rPr>
        <w:t xml:space="preserve">. </w:t>
      </w:r>
      <w:r w:rsidR="00270255" w:rsidRPr="003B5A59">
        <w:rPr>
          <w:rFonts w:ascii="Times New Roman" w:hAnsi="Times New Roman" w:cs="Times New Roman"/>
        </w:rPr>
        <w:t xml:space="preserve">This assessment will be </w:t>
      </w:r>
      <w:r w:rsidR="00270255" w:rsidRPr="003B5A59">
        <w:rPr>
          <w:rFonts w:ascii="Times New Roman" w:hAnsi="Times New Roman" w:cs="Times New Roman"/>
        </w:rPr>
        <w:lastRenderedPageBreak/>
        <w:t>used to gain a basic understanding of the adequacy of financial flows and identify options and priorities for increasing flows.</w:t>
      </w:r>
    </w:p>
    <w:p w14:paraId="5435B9A0" w14:textId="526169FA" w:rsidR="009A6F3C" w:rsidRPr="003B5A59" w:rsidRDefault="009A6F3C" w:rsidP="00CE0ADE">
      <w:pPr>
        <w:rPr>
          <w:rFonts w:ascii="Times New Roman" w:hAnsi="Times New Roman" w:cs="Times New Roman"/>
        </w:rPr>
      </w:pPr>
    </w:p>
    <w:p w14:paraId="0F958083" w14:textId="615DB905" w:rsidR="00CE0ADE" w:rsidRPr="003B5A59" w:rsidRDefault="00CE0ADE" w:rsidP="00CE0ADE">
      <w:pPr>
        <w:rPr>
          <w:rFonts w:ascii="Times New Roman" w:hAnsi="Times New Roman" w:cs="Times New Roman"/>
        </w:rPr>
      </w:pPr>
      <w:r w:rsidRPr="003B5A59">
        <w:rPr>
          <w:rFonts w:ascii="Times New Roman" w:hAnsi="Times New Roman" w:cs="Times New Roman"/>
        </w:rPr>
        <w:t>Th</w:t>
      </w:r>
      <w:r w:rsidR="00270255" w:rsidRPr="003B5A59">
        <w:rPr>
          <w:rFonts w:ascii="Times New Roman" w:hAnsi="Times New Roman" w:cs="Times New Roman"/>
        </w:rPr>
        <w:t>e study</w:t>
      </w:r>
      <w:r w:rsidRPr="003B5A59">
        <w:rPr>
          <w:rFonts w:ascii="Times New Roman" w:hAnsi="Times New Roman" w:cs="Times New Roman"/>
        </w:rPr>
        <w:t xml:space="preserve"> will draw together existing information held by the National Statistics Office and key government Ministries such as the </w:t>
      </w:r>
      <w:proofErr w:type="spellStart"/>
      <w:r w:rsidR="007A38AB" w:rsidRPr="003B5A59">
        <w:rPr>
          <w:rFonts w:ascii="Times New Roman" w:hAnsi="Times New Roman" w:cs="Times New Roman"/>
        </w:rPr>
        <w:t>MoEGD</w:t>
      </w:r>
      <w:proofErr w:type="spellEnd"/>
      <w:r w:rsidRPr="003B5A59">
        <w:rPr>
          <w:rFonts w:ascii="Times New Roman" w:hAnsi="Times New Roman" w:cs="Times New Roman"/>
        </w:rPr>
        <w:t xml:space="preserve">, and the Ministry for </w:t>
      </w:r>
      <w:r w:rsidR="007A38AB" w:rsidRPr="003B5A59">
        <w:rPr>
          <w:rFonts w:ascii="Times New Roman" w:hAnsi="Times New Roman" w:cs="Times New Roman"/>
        </w:rPr>
        <w:t>Industry and Agriculture</w:t>
      </w:r>
      <w:r w:rsidRPr="003B5A59">
        <w:rPr>
          <w:rFonts w:ascii="Times New Roman" w:hAnsi="Times New Roman" w:cs="Times New Roman"/>
        </w:rPr>
        <w:t>.</w:t>
      </w:r>
      <w:r w:rsidR="00DA3469" w:rsidRPr="003B5A59">
        <w:rPr>
          <w:rFonts w:ascii="Times New Roman" w:hAnsi="Times New Roman" w:cs="Times New Roman"/>
        </w:rPr>
        <w:t xml:space="preserve"> The financial analysis will also consider broad options for </w:t>
      </w:r>
      <w:r w:rsidR="00160300" w:rsidRPr="003B5A59">
        <w:rPr>
          <w:rFonts w:ascii="Times New Roman" w:hAnsi="Times New Roman" w:cs="Times New Roman"/>
        </w:rPr>
        <w:t>increas</w:t>
      </w:r>
      <w:r w:rsidR="00160300">
        <w:rPr>
          <w:rFonts w:ascii="Times New Roman" w:hAnsi="Times New Roman" w:cs="Times New Roman"/>
        </w:rPr>
        <w:t>ed</w:t>
      </w:r>
      <w:r w:rsidR="00160300" w:rsidRPr="003B5A59">
        <w:rPr>
          <w:rFonts w:ascii="Times New Roman" w:hAnsi="Times New Roman" w:cs="Times New Roman"/>
        </w:rPr>
        <w:t xml:space="preserve"> </w:t>
      </w:r>
      <w:r w:rsidR="00DA3469" w:rsidRPr="003B5A59">
        <w:rPr>
          <w:rFonts w:ascii="Times New Roman" w:hAnsi="Times New Roman" w:cs="Times New Roman"/>
        </w:rPr>
        <w:t>financing.</w:t>
      </w:r>
    </w:p>
    <w:p w14:paraId="756FCF25" w14:textId="77777777" w:rsidR="00CE0ADE" w:rsidRPr="003B5A59" w:rsidRDefault="00CE0ADE" w:rsidP="00CE0ADE">
      <w:pPr>
        <w:rPr>
          <w:rFonts w:ascii="Times New Roman" w:hAnsi="Times New Roman" w:cs="Times New Roman"/>
        </w:rPr>
      </w:pPr>
    </w:p>
    <w:p w14:paraId="4D212070" w14:textId="7F5A5B46" w:rsidR="00170D0A" w:rsidRPr="003B5A59" w:rsidRDefault="00170D0A" w:rsidP="00170D0A">
      <w:pPr>
        <w:rPr>
          <w:rFonts w:ascii="Times New Roman" w:hAnsi="Times New Roman" w:cs="Times New Roman"/>
        </w:rPr>
      </w:pPr>
      <w:r w:rsidRPr="003B5A59">
        <w:rPr>
          <w:rFonts w:ascii="Times New Roman" w:hAnsi="Times New Roman" w:cs="Times New Roman"/>
        </w:rPr>
        <w:t xml:space="preserve">To our knowledge there are no other recent studies with similar objectives. </w:t>
      </w:r>
      <w:r w:rsidR="00270255" w:rsidRPr="003B5A59">
        <w:rPr>
          <w:rFonts w:ascii="Times New Roman" w:hAnsi="Times New Roman" w:cs="Times New Roman"/>
        </w:rPr>
        <w:t xml:space="preserve">The </w:t>
      </w:r>
      <w:r w:rsidR="00645D34" w:rsidRPr="003B5A59">
        <w:rPr>
          <w:rFonts w:ascii="Times New Roman" w:hAnsi="Times New Roman" w:cs="Times New Roman"/>
        </w:rPr>
        <w:t>World Bank carried out the most recent forest sector review, which looks at financing flows, in 2006</w:t>
      </w:r>
      <w:r w:rsidR="00270255" w:rsidRPr="003B5A59">
        <w:rPr>
          <w:rFonts w:ascii="Times New Roman" w:hAnsi="Times New Roman" w:cs="Times New Roman"/>
        </w:rPr>
        <w:t xml:space="preserve">. The </w:t>
      </w:r>
      <w:proofErr w:type="spellStart"/>
      <w:r w:rsidR="00270255" w:rsidRPr="003B5A59">
        <w:rPr>
          <w:rFonts w:ascii="Times New Roman" w:hAnsi="Times New Roman" w:cs="Times New Roman"/>
        </w:rPr>
        <w:t>FAO</w:t>
      </w:r>
      <w:proofErr w:type="spellEnd"/>
      <w:r w:rsidR="00270255" w:rsidRPr="003B5A59">
        <w:rPr>
          <w:rFonts w:ascii="Times New Roman" w:hAnsi="Times New Roman" w:cs="Times New Roman"/>
        </w:rPr>
        <w:t xml:space="preserve"> Forestry Project produced some reports on the sector, which may usefully feed into the work. A number of other more recent studies have focused on environmental valuation, but do not look at public financing in detail. For example the World Bank carried out</w:t>
      </w:r>
      <w:r w:rsidRPr="003B5A59">
        <w:rPr>
          <w:rFonts w:ascii="Times New Roman" w:hAnsi="Times New Roman" w:cs="Times New Roman"/>
        </w:rPr>
        <w:t xml:space="preserve"> a valuation study </w:t>
      </w:r>
      <w:r w:rsidR="00270255" w:rsidRPr="003B5A59">
        <w:rPr>
          <w:rFonts w:ascii="Times New Roman" w:hAnsi="Times New Roman" w:cs="Times New Roman"/>
        </w:rPr>
        <w:t xml:space="preserve">in 2010-2011 </w:t>
      </w:r>
      <w:r w:rsidRPr="003B5A59">
        <w:rPr>
          <w:rFonts w:ascii="Times New Roman" w:hAnsi="Times New Roman" w:cs="Times New Roman"/>
        </w:rPr>
        <w:t xml:space="preserve">of the </w:t>
      </w:r>
      <w:proofErr w:type="spellStart"/>
      <w:r w:rsidR="00513E94" w:rsidRPr="003B5A59">
        <w:rPr>
          <w:rFonts w:ascii="Times New Roman" w:hAnsi="Times New Roman" w:cs="Times New Roman"/>
        </w:rPr>
        <w:t>Tuul</w:t>
      </w:r>
      <w:proofErr w:type="spellEnd"/>
      <w:r w:rsidR="00513E94" w:rsidRPr="003B5A59">
        <w:rPr>
          <w:rFonts w:ascii="Times New Roman" w:hAnsi="Times New Roman" w:cs="Times New Roman"/>
        </w:rPr>
        <w:t xml:space="preserve"> </w:t>
      </w:r>
      <w:r w:rsidRPr="003B5A59">
        <w:rPr>
          <w:rFonts w:ascii="Times New Roman" w:hAnsi="Times New Roman" w:cs="Times New Roman"/>
        </w:rPr>
        <w:t xml:space="preserve">River Basin, which also supported the establishment of a Taskforce within government and a study tour for policy makers. The study was regionally specific, not focused particularly on forestry, and ceased when funding ran out in early 2011 so the overlaps are limited. </w:t>
      </w:r>
      <w:proofErr w:type="spellStart"/>
      <w:r w:rsidRPr="003B5A59">
        <w:rPr>
          <w:rFonts w:ascii="Times New Roman" w:hAnsi="Times New Roman" w:cs="Times New Roman"/>
        </w:rPr>
        <w:t>UNEP</w:t>
      </w:r>
      <w:proofErr w:type="spellEnd"/>
      <w:r w:rsidRPr="003B5A59">
        <w:rPr>
          <w:rFonts w:ascii="Times New Roman" w:hAnsi="Times New Roman" w:cs="Times New Roman"/>
        </w:rPr>
        <w:t xml:space="preserve"> has supported the go</w:t>
      </w:r>
      <w:r w:rsidR="00DA3469" w:rsidRPr="003B5A59">
        <w:rPr>
          <w:rFonts w:ascii="Times New Roman" w:hAnsi="Times New Roman" w:cs="Times New Roman"/>
        </w:rPr>
        <w:t>vernment on the development of the</w:t>
      </w:r>
      <w:r w:rsidRPr="003B5A59">
        <w:rPr>
          <w:rFonts w:ascii="Times New Roman" w:hAnsi="Times New Roman" w:cs="Times New Roman"/>
        </w:rPr>
        <w:t xml:space="preserve"> National Strategy for the Green Economy, although this needs strengthening. </w:t>
      </w:r>
      <w:r w:rsidR="001A59DE">
        <w:rPr>
          <w:rFonts w:ascii="Times New Roman" w:hAnsi="Times New Roman" w:cs="Times New Roman"/>
        </w:rPr>
        <w:t>T</w:t>
      </w:r>
      <w:r w:rsidR="001A59DE" w:rsidRPr="003B5A59">
        <w:rPr>
          <w:rFonts w:ascii="Times New Roman" w:hAnsi="Times New Roman" w:cs="Times New Roman"/>
        </w:rPr>
        <w:t xml:space="preserve">he </w:t>
      </w:r>
      <w:r w:rsidR="001A59DE">
        <w:rPr>
          <w:rFonts w:ascii="Times New Roman" w:hAnsi="Times New Roman" w:cs="Times New Roman"/>
        </w:rPr>
        <w:t>G</w:t>
      </w:r>
      <w:r w:rsidR="001A59DE" w:rsidRPr="003B5A59">
        <w:rPr>
          <w:rFonts w:ascii="Times New Roman" w:hAnsi="Times New Roman" w:cs="Times New Roman"/>
        </w:rPr>
        <w:t xml:space="preserve">overnment </w:t>
      </w:r>
      <w:r w:rsidRPr="003B5A59">
        <w:rPr>
          <w:rFonts w:ascii="Times New Roman" w:hAnsi="Times New Roman" w:cs="Times New Roman"/>
        </w:rPr>
        <w:t xml:space="preserve">(the National Development and Innovation Committee - now </w:t>
      </w:r>
      <w:r w:rsidR="001A59DE">
        <w:rPr>
          <w:rFonts w:ascii="Times New Roman" w:hAnsi="Times New Roman" w:cs="Times New Roman"/>
        </w:rPr>
        <w:t>evolved into</w:t>
      </w:r>
      <w:r w:rsidR="001A59DE" w:rsidRPr="003B5A59">
        <w:rPr>
          <w:rFonts w:ascii="Times New Roman" w:hAnsi="Times New Roman" w:cs="Times New Roman"/>
        </w:rPr>
        <w:t xml:space="preserve"> </w:t>
      </w:r>
      <w:r w:rsidRPr="003B5A59">
        <w:rPr>
          <w:rFonts w:ascii="Times New Roman" w:hAnsi="Times New Roman" w:cs="Times New Roman"/>
        </w:rPr>
        <w:t xml:space="preserve">the Ministry of Economic Development) </w:t>
      </w:r>
      <w:r w:rsidR="001A59DE">
        <w:rPr>
          <w:rFonts w:ascii="Times New Roman" w:hAnsi="Times New Roman" w:cs="Times New Roman"/>
        </w:rPr>
        <w:t xml:space="preserve">commissioned a study on green economy as funded by the </w:t>
      </w:r>
      <w:r w:rsidR="001A59DE" w:rsidRPr="003B5A59">
        <w:rPr>
          <w:rFonts w:ascii="Times New Roman" w:hAnsi="Times New Roman" w:cs="Times New Roman"/>
        </w:rPr>
        <w:t>Science and Technology Foundation of Mongolia</w:t>
      </w:r>
      <w:r w:rsidRPr="003B5A59">
        <w:rPr>
          <w:rFonts w:ascii="Times New Roman" w:hAnsi="Times New Roman" w:cs="Times New Roman"/>
        </w:rPr>
        <w:t xml:space="preserve">. This has not yet been published, but it is unlikely that it will go into much detail in terms of </w:t>
      </w:r>
      <w:r w:rsidR="00270255" w:rsidRPr="003B5A59">
        <w:rPr>
          <w:rFonts w:ascii="Times New Roman" w:hAnsi="Times New Roman" w:cs="Times New Roman"/>
        </w:rPr>
        <w:t xml:space="preserve">financing flows and </w:t>
      </w:r>
      <w:r w:rsidRPr="003B5A59">
        <w:rPr>
          <w:rFonts w:ascii="Times New Roman" w:hAnsi="Times New Roman" w:cs="Times New Roman"/>
        </w:rPr>
        <w:t>valuation of the forestry sector. Nevertheless, the</w:t>
      </w:r>
      <w:r w:rsidR="00EB6569" w:rsidRPr="003B5A59">
        <w:rPr>
          <w:rFonts w:ascii="Times New Roman" w:hAnsi="Times New Roman" w:cs="Times New Roman"/>
        </w:rPr>
        <w:t xml:space="preserve"> targeted support activities</w:t>
      </w:r>
      <w:r w:rsidRPr="003B5A59">
        <w:rPr>
          <w:rFonts w:ascii="Times New Roman" w:hAnsi="Times New Roman" w:cs="Times New Roman"/>
        </w:rPr>
        <w:t xml:space="preserve"> will need to coordinate carefully with </w:t>
      </w:r>
      <w:r w:rsidR="00270255" w:rsidRPr="003B5A59">
        <w:rPr>
          <w:rFonts w:ascii="Times New Roman" w:hAnsi="Times New Roman" w:cs="Times New Roman"/>
        </w:rPr>
        <w:t>such work</w:t>
      </w:r>
      <w:r w:rsidR="00581D73" w:rsidRPr="003B5A59">
        <w:rPr>
          <w:rFonts w:ascii="Times New Roman" w:hAnsi="Times New Roman" w:cs="Times New Roman"/>
        </w:rPr>
        <w:t>. Coordination will also be necessary with a planned UNDP project entitled “Ecosystem Based Adaptation Approach to Maintaining Water Security in Critical Water Catchments in Mongolia”, financed by the Adaptation Fund.  This project will look at the value of different ecosystem services, including forests</w:t>
      </w:r>
      <w:r w:rsidR="00270255" w:rsidRPr="003B5A59">
        <w:rPr>
          <w:rFonts w:ascii="Times New Roman" w:hAnsi="Times New Roman" w:cs="Times New Roman"/>
        </w:rPr>
        <w:t>,</w:t>
      </w:r>
      <w:r w:rsidR="00581D73" w:rsidRPr="003B5A59">
        <w:rPr>
          <w:rFonts w:ascii="Times New Roman" w:hAnsi="Times New Roman" w:cs="Times New Roman"/>
        </w:rPr>
        <w:t xml:space="preserve"> and will include valuation training at site level.</w:t>
      </w:r>
    </w:p>
    <w:p w14:paraId="36F53A45" w14:textId="77777777" w:rsidR="00581D73" w:rsidRPr="003B5A59" w:rsidRDefault="00581D73" w:rsidP="00170D0A">
      <w:pPr>
        <w:rPr>
          <w:rFonts w:ascii="Times New Roman" w:hAnsi="Times New Roman" w:cs="Times New Roman"/>
        </w:rPr>
      </w:pPr>
    </w:p>
    <w:p w14:paraId="670F0A16" w14:textId="76E2F4F4" w:rsidR="00370A29" w:rsidRPr="003B5A59" w:rsidRDefault="00370A29" w:rsidP="00370A29">
      <w:pPr>
        <w:rPr>
          <w:rFonts w:ascii="Times New Roman" w:hAnsi="Times New Roman" w:cs="Times New Roman"/>
        </w:rPr>
      </w:pPr>
      <w:r w:rsidRPr="003B5A59">
        <w:rPr>
          <w:rFonts w:ascii="Times New Roman" w:hAnsi="Times New Roman" w:cs="Times New Roman"/>
        </w:rPr>
        <w:t>The work will also involve stakeholder consultation</w:t>
      </w:r>
      <w:r w:rsidR="00386E76">
        <w:rPr>
          <w:rFonts w:ascii="Times New Roman" w:hAnsi="Times New Roman" w:cs="Times New Roman"/>
        </w:rPr>
        <w:t>s</w:t>
      </w:r>
      <w:r w:rsidRPr="003B5A59">
        <w:rPr>
          <w:rFonts w:ascii="Times New Roman" w:hAnsi="Times New Roman" w:cs="Times New Roman"/>
        </w:rPr>
        <w:t xml:space="preserve"> and close liaison with the government, both to ensure inputs into the work, and </w:t>
      </w:r>
      <w:r w:rsidR="00515C53" w:rsidRPr="003B5A59">
        <w:rPr>
          <w:rFonts w:ascii="Times New Roman" w:hAnsi="Times New Roman" w:cs="Times New Roman"/>
        </w:rPr>
        <w:t>to streamline it with the Development Dialogue on Green Development supported by UNDP Mongolia.</w:t>
      </w:r>
      <w:r w:rsidR="00515C53" w:rsidRPr="003B5A59" w:rsidDel="00515C53">
        <w:rPr>
          <w:rFonts w:ascii="Times New Roman" w:hAnsi="Times New Roman" w:cs="Times New Roman"/>
        </w:rPr>
        <w:t xml:space="preserve"> </w:t>
      </w:r>
      <w:r w:rsidRPr="003B5A59">
        <w:rPr>
          <w:rFonts w:ascii="Times New Roman" w:hAnsi="Times New Roman" w:cs="Times New Roman"/>
        </w:rPr>
        <w:t xml:space="preserve">To ensure maximum mainstreaming into government processes, the work will consider how to link into existing structures, such as </w:t>
      </w:r>
      <w:r w:rsidR="00270255" w:rsidRPr="003B5A59">
        <w:rPr>
          <w:rFonts w:ascii="Times New Roman" w:hAnsi="Times New Roman" w:cs="Times New Roman"/>
        </w:rPr>
        <w:t xml:space="preserve">cross-ministry </w:t>
      </w:r>
      <w:r w:rsidRPr="003B5A59">
        <w:rPr>
          <w:rFonts w:ascii="Times New Roman" w:hAnsi="Times New Roman" w:cs="Times New Roman"/>
        </w:rPr>
        <w:t>taskforce</w:t>
      </w:r>
      <w:r w:rsidR="00270255" w:rsidRPr="003B5A59">
        <w:rPr>
          <w:rFonts w:ascii="Times New Roman" w:hAnsi="Times New Roman" w:cs="Times New Roman"/>
        </w:rPr>
        <w:t>s</w:t>
      </w:r>
      <w:r w:rsidRPr="003B5A59">
        <w:rPr>
          <w:rFonts w:ascii="Times New Roman" w:hAnsi="Times New Roman" w:cs="Times New Roman"/>
        </w:rPr>
        <w:t xml:space="preserve">. </w:t>
      </w:r>
    </w:p>
    <w:p w14:paraId="4702E2BB" w14:textId="77777777" w:rsidR="00370A29" w:rsidRPr="003B5A59" w:rsidRDefault="00370A29" w:rsidP="00DB01B7">
      <w:pPr>
        <w:rPr>
          <w:rFonts w:ascii="Times New Roman" w:hAnsi="Times New Roman" w:cs="Times New Roman"/>
        </w:rPr>
      </w:pPr>
    </w:p>
    <w:p w14:paraId="249F0C52" w14:textId="5649162F" w:rsidR="00CE0ADE" w:rsidRPr="003B5A59" w:rsidRDefault="00170D0A" w:rsidP="00DB01B7">
      <w:pPr>
        <w:rPr>
          <w:rFonts w:ascii="Times New Roman" w:hAnsi="Times New Roman" w:cs="Times New Roman"/>
        </w:rPr>
      </w:pPr>
      <w:r w:rsidRPr="003B5A59">
        <w:rPr>
          <w:rFonts w:ascii="Times New Roman" w:hAnsi="Times New Roman" w:cs="Times New Roman"/>
        </w:rPr>
        <w:t>While f</w:t>
      </w:r>
      <w:r w:rsidR="00ED3353" w:rsidRPr="003B5A59">
        <w:rPr>
          <w:rFonts w:ascii="Times New Roman" w:hAnsi="Times New Roman" w:cs="Times New Roman"/>
        </w:rPr>
        <w:t xml:space="preserve">ollow up activities will be linked </w:t>
      </w:r>
      <w:r w:rsidRPr="003B5A59">
        <w:rPr>
          <w:rFonts w:ascii="Times New Roman" w:hAnsi="Times New Roman" w:cs="Times New Roman"/>
        </w:rPr>
        <w:t xml:space="preserve">specifically </w:t>
      </w:r>
      <w:r w:rsidR="00ED3353" w:rsidRPr="003B5A59">
        <w:rPr>
          <w:rFonts w:ascii="Times New Roman" w:hAnsi="Times New Roman" w:cs="Times New Roman"/>
        </w:rPr>
        <w:t xml:space="preserve">to the </w:t>
      </w:r>
      <w:proofErr w:type="spellStart"/>
      <w:r w:rsidR="00ED3353" w:rsidRPr="003B5A59">
        <w:rPr>
          <w:rFonts w:ascii="Times New Roman" w:hAnsi="Times New Roman" w:cs="Times New Roman"/>
        </w:rPr>
        <w:t>REDD</w:t>
      </w:r>
      <w:proofErr w:type="spellEnd"/>
      <w:r w:rsidR="00ED3353" w:rsidRPr="003B5A59">
        <w:rPr>
          <w:rFonts w:ascii="Times New Roman" w:hAnsi="Times New Roman" w:cs="Times New Roman"/>
        </w:rPr>
        <w:t>+ R</w:t>
      </w:r>
      <w:r w:rsidRPr="003B5A59">
        <w:rPr>
          <w:rFonts w:ascii="Times New Roman" w:hAnsi="Times New Roman" w:cs="Times New Roman"/>
        </w:rPr>
        <w:t xml:space="preserve">oadmap (as outlined below), given the background outlined above, </w:t>
      </w:r>
      <w:r w:rsidR="00917B18" w:rsidRPr="003B5A59">
        <w:rPr>
          <w:rFonts w:ascii="Times New Roman" w:hAnsi="Times New Roman" w:cs="Times New Roman"/>
        </w:rPr>
        <w:t xml:space="preserve">the work may also </w:t>
      </w:r>
      <w:r w:rsidR="00ED3353" w:rsidRPr="003B5A59">
        <w:rPr>
          <w:rFonts w:ascii="Times New Roman" w:hAnsi="Times New Roman" w:cs="Times New Roman"/>
        </w:rPr>
        <w:t>useful</w:t>
      </w:r>
      <w:r w:rsidR="00917B18" w:rsidRPr="003B5A59">
        <w:rPr>
          <w:rFonts w:ascii="Times New Roman" w:hAnsi="Times New Roman" w:cs="Times New Roman"/>
        </w:rPr>
        <w:t xml:space="preserve">ly </w:t>
      </w:r>
      <w:r w:rsidR="00ED3353" w:rsidRPr="003B5A59">
        <w:rPr>
          <w:rFonts w:ascii="Times New Roman" w:hAnsi="Times New Roman" w:cs="Times New Roman"/>
        </w:rPr>
        <w:t>feed into on</w:t>
      </w:r>
      <w:r w:rsidR="00C33A4A" w:rsidRPr="003B5A59">
        <w:rPr>
          <w:rFonts w:ascii="Times New Roman" w:hAnsi="Times New Roman" w:cs="Times New Roman"/>
        </w:rPr>
        <w:t>-</w:t>
      </w:r>
      <w:r w:rsidR="00ED3353" w:rsidRPr="003B5A59">
        <w:rPr>
          <w:rFonts w:ascii="Times New Roman" w:hAnsi="Times New Roman" w:cs="Times New Roman"/>
        </w:rPr>
        <w:t xml:space="preserve">going processes </w:t>
      </w:r>
      <w:r w:rsidR="00DA3469" w:rsidRPr="003B5A59">
        <w:rPr>
          <w:rFonts w:ascii="Times New Roman" w:hAnsi="Times New Roman" w:cs="Times New Roman"/>
        </w:rPr>
        <w:t xml:space="preserve">linked to the Green Development Agenda being spearheaded by the </w:t>
      </w:r>
      <w:proofErr w:type="spellStart"/>
      <w:r w:rsidR="00DA3469" w:rsidRPr="003B5A59">
        <w:rPr>
          <w:rFonts w:ascii="Times New Roman" w:hAnsi="Times New Roman" w:cs="Times New Roman"/>
        </w:rPr>
        <w:t>MoEGD</w:t>
      </w:r>
      <w:proofErr w:type="spellEnd"/>
      <w:r w:rsidR="00DA3469" w:rsidRPr="003B5A59">
        <w:rPr>
          <w:rFonts w:ascii="Times New Roman" w:hAnsi="Times New Roman" w:cs="Times New Roman"/>
        </w:rPr>
        <w:t>.</w:t>
      </w:r>
      <w:r w:rsidR="00ED3353" w:rsidRPr="003B5A59">
        <w:rPr>
          <w:rFonts w:ascii="Times New Roman" w:hAnsi="Times New Roman" w:cs="Times New Roman"/>
        </w:rPr>
        <w:t xml:space="preserve"> </w:t>
      </w:r>
    </w:p>
    <w:p w14:paraId="1FC2C15E" w14:textId="518D849D" w:rsidR="0094322F" w:rsidRPr="003B5A59" w:rsidRDefault="00405848" w:rsidP="004376FE">
      <w:pPr>
        <w:pStyle w:val="Heading3"/>
        <w:rPr>
          <w:rFonts w:ascii="Times New Roman" w:hAnsi="Times New Roman" w:cs="Times New Roman"/>
        </w:rPr>
      </w:pPr>
      <w:r w:rsidRPr="003B5A59">
        <w:rPr>
          <w:rFonts w:ascii="Times New Roman" w:hAnsi="Times New Roman" w:cs="Times New Roman"/>
        </w:rPr>
        <w:t>Output</w:t>
      </w:r>
    </w:p>
    <w:p w14:paraId="5EF0EA20" w14:textId="77777777" w:rsidR="004376FE" w:rsidRPr="003B5A59" w:rsidRDefault="004376FE" w:rsidP="004376FE">
      <w:pPr>
        <w:rPr>
          <w:rFonts w:ascii="Times New Roman" w:hAnsi="Times New Roman" w:cs="Times New Roman"/>
        </w:rPr>
      </w:pPr>
    </w:p>
    <w:p w14:paraId="7D01C6B6" w14:textId="220F58F9" w:rsidR="0094322F" w:rsidRPr="003B5A59" w:rsidRDefault="00DA3469" w:rsidP="005565F2">
      <w:pPr>
        <w:pStyle w:val="ListParagraph"/>
        <w:numPr>
          <w:ilvl w:val="0"/>
          <w:numId w:val="10"/>
        </w:numPr>
        <w:rPr>
          <w:rFonts w:ascii="Times New Roman" w:hAnsi="Times New Roman"/>
          <w:lang w:val="en-GB"/>
        </w:rPr>
      </w:pPr>
      <w:r w:rsidRPr="003B5A59">
        <w:rPr>
          <w:rFonts w:ascii="Times New Roman" w:hAnsi="Times New Roman"/>
          <w:lang w:val="en-GB"/>
        </w:rPr>
        <w:t>Analytical r</w:t>
      </w:r>
      <w:r w:rsidR="0094322F" w:rsidRPr="003B5A59">
        <w:rPr>
          <w:rFonts w:ascii="Times New Roman" w:hAnsi="Times New Roman"/>
          <w:lang w:val="en-GB"/>
        </w:rPr>
        <w:t xml:space="preserve">eport and knowledge products (targeted at Parliamentarians and policy makers) summarising </w:t>
      </w:r>
      <w:r w:rsidRPr="003B5A59">
        <w:rPr>
          <w:rFonts w:ascii="Times New Roman" w:hAnsi="Times New Roman"/>
          <w:lang w:val="en-GB"/>
        </w:rPr>
        <w:t>finding</w:t>
      </w:r>
      <w:r w:rsidR="00370A29" w:rsidRPr="003B5A59">
        <w:rPr>
          <w:rFonts w:ascii="Times New Roman" w:hAnsi="Times New Roman"/>
          <w:lang w:val="en-GB"/>
        </w:rPr>
        <w:t>s on the land-use valuation, public finance flows and options for increasing finance</w:t>
      </w:r>
      <w:r w:rsidR="00405848" w:rsidRPr="003B5A59">
        <w:rPr>
          <w:rFonts w:ascii="Times New Roman" w:hAnsi="Times New Roman"/>
          <w:lang w:val="en-GB"/>
        </w:rPr>
        <w:t xml:space="preserve">. </w:t>
      </w:r>
      <w:r w:rsidR="00405848" w:rsidRPr="003B5A59">
        <w:rPr>
          <w:rFonts w:ascii="Times New Roman" w:hAnsi="Times New Roman"/>
        </w:rPr>
        <w:t>The report will be validated through a stakeholder workshop.</w:t>
      </w:r>
    </w:p>
    <w:p w14:paraId="6CDA72C8" w14:textId="071C31C4" w:rsidR="008E03E5" w:rsidRPr="003B5A59" w:rsidRDefault="000515F2" w:rsidP="000515F2">
      <w:pPr>
        <w:pStyle w:val="Heading2"/>
        <w:numPr>
          <w:ilvl w:val="0"/>
          <w:numId w:val="0"/>
        </w:numPr>
        <w:rPr>
          <w:rFonts w:ascii="Times New Roman" w:hAnsi="Times New Roman" w:cs="Times New Roman"/>
        </w:rPr>
      </w:pPr>
      <w:r w:rsidRPr="003B5A59">
        <w:rPr>
          <w:rFonts w:ascii="Times New Roman" w:hAnsi="Times New Roman" w:cs="Times New Roman"/>
        </w:rPr>
        <w:lastRenderedPageBreak/>
        <w:t xml:space="preserve">Steps 2: </w:t>
      </w:r>
      <w:r w:rsidR="00C64A0C" w:rsidRPr="003B5A59">
        <w:rPr>
          <w:rFonts w:ascii="Times New Roman" w:hAnsi="Times New Roman" w:cs="Times New Roman"/>
        </w:rPr>
        <w:t>Assessment</w:t>
      </w:r>
      <w:r w:rsidR="00907CEC" w:rsidRPr="003B5A59">
        <w:rPr>
          <w:rFonts w:ascii="Times New Roman" w:hAnsi="Times New Roman" w:cs="Times New Roman"/>
        </w:rPr>
        <w:t xml:space="preserve"> of entry points and </w:t>
      </w:r>
      <w:r w:rsidR="00101F68" w:rsidRPr="003B5A59">
        <w:rPr>
          <w:rFonts w:ascii="Times New Roman" w:hAnsi="Times New Roman" w:cs="Times New Roman"/>
        </w:rPr>
        <w:t>strategic options to support</w:t>
      </w:r>
      <w:r w:rsidR="00907CEC" w:rsidRPr="003B5A59">
        <w:rPr>
          <w:rFonts w:ascii="Times New Roman" w:hAnsi="Times New Roman" w:cs="Times New Roman"/>
        </w:rPr>
        <w:t xml:space="preserve"> forest sector financing and policy implementation </w:t>
      </w:r>
    </w:p>
    <w:p w14:paraId="6C0BD953" w14:textId="383418AD" w:rsidR="00B6569A" w:rsidRPr="003B5A59" w:rsidRDefault="00FF745A" w:rsidP="00DB01B7">
      <w:pPr>
        <w:rPr>
          <w:rFonts w:ascii="Times New Roman" w:hAnsi="Times New Roman" w:cs="Times New Roman"/>
        </w:rPr>
      </w:pPr>
      <w:r w:rsidRPr="003B5A59">
        <w:rPr>
          <w:rFonts w:ascii="Times New Roman" w:hAnsi="Times New Roman" w:cs="Times New Roman"/>
        </w:rPr>
        <w:t>T</w:t>
      </w:r>
      <w:r w:rsidR="0010042E" w:rsidRPr="003B5A59">
        <w:rPr>
          <w:rFonts w:ascii="Times New Roman" w:hAnsi="Times New Roman" w:cs="Times New Roman"/>
        </w:rPr>
        <w:t xml:space="preserve">his part of the work will </w:t>
      </w:r>
      <w:r w:rsidRPr="003B5A59">
        <w:rPr>
          <w:rFonts w:ascii="Times New Roman" w:hAnsi="Times New Roman" w:cs="Times New Roman"/>
        </w:rPr>
        <w:t xml:space="preserve">seek to identify strategic options and entry points to support forest sector financing and policy implementation. It will draw on the outputs of the valuation and public finance </w:t>
      </w:r>
      <w:r w:rsidR="00B96A10" w:rsidRPr="003B5A59">
        <w:rPr>
          <w:rFonts w:ascii="Times New Roman" w:hAnsi="Times New Roman" w:cs="Times New Roman"/>
        </w:rPr>
        <w:t xml:space="preserve">work, but </w:t>
      </w:r>
      <w:r w:rsidR="0010042E" w:rsidRPr="003B5A59">
        <w:rPr>
          <w:rFonts w:ascii="Times New Roman" w:hAnsi="Times New Roman" w:cs="Times New Roman"/>
        </w:rPr>
        <w:t xml:space="preserve">focus on gaining a better understanding of why and how decisions are made in the forest sector, particularly related to </w:t>
      </w:r>
      <w:r w:rsidR="00B6569A" w:rsidRPr="003B5A59">
        <w:rPr>
          <w:rFonts w:ascii="Times New Roman" w:hAnsi="Times New Roman" w:cs="Times New Roman"/>
        </w:rPr>
        <w:t xml:space="preserve">financial </w:t>
      </w:r>
      <w:r w:rsidR="00B96A10" w:rsidRPr="003B5A59">
        <w:rPr>
          <w:rFonts w:ascii="Times New Roman" w:hAnsi="Times New Roman" w:cs="Times New Roman"/>
        </w:rPr>
        <w:t>planning</w:t>
      </w:r>
      <w:r w:rsidR="00B6569A" w:rsidRPr="003B5A59">
        <w:rPr>
          <w:rFonts w:ascii="Times New Roman" w:hAnsi="Times New Roman" w:cs="Times New Roman"/>
        </w:rPr>
        <w:t xml:space="preserve"> and </w:t>
      </w:r>
      <w:r w:rsidR="0010042E" w:rsidRPr="003B5A59">
        <w:rPr>
          <w:rFonts w:ascii="Times New Roman" w:hAnsi="Times New Roman" w:cs="Times New Roman"/>
        </w:rPr>
        <w:t xml:space="preserve">policy </w:t>
      </w:r>
      <w:r w:rsidR="00B6569A" w:rsidRPr="003B5A59">
        <w:rPr>
          <w:rFonts w:ascii="Times New Roman" w:hAnsi="Times New Roman" w:cs="Times New Roman"/>
        </w:rPr>
        <w:t>delivery. It will particularly focus on current challenges in these processes</w:t>
      </w:r>
      <w:r w:rsidR="00D82AC1" w:rsidRPr="003B5A59">
        <w:rPr>
          <w:rFonts w:ascii="Times New Roman" w:hAnsi="Times New Roman" w:cs="Times New Roman"/>
        </w:rPr>
        <w:t xml:space="preserve">, such as a lack of prioritisation of the sector by those making budgeting decisions or the capacity of the Forestry Division to develop and spend their budget. </w:t>
      </w:r>
      <w:r w:rsidR="00B6569A" w:rsidRPr="003B5A59">
        <w:rPr>
          <w:rFonts w:ascii="Times New Roman" w:hAnsi="Times New Roman" w:cs="Times New Roman"/>
        </w:rPr>
        <w:t>It wil</w:t>
      </w:r>
      <w:r w:rsidR="00692F3B" w:rsidRPr="003B5A59">
        <w:rPr>
          <w:rFonts w:ascii="Times New Roman" w:hAnsi="Times New Roman" w:cs="Times New Roman"/>
        </w:rPr>
        <w:t xml:space="preserve">l also look at the potential to mobilise </w:t>
      </w:r>
      <w:r w:rsidR="00B6569A" w:rsidRPr="003B5A59">
        <w:rPr>
          <w:rFonts w:ascii="Times New Roman" w:hAnsi="Times New Roman" w:cs="Times New Roman"/>
        </w:rPr>
        <w:t xml:space="preserve">external </w:t>
      </w:r>
      <w:r w:rsidR="00692F3B" w:rsidRPr="003B5A59">
        <w:rPr>
          <w:rFonts w:ascii="Times New Roman" w:hAnsi="Times New Roman" w:cs="Times New Roman"/>
        </w:rPr>
        <w:t xml:space="preserve">financing, for example through </w:t>
      </w:r>
      <w:proofErr w:type="spellStart"/>
      <w:r w:rsidR="00692F3B" w:rsidRPr="003B5A59">
        <w:rPr>
          <w:rFonts w:ascii="Times New Roman" w:hAnsi="Times New Roman" w:cs="Times New Roman"/>
        </w:rPr>
        <w:t>REDD</w:t>
      </w:r>
      <w:proofErr w:type="spellEnd"/>
      <w:r w:rsidR="00692F3B" w:rsidRPr="003B5A59">
        <w:rPr>
          <w:rFonts w:ascii="Times New Roman" w:hAnsi="Times New Roman" w:cs="Times New Roman"/>
        </w:rPr>
        <w:t>+</w:t>
      </w:r>
      <w:r w:rsidR="00AD318E" w:rsidRPr="003B5A59">
        <w:rPr>
          <w:rFonts w:ascii="Times New Roman" w:hAnsi="Times New Roman" w:cs="Times New Roman"/>
        </w:rPr>
        <w:t xml:space="preserve"> and mechanisms such as cash transfer approaches to community forestry.</w:t>
      </w:r>
      <w:r w:rsidR="00B96A10" w:rsidRPr="003B5A59">
        <w:rPr>
          <w:rFonts w:ascii="Times New Roman" w:hAnsi="Times New Roman" w:cs="Times New Roman"/>
        </w:rPr>
        <w:t xml:space="preserve"> </w:t>
      </w:r>
    </w:p>
    <w:p w14:paraId="3AD92A2F" w14:textId="77777777" w:rsidR="00B96A10" w:rsidRPr="003B5A59" w:rsidRDefault="00B96A10" w:rsidP="00DB01B7">
      <w:pPr>
        <w:rPr>
          <w:rFonts w:ascii="Times New Roman" w:hAnsi="Times New Roman" w:cs="Times New Roman"/>
        </w:rPr>
      </w:pPr>
    </w:p>
    <w:p w14:paraId="1DB63434" w14:textId="3958E055" w:rsidR="001B0A0C" w:rsidRDefault="00B96A10" w:rsidP="00DB01B7">
      <w:pPr>
        <w:rPr>
          <w:rFonts w:ascii="Times New Roman" w:hAnsi="Times New Roman" w:cs="Times New Roman"/>
        </w:rPr>
      </w:pPr>
      <w:r w:rsidRPr="003B5A59">
        <w:rPr>
          <w:rFonts w:ascii="Times New Roman" w:hAnsi="Times New Roman" w:cs="Times New Roman"/>
        </w:rPr>
        <w:t xml:space="preserve">The work will be important in evaluating the potential feasibility of different options for financing the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w:t>
      </w:r>
      <w:r w:rsidR="00E2249E">
        <w:rPr>
          <w:rFonts w:ascii="Times New Roman" w:hAnsi="Times New Roman" w:cs="Times New Roman"/>
        </w:rPr>
        <w:t>Readiness</w:t>
      </w:r>
      <w:r w:rsidRPr="003B5A59">
        <w:rPr>
          <w:rFonts w:ascii="Times New Roman" w:hAnsi="Times New Roman" w:cs="Times New Roman"/>
        </w:rPr>
        <w:t>, as well as helping to prioritise concrete capacity building activities.</w:t>
      </w:r>
    </w:p>
    <w:p w14:paraId="72CA21FD" w14:textId="77777777" w:rsidR="008D6561" w:rsidRPr="003B5A59" w:rsidRDefault="008D6561" w:rsidP="00DB01B7">
      <w:pPr>
        <w:rPr>
          <w:rFonts w:ascii="Times New Roman" w:hAnsi="Times New Roman" w:cs="Times New Roman"/>
        </w:rPr>
      </w:pPr>
    </w:p>
    <w:p w14:paraId="0A246244" w14:textId="078630A9" w:rsidR="00D82AC1" w:rsidRPr="003B5A59" w:rsidRDefault="00B96A10" w:rsidP="00DB01B7">
      <w:pPr>
        <w:rPr>
          <w:rFonts w:ascii="Times New Roman" w:hAnsi="Times New Roman" w:cs="Times New Roman"/>
          <w:lang w:val="en-US"/>
        </w:rPr>
      </w:pPr>
      <w:r w:rsidRPr="003B5A59">
        <w:rPr>
          <w:rFonts w:ascii="Times New Roman" w:hAnsi="Times New Roman" w:cs="Times New Roman"/>
        </w:rPr>
        <w:t>While t</w:t>
      </w:r>
      <w:r w:rsidR="001B0A0C" w:rsidRPr="003B5A59">
        <w:rPr>
          <w:rFonts w:ascii="Times New Roman" w:hAnsi="Times New Roman" w:cs="Times New Roman"/>
        </w:rPr>
        <w:t>he scope of work and approach will be defined in more detail based on the o</w:t>
      </w:r>
      <w:r w:rsidRPr="003B5A59">
        <w:rPr>
          <w:rFonts w:ascii="Times New Roman" w:hAnsi="Times New Roman" w:cs="Times New Roman"/>
        </w:rPr>
        <w:t>utcomes from the valuation work, i</w:t>
      </w:r>
      <w:r w:rsidR="001B0A0C" w:rsidRPr="003B5A59">
        <w:rPr>
          <w:rFonts w:ascii="Times New Roman" w:hAnsi="Times New Roman" w:cs="Times New Roman"/>
        </w:rPr>
        <w:t xml:space="preserve">t is likely that </w:t>
      </w:r>
      <w:r w:rsidR="00C25EDC" w:rsidRPr="003B5A59">
        <w:rPr>
          <w:rFonts w:ascii="Times New Roman" w:hAnsi="Times New Roman" w:cs="Times New Roman"/>
        </w:rPr>
        <w:t>it</w:t>
      </w:r>
      <w:r w:rsidR="0010042E" w:rsidRPr="003B5A59">
        <w:rPr>
          <w:rFonts w:ascii="Times New Roman" w:hAnsi="Times New Roman" w:cs="Times New Roman"/>
        </w:rPr>
        <w:t xml:space="preserve"> will require mapping out existing institutions, actor</w:t>
      </w:r>
      <w:r w:rsidRPr="003B5A59">
        <w:rPr>
          <w:rFonts w:ascii="Times New Roman" w:hAnsi="Times New Roman" w:cs="Times New Roman"/>
        </w:rPr>
        <w:t xml:space="preserve">s and financial flows, and </w:t>
      </w:r>
      <w:r w:rsidR="0010042E" w:rsidRPr="003B5A59">
        <w:rPr>
          <w:rFonts w:ascii="Times New Roman" w:hAnsi="Times New Roman" w:cs="Times New Roman"/>
        </w:rPr>
        <w:t>conducting a systematic assessment of their relationships and key challenges. T</w:t>
      </w:r>
      <w:r w:rsidR="00125018" w:rsidRPr="003B5A59">
        <w:rPr>
          <w:rFonts w:ascii="Times New Roman" w:hAnsi="Times New Roman" w:cs="Times New Roman"/>
        </w:rPr>
        <w:t>he proposed methodology will draw on</w:t>
      </w:r>
      <w:r w:rsidR="00D82AC1" w:rsidRPr="003B5A59">
        <w:rPr>
          <w:rFonts w:ascii="Times New Roman" w:hAnsi="Times New Roman" w:cs="Times New Roman"/>
        </w:rPr>
        <w:t xml:space="preserve"> public financial management analysis, </w:t>
      </w:r>
      <w:proofErr w:type="spellStart"/>
      <w:r w:rsidR="00D82AC1" w:rsidRPr="003B5A59">
        <w:rPr>
          <w:rFonts w:ascii="Times New Roman" w:hAnsi="Times New Roman" w:cs="Times New Roman"/>
        </w:rPr>
        <w:t>UNDP’s</w:t>
      </w:r>
      <w:proofErr w:type="spellEnd"/>
      <w:r w:rsidR="00D82AC1" w:rsidRPr="003B5A59">
        <w:rPr>
          <w:rFonts w:ascii="Times New Roman" w:hAnsi="Times New Roman" w:cs="Times New Roman"/>
        </w:rPr>
        <w:t xml:space="preserve"> Institutional Context </w:t>
      </w:r>
      <w:r w:rsidR="00125018" w:rsidRPr="003B5A59">
        <w:rPr>
          <w:rFonts w:ascii="Times New Roman" w:hAnsi="Times New Roman" w:cs="Times New Roman"/>
        </w:rPr>
        <w:t xml:space="preserve">Analysis </w:t>
      </w:r>
      <w:r w:rsidR="00D82AC1" w:rsidRPr="003B5A59">
        <w:rPr>
          <w:rFonts w:ascii="Times New Roman" w:hAnsi="Times New Roman" w:cs="Times New Roman"/>
        </w:rPr>
        <w:t xml:space="preserve">and </w:t>
      </w:r>
      <w:proofErr w:type="spellStart"/>
      <w:r w:rsidR="00125018" w:rsidRPr="003B5A59">
        <w:rPr>
          <w:rFonts w:ascii="Times New Roman" w:hAnsi="Times New Roman" w:cs="Times New Roman"/>
        </w:rPr>
        <w:t>UNDP’s</w:t>
      </w:r>
      <w:proofErr w:type="spellEnd"/>
      <w:r w:rsidR="00125018" w:rsidRPr="003B5A59">
        <w:rPr>
          <w:rFonts w:ascii="Times New Roman" w:hAnsi="Times New Roman" w:cs="Times New Roman"/>
        </w:rPr>
        <w:t xml:space="preserve"> </w:t>
      </w:r>
      <w:r w:rsidR="00D82AC1" w:rsidRPr="003B5A59">
        <w:rPr>
          <w:rFonts w:ascii="Times New Roman" w:hAnsi="Times New Roman" w:cs="Times New Roman"/>
        </w:rPr>
        <w:t>Capacity D</w:t>
      </w:r>
      <w:r w:rsidR="00125018" w:rsidRPr="003B5A59">
        <w:rPr>
          <w:rFonts w:ascii="Times New Roman" w:hAnsi="Times New Roman" w:cs="Times New Roman"/>
        </w:rPr>
        <w:t>evelopment analytical framework</w:t>
      </w:r>
      <w:r w:rsidR="00D82AC1" w:rsidRPr="003B5A59">
        <w:rPr>
          <w:rFonts w:ascii="Times New Roman" w:hAnsi="Times New Roman" w:cs="Times New Roman"/>
        </w:rPr>
        <w:t xml:space="preserve">. These tools can help to determine why things happen in a certain way and also </w:t>
      </w:r>
      <w:r w:rsidR="00337D36" w:rsidRPr="003B5A59">
        <w:rPr>
          <w:rFonts w:ascii="Times New Roman" w:hAnsi="Times New Roman" w:cs="Times New Roman"/>
        </w:rPr>
        <w:t xml:space="preserve">help to identify </w:t>
      </w:r>
      <w:r w:rsidR="00D82AC1" w:rsidRPr="003B5A59">
        <w:rPr>
          <w:rFonts w:ascii="Times New Roman" w:hAnsi="Times New Roman" w:cs="Times New Roman"/>
        </w:rPr>
        <w:t>possible entry points for dealing with them.</w:t>
      </w:r>
      <w:r w:rsidR="00D42777" w:rsidRPr="003B5A59">
        <w:rPr>
          <w:rFonts w:ascii="Times New Roman" w:hAnsi="Times New Roman" w:cs="Times New Roman"/>
        </w:rPr>
        <w:t xml:space="preserve"> </w:t>
      </w:r>
    </w:p>
    <w:p w14:paraId="2B6F30BE" w14:textId="5FADEEAA" w:rsidR="00125018" w:rsidRPr="003B5A59" w:rsidRDefault="00405848" w:rsidP="00125018">
      <w:pPr>
        <w:pStyle w:val="Heading3"/>
        <w:rPr>
          <w:rFonts w:ascii="Times New Roman" w:hAnsi="Times New Roman" w:cs="Times New Roman"/>
        </w:rPr>
      </w:pPr>
      <w:r w:rsidRPr="003B5A59">
        <w:rPr>
          <w:rFonts w:ascii="Times New Roman" w:hAnsi="Times New Roman" w:cs="Times New Roman"/>
        </w:rPr>
        <w:t>Output</w:t>
      </w:r>
    </w:p>
    <w:p w14:paraId="05C7EF72" w14:textId="77777777" w:rsidR="004376FE" w:rsidRPr="003B5A59" w:rsidRDefault="004376FE" w:rsidP="004376FE">
      <w:pPr>
        <w:rPr>
          <w:rFonts w:ascii="Times New Roman" w:hAnsi="Times New Roman" w:cs="Times New Roman"/>
        </w:rPr>
      </w:pPr>
    </w:p>
    <w:p w14:paraId="0814AD9A" w14:textId="0C5A9ECE" w:rsidR="005B5DFE" w:rsidRPr="003B5A59" w:rsidRDefault="004376FE" w:rsidP="005565F2">
      <w:pPr>
        <w:pStyle w:val="ListParagraph"/>
        <w:numPr>
          <w:ilvl w:val="0"/>
          <w:numId w:val="9"/>
        </w:numPr>
        <w:rPr>
          <w:rFonts w:ascii="Times New Roman" w:hAnsi="Times New Roman"/>
        </w:rPr>
      </w:pPr>
      <w:r w:rsidRPr="003B5A59">
        <w:rPr>
          <w:rFonts w:ascii="Times New Roman" w:hAnsi="Times New Roman"/>
        </w:rPr>
        <w:t>Report summarizing</w:t>
      </w:r>
      <w:r w:rsidR="005B5DFE" w:rsidRPr="003B5A59">
        <w:rPr>
          <w:rFonts w:ascii="Times New Roman" w:hAnsi="Times New Roman"/>
        </w:rPr>
        <w:t xml:space="preserve"> findings from the </w:t>
      </w:r>
      <w:r w:rsidRPr="003B5A59">
        <w:rPr>
          <w:rFonts w:ascii="Times New Roman" w:hAnsi="Times New Roman"/>
        </w:rPr>
        <w:t xml:space="preserve">analytical work, including </w:t>
      </w:r>
      <w:r w:rsidR="005B5DFE" w:rsidRPr="003B5A59">
        <w:rPr>
          <w:rFonts w:ascii="Times New Roman" w:hAnsi="Times New Roman"/>
        </w:rPr>
        <w:t xml:space="preserve">an evaluation of strategic options to </w:t>
      </w:r>
      <w:r w:rsidR="00E2249E">
        <w:rPr>
          <w:rFonts w:ascii="Times New Roman" w:hAnsi="Times New Roman"/>
        </w:rPr>
        <w:t>enhance</w:t>
      </w:r>
      <w:r w:rsidR="00E2249E" w:rsidRPr="003B5A59">
        <w:rPr>
          <w:rFonts w:ascii="Times New Roman" w:hAnsi="Times New Roman"/>
        </w:rPr>
        <w:t xml:space="preserve"> </w:t>
      </w:r>
      <w:r w:rsidR="005B5DFE" w:rsidRPr="003B5A59">
        <w:rPr>
          <w:rFonts w:ascii="Times New Roman" w:hAnsi="Times New Roman"/>
        </w:rPr>
        <w:t>forest sector financing</w:t>
      </w:r>
      <w:r w:rsidR="004E46E0">
        <w:rPr>
          <w:rFonts w:ascii="Times New Roman" w:hAnsi="Times New Roman"/>
        </w:rPr>
        <w:t xml:space="preserve"> and</w:t>
      </w:r>
      <w:r w:rsidR="004E46E0" w:rsidRPr="003B5A59">
        <w:rPr>
          <w:rFonts w:ascii="Times New Roman" w:hAnsi="Times New Roman"/>
        </w:rPr>
        <w:t xml:space="preserve"> the</w:t>
      </w:r>
      <w:r w:rsidR="004E46E0">
        <w:rPr>
          <w:rFonts w:ascii="Times New Roman" w:hAnsi="Times New Roman"/>
        </w:rPr>
        <w:t xml:space="preserve"> effectiveness of </w:t>
      </w:r>
      <w:r w:rsidR="005B5DFE" w:rsidRPr="003B5A59">
        <w:rPr>
          <w:rFonts w:ascii="Times New Roman" w:hAnsi="Times New Roman"/>
        </w:rPr>
        <w:t>policy implementation</w:t>
      </w:r>
      <w:r w:rsidR="004E46E0">
        <w:rPr>
          <w:rFonts w:ascii="Times New Roman" w:hAnsi="Times New Roman"/>
        </w:rPr>
        <w:t xml:space="preserve">, and </w:t>
      </w:r>
      <w:r w:rsidR="005B5DFE" w:rsidRPr="003B5A59">
        <w:rPr>
          <w:rFonts w:ascii="Times New Roman" w:hAnsi="Times New Roman"/>
        </w:rPr>
        <w:t>the potential entry points for implementing these options</w:t>
      </w:r>
      <w:r w:rsidR="00D42777" w:rsidRPr="003B5A59">
        <w:rPr>
          <w:rFonts w:ascii="Times New Roman" w:hAnsi="Times New Roman"/>
        </w:rPr>
        <w:t>. The report will be validated through a stakeholder workshop.</w:t>
      </w:r>
      <w:r w:rsidR="005B5DFE" w:rsidRPr="003B5A59">
        <w:rPr>
          <w:rFonts w:ascii="Times New Roman" w:hAnsi="Times New Roman"/>
        </w:rPr>
        <w:t xml:space="preserve"> </w:t>
      </w:r>
    </w:p>
    <w:p w14:paraId="5BE0FF80" w14:textId="77777777" w:rsidR="00EC60AD" w:rsidRPr="003B5A59" w:rsidRDefault="00EC60AD" w:rsidP="00EC60AD">
      <w:pPr>
        <w:pStyle w:val="ListParagraph"/>
        <w:rPr>
          <w:rFonts w:ascii="Times New Roman" w:hAnsi="Times New Roman"/>
        </w:rPr>
      </w:pPr>
    </w:p>
    <w:p w14:paraId="4966B98A" w14:textId="77B3BC6E" w:rsidR="00D82AC1" w:rsidRPr="003B5A59" w:rsidRDefault="00405848" w:rsidP="000515F2">
      <w:pPr>
        <w:pStyle w:val="Heading2"/>
        <w:numPr>
          <w:ilvl w:val="0"/>
          <w:numId w:val="0"/>
        </w:numPr>
        <w:rPr>
          <w:rFonts w:ascii="Times New Roman" w:hAnsi="Times New Roman" w:cs="Times New Roman"/>
        </w:rPr>
      </w:pPr>
      <w:r w:rsidRPr="003B5A59">
        <w:rPr>
          <w:rFonts w:ascii="Times New Roman" w:hAnsi="Times New Roman" w:cs="Times New Roman"/>
        </w:rPr>
        <w:t>Step 3</w:t>
      </w:r>
      <w:r w:rsidR="000515F2" w:rsidRPr="003B5A59">
        <w:rPr>
          <w:rFonts w:ascii="Times New Roman" w:hAnsi="Times New Roman" w:cs="Times New Roman"/>
        </w:rPr>
        <w:t xml:space="preserve">: </w:t>
      </w:r>
      <w:r w:rsidR="005B5DFE" w:rsidRPr="003B5A59">
        <w:rPr>
          <w:rFonts w:ascii="Times New Roman" w:hAnsi="Times New Roman" w:cs="Times New Roman"/>
        </w:rPr>
        <w:t>Development</w:t>
      </w:r>
      <w:r w:rsidR="00907CEC" w:rsidRPr="003B5A59">
        <w:rPr>
          <w:rFonts w:ascii="Times New Roman" w:hAnsi="Times New Roman" w:cs="Times New Roman"/>
        </w:rPr>
        <w:t xml:space="preserve"> of </w:t>
      </w:r>
      <w:r w:rsidRPr="003B5A59">
        <w:rPr>
          <w:rFonts w:ascii="Times New Roman" w:hAnsi="Times New Roman" w:cs="Times New Roman"/>
        </w:rPr>
        <w:t xml:space="preserve">capacity development and awareness raising strategies </w:t>
      </w:r>
    </w:p>
    <w:p w14:paraId="25528A41" w14:textId="056A43AA" w:rsidR="00C25EDC" w:rsidRPr="003B5A59" w:rsidRDefault="00D82AC1" w:rsidP="006931EF">
      <w:pPr>
        <w:rPr>
          <w:rFonts w:ascii="Times New Roman" w:hAnsi="Times New Roman" w:cs="Times New Roman"/>
        </w:rPr>
      </w:pPr>
      <w:r w:rsidRPr="003B5A59">
        <w:rPr>
          <w:rFonts w:ascii="Times New Roman" w:hAnsi="Times New Roman" w:cs="Times New Roman"/>
        </w:rPr>
        <w:t>The final part of the work will be the development of prioritised capacity development and awareness raising plans</w:t>
      </w:r>
      <w:r w:rsidR="00C64A0C" w:rsidRPr="003B5A59">
        <w:rPr>
          <w:rFonts w:ascii="Times New Roman" w:hAnsi="Times New Roman" w:cs="Times New Roman"/>
        </w:rPr>
        <w:t xml:space="preserve"> based on the entry points and strategic options identified in the previous step. </w:t>
      </w:r>
      <w:r w:rsidRPr="003B5A59">
        <w:rPr>
          <w:rFonts w:ascii="Times New Roman" w:hAnsi="Times New Roman" w:cs="Times New Roman"/>
        </w:rPr>
        <w:t xml:space="preserve">These are likely to be targeted on the Forestry Division and Parliamentarians, although the exact audience and the possible need for other types of </w:t>
      </w:r>
      <w:proofErr w:type="gramStart"/>
      <w:r w:rsidRPr="003B5A59">
        <w:rPr>
          <w:rFonts w:ascii="Times New Roman" w:hAnsi="Times New Roman" w:cs="Times New Roman"/>
        </w:rPr>
        <w:t>plans,</w:t>
      </w:r>
      <w:proofErr w:type="gramEnd"/>
      <w:r w:rsidRPr="003B5A59">
        <w:rPr>
          <w:rFonts w:ascii="Times New Roman" w:hAnsi="Times New Roman" w:cs="Times New Roman"/>
        </w:rPr>
        <w:t xml:space="preserve"> should be defined during the work. </w:t>
      </w:r>
      <w:proofErr w:type="spellStart"/>
      <w:r w:rsidRPr="003B5A59">
        <w:rPr>
          <w:rFonts w:ascii="Times New Roman" w:hAnsi="Times New Roman" w:cs="Times New Roman"/>
        </w:rPr>
        <w:t>UNDP’s</w:t>
      </w:r>
      <w:proofErr w:type="spellEnd"/>
      <w:r w:rsidRPr="003B5A59">
        <w:rPr>
          <w:rFonts w:ascii="Times New Roman" w:hAnsi="Times New Roman" w:cs="Times New Roman"/>
        </w:rPr>
        <w:t xml:space="preserve"> existing tools in these areas will be used in order to ensure that the process is robust.</w:t>
      </w:r>
    </w:p>
    <w:p w14:paraId="6A8E9E67" w14:textId="4550B8F4" w:rsidR="00C25EDC" w:rsidRPr="003B5A59" w:rsidRDefault="00405848" w:rsidP="00C25EDC">
      <w:pPr>
        <w:pStyle w:val="Heading3"/>
        <w:rPr>
          <w:rFonts w:ascii="Times New Roman" w:hAnsi="Times New Roman" w:cs="Times New Roman"/>
        </w:rPr>
      </w:pPr>
      <w:r w:rsidRPr="003B5A59">
        <w:rPr>
          <w:rFonts w:ascii="Times New Roman" w:hAnsi="Times New Roman" w:cs="Times New Roman"/>
        </w:rPr>
        <w:t>Outputs</w:t>
      </w:r>
    </w:p>
    <w:p w14:paraId="13809CEB" w14:textId="77777777" w:rsidR="005B5DFE" w:rsidRPr="003B5A59" w:rsidRDefault="005B5DFE" w:rsidP="005B5DFE">
      <w:pPr>
        <w:rPr>
          <w:rFonts w:ascii="Times New Roman" w:hAnsi="Times New Roman" w:cs="Times New Roman"/>
        </w:rPr>
      </w:pPr>
    </w:p>
    <w:p w14:paraId="7F0F7A6B" w14:textId="44D43F2F" w:rsidR="00C25EDC" w:rsidRPr="003B5A59" w:rsidRDefault="00C25EDC" w:rsidP="005565F2">
      <w:pPr>
        <w:pStyle w:val="ListParagraph"/>
        <w:numPr>
          <w:ilvl w:val="0"/>
          <w:numId w:val="3"/>
        </w:numPr>
        <w:rPr>
          <w:rFonts w:ascii="Times New Roman" w:hAnsi="Times New Roman"/>
        </w:rPr>
      </w:pPr>
      <w:r w:rsidRPr="003B5A59">
        <w:rPr>
          <w:rFonts w:ascii="Times New Roman" w:hAnsi="Times New Roman"/>
        </w:rPr>
        <w:t xml:space="preserve">Capacity development plan </w:t>
      </w:r>
      <w:r w:rsidR="005B5DFE" w:rsidRPr="003B5A59">
        <w:rPr>
          <w:rFonts w:ascii="Times New Roman" w:hAnsi="Times New Roman"/>
        </w:rPr>
        <w:t>building on the entry points identified in the previous step</w:t>
      </w:r>
      <w:r w:rsidRPr="003B5A59">
        <w:rPr>
          <w:rFonts w:ascii="Times New Roman" w:hAnsi="Times New Roman"/>
        </w:rPr>
        <w:t xml:space="preserve">, to be integrated into the </w:t>
      </w:r>
      <w:proofErr w:type="spellStart"/>
      <w:r w:rsidRPr="003B5A59">
        <w:rPr>
          <w:rFonts w:ascii="Times New Roman" w:hAnsi="Times New Roman"/>
        </w:rPr>
        <w:t>REDD</w:t>
      </w:r>
      <w:proofErr w:type="spellEnd"/>
      <w:r w:rsidRPr="003B5A59">
        <w:rPr>
          <w:rFonts w:ascii="Times New Roman" w:hAnsi="Times New Roman"/>
        </w:rPr>
        <w:t>+ Roadmap</w:t>
      </w:r>
    </w:p>
    <w:p w14:paraId="65FEB245" w14:textId="4522B7E4" w:rsidR="005B5DFE" w:rsidRPr="003B5A59" w:rsidRDefault="00C25EDC" w:rsidP="005565F2">
      <w:pPr>
        <w:pStyle w:val="ListParagraph"/>
        <w:numPr>
          <w:ilvl w:val="0"/>
          <w:numId w:val="3"/>
        </w:numPr>
        <w:rPr>
          <w:rFonts w:ascii="Times New Roman" w:hAnsi="Times New Roman"/>
        </w:rPr>
      </w:pPr>
      <w:r w:rsidRPr="003B5A59">
        <w:rPr>
          <w:rFonts w:ascii="Times New Roman" w:hAnsi="Times New Roman"/>
        </w:rPr>
        <w:t>Awareness raising plan</w:t>
      </w:r>
      <w:r w:rsidR="005B5DFE" w:rsidRPr="003B5A59">
        <w:rPr>
          <w:rFonts w:ascii="Times New Roman" w:hAnsi="Times New Roman"/>
        </w:rPr>
        <w:t xml:space="preserve"> building on the entry points identified in the previous step, to be integrated into the </w:t>
      </w:r>
      <w:proofErr w:type="spellStart"/>
      <w:r w:rsidR="005B5DFE" w:rsidRPr="003B5A59">
        <w:rPr>
          <w:rFonts w:ascii="Times New Roman" w:hAnsi="Times New Roman"/>
        </w:rPr>
        <w:t>REDD</w:t>
      </w:r>
      <w:proofErr w:type="spellEnd"/>
      <w:r w:rsidR="005B5DFE" w:rsidRPr="003B5A59">
        <w:rPr>
          <w:rFonts w:ascii="Times New Roman" w:hAnsi="Times New Roman"/>
        </w:rPr>
        <w:t>+ Roadmap</w:t>
      </w:r>
    </w:p>
    <w:p w14:paraId="5E732EF7" w14:textId="77777777" w:rsidR="00FC124B" w:rsidRPr="003B5A59" w:rsidRDefault="00FC124B" w:rsidP="006A1911">
      <w:pPr>
        <w:pStyle w:val="Heading1"/>
        <w:rPr>
          <w:rFonts w:ascii="Times New Roman" w:hAnsi="Times New Roman" w:cs="Times New Roman"/>
        </w:rPr>
      </w:pPr>
      <w:r w:rsidRPr="003B5A59">
        <w:rPr>
          <w:rFonts w:ascii="Times New Roman" w:hAnsi="Times New Roman" w:cs="Times New Roman"/>
        </w:rPr>
        <w:lastRenderedPageBreak/>
        <w:t>Alignment with UN-REDD targeted support criteria</w:t>
      </w:r>
    </w:p>
    <w:p w14:paraId="03DD9CDD" w14:textId="77777777" w:rsidR="00FC124B" w:rsidRPr="003B5A59" w:rsidRDefault="00FC124B" w:rsidP="00FC124B">
      <w:pPr>
        <w:contextualSpacing/>
        <w:rPr>
          <w:rFonts w:ascii="Times New Roman" w:hAnsi="Times New Roman" w:cs="Times New Roman"/>
          <w:lang w:val="en-US"/>
        </w:rPr>
      </w:pPr>
    </w:p>
    <w:p w14:paraId="67D789AC" w14:textId="77777777" w:rsidR="00FC124B" w:rsidRPr="003B5A59" w:rsidRDefault="00FC124B" w:rsidP="00BA7D5E">
      <w:pPr>
        <w:widowControl w:val="0"/>
        <w:autoSpaceDE w:val="0"/>
        <w:autoSpaceDN w:val="0"/>
        <w:adjustRightInd w:val="0"/>
        <w:rPr>
          <w:rFonts w:ascii="Times New Roman" w:hAnsi="Times New Roman" w:cs="Times New Roman"/>
        </w:rPr>
      </w:pPr>
      <w:r w:rsidRPr="003B5A59">
        <w:rPr>
          <w:rFonts w:ascii="Times New Roman" w:hAnsi="Times New Roman" w:cs="Times New Roman"/>
          <w:b/>
        </w:rPr>
        <w:t>How is this targeted support consistent with the objectives of the UN-REDD Programme?</w:t>
      </w:r>
      <w:r w:rsidRPr="003B5A59">
        <w:rPr>
          <w:rFonts w:ascii="Times New Roman" w:hAnsi="Times New Roman" w:cs="Times New Roman"/>
        </w:rPr>
        <w:t xml:space="preserve"> </w:t>
      </w:r>
      <w:r w:rsidRPr="003B5A59">
        <w:rPr>
          <w:rFonts w:ascii="Times New Roman" w:hAnsi="Times New Roman" w:cs="Times New Roman"/>
          <w:b/>
        </w:rPr>
        <w:t>(</w:t>
      </w:r>
      <w:proofErr w:type="gramStart"/>
      <w:r w:rsidRPr="003B5A59">
        <w:rPr>
          <w:rFonts w:ascii="Times New Roman" w:hAnsi="Times New Roman" w:cs="Times New Roman"/>
          <w:b/>
        </w:rPr>
        <w:t>in</w:t>
      </w:r>
      <w:proofErr w:type="gramEnd"/>
      <w:r w:rsidRPr="003B5A59">
        <w:rPr>
          <w:rFonts w:ascii="Times New Roman" w:hAnsi="Times New Roman" w:cs="Times New Roman"/>
          <w:b/>
        </w:rPr>
        <w:t xml:space="preserve"> particular: links to thematic priorities of the global programme and the region; activities that will be documented and deliver lessons learnt; alignment with UNDP programmatic priorities, taking into consideration advice of the Regional Bureaux; and likelihood of achieving transformational change).</w:t>
      </w:r>
    </w:p>
    <w:p w14:paraId="52C97EF3" w14:textId="77777777" w:rsidR="00FC124B" w:rsidRPr="003B5A59" w:rsidRDefault="00FC124B" w:rsidP="00FC124B">
      <w:pPr>
        <w:widowControl w:val="0"/>
        <w:autoSpaceDE w:val="0"/>
        <w:autoSpaceDN w:val="0"/>
        <w:adjustRightInd w:val="0"/>
        <w:rPr>
          <w:rFonts w:ascii="Times New Roman" w:hAnsi="Times New Roman" w:cs="Times New Roman"/>
        </w:rPr>
      </w:pPr>
    </w:p>
    <w:p w14:paraId="17180699" w14:textId="7A4B1EF8" w:rsidR="00FC124B" w:rsidRPr="003B5A59" w:rsidRDefault="00FC124B"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This targeted support has clear links to two thematic priorities of the UN-REDD Programme: Output 2.2 under the ‘</w:t>
      </w:r>
      <w:r w:rsidR="00CF61AB" w:rsidRPr="003B5A59">
        <w:rPr>
          <w:rFonts w:ascii="Times New Roman" w:hAnsi="Times New Roman" w:cs="Times New Roman"/>
        </w:rPr>
        <w:t>governance’ outcome, Output 3</w:t>
      </w:r>
      <w:r w:rsidRPr="003B5A59">
        <w:rPr>
          <w:rFonts w:ascii="Times New Roman" w:hAnsi="Times New Roman" w:cs="Times New Roman"/>
        </w:rPr>
        <w:t>.3 under the ‘</w:t>
      </w:r>
      <w:proofErr w:type="spellStart"/>
      <w:r w:rsidRPr="003B5A59">
        <w:rPr>
          <w:rFonts w:ascii="Times New Roman" w:hAnsi="Times New Roman" w:cs="Times New Roman"/>
        </w:rPr>
        <w:t>T.E.A.M</w:t>
      </w:r>
      <w:proofErr w:type="spellEnd"/>
      <w:r w:rsidRPr="003B5A59">
        <w:rPr>
          <w:rFonts w:ascii="Times New Roman" w:hAnsi="Times New Roman" w:cs="Times New Roman"/>
        </w:rPr>
        <w:t>.’ outcome</w:t>
      </w:r>
      <w:r w:rsidR="00CF61AB" w:rsidRPr="003B5A59">
        <w:rPr>
          <w:rFonts w:ascii="Times New Roman" w:hAnsi="Times New Roman" w:cs="Times New Roman"/>
        </w:rPr>
        <w:t xml:space="preserve"> and Output 6.3 under the Green Economy outcome</w:t>
      </w:r>
      <w:r w:rsidRPr="003B5A59">
        <w:rPr>
          <w:rFonts w:ascii="Times New Roman" w:hAnsi="Times New Roman" w:cs="Times New Roman"/>
        </w:rPr>
        <w:t>.</w:t>
      </w:r>
    </w:p>
    <w:p w14:paraId="0FC1D8A7" w14:textId="77777777" w:rsidR="00FC124B" w:rsidRPr="003B5A59" w:rsidRDefault="00FC124B" w:rsidP="00FC124B">
      <w:pPr>
        <w:widowControl w:val="0"/>
        <w:autoSpaceDE w:val="0"/>
        <w:autoSpaceDN w:val="0"/>
        <w:adjustRightInd w:val="0"/>
        <w:rPr>
          <w:rFonts w:ascii="Times New Roman" w:hAnsi="Times New Roman" w:cs="Times New Roman"/>
        </w:rPr>
      </w:pPr>
    </w:p>
    <w:p w14:paraId="1AA13392" w14:textId="0346F92A" w:rsidR="00FC124B" w:rsidRPr="003B5A59" w:rsidRDefault="00FC124B" w:rsidP="005565F2">
      <w:pPr>
        <w:pStyle w:val="ListParagraph"/>
        <w:numPr>
          <w:ilvl w:val="0"/>
          <w:numId w:val="6"/>
        </w:numPr>
        <w:spacing w:after="0"/>
        <w:rPr>
          <w:rFonts w:ascii="Times New Roman" w:hAnsi="Times New Roman"/>
        </w:rPr>
      </w:pPr>
      <w:r w:rsidRPr="003B5A59">
        <w:rPr>
          <w:rFonts w:ascii="Times New Roman" w:hAnsi="Times New Roman"/>
        </w:rPr>
        <w:t xml:space="preserve">Governance outcome: The work to support the Forestry </w:t>
      </w:r>
      <w:r w:rsidR="00485380" w:rsidRPr="003B5A59">
        <w:rPr>
          <w:rFonts w:ascii="Times New Roman" w:hAnsi="Times New Roman"/>
        </w:rPr>
        <w:t xml:space="preserve">Division </w:t>
      </w:r>
      <w:r w:rsidRPr="003B5A59">
        <w:rPr>
          <w:rFonts w:ascii="Times New Roman" w:hAnsi="Times New Roman"/>
        </w:rPr>
        <w:t xml:space="preserve">in Mongolia links to objective 2.2.1. </w:t>
      </w:r>
      <w:r w:rsidRPr="003B5A59">
        <w:rPr>
          <w:rFonts w:ascii="Times New Roman" w:hAnsi="Times New Roman"/>
          <w:i/>
        </w:rPr>
        <w:t>Good practice guidance on transparent and accountable institutional, legal and regulatory arrangements.</w:t>
      </w:r>
      <w:r w:rsidRPr="003B5A59">
        <w:rPr>
          <w:rFonts w:ascii="Times New Roman" w:hAnsi="Times New Roman"/>
        </w:rPr>
        <w:t xml:space="preserve"> Under this objective UN-REDD is undertaking work on legal preparedness, which includes activities around supporting governments on legislative processes, led by UNDP. </w:t>
      </w:r>
    </w:p>
    <w:p w14:paraId="354424A8" w14:textId="77777777" w:rsidR="00FC124B" w:rsidRPr="003B5A59" w:rsidRDefault="00FC124B" w:rsidP="00FC124B">
      <w:pPr>
        <w:pStyle w:val="ListParagraph"/>
        <w:spacing w:after="0"/>
        <w:rPr>
          <w:rFonts w:ascii="Times New Roman" w:hAnsi="Times New Roman"/>
        </w:rPr>
      </w:pPr>
    </w:p>
    <w:p w14:paraId="123F18DA" w14:textId="0B8AFC96" w:rsidR="00FC124B" w:rsidRPr="003B5A59" w:rsidRDefault="00FC124B" w:rsidP="005565F2">
      <w:pPr>
        <w:pStyle w:val="ListParagraph"/>
        <w:numPr>
          <w:ilvl w:val="0"/>
          <w:numId w:val="6"/>
        </w:numPr>
        <w:spacing w:after="0"/>
        <w:rPr>
          <w:rFonts w:ascii="Times New Roman" w:hAnsi="Times New Roman"/>
          <w:i/>
        </w:rPr>
      </w:pPr>
      <w:proofErr w:type="spellStart"/>
      <w:r w:rsidRPr="003B5A59">
        <w:rPr>
          <w:rFonts w:ascii="Times New Roman" w:hAnsi="Times New Roman"/>
        </w:rPr>
        <w:t>T.E.A.M</w:t>
      </w:r>
      <w:proofErr w:type="spellEnd"/>
      <w:r w:rsidRPr="003B5A59">
        <w:rPr>
          <w:rFonts w:ascii="Times New Roman" w:hAnsi="Times New Roman"/>
        </w:rPr>
        <w:t xml:space="preserve">. outcome: The work to support the Forestry </w:t>
      </w:r>
      <w:r w:rsidR="007A3DAE" w:rsidRPr="003B5A59">
        <w:rPr>
          <w:rFonts w:ascii="Times New Roman" w:hAnsi="Times New Roman"/>
        </w:rPr>
        <w:t>Div</w:t>
      </w:r>
      <w:r w:rsidR="007205B0" w:rsidRPr="003B5A59">
        <w:rPr>
          <w:rFonts w:ascii="Times New Roman" w:hAnsi="Times New Roman"/>
        </w:rPr>
        <w:t>i</w:t>
      </w:r>
      <w:r w:rsidR="007A3DAE" w:rsidRPr="003B5A59">
        <w:rPr>
          <w:rFonts w:ascii="Times New Roman" w:hAnsi="Times New Roman"/>
        </w:rPr>
        <w:t xml:space="preserve">sion </w:t>
      </w:r>
      <w:r w:rsidR="007205B0" w:rsidRPr="003B5A59">
        <w:rPr>
          <w:rFonts w:ascii="Times New Roman" w:hAnsi="Times New Roman"/>
        </w:rPr>
        <w:t>in Mongolia</w:t>
      </w:r>
      <w:r w:rsidR="007A3DAE" w:rsidRPr="003B5A59">
        <w:rPr>
          <w:rFonts w:ascii="Times New Roman" w:hAnsi="Times New Roman"/>
        </w:rPr>
        <w:t xml:space="preserve"> on issues around </w:t>
      </w:r>
      <w:r w:rsidR="004E46E0">
        <w:rPr>
          <w:rFonts w:ascii="Times New Roman" w:hAnsi="Times New Roman"/>
        </w:rPr>
        <w:t xml:space="preserve">the </w:t>
      </w:r>
      <w:r w:rsidR="007A3DAE" w:rsidRPr="003B5A59">
        <w:rPr>
          <w:rFonts w:ascii="Times New Roman" w:hAnsi="Times New Roman"/>
        </w:rPr>
        <w:t>forest</w:t>
      </w:r>
      <w:r w:rsidR="00E2249E">
        <w:rPr>
          <w:rFonts w:ascii="Times New Roman" w:hAnsi="Times New Roman"/>
        </w:rPr>
        <w:t xml:space="preserve"> sector</w:t>
      </w:r>
      <w:r w:rsidR="007A3DAE" w:rsidRPr="003B5A59">
        <w:rPr>
          <w:rFonts w:ascii="Times New Roman" w:hAnsi="Times New Roman"/>
        </w:rPr>
        <w:t xml:space="preserve"> financing are linked </w:t>
      </w:r>
      <w:r w:rsidRPr="003B5A59">
        <w:rPr>
          <w:rFonts w:ascii="Times New Roman" w:hAnsi="Times New Roman"/>
        </w:rPr>
        <w:t xml:space="preserve">to objective 3.3.1 which states that </w:t>
      </w:r>
      <w:r w:rsidRPr="003B5A59">
        <w:rPr>
          <w:rFonts w:ascii="Times New Roman" w:hAnsi="Times New Roman"/>
          <w:i/>
        </w:rPr>
        <w:t xml:space="preserve">practical guidance and assistance will be provided to developing countries </w:t>
      </w:r>
      <w:proofErr w:type="spellStart"/>
      <w:r w:rsidRPr="003B5A59">
        <w:rPr>
          <w:rFonts w:ascii="Times New Roman" w:hAnsi="Times New Roman"/>
          <w:i/>
        </w:rPr>
        <w:t>REDD</w:t>
      </w:r>
      <w:proofErr w:type="spellEnd"/>
      <w:r w:rsidRPr="003B5A59">
        <w:rPr>
          <w:rFonts w:ascii="Times New Roman" w:hAnsi="Times New Roman"/>
          <w:i/>
        </w:rPr>
        <w:t xml:space="preserve">+ bodies in determining where and how they need to enhance capacities to be able to assume the role of fiduciary agent for </w:t>
      </w:r>
      <w:proofErr w:type="spellStart"/>
      <w:r w:rsidRPr="003B5A59">
        <w:rPr>
          <w:rFonts w:ascii="Times New Roman" w:hAnsi="Times New Roman"/>
          <w:i/>
        </w:rPr>
        <w:t>REDD</w:t>
      </w:r>
      <w:proofErr w:type="spellEnd"/>
      <w:r w:rsidRPr="003B5A59">
        <w:rPr>
          <w:rFonts w:ascii="Times New Roman" w:hAnsi="Times New Roman"/>
          <w:i/>
        </w:rPr>
        <w:t>+ funds.</w:t>
      </w:r>
      <w:r w:rsidRPr="003B5A59">
        <w:rPr>
          <w:rFonts w:ascii="Times New Roman" w:hAnsi="Times New Roman"/>
        </w:rPr>
        <w:t xml:space="preserve"> The work also relates strongly to objective 3.2.1 which includes inter alia: </w:t>
      </w:r>
      <w:r w:rsidRPr="003B5A59">
        <w:rPr>
          <w:rFonts w:ascii="Times New Roman" w:hAnsi="Times New Roman"/>
          <w:i/>
        </w:rPr>
        <w:t xml:space="preserve">Case studies on existing or developing benefit distribution system with a focus on transparency and accountability; and guidance on appropriate institutional systems for </w:t>
      </w:r>
      <w:proofErr w:type="spellStart"/>
      <w:r w:rsidRPr="003B5A59">
        <w:rPr>
          <w:rFonts w:ascii="Times New Roman" w:hAnsi="Times New Roman"/>
          <w:i/>
        </w:rPr>
        <w:t>BDS</w:t>
      </w:r>
      <w:proofErr w:type="spellEnd"/>
      <w:r w:rsidRPr="003B5A59">
        <w:rPr>
          <w:rFonts w:ascii="Times New Roman" w:hAnsi="Times New Roman"/>
          <w:i/>
        </w:rPr>
        <w:t xml:space="preserve"> for </w:t>
      </w:r>
      <w:proofErr w:type="spellStart"/>
      <w:r w:rsidRPr="003B5A59">
        <w:rPr>
          <w:rFonts w:ascii="Times New Roman" w:hAnsi="Times New Roman"/>
          <w:i/>
        </w:rPr>
        <w:t>REDD</w:t>
      </w:r>
      <w:proofErr w:type="spellEnd"/>
      <w:r w:rsidRPr="003B5A59">
        <w:rPr>
          <w:rFonts w:ascii="Times New Roman" w:hAnsi="Times New Roman"/>
          <w:i/>
        </w:rPr>
        <w:t>+ strategies</w:t>
      </w:r>
    </w:p>
    <w:p w14:paraId="19A9122E" w14:textId="77777777" w:rsidR="00FC124B" w:rsidRPr="003B5A59" w:rsidRDefault="00FC124B" w:rsidP="00FC124B">
      <w:pPr>
        <w:rPr>
          <w:rFonts w:ascii="Times New Roman" w:hAnsi="Times New Roman" w:cs="Times New Roman"/>
          <w:i/>
          <w:lang w:val="en-US"/>
        </w:rPr>
      </w:pPr>
    </w:p>
    <w:p w14:paraId="062B1DEB" w14:textId="77777777" w:rsidR="00FC124B" w:rsidRPr="003B5A59" w:rsidRDefault="00FC124B" w:rsidP="005565F2">
      <w:pPr>
        <w:pStyle w:val="ListParagraph"/>
        <w:numPr>
          <w:ilvl w:val="0"/>
          <w:numId w:val="6"/>
        </w:numPr>
        <w:spacing w:after="0"/>
        <w:rPr>
          <w:rFonts w:ascii="Times New Roman" w:hAnsi="Times New Roman"/>
          <w:i/>
        </w:rPr>
      </w:pPr>
      <w:r w:rsidRPr="003B5A59">
        <w:rPr>
          <w:rFonts w:ascii="Times New Roman" w:hAnsi="Times New Roman"/>
        </w:rPr>
        <w:t xml:space="preserve">Green Economy outcome: The work will also contribute to objectives </w:t>
      </w:r>
      <w:proofErr w:type="gramStart"/>
      <w:r w:rsidRPr="003B5A59">
        <w:rPr>
          <w:rFonts w:ascii="Times New Roman" w:hAnsi="Times New Roman"/>
        </w:rPr>
        <w:t>under</w:t>
      </w:r>
      <w:proofErr w:type="gramEnd"/>
      <w:r w:rsidRPr="003B5A59">
        <w:rPr>
          <w:rFonts w:ascii="Times New Roman" w:hAnsi="Times New Roman"/>
        </w:rPr>
        <w:t xml:space="preserve"> 6.3 of the UN-REDD Global </w:t>
      </w:r>
      <w:proofErr w:type="spellStart"/>
      <w:r w:rsidRPr="003B5A59">
        <w:rPr>
          <w:rFonts w:ascii="Times New Roman" w:hAnsi="Times New Roman"/>
        </w:rPr>
        <w:t>Programme</w:t>
      </w:r>
      <w:proofErr w:type="spellEnd"/>
      <w:r w:rsidRPr="003B5A59">
        <w:rPr>
          <w:rFonts w:ascii="Times New Roman" w:hAnsi="Times New Roman"/>
        </w:rPr>
        <w:t>: “</w:t>
      </w:r>
      <w:r w:rsidRPr="003B5A59">
        <w:rPr>
          <w:rFonts w:ascii="Times New Roman" w:hAnsi="Times New Roman"/>
          <w:i/>
          <w:iCs/>
        </w:rPr>
        <w:t>A key UNDP objective is to assist developing countries in catalyzing low carbon, climate resilient investment. UNDP provides assistance to countries in formulating low-emission, climate-resilient development strategies (</w:t>
      </w:r>
      <w:proofErr w:type="spellStart"/>
      <w:r w:rsidRPr="003B5A59">
        <w:rPr>
          <w:rFonts w:ascii="Times New Roman" w:hAnsi="Times New Roman"/>
          <w:i/>
          <w:iCs/>
        </w:rPr>
        <w:t>LECRDS</w:t>
      </w:r>
      <w:proofErr w:type="spellEnd"/>
      <w:r w:rsidRPr="003B5A59">
        <w:rPr>
          <w:rFonts w:ascii="Times New Roman" w:hAnsi="Times New Roman"/>
          <w:i/>
          <w:iCs/>
        </w:rPr>
        <w:t>) that bring about bottom-up national ownership, incorporate human development goals, and take a long-term outlook”</w:t>
      </w:r>
    </w:p>
    <w:p w14:paraId="3F27847B" w14:textId="77777777" w:rsidR="00FC124B" w:rsidRPr="003B5A59" w:rsidRDefault="00FC124B" w:rsidP="00FC124B">
      <w:pPr>
        <w:rPr>
          <w:rFonts w:ascii="Times New Roman" w:hAnsi="Times New Roman" w:cs="Times New Roman"/>
          <w:i/>
          <w:lang w:val="en-US"/>
        </w:rPr>
      </w:pPr>
    </w:p>
    <w:p w14:paraId="6A1240CB" w14:textId="6DEE149F" w:rsidR="00FC124B" w:rsidRPr="003B5A59" w:rsidRDefault="007A3DAE"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 xml:space="preserve">All </w:t>
      </w:r>
      <w:r w:rsidR="00FC124B" w:rsidRPr="003B5A59">
        <w:rPr>
          <w:rFonts w:ascii="Times New Roman" w:hAnsi="Times New Roman" w:cs="Times New Roman"/>
        </w:rPr>
        <w:t>of these outcome areas focus on the provision of technical support to countries on these issues, which will be a key aim of the work under this targeted support.</w:t>
      </w:r>
    </w:p>
    <w:p w14:paraId="594C8AFB" w14:textId="77777777" w:rsidR="00FC124B" w:rsidRPr="003B5A59" w:rsidRDefault="00FC124B" w:rsidP="00FC124B">
      <w:pPr>
        <w:widowControl w:val="0"/>
        <w:autoSpaceDE w:val="0"/>
        <w:autoSpaceDN w:val="0"/>
        <w:adjustRightInd w:val="0"/>
        <w:rPr>
          <w:rFonts w:ascii="Times New Roman" w:hAnsi="Times New Roman" w:cs="Times New Roman"/>
        </w:rPr>
      </w:pPr>
    </w:p>
    <w:p w14:paraId="687C93DA" w14:textId="6F6272CD" w:rsidR="00FC124B" w:rsidRPr="003B5A59" w:rsidRDefault="00FC124B"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 xml:space="preserve">The outputs from the activities will be documented in a series of knowledge products and shared at knowledge exchange events both inside Mongolia and eventually at a </w:t>
      </w:r>
      <w:r w:rsidR="007A3DAE" w:rsidRPr="003B5A59">
        <w:rPr>
          <w:rFonts w:ascii="Times New Roman" w:hAnsi="Times New Roman" w:cs="Times New Roman"/>
        </w:rPr>
        <w:t xml:space="preserve">possible </w:t>
      </w:r>
      <w:r w:rsidRPr="003B5A59">
        <w:rPr>
          <w:rFonts w:ascii="Times New Roman" w:hAnsi="Times New Roman" w:cs="Times New Roman"/>
        </w:rPr>
        <w:t xml:space="preserve">regional learning event on </w:t>
      </w:r>
      <w:proofErr w:type="spellStart"/>
      <w:r w:rsidRPr="003B5A59">
        <w:rPr>
          <w:rFonts w:ascii="Times New Roman" w:hAnsi="Times New Roman" w:cs="Times New Roman"/>
        </w:rPr>
        <w:t>REDD</w:t>
      </w:r>
      <w:proofErr w:type="spellEnd"/>
      <w:r w:rsidRPr="003B5A59">
        <w:rPr>
          <w:rFonts w:ascii="Times New Roman" w:hAnsi="Times New Roman" w:cs="Times New Roman"/>
        </w:rPr>
        <w:t>+</w:t>
      </w:r>
      <w:r w:rsidR="007A3DAE" w:rsidRPr="003B5A59">
        <w:rPr>
          <w:rFonts w:ascii="Times New Roman" w:hAnsi="Times New Roman" w:cs="Times New Roman"/>
        </w:rPr>
        <w:t xml:space="preserve"> finance and benefit sharing</w:t>
      </w:r>
      <w:r w:rsidRPr="003B5A59">
        <w:rPr>
          <w:rFonts w:ascii="Times New Roman" w:hAnsi="Times New Roman" w:cs="Times New Roman"/>
        </w:rPr>
        <w:t>.</w:t>
      </w:r>
    </w:p>
    <w:p w14:paraId="0E40F5C7" w14:textId="77777777" w:rsidR="00FC124B" w:rsidRPr="003B5A59" w:rsidRDefault="00FC124B" w:rsidP="00FC124B">
      <w:pPr>
        <w:widowControl w:val="0"/>
        <w:autoSpaceDE w:val="0"/>
        <w:autoSpaceDN w:val="0"/>
        <w:adjustRightInd w:val="0"/>
        <w:rPr>
          <w:rFonts w:ascii="Times New Roman" w:hAnsi="Times New Roman" w:cs="Times New Roman"/>
        </w:rPr>
      </w:pPr>
    </w:p>
    <w:p w14:paraId="6D219620" w14:textId="77777777" w:rsidR="00FC124B" w:rsidRPr="003B5A59" w:rsidRDefault="00FC124B" w:rsidP="00FC124B">
      <w:pPr>
        <w:widowControl w:val="0"/>
        <w:autoSpaceDE w:val="0"/>
        <w:autoSpaceDN w:val="0"/>
        <w:adjustRightInd w:val="0"/>
        <w:rPr>
          <w:rFonts w:ascii="Times New Roman" w:hAnsi="Times New Roman" w:cs="Times New Roman"/>
          <w:u w:val="single"/>
        </w:rPr>
      </w:pPr>
      <w:r w:rsidRPr="003B5A59">
        <w:rPr>
          <w:rFonts w:ascii="Times New Roman" w:hAnsi="Times New Roman" w:cs="Times New Roman"/>
          <w:u w:val="single"/>
        </w:rPr>
        <w:t>Alignment with UNDP Programmatic Priorities:</w:t>
      </w:r>
    </w:p>
    <w:p w14:paraId="3C894ABA" w14:textId="77777777" w:rsidR="00FC124B" w:rsidRPr="003B5A59" w:rsidRDefault="00FC124B" w:rsidP="00FC124B">
      <w:pPr>
        <w:widowControl w:val="0"/>
        <w:autoSpaceDE w:val="0"/>
        <w:autoSpaceDN w:val="0"/>
        <w:adjustRightInd w:val="0"/>
        <w:rPr>
          <w:rFonts w:ascii="Times New Roman" w:hAnsi="Times New Roman" w:cs="Times New Roman"/>
          <w:u w:val="single"/>
        </w:rPr>
      </w:pPr>
    </w:p>
    <w:p w14:paraId="7A049A35" w14:textId="2EDB26A6" w:rsidR="00FC124B" w:rsidRPr="003B5A59" w:rsidRDefault="00FC124B" w:rsidP="00FC124B">
      <w:pPr>
        <w:widowControl w:val="0"/>
        <w:autoSpaceDE w:val="0"/>
        <w:autoSpaceDN w:val="0"/>
        <w:adjustRightInd w:val="0"/>
        <w:rPr>
          <w:rFonts w:ascii="Times New Roman" w:hAnsi="Times New Roman" w:cs="Times New Roman"/>
          <w:color w:val="000000" w:themeColor="text1"/>
        </w:rPr>
      </w:pPr>
      <w:r w:rsidRPr="003B5A59">
        <w:rPr>
          <w:rFonts w:ascii="Times New Roman" w:hAnsi="Times New Roman" w:cs="Times New Roman"/>
        </w:rPr>
        <w:t xml:space="preserve">UNDP, the lead agency on governance and </w:t>
      </w:r>
      <w:proofErr w:type="spellStart"/>
      <w:r w:rsidR="007A3DAE" w:rsidRPr="003B5A59">
        <w:rPr>
          <w:rFonts w:ascii="Times New Roman" w:hAnsi="Times New Roman" w:cs="Times New Roman"/>
        </w:rPr>
        <w:t>REDD</w:t>
      </w:r>
      <w:proofErr w:type="spellEnd"/>
      <w:r w:rsidR="007A3DAE" w:rsidRPr="003B5A59">
        <w:rPr>
          <w:rFonts w:ascii="Times New Roman" w:hAnsi="Times New Roman" w:cs="Times New Roman"/>
        </w:rPr>
        <w:t>+ financial</w:t>
      </w:r>
      <w:r w:rsidRPr="003B5A59">
        <w:rPr>
          <w:rFonts w:ascii="Times New Roman" w:hAnsi="Times New Roman" w:cs="Times New Roman"/>
        </w:rPr>
        <w:t xml:space="preserve"> systems as per the </w:t>
      </w:r>
      <w:r w:rsidRPr="003B5A59">
        <w:rPr>
          <w:rFonts w:ascii="Times New Roman" w:hAnsi="Times New Roman" w:cs="Times New Roman"/>
          <w:color w:val="000000" w:themeColor="text1"/>
        </w:rPr>
        <w:t xml:space="preserve">‘Support to National </w:t>
      </w:r>
      <w:proofErr w:type="spellStart"/>
      <w:r w:rsidRPr="003B5A59">
        <w:rPr>
          <w:rFonts w:ascii="Times New Roman" w:hAnsi="Times New Roman" w:cs="Times New Roman"/>
          <w:color w:val="000000" w:themeColor="text1"/>
        </w:rPr>
        <w:t>REDD</w:t>
      </w:r>
      <w:proofErr w:type="spellEnd"/>
      <w:r w:rsidRPr="003B5A59">
        <w:rPr>
          <w:rFonts w:ascii="Times New Roman" w:hAnsi="Times New Roman" w:cs="Times New Roman"/>
          <w:color w:val="000000" w:themeColor="text1"/>
        </w:rPr>
        <w:t xml:space="preserve">+ Actions: Global programme Framework Document”, has delineated a number of outputs and activities that are in line with the activities suggested in this proposal. These </w:t>
      </w:r>
      <w:r w:rsidRPr="003B5A59">
        <w:rPr>
          <w:rFonts w:ascii="Times New Roman" w:hAnsi="Times New Roman" w:cs="Times New Roman"/>
          <w:color w:val="000000" w:themeColor="text1"/>
        </w:rPr>
        <w:lastRenderedPageBreak/>
        <w:t xml:space="preserve">include: </w:t>
      </w:r>
    </w:p>
    <w:p w14:paraId="1D9CDEE3"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rPr>
      </w:pPr>
    </w:p>
    <w:p w14:paraId="261F7911"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u w:val="single"/>
        </w:rPr>
      </w:pPr>
      <w:r w:rsidRPr="003B5A59">
        <w:rPr>
          <w:rFonts w:ascii="Times New Roman" w:hAnsi="Times New Roman" w:cs="Times New Roman"/>
          <w:color w:val="000000" w:themeColor="text1"/>
          <w:u w:val="single"/>
        </w:rPr>
        <w:t>Governance:</w:t>
      </w:r>
    </w:p>
    <w:p w14:paraId="20744969"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u w:val="single"/>
        </w:rPr>
      </w:pPr>
    </w:p>
    <w:p w14:paraId="2830F885" w14:textId="77777777" w:rsidR="00FC124B" w:rsidRPr="003B5A59" w:rsidRDefault="00FC124B" w:rsidP="005565F2">
      <w:pPr>
        <w:pStyle w:val="ListParagraph"/>
        <w:numPr>
          <w:ilvl w:val="0"/>
          <w:numId w:val="7"/>
        </w:numPr>
        <w:spacing w:after="0"/>
        <w:contextualSpacing w:val="0"/>
        <w:rPr>
          <w:rFonts w:ascii="Times New Roman" w:hAnsi="Times New Roman"/>
        </w:rPr>
      </w:pPr>
      <w:r w:rsidRPr="003B5A59">
        <w:rPr>
          <w:rFonts w:ascii="Times New Roman" w:hAnsi="Times New Roman"/>
        </w:rPr>
        <w:t xml:space="preserve">Good practice guidance on transparent and accountable institutional, legal and regulatory frameworks </w:t>
      </w:r>
    </w:p>
    <w:p w14:paraId="79BAC2B5" w14:textId="77777777" w:rsidR="00FC124B" w:rsidRPr="003B5A59" w:rsidRDefault="00FC124B" w:rsidP="005565F2">
      <w:pPr>
        <w:pStyle w:val="ListParagraph"/>
        <w:numPr>
          <w:ilvl w:val="0"/>
          <w:numId w:val="7"/>
        </w:numPr>
        <w:spacing w:after="0"/>
        <w:contextualSpacing w:val="0"/>
        <w:rPr>
          <w:rFonts w:ascii="Times New Roman" w:hAnsi="Times New Roman"/>
        </w:rPr>
      </w:pPr>
      <w:r w:rsidRPr="003B5A59">
        <w:rPr>
          <w:rFonts w:ascii="Times New Roman" w:hAnsi="Times New Roman"/>
        </w:rPr>
        <w:t xml:space="preserve">Training and tools for </w:t>
      </w:r>
      <w:proofErr w:type="spellStart"/>
      <w:r w:rsidRPr="003B5A59">
        <w:rPr>
          <w:rFonts w:ascii="Times New Roman" w:hAnsi="Times New Roman"/>
        </w:rPr>
        <w:t>REDD</w:t>
      </w:r>
      <w:proofErr w:type="spellEnd"/>
      <w:r w:rsidRPr="003B5A59">
        <w:rPr>
          <w:rFonts w:ascii="Times New Roman" w:hAnsi="Times New Roman"/>
        </w:rPr>
        <w:t>+ governance policy reform.</w:t>
      </w:r>
    </w:p>
    <w:p w14:paraId="0CCC8308" w14:textId="77777777" w:rsidR="00FC124B" w:rsidRPr="003B5A59" w:rsidRDefault="00FC124B" w:rsidP="005565F2">
      <w:pPr>
        <w:pStyle w:val="ListParagraph"/>
        <w:numPr>
          <w:ilvl w:val="0"/>
          <w:numId w:val="7"/>
        </w:numPr>
        <w:spacing w:after="0"/>
        <w:contextualSpacing w:val="0"/>
        <w:rPr>
          <w:rFonts w:ascii="Times New Roman" w:hAnsi="Times New Roman"/>
        </w:rPr>
      </w:pPr>
      <w:r w:rsidRPr="003B5A59">
        <w:rPr>
          <w:rFonts w:ascii="Times New Roman" w:hAnsi="Times New Roman"/>
        </w:rPr>
        <w:t xml:space="preserve">Support to integration of </w:t>
      </w:r>
      <w:proofErr w:type="spellStart"/>
      <w:r w:rsidRPr="003B5A59">
        <w:rPr>
          <w:rFonts w:ascii="Times New Roman" w:hAnsi="Times New Roman"/>
        </w:rPr>
        <w:t>REDD</w:t>
      </w:r>
      <w:proofErr w:type="spellEnd"/>
      <w:r w:rsidRPr="003B5A59">
        <w:rPr>
          <w:rFonts w:ascii="Times New Roman" w:hAnsi="Times New Roman"/>
        </w:rPr>
        <w:t>+ strategies into low carbon, climate resilient development planning.</w:t>
      </w:r>
    </w:p>
    <w:p w14:paraId="1CCB8554" w14:textId="77777777" w:rsidR="00FC124B" w:rsidRPr="003B5A59" w:rsidRDefault="00FC124B" w:rsidP="005565F2">
      <w:pPr>
        <w:pStyle w:val="ListParagraph"/>
        <w:numPr>
          <w:ilvl w:val="0"/>
          <w:numId w:val="7"/>
        </w:numPr>
        <w:spacing w:after="0"/>
        <w:contextualSpacing w:val="0"/>
        <w:rPr>
          <w:rFonts w:ascii="Times New Roman" w:hAnsi="Times New Roman"/>
        </w:rPr>
      </w:pPr>
      <w:r w:rsidRPr="003B5A59">
        <w:rPr>
          <w:rFonts w:ascii="Times New Roman" w:hAnsi="Times New Roman"/>
        </w:rPr>
        <w:t xml:space="preserve">Technical and policy support to UN-REDD </w:t>
      </w:r>
      <w:proofErr w:type="spellStart"/>
      <w:r w:rsidRPr="003B5A59">
        <w:rPr>
          <w:rFonts w:ascii="Times New Roman" w:hAnsi="Times New Roman"/>
        </w:rPr>
        <w:t>Programme</w:t>
      </w:r>
      <w:proofErr w:type="spellEnd"/>
      <w:r w:rsidRPr="003B5A59">
        <w:rPr>
          <w:rFonts w:ascii="Times New Roman" w:hAnsi="Times New Roman"/>
        </w:rPr>
        <w:t xml:space="preserve"> partner countries.</w:t>
      </w:r>
    </w:p>
    <w:p w14:paraId="46C69C91"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rPr>
      </w:pPr>
    </w:p>
    <w:p w14:paraId="4C71313B" w14:textId="01350290" w:rsidR="00FC124B" w:rsidRPr="003B5A59" w:rsidRDefault="00FC124B" w:rsidP="00FC124B">
      <w:pPr>
        <w:widowControl w:val="0"/>
        <w:autoSpaceDE w:val="0"/>
        <w:autoSpaceDN w:val="0"/>
        <w:adjustRightInd w:val="0"/>
        <w:rPr>
          <w:rFonts w:ascii="Times New Roman" w:hAnsi="Times New Roman" w:cs="Times New Roman"/>
          <w:color w:val="000000" w:themeColor="text1"/>
        </w:rPr>
      </w:pPr>
      <w:r w:rsidRPr="003B5A59">
        <w:rPr>
          <w:rFonts w:ascii="Times New Roman" w:hAnsi="Times New Roman" w:cs="Times New Roman"/>
          <w:color w:val="000000" w:themeColor="text1"/>
        </w:rPr>
        <w:t xml:space="preserve">In addition, UNDP, in collaboration with other agencies of the UN-REDD Programme, an area of comparative advantage is the work done on parliamentary development. While </w:t>
      </w:r>
      <w:proofErr w:type="spellStart"/>
      <w:r w:rsidRPr="003B5A59">
        <w:rPr>
          <w:rFonts w:ascii="Times New Roman" w:hAnsi="Times New Roman" w:cs="Times New Roman"/>
          <w:color w:val="000000" w:themeColor="text1"/>
        </w:rPr>
        <w:t>FAO</w:t>
      </w:r>
      <w:proofErr w:type="spellEnd"/>
      <w:r w:rsidRPr="003B5A59">
        <w:rPr>
          <w:rFonts w:ascii="Times New Roman" w:hAnsi="Times New Roman" w:cs="Times New Roman"/>
          <w:color w:val="000000" w:themeColor="text1"/>
        </w:rPr>
        <w:t xml:space="preserve"> and </w:t>
      </w:r>
      <w:proofErr w:type="spellStart"/>
      <w:r w:rsidRPr="003B5A59">
        <w:rPr>
          <w:rFonts w:ascii="Times New Roman" w:hAnsi="Times New Roman" w:cs="Times New Roman"/>
          <w:color w:val="000000" w:themeColor="text1"/>
        </w:rPr>
        <w:t>UNEP</w:t>
      </w:r>
      <w:proofErr w:type="spellEnd"/>
      <w:r w:rsidRPr="003B5A59">
        <w:rPr>
          <w:rFonts w:ascii="Times New Roman" w:hAnsi="Times New Roman" w:cs="Times New Roman"/>
          <w:color w:val="000000" w:themeColor="text1"/>
        </w:rPr>
        <w:t xml:space="preserve"> have focussed on legal analysis and drafting of regulations for </w:t>
      </w:r>
      <w:proofErr w:type="spellStart"/>
      <w:r w:rsidRPr="003B5A59">
        <w:rPr>
          <w:rFonts w:ascii="Times New Roman" w:hAnsi="Times New Roman" w:cs="Times New Roman"/>
          <w:color w:val="000000" w:themeColor="text1"/>
        </w:rPr>
        <w:t>REDD</w:t>
      </w:r>
      <w:proofErr w:type="spellEnd"/>
      <w:r w:rsidRPr="003B5A59">
        <w:rPr>
          <w:rFonts w:ascii="Times New Roman" w:hAnsi="Times New Roman" w:cs="Times New Roman"/>
          <w:color w:val="000000" w:themeColor="text1"/>
        </w:rPr>
        <w:t>+, UNDP will focus more on the processes of strengthening bodies that help put laws into practice.</w:t>
      </w:r>
      <w:r w:rsidR="007A3DAE" w:rsidRPr="003B5A59">
        <w:rPr>
          <w:rFonts w:ascii="Times New Roman" w:hAnsi="Times New Roman" w:cs="Times New Roman"/>
          <w:color w:val="000000" w:themeColor="text1"/>
        </w:rPr>
        <w:t xml:space="preserve"> The awareness raising aspects of the targeted support will include Parliamentarians, who have already been involved in the development of the work. </w:t>
      </w:r>
    </w:p>
    <w:p w14:paraId="2D7A7402"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rPr>
      </w:pPr>
    </w:p>
    <w:p w14:paraId="4DC146D2"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rPr>
      </w:pPr>
      <w:r w:rsidRPr="003B5A59">
        <w:rPr>
          <w:rFonts w:ascii="Times New Roman" w:hAnsi="Times New Roman" w:cs="Times New Roman"/>
          <w:color w:val="000000" w:themeColor="text1"/>
        </w:rPr>
        <w:t>Benefit distribution systems:</w:t>
      </w:r>
    </w:p>
    <w:p w14:paraId="0AC6B4D1" w14:textId="77777777" w:rsidR="00FC124B" w:rsidRPr="003B5A59" w:rsidRDefault="00FC124B" w:rsidP="00FC124B">
      <w:pPr>
        <w:widowControl w:val="0"/>
        <w:autoSpaceDE w:val="0"/>
        <w:autoSpaceDN w:val="0"/>
        <w:adjustRightInd w:val="0"/>
        <w:rPr>
          <w:rFonts w:ascii="Times New Roman" w:hAnsi="Times New Roman" w:cs="Times New Roman"/>
          <w:color w:val="000000" w:themeColor="text1"/>
        </w:rPr>
      </w:pPr>
    </w:p>
    <w:p w14:paraId="04137731" w14:textId="77777777" w:rsidR="00FC124B" w:rsidRPr="003B5A59" w:rsidRDefault="00FC124B" w:rsidP="005565F2">
      <w:pPr>
        <w:pStyle w:val="ListParagraph"/>
        <w:numPr>
          <w:ilvl w:val="0"/>
          <w:numId w:val="5"/>
        </w:numPr>
        <w:autoSpaceDE w:val="0"/>
        <w:autoSpaceDN w:val="0"/>
        <w:adjustRightInd w:val="0"/>
        <w:spacing w:after="0"/>
        <w:rPr>
          <w:rFonts w:ascii="Times New Roman" w:hAnsi="Times New Roman"/>
          <w:color w:val="000000"/>
        </w:rPr>
      </w:pPr>
      <w:r w:rsidRPr="003B5A59">
        <w:rPr>
          <w:rFonts w:ascii="Times New Roman" w:hAnsi="Times New Roman"/>
          <w:iCs/>
          <w:color w:val="000000"/>
        </w:rPr>
        <w:t>Guidance on institutional frameworks for benefits distribution systems (</w:t>
      </w:r>
      <w:proofErr w:type="spellStart"/>
      <w:r w:rsidRPr="003B5A59">
        <w:rPr>
          <w:rFonts w:ascii="Times New Roman" w:hAnsi="Times New Roman"/>
          <w:iCs/>
          <w:color w:val="000000"/>
        </w:rPr>
        <w:t>BDS</w:t>
      </w:r>
      <w:proofErr w:type="spellEnd"/>
      <w:r w:rsidRPr="003B5A59">
        <w:rPr>
          <w:rFonts w:ascii="Times New Roman" w:hAnsi="Times New Roman"/>
          <w:iCs/>
          <w:color w:val="000000"/>
        </w:rPr>
        <w:t xml:space="preserve">) </w:t>
      </w:r>
    </w:p>
    <w:p w14:paraId="79D04E4A" w14:textId="77777777" w:rsidR="00FC124B" w:rsidRPr="003B5A59" w:rsidRDefault="00FC124B" w:rsidP="005565F2">
      <w:pPr>
        <w:pStyle w:val="ListParagraph"/>
        <w:numPr>
          <w:ilvl w:val="0"/>
          <w:numId w:val="5"/>
        </w:numPr>
        <w:autoSpaceDE w:val="0"/>
        <w:autoSpaceDN w:val="0"/>
        <w:adjustRightInd w:val="0"/>
        <w:spacing w:after="0"/>
        <w:rPr>
          <w:rFonts w:ascii="Times New Roman" w:hAnsi="Times New Roman"/>
          <w:color w:val="000000"/>
        </w:rPr>
      </w:pPr>
      <w:r w:rsidRPr="003B5A59">
        <w:rPr>
          <w:rFonts w:ascii="Times New Roman" w:hAnsi="Times New Roman"/>
          <w:iCs/>
          <w:color w:val="000000"/>
        </w:rPr>
        <w:t xml:space="preserve">Technical and policy support to countries </w:t>
      </w:r>
    </w:p>
    <w:p w14:paraId="475875A0" w14:textId="77777777" w:rsidR="00FC124B" w:rsidRPr="003B5A59" w:rsidRDefault="00FC124B" w:rsidP="005565F2">
      <w:pPr>
        <w:pStyle w:val="ListParagraph"/>
        <w:widowControl w:val="0"/>
        <w:numPr>
          <w:ilvl w:val="0"/>
          <w:numId w:val="5"/>
        </w:numPr>
        <w:autoSpaceDE w:val="0"/>
        <w:autoSpaceDN w:val="0"/>
        <w:adjustRightInd w:val="0"/>
        <w:spacing w:after="0"/>
        <w:rPr>
          <w:rFonts w:ascii="Times New Roman" w:hAnsi="Times New Roman"/>
        </w:rPr>
      </w:pPr>
      <w:r w:rsidRPr="003B5A59">
        <w:rPr>
          <w:rFonts w:ascii="Times New Roman" w:hAnsi="Times New Roman"/>
          <w:iCs/>
          <w:color w:val="000000"/>
        </w:rPr>
        <w:t xml:space="preserve">Information on other existing transaction systems in the land-based sector to create synergies with </w:t>
      </w:r>
      <w:proofErr w:type="spellStart"/>
      <w:r w:rsidRPr="003B5A59">
        <w:rPr>
          <w:rFonts w:ascii="Times New Roman" w:hAnsi="Times New Roman"/>
          <w:iCs/>
          <w:color w:val="000000"/>
        </w:rPr>
        <w:t>REDD</w:t>
      </w:r>
      <w:proofErr w:type="spellEnd"/>
      <w:r w:rsidRPr="003B5A59">
        <w:rPr>
          <w:rFonts w:ascii="Times New Roman" w:hAnsi="Times New Roman"/>
          <w:iCs/>
          <w:color w:val="000000"/>
        </w:rPr>
        <w:t>+ payments</w:t>
      </w:r>
    </w:p>
    <w:p w14:paraId="27A567FF" w14:textId="77777777" w:rsidR="00FC124B" w:rsidRPr="003B5A59" w:rsidRDefault="00FC124B" w:rsidP="00FC124B">
      <w:pPr>
        <w:pStyle w:val="ListParagraph"/>
        <w:widowControl w:val="0"/>
        <w:autoSpaceDE w:val="0"/>
        <w:autoSpaceDN w:val="0"/>
        <w:adjustRightInd w:val="0"/>
        <w:spacing w:after="0"/>
        <w:rPr>
          <w:rFonts w:ascii="Times New Roman" w:hAnsi="Times New Roman"/>
        </w:rPr>
      </w:pPr>
    </w:p>
    <w:p w14:paraId="0F93788F" w14:textId="77777777" w:rsidR="00FC124B" w:rsidRPr="003B5A59" w:rsidRDefault="00FC124B" w:rsidP="00FC124B">
      <w:pPr>
        <w:widowControl w:val="0"/>
        <w:autoSpaceDE w:val="0"/>
        <w:autoSpaceDN w:val="0"/>
        <w:adjustRightInd w:val="0"/>
        <w:rPr>
          <w:rFonts w:ascii="Times New Roman" w:hAnsi="Times New Roman" w:cs="Times New Roman"/>
          <w:u w:val="single"/>
        </w:rPr>
      </w:pPr>
      <w:r w:rsidRPr="003B5A59">
        <w:rPr>
          <w:rFonts w:ascii="Times New Roman" w:hAnsi="Times New Roman" w:cs="Times New Roman"/>
          <w:u w:val="single"/>
        </w:rPr>
        <w:t>Likelihood of achieving transformational change:</w:t>
      </w:r>
    </w:p>
    <w:p w14:paraId="2784AE0A" w14:textId="77777777" w:rsidR="00FC124B" w:rsidRPr="003B5A59" w:rsidRDefault="00FC124B" w:rsidP="00FC124B">
      <w:pPr>
        <w:widowControl w:val="0"/>
        <w:autoSpaceDE w:val="0"/>
        <w:autoSpaceDN w:val="0"/>
        <w:adjustRightInd w:val="0"/>
        <w:rPr>
          <w:rFonts w:ascii="Times New Roman" w:hAnsi="Times New Roman" w:cs="Times New Roman"/>
          <w:u w:val="single"/>
        </w:rPr>
      </w:pPr>
    </w:p>
    <w:p w14:paraId="28156FEE" w14:textId="2776D514" w:rsidR="00FC124B" w:rsidRPr="003B5A59" w:rsidRDefault="00FC124B"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 xml:space="preserve">The </w:t>
      </w:r>
      <w:r w:rsidR="007A3DAE" w:rsidRPr="003B5A59">
        <w:rPr>
          <w:rFonts w:ascii="Times New Roman" w:hAnsi="Times New Roman" w:cs="Times New Roman"/>
        </w:rPr>
        <w:t xml:space="preserve">alignment of the </w:t>
      </w:r>
      <w:r w:rsidRPr="003B5A59">
        <w:rPr>
          <w:rFonts w:ascii="Times New Roman" w:hAnsi="Times New Roman" w:cs="Times New Roman"/>
        </w:rPr>
        <w:t xml:space="preserve">approach with </w:t>
      </w:r>
      <w:r w:rsidR="007A3DAE" w:rsidRPr="003B5A59">
        <w:rPr>
          <w:rFonts w:ascii="Times New Roman" w:hAnsi="Times New Roman" w:cs="Times New Roman"/>
        </w:rPr>
        <w:t>current policy priorities (particularly the new Green Development agenda)</w:t>
      </w:r>
      <w:r w:rsidRPr="003B5A59">
        <w:rPr>
          <w:rFonts w:ascii="Times New Roman" w:hAnsi="Times New Roman" w:cs="Times New Roman"/>
        </w:rPr>
        <w:t xml:space="preserve">, should help to increase the impact of the proposed work. </w:t>
      </w:r>
      <w:r w:rsidR="007A3DAE" w:rsidRPr="003B5A59">
        <w:rPr>
          <w:rFonts w:ascii="Times New Roman" w:hAnsi="Times New Roman" w:cs="Times New Roman"/>
        </w:rPr>
        <w:t xml:space="preserve">It will also help to ensure </w:t>
      </w:r>
      <w:r w:rsidRPr="003B5A59">
        <w:rPr>
          <w:rFonts w:ascii="Times New Roman" w:hAnsi="Times New Roman" w:cs="Times New Roman"/>
        </w:rPr>
        <w:t>cross-</w:t>
      </w:r>
      <w:proofErr w:type="spellStart"/>
      <w:r w:rsidRPr="003B5A59">
        <w:rPr>
          <w:rFonts w:ascii="Times New Roman" w:hAnsi="Times New Roman" w:cs="Times New Roman"/>
        </w:rPr>
        <w:t>sectoral</w:t>
      </w:r>
      <w:proofErr w:type="spellEnd"/>
      <w:r w:rsidRPr="003B5A59">
        <w:rPr>
          <w:rFonts w:ascii="Times New Roman" w:hAnsi="Times New Roman" w:cs="Times New Roman"/>
        </w:rPr>
        <w:t xml:space="preserve"> </w:t>
      </w:r>
      <w:r w:rsidR="007A3DAE" w:rsidRPr="003B5A59">
        <w:rPr>
          <w:rFonts w:ascii="Times New Roman" w:hAnsi="Times New Roman" w:cs="Times New Roman"/>
        </w:rPr>
        <w:t>coordination</w:t>
      </w:r>
      <w:r w:rsidRPr="003B5A59">
        <w:rPr>
          <w:rFonts w:ascii="Times New Roman" w:hAnsi="Times New Roman" w:cs="Times New Roman"/>
        </w:rPr>
        <w:t xml:space="preserve">, which </w:t>
      </w:r>
      <w:r w:rsidR="007A3DAE" w:rsidRPr="003B5A59">
        <w:rPr>
          <w:rFonts w:ascii="Times New Roman" w:hAnsi="Times New Roman" w:cs="Times New Roman"/>
        </w:rPr>
        <w:t xml:space="preserve">will help </w:t>
      </w:r>
      <w:r w:rsidRPr="003B5A59">
        <w:rPr>
          <w:rFonts w:ascii="Times New Roman" w:hAnsi="Times New Roman" w:cs="Times New Roman"/>
        </w:rPr>
        <w:t xml:space="preserve">integrate </w:t>
      </w:r>
      <w:proofErr w:type="spellStart"/>
      <w:r w:rsidRPr="003B5A59">
        <w:rPr>
          <w:rFonts w:ascii="Times New Roman" w:hAnsi="Times New Roman" w:cs="Times New Roman"/>
        </w:rPr>
        <w:t>REDD</w:t>
      </w:r>
      <w:proofErr w:type="spellEnd"/>
      <w:r w:rsidRPr="003B5A59">
        <w:rPr>
          <w:rFonts w:ascii="Times New Roman" w:hAnsi="Times New Roman" w:cs="Times New Roman"/>
        </w:rPr>
        <w:t>+ into government processes around other natural resource sectors, such as the mining industry, is likely to be a more effective approach in the context of Mongolia where such industries are a prominent part of the economy.</w:t>
      </w:r>
      <w:r w:rsidR="007A3DAE" w:rsidRPr="003B5A59">
        <w:rPr>
          <w:rFonts w:ascii="Times New Roman" w:hAnsi="Times New Roman" w:cs="Times New Roman"/>
        </w:rPr>
        <w:t xml:space="preserve"> The work will also align with UNDP work on the Green Economy Strategy (being revised in the same period). </w:t>
      </w:r>
    </w:p>
    <w:p w14:paraId="5973BD13" w14:textId="77777777" w:rsidR="00FC124B" w:rsidRPr="003B5A59" w:rsidRDefault="00FC124B" w:rsidP="00FC124B">
      <w:pPr>
        <w:widowControl w:val="0"/>
        <w:autoSpaceDE w:val="0"/>
        <w:autoSpaceDN w:val="0"/>
        <w:adjustRightInd w:val="0"/>
        <w:rPr>
          <w:rFonts w:ascii="Times New Roman" w:hAnsi="Times New Roman" w:cs="Times New Roman"/>
        </w:rPr>
      </w:pPr>
    </w:p>
    <w:p w14:paraId="482963E9" w14:textId="77777777" w:rsidR="00FC124B" w:rsidRPr="003B5A59" w:rsidRDefault="00FC124B" w:rsidP="005565F2">
      <w:pPr>
        <w:pStyle w:val="ListParagraph"/>
        <w:widowControl w:val="0"/>
        <w:numPr>
          <w:ilvl w:val="0"/>
          <w:numId w:val="4"/>
        </w:numPr>
        <w:autoSpaceDE w:val="0"/>
        <w:autoSpaceDN w:val="0"/>
        <w:adjustRightInd w:val="0"/>
        <w:spacing w:after="0"/>
        <w:ind w:hanging="357"/>
        <w:contextualSpacing w:val="0"/>
        <w:rPr>
          <w:rFonts w:ascii="Times New Roman" w:hAnsi="Times New Roman"/>
          <w:b/>
        </w:rPr>
      </w:pPr>
      <w:r w:rsidRPr="003B5A59">
        <w:rPr>
          <w:rFonts w:ascii="Times New Roman" w:hAnsi="Times New Roman"/>
          <w:b/>
        </w:rPr>
        <w:t xml:space="preserve">What is the expected contribution of this targeted support to national </w:t>
      </w:r>
      <w:proofErr w:type="spellStart"/>
      <w:r w:rsidRPr="003B5A59">
        <w:rPr>
          <w:rFonts w:ascii="Times New Roman" w:hAnsi="Times New Roman"/>
          <w:b/>
        </w:rPr>
        <w:t>REDD</w:t>
      </w:r>
      <w:proofErr w:type="spellEnd"/>
      <w:r w:rsidRPr="003B5A59">
        <w:rPr>
          <w:rFonts w:ascii="Times New Roman" w:hAnsi="Times New Roman"/>
          <w:b/>
        </w:rPr>
        <w:t xml:space="preserve">+ efforts? </w:t>
      </w:r>
    </w:p>
    <w:p w14:paraId="76EAAB99" w14:textId="77777777" w:rsidR="00FC124B" w:rsidRPr="003B5A59" w:rsidRDefault="00FC124B"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 xml:space="preserve">Mongolia is currently in the process of finalizing its National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Roadmap to start implementing activities for strengthening and developing relevant policies and measures and building technical and institutional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capacities. The Roadmap sets out to deliver the following outcomes through the first phase of </w:t>
      </w:r>
      <w:proofErr w:type="spellStart"/>
      <w:r w:rsidRPr="003B5A59">
        <w:rPr>
          <w:rFonts w:ascii="Times New Roman" w:hAnsi="Times New Roman" w:cs="Times New Roman"/>
        </w:rPr>
        <w:t>REDD</w:t>
      </w:r>
      <w:proofErr w:type="spellEnd"/>
      <w:r w:rsidRPr="003B5A59">
        <w:rPr>
          <w:rFonts w:ascii="Times New Roman" w:hAnsi="Times New Roman" w:cs="Times New Roman"/>
        </w:rPr>
        <w:t>+:</w:t>
      </w:r>
    </w:p>
    <w:p w14:paraId="23C5F123" w14:textId="77777777" w:rsidR="00FC124B" w:rsidRPr="003B5A59" w:rsidRDefault="00FC124B" w:rsidP="00FC124B">
      <w:pPr>
        <w:widowControl w:val="0"/>
        <w:autoSpaceDE w:val="0"/>
        <w:autoSpaceDN w:val="0"/>
        <w:adjustRightInd w:val="0"/>
        <w:rPr>
          <w:rFonts w:ascii="Times New Roman" w:hAnsi="Times New Roman" w:cs="Times New Roman"/>
        </w:rPr>
      </w:pPr>
    </w:p>
    <w:p w14:paraId="5C1D4C59" w14:textId="77777777" w:rsidR="00CF61AB" w:rsidRPr="003B5A59" w:rsidRDefault="00CF61AB" w:rsidP="005565F2">
      <w:pPr>
        <w:pStyle w:val="ListParagraph"/>
        <w:numPr>
          <w:ilvl w:val="0"/>
          <w:numId w:val="2"/>
        </w:numPr>
        <w:rPr>
          <w:rFonts w:ascii="Times New Roman" w:hAnsi="Times New Roman"/>
        </w:rPr>
      </w:pPr>
      <w:r w:rsidRPr="003B5A59">
        <w:rPr>
          <w:rFonts w:ascii="Times New Roman" w:hAnsi="Times New Roman"/>
        </w:rPr>
        <w:t xml:space="preserve">Outcome 1: National </w:t>
      </w:r>
      <w:proofErr w:type="spellStart"/>
      <w:r w:rsidRPr="003B5A59">
        <w:rPr>
          <w:rFonts w:ascii="Times New Roman" w:hAnsi="Times New Roman"/>
        </w:rPr>
        <w:t>REDD</w:t>
      </w:r>
      <w:proofErr w:type="spellEnd"/>
      <w:r w:rsidRPr="003B5A59">
        <w:rPr>
          <w:rFonts w:ascii="Times New Roman" w:hAnsi="Times New Roman"/>
        </w:rPr>
        <w:t xml:space="preserve">+ management arrangements established and Improved Stakeholder Consultation and Engagement. </w:t>
      </w:r>
    </w:p>
    <w:p w14:paraId="6B06DB74" w14:textId="77777777" w:rsidR="00CF61AB" w:rsidRPr="003B5A59" w:rsidRDefault="00CF61AB" w:rsidP="005565F2">
      <w:pPr>
        <w:pStyle w:val="ListParagraph"/>
        <w:numPr>
          <w:ilvl w:val="0"/>
          <w:numId w:val="2"/>
        </w:numPr>
        <w:rPr>
          <w:rFonts w:ascii="Times New Roman" w:hAnsi="Times New Roman"/>
        </w:rPr>
      </w:pPr>
      <w:r w:rsidRPr="003B5A59">
        <w:rPr>
          <w:rFonts w:ascii="Times New Roman" w:hAnsi="Times New Roman"/>
        </w:rPr>
        <w:t xml:space="preserve">Outcome 2: National </w:t>
      </w:r>
      <w:proofErr w:type="spellStart"/>
      <w:r w:rsidRPr="003B5A59">
        <w:rPr>
          <w:rFonts w:ascii="Times New Roman" w:hAnsi="Times New Roman"/>
        </w:rPr>
        <w:t>REDD</w:t>
      </w:r>
      <w:proofErr w:type="spellEnd"/>
      <w:r w:rsidRPr="003B5A59">
        <w:rPr>
          <w:rFonts w:ascii="Times New Roman" w:hAnsi="Times New Roman"/>
        </w:rPr>
        <w:t xml:space="preserve">+ Strategy prepared, with implementation framework and demonstration activities. Improved stakeholder awareness and effective engagement. </w:t>
      </w:r>
    </w:p>
    <w:p w14:paraId="011DEB47" w14:textId="77777777" w:rsidR="00CF61AB" w:rsidRPr="003B5A59" w:rsidRDefault="00CF61AB" w:rsidP="005565F2">
      <w:pPr>
        <w:pStyle w:val="ListParagraph"/>
        <w:numPr>
          <w:ilvl w:val="0"/>
          <w:numId w:val="2"/>
        </w:numPr>
        <w:rPr>
          <w:rFonts w:ascii="Times New Roman" w:hAnsi="Times New Roman"/>
        </w:rPr>
      </w:pPr>
      <w:r w:rsidRPr="003B5A59">
        <w:rPr>
          <w:rFonts w:ascii="Times New Roman" w:hAnsi="Times New Roman"/>
        </w:rPr>
        <w:lastRenderedPageBreak/>
        <w:t xml:space="preserve">Outcome 3: Reference emission levels and reference levels developed. National </w:t>
      </w:r>
      <w:proofErr w:type="spellStart"/>
      <w:r w:rsidRPr="003B5A59">
        <w:rPr>
          <w:rFonts w:ascii="Times New Roman" w:hAnsi="Times New Roman"/>
        </w:rPr>
        <w:t>REDD</w:t>
      </w:r>
      <w:proofErr w:type="spellEnd"/>
      <w:r w:rsidRPr="003B5A59">
        <w:rPr>
          <w:rFonts w:ascii="Times New Roman" w:hAnsi="Times New Roman"/>
        </w:rPr>
        <w:t xml:space="preserve">+ Strategy and implementation framework. </w:t>
      </w:r>
    </w:p>
    <w:p w14:paraId="4B50F69C" w14:textId="25D479FD" w:rsidR="00FC124B" w:rsidRPr="003B5A59" w:rsidRDefault="00CF61AB" w:rsidP="005565F2">
      <w:pPr>
        <w:pStyle w:val="ListParagraph"/>
        <w:numPr>
          <w:ilvl w:val="0"/>
          <w:numId w:val="2"/>
        </w:numPr>
        <w:rPr>
          <w:rFonts w:ascii="Times New Roman" w:hAnsi="Times New Roman"/>
        </w:rPr>
      </w:pPr>
      <w:r w:rsidRPr="003B5A59">
        <w:rPr>
          <w:rFonts w:ascii="Times New Roman" w:hAnsi="Times New Roman"/>
        </w:rPr>
        <w:t xml:space="preserve">Outcome 4: National forest monitoring system and safeguards information system developed. Monitoring and </w:t>
      </w:r>
      <w:proofErr w:type="spellStart"/>
      <w:r w:rsidRPr="003B5A59">
        <w:rPr>
          <w:rFonts w:ascii="Times New Roman" w:hAnsi="Times New Roman"/>
        </w:rPr>
        <w:t>MRV</w:t>
      </w:r>
      <w:proofErr w:type="spellEnd"/>
      <w:r w:rsidRPr="003B5A59">
        <w:rPr>
          <w:rFonts w:ascii="Times New Roman" w:hAnsi="Times New Roman"/>
        </w:rPr>
        <w:t xml:space="preserve"> functions for </w:t>
      </w:r>
      <w:proofErr w:type="spellStart"/>
      <w:r w:rsidRPr="003B5A59">
        <w:rPr>
          <w:rFonts w:ascii="Times New Roman" w:hAnsi="Times New Roman"/>
        </w:rPr>
        <w:t>REDD</w:t>
      </w:r>
      <w:proofErr w:type="spellEnd"/>
      <w:r w:rsidRPr="003B5A59">
        <w:rPr>
          <w:rFonts w:ascii="Times New Roman" w:hAnsi="Times New Roman"/>
        </w:rPr>
        <w:t>+ activities developed.</w:t>
      </w:r>
    </w:p>
    <w:p w14:paraId="7C119EE0" w14:textId="77777777" w:rsidR="00FC124B" w:rsidRPr="003B5A59" w:rsidRDefault="00FC124B"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 xml:space="preserve">This targeted support will help with the development and implementation of this roadmap in two areas. Firstly, the implementation of the Roadmap requires substantial financing from internal and external </w:t>
      </w:r>
      <w:proofErr w:type="gramStart"/>
      <w:r w:rsidRPr="003B5A59">
        <w:rPr>
          <w:rFonts w:ascii="Times New Roman" w:hAnsi="Times New Roman" w:cs="Times New Roman"/>
        </w:rPr>
        <w:t>sources,</w:t>
      </w:r>
      <w:proofErr w:type="gramEnd"/>
      <w:r w:rsidRPr="003B5A59">
        <w:rPr>
          <w:rFonts w:ascii="Times New Roman" w:hAnsi="Times New Roman" w:cs="Times New Roman"/>
        </w:rPr>
        <w:t xml:space="preserve"> and the Government's capacity to effectively and strategically manage financial resources for </w:t>
      </w:r>
      <w:proofErr w:type="spellStart"/>
      <w:r w:rsidRPr="003B5A59">
        <w:rPr>
          <w:rFonts w:ascii="Times New Roman" w:hAnsi="Times New Roman" w:cs="Times New Roman"/>
        </w:rPr>
        <w:t>REDD</w:t>
      </w:r>
      <w:proofErr w:type="spellEnd"/>
      <w:r w:rsidRPr="003B5A59">
        <w:rPr>
          <w:rFonts w:ascii="Times New Roman" w:hAnsi="Times New Roman" w:cs="Times New Roman"/>
        </w:rPr>
        <w:t xml:space="preserve">+ Readiness and implementation in an accountable and transparent manner is one of the key elements for ensuring successful and long-lasting outcomes in this regard. The activities in this targeted supported are aimed at increasing the capacity of the government to manage finances linked to the forest sector. </w:t>
      </w:r>
    </w:p>
    <w:p w14:paraId="4B090045" w14:textId="77777777" w:rsidR="00FC124B" w:rsidRPr="003B5A59" w:rsidRDefault="00FC124B" w:rsidP="00FC124B">
      <w:pPr>
        <w:widowControl w:val="0"/>
        <w:autoSpaceDE w:val="0"/>
        <w:autoSpaceDN w:val="0"/>
        <w:adjustRightInd w:val="0"/>
        <w:rPr>
          <w:rFonts w:ascii="Times New Roman" w:hAnsi="Times New Roman" w:cs="Times New Roman"/>
        </w:rPr>
      </w:pPr>
    </w:p>
    <w:p w14:paraId="335C2B83" w14:textId="77777777" w:rsidR="00FC124B" w:rsidRPr="003B5A59" w:rsidRDefault="00FC124B" w:rsidP="00FC124B">
      <w:pPr>
        <w:widowControl w:val="0"/>
        <w:autoSpaceDE w:val="0"/>
        <w:autoSpaceDN w:val="0"/>
        <w:adjustRightInd w:val="0"/>
        <w:rPr>
          <w:rFonts w:ascii="Times New Roman" w:hAnsi="Times New Roman" w:cs="Times New Roman"/>
        </w:rPr>
      </w:pPr>
      <w:r w:rsidRPr="003B5A59">
        <w:rPr>
          <w:rFonts w:ascii="Times New Roman" w:hAnsi="Times New Roman" w:cs="Times New Roman"/>
        </w:rPr>
        <w:t xml:space="preserve">Secondly, the activities on benefit distribution will provide initial inputs to contribute to an eventual </w:t>
      </w:r>
      <w:proofErr w:type="spellStart"/>
      <w:r w:rsidRPr="003B5A59">
        <w:rPr>
          <w:rFonts w:ascii="Times New Roman" w:hAnsi="Times New Roman" w:cs="Times New Roman"/>
        </w:rPr>
        <w:t>REDD</w:t>
      </w:r>
      <w:proofErr w:type="spellEnd"/>
      <w:r w:rsidRPr="003B5A59">
        <w:rPr>
          <w:rFonts w:ascii="Times New Roman" w:hAnsi="Times New Roman" w:cs="Times New Roman"/>
        </w:rPr>
        <w:t>+ strategy (outcome 3), which will need to outline arrangements for financial management and benefit distribution.</w:t>
      </w:r>
    </w:p>
    <w:p w14:paraId="2E4C81C1" w14:textId="77777777" w:rsidR="003B5A59" w:rsidRDefault="003B5A59" w:rsidP="00FC124B">
      <w:pPr>
        <w:widowControl w:val="0"/>
        <w:autoSpaceDE w:val="0"/>
        <w:autoSpaceDN w:val="0"/>
        <w:adjustRightInd w:val="0"/>
        <w:rPr>
          <w:rFonts w:cstheme="minorHAnsi"/>
        </w:rPr>
      </w:pPr>
    </w:p>
    <w:p w14:paraId="3AB085E9" w14:textId="77777777" w:rsidR="00670351" w:rsidRDefault="00670351" w:rsidP="00FC124B">
      <w:pPr>
        <w:widowControl w:val="0"/>
        <w:autoSpaceDE w:val="0"/>
        <w:autoSpaceDN w:val="0"/>
        <w:adjustRightInd w:val="0"/>
        <w:rPr>
          <w:rFonts w:cstheme="minorHAnsi"/>
        </w:rPr>
      </w:pPr>
    </w:p>
    <w:p w14:paraId="210E114A" w14:textId="77777777" w:rsidR="00670351" w:rsidRDefault="00670351" w:rsidP="00FC124B">
      <w:pPr>
        <w:widowControl w:val="0"/>
        <w:autoSpaceDE w:val="0"/>
        <w:autoSpaceDN w:val="0"/>
        <w:adjustRightInd w:val="0"/>
        <w:rPr>
          <w:rFonts w:cstheme="minorHAnsi"/>
        </w:rPr>
      </w:pPr>
    </w:p>
    <w:p w14:paraId="33BA0EF6" w14:textId="77777777" w:rsidR="00670351" w:rsidRDefault="00670351" w:rsidP="00FC124B">
      <w:pPr>
        <w:widowControl w:val="0"/>
        <w:autoSpaceDE w:val="0"/>
        <w:autoSpaceDN w:val="0"/>
        <w:adjustRightInd w:val="0"/>
        <w:rPr>
          <w:rFonts w:cstheme="minorHAnsi"/>
        </w:rPr>
      </w:pPr>
    </w:p>
    <w:p w14:paraId="03DCCD5C" w14:textId="77777777" w:rsidR="00670351" w:rsidRDefault="00670351" w:rsidP="00FC124B">
      <w:pPr>
        <w:widowControl w:val="0"/>
        <w:autoSpaceDE w:val="0"/>
        <w:autoSpaceDN w:val="0"/>
        <w:adjustRightInd w:val="0"/>
        <w:rPr>
          <w:rFonts w:cstheme="minorHAnsi"/>
        </w:rPr>
      </w:pPr>
    </w:p>
    <w:p w14:paraId="48BEFBAB" w14:textId="77777777" w:rsidR="00670351" w:rsidRDefault="00670351" w:rsidP="00FC124B">
      <w:pPr>
        <w:widowControl w:val="0"/>
        <w:autoSpaceDE w:val="0"/>
        <w:autoSpaceDN w:val="0"/>
        <w:adjustRightInd w:val="0"/>
        <w:rPr>
          <w:rFonts w:cstheme="minorHAnsi"/>
        </w:rPr>
      </w:pPr>
    </w:p>
    <w:p w14:paraId="61C9A044" w14:textId="77777777" w:rsidR="00670351" w:rsidRDefault="00670351" w:rsidP="00FC124B">
      <w:pPr>
        <w:widowControl w:val="0"/>
        <w:autoSpaceDE w:val="0"/>
        <w:autoSpaceDN w:val="0"/>
        <w:adjustRightInd w:val="0"/>
        <w:rPr>
          <w:rFonts w:cstheme="minorHAnsi"/>
        </w:rPr>
      </w:pPr>
    </w:p>
    <w:p w14:paraId="0F16460B" w14:textId="77777777" w:rsidR="00670351" w:rsidRDefault="00670351" w:rsidP="00FC124B">
      <w:pPr>
        <w:widowControl w:val="0"/>
        <w:autoSpaceDE w:val="0"/>
        <w:autoSpaceDN w:val="0"/>
        <w:adjustRightInd w:val="0"/>
        <w:rPr>
          <w:rFonts w:cstheme="minorHAnsi"/>
        </w:rPr>
      </w:pPr>
    </w:p>
    <w:p w14:paraId="6489D8B4" w14:textId="77777777" w:rsidR="00670351" w:rsidRDefault="00670351" w:rsidP="00FC124B">
      <w:pPr>
        <w:widowControl w:val="0"/>
        <w:autoSpaceDE w:val="0"/>
        <w:autoSpaceDN w:val="0"/>
        <w:adjustRightInd w:val="0"/>
        <w:rPr>
          <w:rFonts w:cstheme="minorHAnsi"/>
        </w:rPr>
      </w:pPr>
    </w:p>
    <w:p w14:paraId="174B60E3" w14:textId="77777777" w:rsidR="00670351" w:rsidRDefault="00670351" w:rsidP="00FC124B">
      <w:pPr>
        <w:widowControl w:val="0"/>
        <w:autoSpaceDE w:val="0"/>
        <w:autoSpaceDN w:val="0"/>
        <w:adjustRightInd w:val="0"/>
        <w:rPr>
          <w:rFonts w:cstheme="minorHAnsi"/>
        </w:rPr>
      </w:pPr>
    </w:p>
    <w:p w14:paraId="41D0A2BB" w14:textId="77777777" w:rsidR="00670351" w:rsidRDefault="00670351" w:rsidP="00FC124B">
      <w:pPr>
        <w:widowControl w:val="0"/>
        <w:autoSpaceDE w:val="0"/>
        <w:autoSpaceDN w:val="0"/>
        <w:adjustRightInd w:val="0"/>
        <w:rPr>
          <w:rFonts w:cstheme="minorHAnsi"/>
        </w:rPr>
      </w:pPr>
    </w:p>
    <w:p w14:paraId="7BFFB799" w14:textId="77777777" w:rsidR="00670351" w:rsidRDefault="00670351" w:rsidP="00FC124B">
      <w:pPr>
        <w:widowControl w:val="0"/>
        <w:autoSpaceDE w:val="0"/>
        <w:autoSpaceDN w:val="0"/>
        <w:adjustRightInd w:val="0"/>
        <w:rPr>
          <w:rFonts w:cstheme="minorHAnsi"/>
        </w:rPr>
      </w:pPr>
    </w:p>
    <w:p w14:paraId="1C33565B" w14:textId="77777777" w:rsidR="00670351" w:rsidRDefault="00670351" w:rsidP="00FC124B">
      <w:pPr>
        <w:widowControl w:val="0"/>
        <w:autoSpaceDE w:val="0"/>
        <w:autoSpaceDN w:val="0"/>
        <w:adjustRightInd w:val="0"/>
        <w:rPr>
          <w:rFonts w:cstheme="minorHAnsi"/>
        </w:rPr>
      </w:pPr>
    </w:p>
    <w:p w14:paraId="78849894" w14:textId="77777777" w:rsidR="00670351" w:rsidRDefault="00670351" w:rsidP="00FC124B">
      <w:pPr>
        <w:widowControl w:val="0"/>
        <w:autoSpaceDE w:val="0"/>
        <w:autoSpaceDN w:val="0"/>
        <w:adjustRightInd w:val="0"/>
        <w:rPr>
          <w:rFonts w:cstheme="minorHAnsi"/>
        </w:rPr>
      </w:pPr>
    </w:p>
    <w:p w14:paraId="11DE5676" w14:textId="77777777" w:rsidR="00670351" w:rsidRDefault="00670351" w:rsidP="00FC124B">
      <w:pPr>
        <w:widowControl w:val="0"/>
        <w:autoSpaceDE w:val="0"/>
        <w:autoSpaceDN w:val="0"/>
        <w:adjustRightInd w:val="0"/>
        <w:rPr>
          <w:rFonts w:cstheme="minorHAnsi"/>
        </w:rPr>
      </w:pPr>
    </w:p>
    <w:p w14:paraId="19A7A78A" w14:textId="77777777" w:rsidR="00670351" w:rsidRDefault="00670351" w:rsidP="00FC124B">
      <w:pPr>
        <w:widowControl w:val="0"/>
        <w:autoSpaceDE w:val="0"/>
        <w:autoSpaceDN w:val="0"/>
        <w:adjustRightInd w:val="0"/>
        <w:rPr>
          <w:rFonts w:cstheme="minorHAnsi"/>
        </w:rPr>
      </w:pPr>
    </w:p>
    <w:p w14:paraId="4FD3153A" w14:textId="77777777" w:rsidR="00670351" w:rsidRDefault="00670351" w:rsidP="00FC124B">
      <w:pPr>
        <w:widowControl w:val="0"/>
        <w:autoSpaceDE w:val="0"/>
        <w:autoSpaceDN w:val="0"/>
        <w:adjustRightInd w:val="0"/>
        <w:rPr>
          <w:rFonts w:cstheme="minorHAnsi"/>
        </w:rPr>
      </w:pPr>
    </w:p>
    <w:p w14:paraId="6FE21F78" w14:textId="77777777" w:rsidR="00670351" w:rsidRDefault="00670351" w:rsidP="00FC124B">
      <w:pPr>
        <w:widowControl w:val="0"/>
        <w:autoSpaceDE w:val="0"/>
        <w:autoSpaceDN w:val="0"/>
        <w:adjustRightInd w:val="0"/>
        <w:rPr>
          <w:rFonts w:cstheme="minorHAnsi"/>
        </w:rPr>
      </w:pPr>
    </w:p>
    <w:p w14:paraId="50DE30C9" w14:textId="77777777" w:rsidR="00670351" w:rsidRDefault="00670351" w:rsidP="00FC124B">
      <w:pPr>
        <w:widowControl w:val="0"/>
        <w:autoSpaceDE w:val="0"/>
        <w:autoSpaceDN w:val="0"/>
        <w:adjustRightInd w:val="0"/>
        <w:rPr>
          <w:rFonts w:cstheme="minorHAnsi"/>
        </w:rPr>
      </w:pPr>
    </w:p>
    <w:p w14:paraId="770261F6" w14:textId="77777777" w:rsidR="00670351" w:rsidRDefault="00670351" w:rsidP="00FC124B">
      <w:pPr>
        <w:widowControl w:val="0"/>
        <w:autoSpaceDE w:val="0"/>
        <w:autoSpaceDN w:val="0"/>
        <w:adjustRightInd w:val="0"/>
        <w:rPr>
          <w:rFonts w:cstheme="minorHAnsi"/>
        </w:rPr>
      </w:pPr>
    </w:p>
    <w:p w14:paraId="31751D7E" w14:textId="77777777" w:rsidR="00670351" w:rsidRDefault="00670351" w:rsidP="00FC124B">
      <w:pPr>
        <w:widowControl w:val="0"/>
        <w:autoSpaceDE w:val="0"/>
        <w:autoSpaceDN w:val="0"/>
        <w:adjustRightInd w:val="0"/>
        <w:rPr>
          <w:rFonts w:cstheme="minorHAnsi"/>
        </w:rPr>
      </w:pPr>
    </w:p>
    <w:p w14:paraId="74F93FAA" w14:textId="77777777" w:rsidR="00670351" w:rsidRDefault="00670351" w:rsidP="00FC124B">
      <w:pPr>
        <w:widowControl w:val="0"/>
        <w:autoSpaceDE w:val="0"/>
        <w:autoSpaceDN w:val="0"/>
        <w:adjustRightInd w:val="0"/>
        <w:rPr>
          <w:rFonts w:cstheme="minorHAnsi"/>
        </w:rPr>
      </w:pPr>
    </w:p>
    <w:p w14:paraId="190C553F" w14:textId="77777777" w:rsidR="00670351" w:rsidRDefault="00670351" w:rsidP="00FC124B">
      <w:pPr>
        <w:widowControl w:val="0"/>
        <w:autoSpaceDE w:val="0"/>
        <w:autoSpaceDN w:val="0"/>
        <w:adjustRightInd w:val="0"/>
        <w:rPr>
          <w:rFonts w:cstheme="minorHAnsi"/>
        </w:rPr>
      </w:pPr>
    </w:p>
    <w:p w14:paraId="092F085D" w14:textId="77777777" w:rsidR="00670351" w:rsidRDefault="00670351" w:rsidP="00FC124B">
      <w:pPr>
        <w:widowControl w:val="0"/>
        <w:autoSpaceDE w:val="0"/>
        <w:autoSpaceDN w:val="0"/>
        <w:adjustRightInd w:val="0"/>
        <w:rPr>
          <w:rFonts w:cstheme="minorHAnsi"/>
        </w:rPr>
      </w:pPr>
    </w:p>
    <w:p w14:paraId="6C608D48" w14:textId="77777777" w:rsidR="00670351" w:rsidRDefault="00670351" w:rsidP="00FC124B">
      <w:pPr>
        <w:widowControl w:val="0"/>
        <w:autoSpaceDE w:val="0"/>
        <w:autoSpaceDN w:val="0"/>
        <w:adjustRightInd w:val="0"/>
        <w:rPr>
          <w:rFonts w:cstheme="minorHAnsi"/>
        </w:rPr>
      </w:pPr>
    </w:p>
    <w:p w14:paraId="4F18F785" w14:textId="77777777" w:rsidR="00670351" w:rsidRDefault="00670351" w:rsidP="00FC124B">
      <w:pPr>
        <w:widowControl w:val="0"/>
        <w:autoSpaceDE w:val="0"/>
        <w:autoSpaceDN w:val="0"/>
        <w:adjustRightInd w:val="0"/>
        <w:rPr>
          <w:rFonts w:cstheme="minorHAnsi"/>
        </w:rPr>
      </w:pPr>
    </w:p>
    <w:p w14:paraId="0BDC869B" w14:textId="77777777" w:rsidR="00670351" w:rsidRDefault="00670351" w:rsidP="00FC124B">
      <w:pPr>
        <w:widowControl w:val="0"/>
        <w:autoSpaceDE w:val="0"/>
        <w:autoSpaceDN w:val="0"/>
        <w:adjustRightInd w:val="0"/>
        <w:rPr>
          <w:rFonts w:cstheme="minorHAnsi"/>
        </w:rPr>
      </w:pPr>
    </w:p>
    <w:p w14:paraId="2624A142" w14:textId="77777777" w:rsidR="00670351" w:rsidRDefault="00670351" w:rsidP="00FC124B">
      <w:pPr>
        <w:widowControl w:val="0"/>
        <w:autoSpaceDE w:val="0"/>
        <w:autoSpaceDN w:val="0"/>
        <w:adjustRightInd w:val="0"/>
        <w:rPr>
          <w:rFonts w:cstheme="minorHAnsi"/>
        </w:rPr>
      </w:pPr>
    </w:p>
    <w:p w14:paraId="664B1640" w14:textId="77777777" w:rsidR="00670351" w:rsidRDefault="00670351" w:rsidP="00FC124B">
      <w:pPr>
        <w:widowControl w:val="0"/>
        <w:autoSpaceDE w:val="0"/>
        <w:autoSpaceDN w:val="0"/>
        <w:adjustRightInd w:val="0"/>
        <w:rPr>
          <w:rFonts w:cstheme="minorHAnsi"/>
        </w:rPr>
      </w:pPr>
    </w:p>
    <w:p w14:paraId="1862C6BC" w14:textId="77777777" w:rsidR="00670351" w:rsidRDefault="00670351" w:rsidP="00FC124B">
      <w:pPr>
        <w:widowControl w:val="0"/>
        <w:autoSpaceDE w:val="0"/>
        <w:autoSpaceDN w:val="0"/>
        <w:adjustRightInd w:val="0"/>
        <w:rPr>
          <w:rFonts w:cstheme="minorHAnsi"/>
        </w:rPr>
        <w:sectPr w:rsidR="00670351">
          <w:footerReference w:type="even" r:id="rId12"/>
          <w:footerReference w:type="default" r:id="rId13"/>
          <w:pgSz w:w="12240" w:h="15840"/>
          <w:pgMar w:top="1440" w:right="1440" w:bottom="1440" w:left="1440" w:header="720" w:footer="720" w:gutter="0"/>
          <w:cols w:space="720"/>
          <w:docGrid w:linePitch="360"/>
        </w:sectPr>
      </w:pPr>
    </w:p>
    <w:tbl>
      <w:tblPr>
        <w:tblpPr w:leftFromText="180" w:rightFromText="180" w:horzAnchor="margin" w:tblpXSpec="center" w:tblpY="-1256"/>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610"/>
        <w:gridCol w:w="2790"/>
        <w:gridCol w:w="2790"/>
        <w:gridCol w:w="900"/>
        <w:gridCol w:w="990"/>
        <w:gridCol w:w="926"/>
        <w:gridCol w:w="1864"/>
      </w:tblGrid>
      <w:tr w:rsidR="00670351" w:rsidRPr="00113D00" w14:paraId="578B16F2" w14:textId="77777777" w:rsidTr="0053450F">
        <w:trPr>
          <w:trHeight w:val="315"/>
        </w:trPr>
        <w:tc>
          <w:tcPr>
            <w:tcW w:w="15318" w:type="dxa"/>
            <w:gridSpan w:val="8"/>
            <w:tcBorders>
              <w:top w:val="nil"/>
              <w:left w:val="nil"/>
              <w:bottom w:val="single" w:sz="4" w:space="0" w:color="auto"/>
              <w:right w:val="nil"/>
            </w:tcBorders>
            <w:shd w:val="clear" w:color="auto" w:fill="auto"/>
            <w:vAlign w:val="center"/>
          </w:tcPr>
          <w:p w14:paraId="4DE14E71" w14:textId="77777777" w:rsidR="00670351" w:rsidRPr="00113D00" w:rsidRDefault="00670351" w:rsidP="00670351">
            <w:pPr>
              <w:jc w:val="left"/>
              <w:rPr>
                <w:rFonts w:ascii="Times New Roman" w:eastAsia="Times New Roman" w:hAnsi="Times New Roman" w:cs="Times New Roman"/>
                <w:b/>
                <w:bCs/>
                <w:color w:val="000000"/>
                <w:sz w:val="20"/>
                <w:szCs w:val="20"/>
                <w:lang w:eastAsia="ja-JP"/>
              </w:rPr>
            </w:pPr>
            <w:r w:rsidRPr="003B5A59">
              <w:rPr>
                <w:rFonts w:ascii="Times New Roman" w:hAnsi="Times New Roman" w:cs="Times New Roman"/>
                <w:b/>
                <w:sz w:val="20"/>
                <w:szCs w:val="20"/>
              </w:rPr>
              <w:lastRenderedPageBreak/>
              <w:t>Results and Recourses Framework</w:t>
            </w:r>
          </w:p>
        </w:tc>
      </w:tr>
      <w:tr w:rsidR="00BB6756" w:rsidRPr="00113D00" w14:paraId="58648F43" w14:textId="77777777" w:rsidTr="00BB6756">
        <w:trPr>
          <w:trHeight w:val="315"/>
        </w:trPr>
        <w:tc>
          <w:tcPr>
            <w:tcW w:w="2448" w:type="dxa"/>
            <w:vMerge w:val="restart"/>
            <w:tcBorders>
              <w:top w:val="single" w:sz="4" w:space="0" w:color="auto"/>
            </w:tcBorders>
            <w:shd w:val="clear" w:color="auto" w:fill="auto"/>
            <w:vAlign w:val="center"/>
            <w:hideMark/>
          </w:tcPr>
          <w:p w14:paraId="0DFC3036" w14:textId="77777777" w:rsidR="00670351" w:rsidRPr="00355BC4" w:rsidRDefault="00670351" w:rsidP="00670351">
            <w:pPr>
              <w:jc w:val="center"/>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eastAsia="ja-JP"/>
              </w:rPr>
              <w:t>Outcome</w:t>
            </w:r>
          </w:p>
        </w:tc>
        <w:tc>
          <w:tcPr>
            <w:tcW w:w="2610" w:type="dxa"/>
            <w:vMerge w:val="restart"/>
            <w:tcBorders>
              <w:top w:val="single" w:sz="4" w:space="0" w:color="auto"/>
            </w:tcBorders>
            <w:shd w:val="clear" w:color="auto" w:fill="auto"/>
            <w:vAlign w:val="center"/>
            <w:hideMark/>
          </w:tcPr>
          <w:p w14:paraId="1ED2497B" w14:textId="77777777" w:rsidR="00670351" w:rsidRPr="00355BC4" w:rsidRDefault="00670351" w:rsidP="00670351">
            <w:pPr>
              <w:jc w:val="center"/>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eastAsia="ja-JP"/>
              </w:rPr>
              <w:t>Output</w:t>
            </w:r>
          </w:p>
        </w:tc>
        <w:tc>
          <w:tcPr>
            <w:tcW w:w="2790" w:type="dxa"/>
            <w:vMerge w:val="restart"/>
            <w:tcBorders>
              <w:top w:val="single" w:sz="4" w:space="0" w:color="auto"/>
            </w:tcBorders>
            <w:shd w:val="clear" w:color="auto" w:fill="auto"/>
            <w:vAlign w:val="center"/>
            <w:hideMark/>
          </w:tcPr>
          <w:p w14:paraId="0459C090" w14:textId="77777777" w:rsidR="00670351" w:rsidRPr="00355BC4" w:rsidRDefault="00670351" w:rsidP="00670351">
            <w:pPr>
              <w:jc w:val="center"/>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eastAsia="ja-JP"/>
              </w:rPr>
              <w:t>Activity</w:t>
            </w:r>
          </w:p>
        </w:tc>
        <w:tc>
          <w:tcPr>
            <w:tcW w:w="4680" w:type="dxa"/>
            <w:gridSpan w:val="3"/>
            <w:tcBorders>
              <w:top w:val="single" w:sz="4" w:space="0" w:color="auto"/>
            </w:tcBorders>
            <w:shd w:val="clear" w:color="auto" w:fill="auto"/>
            <w:vAlign w:val="center"/>
            <w:hideMark/>
          </w:tcPr>
          <w:p w14:paraId="023D15BB" w14:textId="77777777" w:rsidR="00670351" w:rsidRPr="00355BC4" w:rsidRDefault="00670351" w:rsidP="00670351">
            <w:pPr>
              <w:jc w:val="center"/>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eastAsia="ja-JP"/>
              </w:rPr>
              <w:t>Budget breakdown</w:t>
            </w:r>
          </w:p>
        </w:tc>
        <w:tc>
          <w:tcPr>
            <w:tcW w:w="926" w:type="dxa"/>
            <w:vMerge w:val="restart"/>
            <w:tcBorders>
              <w:top w:val="single" w:sz="4" w:space="0" w:color="auto"/>
            </w:tcBorders>
          </w:tcPr>
          <w:p w14:paraId="7C7749FF" w14:textId="77777777" w:rsidR="00670351" w:rsidRPr="00355BC4" w:rsidRDefault="00670351" w:rsidP="00670351">
            <w:pPr>
              <w:jc w:val="center"/>
              <w:rPr>
                <w:rFonts w:ascii="Times New Roman" w:eastAsia="Times New Roman" w:hAnsi="Times New Roman" w:cs="Times New Roman"/>
                <w:b/>
                <w:bCs/>
                <w:color w:val="000000"/>
                <w:sz w:val="20"/>
                <w:szCs w:val="20"/>
                <w:lang w:eastAsia="ja-JP"/>
              </w:rPr>
            </w:pPr>
            <w:r w:rsidRPr="00355BC4">
              <w:rPr>
                <w:rFonts w:ascii="Times New Roman" w:eastAsia="Times New Roman" w:hAnsi="Times New Roman" w:cs="Times New Roman"/>
                <w:b/>
                <w:bCs/>
                <w:color w:val="000000"/>
                <w:sz w:val="20"/>
                <w:szCs w:val="20"/>
                <w:lang w:eastAsia="ja-JP"/>
              </w:rPr>
              <w:t>Lead Unit</w:t>
            </w:r>
          </w:p>
        </w:tc>
        <w:tc>
          <w:tcPr>
            <w:tcW w:w="1864" w:type="dxa"/>
            <w:vMerge w:val="restart"/>
            <w:tcBorders>
              <w:top w:val="single" w:sz="4" w:space="0" w:color="auto"/>
            </w:tcBorders>
          </w:tcPr>
          <w:p w14:paraId="075EBC25" w14:textId="77777777" w:rsidR="00670351" w:rsidRPr="00113D00" w:rsidRDefault="00670351" w:rsidP="00670351">
            <w:pPr>
              <w:jc w:val="center"/>
              <w:rPr>
                <w:rFonts w:ascii="Times New Roman" w:eastAsia="Times New Roman" w:hAnsi="Times New Roman" w:cs="Times New Roman"/>
                <w:b/>
                <w:bCs/>
                <w:color w:val="000000"/>
                <w:sz w:val="20"/>
                <w:szCs w:val="20"/>
                <w:lang w:eastAsia="ja-JP"/>
              </w:rPr>
            </w:pPr>
            <w:r w:rsidRPr="00113D00">
              <w:rPr>
                <w:rFonts w:ascii="Times New Roman" w:eastAsia="Times New Roman" w:hAnsi="Times New Roman" w:cs="Times New Roman"/>
                <w:b/>
                <w:bCs/>
                <w:color w:val="000000"/>
                <w:sz w:val="20"/>
                <w:szCs w:val="20"/>
                <w:lang w:eastAsia="ja-JP"/>
              </w:rPr>
              <w:t>Co-financing /Partner (s) (US$)</w:t>
            </w:r>
          </w:p>
        </w:tc>
      </w:tr>
      <w:tr w:rsidR="0053450F" w:rsidRPr="00355BC4" w14:paraId="24D704FF" w14:textId="77777777" w:rsidTr="00BB6756">
        <w:trPr>
          <w:trHeight w:val="327"/>
        </w:trPr>
        <w:tc>
          <w:tcPr>
            <w:tcW w:w="2448" w:type="dxa"/>
            <w:vMerge/>
            <w:vAlign w:val="center"/>
            <w:hideMark/>
          </w:tcPr>
          <w:p w14:paraId="24D8E38B" w14:textId="77777777" w:rsidR="00670351" w:rsidRPr="00355BC4" w:rsidRDefault="00670351" w:rsidP="00670351">
            <w:pPr>
              <w:jc w:val="left"/>
              <w:rPr>
                <w:rFonts w:ascii="Times New Roman" w:eastAsia="Times New Roman" w:hAnsi="Times New Roman" w:cs="Times New Roman"/>
                <w:b/>
                <w:bCs/>
                <w:color w:val="000000"/>
                <w:sz w:val="20"/>
                <w:szCs w:val="20"/>
                <w:lang w:val="en-US"/>
              </w:rPr>
            </w:pPr>
          </w:p>
        </w:tc>
        <w:tc>
          <w:tcPr>
            <w:tcW w:w="2610" w:type="dxa"/>
            <w:vMerge/>
            <w:vAlign w:val="center"/>
            <w:hideMark/>
          </w:tcPr>
          <w:p w14:paraId="2F9E1C0C" w14:textId="77777777" w:rsidR="00670351" w:rsidRPr="00355BC4" w:rsidRDefault="00670351" w:rsidP="00670351">
            <w:pPr>
              <w:jc w:val="left"/>
              <w:rPr>
                <w:rFonts w:ascii="Times New Roman" w:eastAsia="Times New Roman" w:hAnsi="Times New Roman" w:cs="Times New Roman"/>
                <w:b/>
                <w:bCs/>
                <w:color w:val="000000"/>
                <w:sz w:val="20"/>
                <w:szCs w:val="20"/>
                <w:lang w:val="en-US"/>
              </w:rPr>
            </w:pPr>
          </w:p>
        </w:tc>
        <w:tc>
          <w:tcPr>
            <w:tcW w:w="2790" w:type="dxa"/>
            <w:vMerge/>
            <w:vAlign w:val="center"/>
            <w:hideMark/>
          </w:tcPr>
          <w:p w14:paraId="5FA6B5F3" w14:textId="77777777" w:rsidR="00670351" w:rsidRPr="00355BC4" w:rsidRDefault="00670351" w:rsidP="00670351">
            <w:pPr>
              <w:jc w:val="left"/>
              <w:rPr>
                <w:rFonts w:ascii="Times New Roman" w:eastAsia="Times New Roman" w:hAnsi="Times New Roman" w:cs="Times New Roman"/>
                <w:b/>
                <w:bCs/>
                <w:color w:val="000000"/>
                <w:sz w:val="20"/>
                <w:szCs w:val="20"/>
                <w:lang w:val="en-US"/>
              </w:rPr>
            </w:pPr>
          </w:p>
        </w:tc>
        <w:tc>
          <w:tcPr>
            <w:tcW w:w="2790" w:type="dxa"/>
            <w:shd w:val="clear" w:color="auto" w:fill="auto"/>
            <w:vAlign w:val="center"/>
            <w:hideMark/>
          </w:tcPr>
          <w:p w14:paraId="199F10F5" w14:textId="77777777" w:rsidR="00670351" w:rsidRPr="00355BC4" w:rsidRDefault="00670351" w:rsidP="00670351">
            <w:pPr>
              <w:jc w:val="center"/>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eastAsia="ja-JP"/>
              </w:rPr>
              <w:t>Category</w:t>
            </w:r>
          </w:p>
        </w:tc>
        <w:tc>
          <w:tcPr>
            <w:tcW w:w="900" w:type="dxa"/>
            <w:shd w:val="clear" w:color="auto" w:fill="auto"/>
            <w:vAlign w:val="center"/>
            <w:hideMark/>
          </w:tcPr>
          <w:p w14:paraId="065A4D24" w14:textId="77777777" w:rsidR="00670351" w:rsidRPr="00355BC4" w:rsidRDefault="00670351" w:rsidP="00670351">
            <w:pPr>
              <w:jc w:val="center"/>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eastAsia="ja-JP"/>
              </w:rPr>
              <w:t>US$</w:t>
            </w:r>
          </w:p>
        </w:tc>
        <w:tc>
          <w:tcPr>
            <w:tcW w:w="990" w:type="dxa"/>
            <w:shd w:val="clear" w:color="auto" w:fill="auto"/>
            <w:noWrap/>
            <w:vAlign w:val="center"/>
            <w:hideMark/>
          </w:tcPr>
          <w:p w14:paraId="514E1227" w14:textId="77777777" w:rsidR="00670351" w:rsidRPr="00355BC4" w:rsidRDefault="00670351" w:rsidP="00670351">
            <w:pPr>
              <w:jc w:val="left"/>
              <w:rPr>
                <w:rFonts w:ascii="Times New Roman" w:eastAsia="Times New Roman" w:hAnsi="Times New Roman" w:cs="Times New Roman"/>
                <w:b/>
                <w:bCs/>
                <w:color w:val="000000"/>
                <w:sz w:val="20"/>
                <w:szCs w:val="20"/>
                <w:lang w:val="en-US"/>
              </w:rPr>
            </w:pPr>
            <w:r w:rsidRPr="00355BC4">
              <w:rPr>
                <w:rFonts w:ascii="Times New Roman" w:eastAsia="Times New Roman" w:hAnsi="Times New Roman" w:cs="Times New Roman"/>
                <w:b/>
                <w:bCs/>
                <w:color w:val="000000"/>
                <w:sz w:val="20"/>
                <w:szCs w:val="20"/>
                <w:lang w:val="en-US"/>
              </w:rPr>
              <w:t>Source</w:t>
            </w:r>
          </w:p>
        </w:tc>
        <w:tc>
          <w:tcPr>
            <w:tcW w:w="926" w:type="dxa"/>
            <w:vMerge/>
          </w:tcPr>
          <w:p w14:paraId="3B1B4539" w14:textId="77777777" w:rsidR="00670351" w:rsidRPr="00355BC4" w:rsidRDefault="00670351" w:rsidP="00670351">
            <w:pPr>
              <w:jc w:val="left"/>
              <w:rPr>
                <w:rFonts w:ascii="Times New Roman" w:eastAsia="Times New Roman" w:hAnsi="Times New Roman" w:cs="Times New Roman"/>
                <w:b/>
                <w:bCs/>
                <w:color w:val="000000"/>
                <w:sz w:val="20"/>
                <w:szCs w:val="20"/>
                <w:lang w:val="en-US"/>
              </w:rPr>
            </w:pPr>
          </w:p>
        </w:tc>
        <w:tc>
          <w:tcPr>
            <w:tcW w:w="1864" w:type="dxa"/>
            <w:vMerge/>
          </w:tcPr>
          <w:p w14:paraId="203B7A7E" w14:textId="77777777" w:rsidR="00670351" w:rsidRPr="00113D00" w:rsidRDefault="00670351" w:rsidP="00670351">
            <w:pPr>
              <w:jc w:val="center"/>
              <w:rPr>
                <w:rFonts w:ascii="Times New Roman" w:eastAsia="Times New Roman" w:hAnsi="Times New Roman" w:cs="Times New Roman"/>
                <w:bCs/>
                <w:color w:val="000000"/>
                <w:sz w:val="20"/>
                <w:szCs w:val="20"/>
                <w:lang w:val="en-US"/>
              </w:rPr>
            </w:pPr>
          </w:p>
        </w:tc>
      </w:tr>
      <w:tr w:rsidR="0053450F" w:rsidRPr="00355BC4" w14:paraId="40E99B14" w14:textId="77777777" w:rsidTr="00BB6756">
        <w:trPr>
          <w:trHeight w:val="174"/>
        </w:trPr>
        <w:tc>
          <w:tcPr>
            <w:tcW w:w="2448" w:type="dxa"/>
            <w:vMerge w:val="restart"/>
            <w:shd w:val="clear" w:color="auto" w:fill="auto"/>
            <w:vAlign w:val="center"/>
            <w:hideMark/>
          </w:tcPr>
          <w:p w14:paraId="67E78094"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 xml:space="preserve">The forest sector recognized as a priority sector for achieving the national development agenda, and equipped with increased policy implementation capacity to strategically manage and take ownership of the </w:t>
            </w:r>
            <w:proofErr w:type="spellStart"/>
            <w:r w:rsidRPr="00355BC4">
              <w:rPr>
                <w:rFonts w:ascii="Times New Roman" w:eastAsia="Times New Roman" w:hAnsi="Times New Roman" w:cs="Times New Roman"/>
                <w:color w:val="000000"/>
                <w:sz w:val="20"/>
                <w:szCs w:val="20"/>
                <w:lang w:val="en-US"/>
              </w:rPr>
              <w:t>REDD</w:t>
            </w:r>
            <w:proofErr w:type="spellEnd"/>
            <w:r w:rsidRPr="00355BC4">
              <w:rPr>
                <w:rFonts w:ascii="Times New Roman" w:eastAsia="Times New Roman" w:hAnsi="Times New Roman" w:cs="Times New Roman"/>
                <w:color w:val="000000"/>
                <w:sz w:val="20"/>
                <w:szCs w:val="20"/>
                <w:lang w:val="en-US"/>
              </w:rPr>
              <w:t>+ Roadmap process.</w:t>
            </w:r>
            <w:r w:rsidRPr="00355BC4">
              <w:rPr>
                <w:rFonts w:ascii="Times New Roman" w:eastAsia="Times New Roman" w:hAnsi="Times New Roman" w:cs="Times New Roman"/>
                <w:color w:val="000000"/>
                <w:sz w:val="20"/>
                <w:szCs w:val="20"/>
                <w:lang w:val="en-US"/>
              </w:rPr>
              <w:br/>
            </w:r>
            <w:r w:rsidRPr="00355BC4">
              <w:rPr>
                <w:rFonts w:ascii="Times New Roman" w:eastAsia="Times New Roman" w:hAnsi="Times New Roman" w:cs="Times New Roman"/>
                <w:color w:val="000000"/>
                <w:sz w:val="20"/>
                <w:szCs w:val="20"/>
                <w:lang w:val="en-US"/>
              </w:rPr>
              <w:br/>
              <w:t xml:space="preserve">Indicator: Clear entry points and strategic approaches to increased forest financing identified and agreed with government by end-April 2013 </w:t>
            </w:r>
          </w:p>
        </w:tc>
        <w:tc>
          <w:tcPr>
            <w:tcW w:w="2610" w:type="dxa"/>
            <w:vMerge w:val="restart"/>
            <w:shd w:val="clear" w:color="auto" w:fill="auto"/>
            <w:vAlign w:val="center"/>
            <w:hideMark/>
          </w:tcPr>
          <w:p w14:paraId="373C94B8"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 xml:space="preserve">Analytical report and knowledge products (targeted at Parliamentarians and policy makers) </w:t>
            </w:r>
            <w:proofErr w:type="spellStart"/>
            <w:r w:rsidRPr="00355BC4">
              <w:rPr>
                <w:rFonts w:ascii="Times New Roman" w:eastAsia="Times New Roman" w:hAnsi="Times New Roman" w:cs="Times New Roman"/>
                <w:color w:val="000000"/>
                <w:sz w:val="20"/>
                <w:szCs w:val="20"/>
                <w:lang w:val="en-US"/>
              </w:rPr>
              <w:t>summarising</w:t>
            </w:r>
            <w:proofErr w:type="spellEnd"/>
            <w:r w:rsidRPr="00355BC4">
              <w:rPr>
                <w:rFonts w:ascii="Times New Roman" w:eastAsia="Times New Roman" w:hAnsi="Times New Roman" w:cs="Times New Roman"/>
                <w:color w:val="000000"/>
                <w:sz w:val="20"/>
                <w:szCs w:val="20"/>
                <w:lang w:val="en-US"/>
              </w:rPr>
              <w:t xml:space="preserve"> findings on the land-use valuation, public finance flows and options for increasing finance. </w:t>
            </w:r>
          </w:p>
        </w:tc>
        <w:tc>
          <w:tcPr>
            <w:tcW w:w="2790" w:type="dxa"/>
            <w:vMerge w:val="restart"/>
            <w:shd w:val="clear" w:color="auto" w:fill="auto"/>
            <w:vAlign w:val="center"/>
            <w:hideMark/>
          </w:tcPr>
          <w:p w14:paraId="2A22205A" w14:textId="77777777" w:rsidR="00670351" w:rsidRPr="00355BC4" w:rsidRDefault="00670351" w:rsidP="00670351">
            <w:pPr>
              <w:jc w:val="left"/>
              <w:rPr>
                <w:rFonts w:ascii="Times New Roman" w:eastAsia="Times New Roman" w:hAnsi="Times New Roman"/>
                <w:color w:val="000000"/>
                <w:sz w:val="20"/>
                <w:szCs w:val="20"/>
              </w:rPr>
            </w:pPr>
            <w:r w:rsidRPr="00355BC4">
              <w:rPr>
                <w:rFonts w:ascii="Times New Roman" w:eastAsia="Times New Roman" w:hAnsi="Times New Roman"/>
                <w:color w:val="000000"/>
                <w:sz w:val="20"/>
                <w:szCs w:val="20"/>
              </w:rPr>
              <w:t xml:space="preserve">1. Economic valuation of land-use sectors linking to public financing </w:t>
            </w:r>
            <w:r w:rsidRPr="00355BC4">
              <w:rPr>
                <w:rFonts w:ascii="Times New Roman" w:eastAsia="Times New Roman" w:hAnsi="Times New Roman"/>
                <w:color w:val="000000"/>
                <w:sz w:val="20"/>
                <w:szCs w:val="20"/>
              </w:rPr>
              <w:br/>
            </w:r>
            <w:r w:rsidRPr="00355BC4">
              <w:rPr>
                <w:rFonts w:ascii="Times New Roman" w:eastAsia="Times New Roman" w:hAnsi="Times New Roman"/>
                <w:color w:val="000000"/>
                <w:sz w:val="20"/>
                <w:szCs w:val="20"/>
              </w:rPr>
              <w:br/>
              <w:t>- Analytical reports and policy brief</w:t>
            </w:r>
            <w:r w:rsidRPr="00355BC4">
              <w:rPr>
                <w:rFonts w:ascii="Times New Roman" w:eastAsia="Times New Roman" w:hAnsi="Times New Roman"/>
                <w:color w:val="000000"/>
                <w:sz w:val="20"/>
                <w:szCs w:val="20"/>
              </w:rPr>
              <w:br/>
              <w:t xml:space="preserve">- Stakeholder consultation for verification and feedback </w:t>
            </w:r>
          </w:p>
        </w:tc>
        <w:tc>
          <w:tcPr>
            <w:tcW w:w="2790" w:type="dxa"/>
            <w:shd w:val="clear" w:color="auto" w:fill="auto"/>
            <w:vAlign w:val="center"/>
            <w:hideMark/>
          </w:tcPr>
          <w:p w14:paraId="7A3FD770" w14:textId="754CC98D" w:rsidR="00670351" w:rsidRPr="00355BC4" w:rsidRDefault="00BB6756" w:rsidP="00670351">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Staff and other personnel costs</w:t>
            </w:r>
          </w:p>
        </w:tc>
        <w:tc>
          <w:tcPr>
            <w:tcW w:w="900" w:type="dxa"/>
            <w:shd w:val="clear" w:color="auto" w:fill="auto"/>
            <w:vAlign w:val="center"/>
            <w:hideMark/>
          </w:tcPr>
          <w:p w14:paraId="7E38CD1C" w14:textId="36EBB16C" w:rsidR="00670351" w:rsidRPr="00355BC4" w:rsidRDefault="00300567"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30</w:t>
            </w:r>
            <w:r w:rsidR="00670351" w:rsidRPr="00355BC4">
              <w:rPr>
                <w:rFonts w:ascii="Times New Roman" w:eastAsia="Times New Roman" w:hAnsi="Times New Roman" w:cs="Times New Roman"/>
                <w:color w:val="000000"/>
                <w:sz w:val="20"/>
                <w:szCs w:val="20"/>
                <w:lang w:val="en-US"/>
              </w:rPr>
              <w:t>,000</w:t>
            </w:r>
          </w:p>
        </w:tc>
        <w:tc>
          <w:tcPr>
            <w:tcW w:w="990" w:type="dxa"/>
            <w:shd w:val="clear" w:color="auto" w:fill="auto"/>
            <w:noWrap/>
            <w:vAlign w:val="center"/>
            <w:hideMark/>
          </w:tcPr>
          <w:p w14:paraId="64219AE3"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RCCEEP</w:t>
            </w:r>
            <w:proofErr w:type="spellEnd"/>
          </w:p>
        </w:tc>
        <w:tc>
          <w:tcPr>
            <w:tcW w:w="926" w:type="dxa"/>
            <w:vMerge w:val="restart"/>
          </w:tcPr>
          <w:p w14:paraId="783FF012" w14:textId="77777777" w:rsidR="00670351" w:rsidRDefault="00670351" w:rsidP="00670351">
            <w:pPr>
              <w:jc w:val="left"/>
              <w:rPr>
                <w:rFonts w:ascii="Times New Roman" w:eastAsia="Times New Roman" w:hAnsi="Times New Roman" w:cs="Times New Roman"/>
                <w:color w:val="000000"/>
                <w:sz w:val="20"/>
                <w:szCs w:val="20"/>
                <w:lang w:val="en-US"/>
              </w:rPr>
            </w:pPr>
          </w:p>
          <w:p w14:paraId="47E9DB2C" w14:textId="77777777" w:rsidR="00670351" w:rsidRDefault="00670351" w:rsidP="00670351">
            <w:pPr>
              <w:jc w:val="left"/>
              <w:rPr>
                <w:rFonts w:ascii="Times New Roman" w:eastAsia="Times New Roman" w:hAnsi="Times New Roman" w:cs="Times New Roman"/>
                <w:color w:val="000000"/>
                <w:sz w:val="20"/>
                <w:szCs w:val="20"/>
                <w:lang w:val="en-US"/>
              </w:rPr>
            </w:pPr>
          </w:p>
          <w:p w14:paraId="718A11C1" w14:textId="77777777" w:rsidR="00670351" w:rsidRDefault="00670351" w:rsidP="00670351">
            <w:pPr>
              <w:jc w:val="left"/>
              <w:rPr>
                <w:rFonts w:ascii="Times New Roman" w:eastAsia="Times New Roman" w:hAnsi="Times New Roman" w:cs="Times New Roman"/>
                <w:color w:val="000000"/>
                <w:sz w:val="20"/>
                <w:szCs w:val="20"/>
                <w:lang w:val="en-US"/>
              </w:rPr>
            </w:pPr>
          </w:p>
          <w:p w14:paraId="58D81318" w14:textId="77777777" w:rsidR="00670351" w:rsidRDefault="00670351" w:rsidP="00670351">
            <w:pPr>
              <w:jc w:val="left"/>
              <w:rPr>
                <w:rFonts w:ascii="Times New Roman" w:eastAsia="Times New Roman" w:hAnsi="Times New Roman" w:cs="Times New Roman"/>
                <w:color w:val="000000"/>
                <w:sz w:val="20"/>
                <w:szCs w:val="20"/>
                <w:lang w:val="en-US"/>
              </w:rPr>
            </w:pPr>
          </w:p>
          <w:p w14:paraId="746174D4" w14:textId="77777777" w:rsidR="00670351" w:rsidRDefault="00670351" w:rsidP="00670351">
            <w:pPr>
              <w:jc w:val="left"/>
              <w:rPr>
                <w:rFonts w:ascii="Times New Roman" w:eastAsia="Times New Roman" w:hAnsi="Times New Roman" w:cs="Times New Roman"/>
                <w:color w:val="000000"/>
                <w:sz w:val="20"/>
                <w:szCs w:val="20"/>
                <w:lang w:val="en-US"/>
              </w:rPr>
            </w:pPr>
          </w:p>
          <w:p w14:paraId="59CBE58C" w14:textId="77777777" w:rsidR="00670351" w:rsidRDefault="00670351" w:rsidP="00670351">
            <w:pPr>
              <w:jc w:val="left"/>
              <w:rPr>
                <w:rFonts w:ascii="Times New Roman" w:eastAsia="Times New Roman" w:hAnsi="Times New Roman" w:cs="Times New Roman"/>
                <w:color w:val="000000"/>
                <w:sz w:val="20"/>
                <w:szCs w:val="20"/>
                <w:lang w:val="en-US"/>
              </w:rPr>
            </w:pPr>
          </w:p>
          <w:p w14:paraId="7E320159" w14:textId="77777777" w:rsidR="00670351" w:rsidRDefault="00670351" w:rsidP="00670351">
            <w:pPr>
              <w:jc w:val="left"/>
              <w:rPr>
                <w:rFonts w:ascii="Times New Roman" w:eastAsia="Times New Roman" w:hAnsi="Times New Roman" w:cs="Times New Roman"/>
                <w:color w:val="000000"/>
                <w:sz w:val="20"/>
                <w:szCs w:val="20"/>
                <w:lang w:val="en-US"/>
              </w:rPr>
            </w:pPr>
          </w:p>
          <w:p w14:paraId="5F6ABD33" w14:textId="77777777" w:rsidR="00670351" w:rsidRDefault="00670351" w:rsidP="00670351">
            <w:pPr>
              <w:jc w:val="left"/>
              <w:rPr>
                <w:rFonts w:ascii="Times New Roman" w:eastAsia="Times New Roman" w:hAnsi="Times New Roman" w:cs="Times New Roman"/>
                <w:color w:val="000000"/>
                <w:sz w:val="20"/>
                <w:szCs w:val="20"/>
                <w:lang w:val="en-US"/>
              </w:rPr>
            </w:pPr>
          </w:p>
          <w:p w14:paraId="1CE92FC3" w14:textId="77777777" w:rsidR="00670351" w:rsidRDefault="00670351" w:rsidP="00670351">
            <w:pPr>
              <w:jc w:val="left"/>
              <w:rPr>
                <w:rFonts w:ascii="Times New Roman" w:eastAsia="Times New Roman" w:hAnsi="Times New Roman" w:cs="Times New Roman"/>
                <w:color w:val="000000"/>
                <w:sz w:val="20"/>
                <w:szCs w:val="20"/>
                <w:lang w:val="en-US"/>
              </w:rPr>
            </w:pPr>
          </w:p>
          <w:p w14:paraId="38DA0456" w14:textId="77777777" w:rsidR="00670351" w:rsidRDefault="00670351" w:rsidP="00670351">
            <w:pPr>
              <w:jc w:val="left"/>
              <w:rPr>
                <w:rFonts w:ascii="Times New Roman" w:eastAsia="Times New Roman" w:hAnsi="Times New Roman" w:cs="Times New Roman"/>
                <w:color w:val="000000"/>
                <w:sz w:val="20"/>
                <w:szCs w:val="20"/>
                <w:lang w:val="en-US"/>
              </w:rPr>
            </w:pPr>
          </w:p>
          <w:p w14:paraId="1EE52F6F"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UNDP (UN-REDD)</w:t>
            </w:r>
          </w:p>
        </w:tc>
        <w:tc>
          <w:tcPr>
            <w:tcW w:w="1864" w:type="dxa"/>
            <w:vMerge w:val="restart"/>
          </w:tcPr>
          <w:p w14:paraId="59598725" w14:textId="77777777" w:rsidR="00670351" w:rsidRDefault="00670351" w:rsidP="00670351">
            <w:pPr>
              <w:jc w:val="center"/>
              <w:rPr>
                <w:rFonts w:ascii="Times New Roman" w:eastAsia="Times New Roman" w:hAnsi="Times New Roman" w:cs="Times New Roman"/>
                <w:color w:val="000000"/>
                <w:sz w:val="20"/>
                <w:szCs w:val="20"/>
                <w:lang w:val="en-US"/>
              </w:rPr>
            </w:pPr>
          </w:p>
          <w:p w14:paraId="5AA27DC4" w14:textId="77777777" w:rsidR="00670351" w:rsidRDefault="00670351" w:rsidP="00670351">
            <w:pPr>
              <w:jc w:val="center"/>
              <w:rPr>
                <w:rFonts w:ascii="Times New Roman" w:eastAsia="Times New Roman" w:hAnsi="Times New Roman" w:cs="Times New Roman"/>
                <w:color w:val="000000"/>
                <w:sz w:val="20"/>
                <w:szCs w:val="20"/>
                <w:lang w:val="en-US"/>
              </w:rPr>
            </w:pPr>
          </w:p>
          <w:p w14:paraId="26BFB48D" w14:textId="77777777" w:rsidR="00670351" w:rsidRDefault="00670351" w:rsidP="00670351">
            <w:pPr>
              <w:jc w:val="center"/>
              <w:rPr>
                <w:rFonts w:ascii="Times New Roman" w:eastAsia="Times New Roman" w:hAnsi="Times New Roman" w:cs="Times New Roman"/>
                <w:color w:val="000000"/>
                <w:sz w:val="20"/>
                <w:szCs w:val="20"/>
                <w:lang w:val="en-US"/>
              </w:rPr>
            </w:pPr>
          </w:p>
          <w:p w14:paraId="237E51BA" w14:textId="77777777" w:rsidR="00670351" w:rsidRDefault="00670351" w:rsidP="0053450F">
            <w:pPr>
              <w:jc w:val="left"/>
              <w:rPr>
                <w:rFonts w:ascii="Times New Roman" w:eastAsia="Times New Roman" w:hAnsi="Times New Roman" w:cs="Times New Roman"/>
                <w:color w:val="000000"/>
                <w:sz w:val="20"/>
                <w:szCs w:val="20"/>
                <w:lang w:val="en-US"/>
              </w:rPr>
            </w:pPr>
          </w:p>
          <w:p w14:paraId="40121181" w14:textId="77777777" w:rsidR="00670351" w:rsidRDefault="00670351" w:rsidP="0053450F">
            <w:pPr>
              <w:jc w:val="left"/>
              <w:rPr>
                <w:rFonts w:ascii="Times New Roman" w:eastAsia="Times New Roman" w:hAnsi="Times New Roman" w:cs="Times New Roman"/>
                <w:color w:val="000000"/>
                <w:sz w:val="20"/>
                <w:szCs w:val="20"/>
                <w:lang w:val="en-US"/>
              </w:rPr>
            </w:pPr>
          </w:p>
          <w:p w14:paraId="10365FE7" w14:textId="64E67C93" w:rsidR="00670351" w:rsidRDefault="00670351" w:rsidP="0053450F">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 xml:space="preserve">US$ </w:t>
            </w:r>
            <w:r w:rsidR="00300567">
              <w:rPr>
                <w:rFonts w:ascii="Times New Roman" w:eastAsia="Times New Roman" w:hAnsi="Times New Roman" w:cs="Times New Roman"/>
                <w:color w:val="000000"/>
                <w:sz w:val="20"/>
                <w:szCs w:val="20"/>
                <w:lang w:val="en-US"/>
              </w:rPr>
              <w:t>4</w:t>
            </w:r>
            <w:r w:rsidRPr="00355BC4">
              <w:rPr>
                <w:rFonts w:ascii="Times New Roman" w:eastAsia="Times New Roman" w:hAnsi="Times New Roman" w:cs="Times New Roman"/>
                <w:color w:val="000000"/>
                <w:sz w:val="20"/>
                <w:szCs w:val="20"/>
                <w:lang w:val="en-US"/>
              </w:rPr>
              <w:t xml:space="preserve">0,000 grant from </w:t>
            </w:r>
            <w:proofErr w:type="spellStart"/>
            <w:r w:rsidRPr="00355BC4">
              <w:rPr>
                <w:rFonts w:ascii="Times New Roman" w:eastAsia="Times New Roman" w:hAnsi="Times New Roman" w:cs="Times New Roman"/>
                <w:color w:val="000000"/>
                <w:sz w:val="20"/>
                <w:szCs w:val="20"/>
                <w:lang w:val="en-US"/>
              </w:rPr>
              <w:t>APRC</w:t>
            </w:r>
            <w:proofErr w:type="spellEnd"/>
            <w:r w:rsidRPr="00355BC4">
              <w:rPr>
                <w:rFonts w:ascii="Times New Roman" w:eastAsia="Times New Roman" w:hAnsi="Times New Roman" w:cs="Times New Roman"/>
                <w:color w:val="000000"/>
                <w:sz w:val="20"/>
                <w:szCs w:val="20"/>
                <w:lang w:val="en-US"/>
              </w:rPr>
              <w:t xml:space="preserve"> </w:t>
            </w:r>
            <w:proofErr w:type="spellStart"/>
            <w:r w:rsidRPr="00355BC4">
              <w:rPr>
                <w:rFonts w:ascii="Times New Roman" w:eastAsia="Times New Roman" w:hAnsi="Times New Roman" w:cs="Times New Roman"/>
                <w:color w:val="000000"/>
                <w:sz w:val="20"/>
                <w:szCs w:val="20"/>
                <w:lang w:val="en-US"/>
              </w:rPr>
              <w:t>REDD</w:t>
            </w:r>
            <w:proofErr w:type="spellEnd"/>
            <w:r w:rsidRPr="00355BC4">
              <w:rPr>
                <w:rFonts w:ascii="Times New Roman" w:eastAsia="Times New Roman" w:hAnsi="Times New Roman" w:cs="Times New Roman"/>
                <w:color w:val="000000"/>
                <w:sz w:val="20"/>
                <w:szCs w:val="20"/>
                <w:lang w:val="en-US"/>
              </w:rPr>
              <w:t>+ (</w:t>
            </w:r>
            <w:proofErr w:type="spellStart"/>
            <w:r w:rsidRPr="00355BC4">
              <w:rPr>
                <w:rFonts w:ascii="Times New Roman" w:eastAsia="Times New Roman" w:hAnsi="Times New Roman" w:cs="Times New Roman"/>
                <w:color w:val="000000"/>
                <w:sz w:val="20"/>
                <w:szCs w:val="20"/>
                <w:lang w:val="en-US"/>
              </w:rPr>
              <w:t>RCCEEP</w:t>
            </w:r>
            <w:proofErr w:type="spellEnd"/>
            <w:r w:rsidRPr="00355BC4">
              <w:rPr>
                <w:rFonts w:ascii="Times New Roman" w:eastAsia="Times New Roman" w:hAnsi="Times New Roman" w:cs="Times New Roman"/>
                <w:color w:val="000000"/>
                <w:sz w:val="20"/>
                <w:szCs w:val="20"/>
                <w:lang w:val="en-US"/>
              </w:rPr>
              <w:t>) for Activit</w:t>
            </w:r>
            <w:r>
              <w:rPr>
                <w:rFonts w:ascii="Times New Roman" w:eastAsia="Times New Roman" w:hAnsi="Times New Roman" w:cs="Times New Roman"/>
                <w:color w:val="000000"/>
                <w:sz w:val="20"/>
                <w:szCs w:val="20"/>
                <w:lang w:val="en-US"/>
              </w:rPr>
              <w:t>y 1</w:t>
            </w:r>
            <w:r>
              <w:rPr>
                <w:rFonts w:ascii="Times New Roman" w:eastAsia="Times New Roman" w:hAnsi="Times New Roman" w:cs="Times New Roman"/>
                <w:color w:val="000000"/>
                <w:sz w:val="20"/>
                <w:szCs w:val="20"/>
                <w:lang w:val="en-US"/>
              </w:rPr>
              <w:br/>
            </w:r>
          </w:p>
          <w:p w14:paraId="1109D2D3" w14:textId="155C13D0" w:rsidR="00670351" w:rsidRPr="00355BC4" w:rsidRDefault="00670351" w:rsidP="0053450F">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 xml:space="preserve">US$ 22,000 in kind co-financing from UNDP </w:t>
            </w:r>
            <w:proofErr w:type="spellStart"/>
            <w:r w:rsidRPr="00355BC4">
              <w:rPr>
                <w:rFonts w:ascii="Times New Roman" w:eastAsia="Times New Roman" w:hAnsi="Times New Roman" w:cs="Times New Roman"/>
                <w:color w:val="000000"/>
                <w:sz w:val="20"/>
                <w:szCs w:val="20"/>
                <w:lang w:val="en-US"/>
              </w:rPr>
              <w:t>DGG</w:t>
            </w:r>
            <w:proofErr w:type="spellEnd"/>
            <w:r w:rsidRPr="00355BC4">
              <w:rPr>
                <w:rFonts w:ascii="Times New Roman" w:eastAsia="Times New Roman" w:hAnsi="Times New Roman" w:cs="Times New Roman"/>
                <w:color w:val="000000"/>
                <w:sz w:val="20"/>
                <w:szCs w:val="20"/>
                <w:lang w:val="en-US"/>
              </w:rPr>
              <w:t xml:space="preserve"> and Capacity Dev.</w:t>
            </w:r>
            <w:r w:rsidR="0053450F">
              <w:rPr>
                <w:rFonts w:ascii="Times New Roman" w:eastAsia="Times New Roman" w:hAnsi="Times New Roman" w:cs="Times New Roman"/>
                <w:color w:val="000000"/>
                <w:sz w:val="20"/>
                <w:szCs w:val="20"/>
                <w:lang w:val="en-US"/>
              </w:rPr>
              <w:t xml:space="preserve"> (CD)</w:t>
            </w:r>
            <w:r w:rsidRPr="00355BC4">
              <w:rPr>
                <w:rFonts w:ascii="Times New Roman" w:eastAsia="Times New Roman" w:hAnsi="Times New Roman" w:cs="Times New Roman"/>
                <w:color w:val="000000"/>
                <w:sz w:val="20"/>
                <w:szCs w:val="20"/>
                <w:lang w:val="en-US"/>
              </w:rPr>
              <w:t xml:space="preserve"> Team (</w:t>
            </w:r>
            <w:proofErr w:type="spellStart"/>
            <w:r w:rsidRPr="00355BC4">
              <w:rPr>
                <w:rFonts w:ascii="Times New Roman" w:eastAsia="Times New Roman" w:hAnsi="Times New Roman" w:cs="Times New Roman"/>
                <w:color w:val="000000"/>
                <w:sz w:val="20"/>
                <w:szCs w:val="20"/>
                <w:lang w:val="en-US"/>
              </w:rPr>
              <w:t>APRC</w:t>
            </w:r>
            <w:proofErr w:type="spellEnd"/>
            <w:r w:rsidRPr="00355BC4">
              <w:rPr>
                <w:rFonts w:ascii="Times New Roman" w:eastAsia="Times New Roman" w:hAnsi="Times New Roman" w:cs="Times New Roman"/>
                <w:color w:val="000000"/>
                <w:sz w:val="20"/>
                <w:szCs w:val="20"/>
                <w:lang w:val="en-US"/>
              </w:rPr>
              <w:t>)</w:t>
            </w:r>
          </w:p>
        </w:tc>
      </w:tr>
      <w:tr w:rsidR="0053450F" w:rsidRPr="00355BC4" w14:paraId="4608FA23" w14:textId="77777777" w:rsidTr="00BB6756">
        <w:trPr>
          <w:trHeight w:val="77"/>
        </w:trPr>
        <w:tc>
          <w:tcPr>
            <w:tcW w:w="2448" w:type="dxa"/>
            <w:vMerge/>
            <w:vAlign w:val="center"/>
            <w:hideMark/>
          </w:tcPr>
          <w:p w14:paraId="5CEF317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5F49B550"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29BDAD6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6CB24579"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Travel</w:t>
            </w:r>
          </w:p>
        </w:tc>
        <w:tc>
          <w:tcPr>
            <w:tcW w:w="900" w:type="dxa"/>
            <w:shd w:val="clear" w:color="auto" w:fill="auto"/>
            <w:vAlign w:val="center"/>
            <w:hideMark/>
          </w:tcPr>
          <w:p w14:paraId="0E2012DE" w14:textId="72905560" w:rsidR="00670351" w:rsidRPr="00355BC4" w:rsidRDefault="00300567"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10</w:t>
            </w:r>
            <w:r w:rsidR="00670351" w:rsidRPr="00355BC4">
              <w:rPr>
                <w:rFonts w:ascii="Times New Roman" w:eastAsia="Times New Roman" w:hAnsi="Times New Roman" w:cs="Times New Roman"/>
                <w:color w:val="000000"/>
                <w:sz w:val="20"/>
                <w:szCs w:val="20"/>
                <w:lang w:val="en-US"/>
              </w:rPr>
              <w:t>,000</w:t>
            </w:r>
          </w:p>
        </w:tc>
        <w:tc>
          <w:tcPr>
            <w:tcW w:w="990" w:type="dxa"/>
            <w:shd w:val="clear" w:color="auto" w:fill="auto"/>
            <w:noWrap/>
            <w:vAlign w:val="center"/>
            <w:hideMark/>
          </w:tcPr>
          <w:p w14:paraId="7F80954D"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RCCEEP</w:t>
            </w:r>
            <w:proofErr w:type="spellEnd"/>
          </w:p>
        </w:tc>
        <w:tc>
          <w:tcPr>
            <w:tcW w:w="926" w:type="dxa"/>
            <w:vMerge/>
          </w:tcPr>
          <w:p w14:paraId="02ECB632"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4E163C02"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53450F" w:rsidRPr="00355BC4" w14:paraId="363DF4CC" w14:textId="77777777" w:rsidTr="00BB6756">
        <w:trPr>
          <w:trHeight w:val="273"/>
        </w:trPr>
        <w:tc>
          <w:tcPr>
            <w:tcW w:w="2448" w:type="dxa"/>
            <w:vMerge/>
            <w:vAlign w:val="center"/>
            <w:hideMark/>
          </w:tcPr>
          <w:p w14:paraId="6170E049"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42594CFA"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76EAE15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698D95FF" w14:textId="3327D9B4" w:rsidR="0053450F" w:rsidRDefault="00BB6756" w:rsidP="00670351">
            <w:pPr>
              <w:jc w:val="lef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Supplies, commodities,  materials (</w:t>
            </w:r>
            <w:r w:rsidR="00670351" w:rsidRPr="00355BC4">
              <w:rPr>
                <w:rFonts w:ascii="Times New Roman" w:eastAsia="Times New Roman" w:hAnsi="Times New Roman" w:cs="Times New Roman"/>
                <w:color w:val="000000"/>
                <w:sz w:val="20"/>
                <w:szCs w:val="20"/>
                <w:lang w:val="en-US"/>
              </w:rPr>
              <w:t>Workshop/</w:t>
            </w:r>
          </w:p>
          <w:p w14:paraId="2BD3D499" w14:textId="1AD7931A"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Training</w:t>
            </w:r>
            <w:r w:rsidR="00BB6756">
              <w:rPr>
                <w:rFonts w:ascii="Times New Roman" w:eastAsia="Times New Roman" w:hAnsi="Times New Roman" w:cs="Times New Roman"/>
                <w:color w:val="000000"/>
                <w:sz w:val="20"/>
                <w:szCs w:val="20"/>
                <w:lang w:val="en-US"/>
              </w:rPr>
              <w:t>)</w:t>
            </w:r>
          </w:p>
        </w:tc>
        <w:tc>
          <w:tcPr>
            <w:tcW w:w="900" w:type="dxa"/>
            <w:shd w:val="clear" w:color="auto" w:fill="auto"/>
            <w:vAlign w:val="center"/>
            <w:hideMark/>
          </w:tcPr>
          <w:p w14:paraId="788FAD26"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9,000</w:t>
            </w:r>
          </w:p>
        </w:tc>
        <w:tc>
          <w:tcPr>
            <w:tcW w:w="990" w:type="dxa"/>
            <w:shd w:val="clear" w:color="auto" w:fill="auto"/>
            <w:noWrap/>
            <w:vAlign w:val="center"/>
            <w:hideMark/>
          </w:tcPr>
          <w:p w14:paraId="3AF27428"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TS</w:t>
            </w:r>
            <w:proofErr w:type="spellEnd"/>
          </w:p>
        </w:tc>
        <w:tc>
          <w:tcPr>
            <w:tcW w:w="926" w:type="dxa"/>
            <w:vMerge/>
          </w:tcPr>
          <w:p w14:paraId="025EE4D9"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0D7E02CC"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BB6756" w:rsidRPr="00355BC4" w14:paraId="6A7DFCAB" w14:textId="77777777" w:rsidTr="00BB6756">
        <w:trPr>
          <w:trHeight w:val="354"/>
        </w:trPr>
        <w:tc>
          <w:tcPr>
            <w:tcW w:w="2448" w:type="dxa"/>
            <w:vMerge/>
            <w:vAlign w:val="center"/>
            <w:hideMark/>
          </w:tcPr>
          <w:p w14:paraId="01E518CB"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610" w:type="dxa"/>
            <w:vMerge w:val="restart"/>
            <w:shd w:val="clear" w:color="auto" w:fill="auto"/>
            <w:vAlign w:val="center"/>
            <w:hideMark/>
          </w:tcPr>
          <w:p w14:paraId="4CF4DFB0" w14:textId="77777777" w:rsidR="00BB6756" w:rsidRPr="00355BC4" w:rsidRDefault="00BB6756"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Report summarizing findings from the analytical work, including an evaluation of strategic options to support forest sector financing and policy implementation, and the potential entry points for implementing these options.</w:t>
            </w:r>
          </w:p>
        </w:tc>
        <w:tc>
          <w:tcPr>
            <w:tcW w:w="2790" w:type="dxa"/>
            <w:vMerge w:val="restart"/>
            <w:shd w:val="clear" w:color="auto" w:fill="auto"/>
            <w:vAlign w:val="center"/>
            <w:hideMark/>
          </w:tcPr>
          <w:p w14:paraId="693648C4" w14:textId="77777777" w:rsidR="00BB6756" w:rsidRPr="00355BC4" w:rsidRDefault="00BB6756"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 xml:space="preserve">2. Identification of entry points and strategic options. </w:t>
            </w:r>
            <w:r w:rsidRPr="00355BC4">
              <w:rPr>
                <w:rFonts w:ascii="Times New Roman" w:eastAsia="Times New Roman" w:hAnsi="Times New Roman" w:cs="Times New Roman"/>
                <w:color w:val="000000"/>
                <w:sz w:val="20"/>
                <w:szCs w:val="20"/>
                <w:lang w:val="en-US"/>
              </w:rPr>
              <w:br/>
            </w:r>
            <w:r w:rsidRPr="00355BC4">
              <w:rPr>
                <w:rFonts w:ascii="Times New Roman" w:eastAsia="Times New Roman" w:hAnsi="Times New Roman" w:cs="Times New Roman"/>
                <w:color w:val="000000"/>
                <w:sz w:val="20"/>
                <w:szCs w:val="20"/>
                <w:lang w:val="en-US"/>
              </w:rPr>
              <w:br/>
              <w:t>- Evaluation of strategic options to support forest sector financing and policy implementation, and the potential entry points for implementation</w:t>
            </w:r>
          </w:p>
        </w:tc>
        <w:tc>
          <w:tcPr>
            <w:tcW w:w="2790" w:type="dxa"/>
            <w:vMerge w:val="restart"/>
            <w:shd w:val="clear" w:color="auto" w:fill="auto"/>
            <w:vAlign w:val="center"/>
            <w:hideMark/>
          </w:tcPr>
          <w:p w14:paraId="62927246" w14:textId="17E45CA2" w:rsidR="00BB6756" w:rsidRPr="00355BC4" w:rsidRDefault="00BB6756" w:rsidP="002E398E">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Staff and other personnel costs</w:t>
            </w:r>
          </w:p>
        </w:tc>
        <w:tc>
          <w:tcPr>
            <w:tcW w:w="900" w:type="dxa"/>
            <w:shd w:val="clear" w:color="auto" w:fill="auto"/>
            <w:vAlign w:val="center"/>
            <w:hideMark/>
          </w:tcPr>
          <w:p w14:paraId="2736D6ED" w14:textId="77777777" w:rsidR="00BB6756" w:rsidRPr="00355BC4" w:rsidRDefault="00BB6756"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11,000</w:t>
            </w:r>
          </w:p>
        </w:tc>
        <w:tc>
          <w:tcPr>
            <w:tcW w:w="990" w:type="dxa"/>
            <w:shd w:val="clear" w:color="auto" w:fill="auto"/>
            <w:noWrap/>
            <w:vAlign w:val="center"/>
            <w:hideMark/>
          </w:tcPr>
          <w:p w14:paraId="7DE0005C" w14:textId="221BE0AB" w:rsidR="00BB6756" w:rsidRPr="00355BC4" w:rsidRDefault="00BB6756" w:rsidP="00BB6756">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DGG</w:t>
            </w:r>
            <w:proofErr w:type="spellEnd"/>
            <w:r w:rsidRPr="00355BC4">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 </w:t>
            </w:r>
          </w:p>
        </w:tc>
        <w:tc>
          <w:tcPr>
            <w:tcW w:w="926" w:type="dxa"/>
            <w:vMerge/>
          </w:tcPr>
          <w:p w14:paraId="157AC774"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1864" w:type="dxa"/>
            <w:vMerge/>
          </w:tcPr>
          <w:p w14:paraId="2242748D"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r>
      <w:tr w:rsidR="00BB6756" w:rsidRPr="00355BC4" w14:paraId="76BD6146" w14:textId="77777777" w:rsidTr="00BB6756">
        <w:trPr>
          <w:trHeight w:val="300"/>
        </w:trPr>
        <w:tc>
          <w:tcPr>
            <w:tcW w:w="2448" w:type="dxa"/>
            <w:vMerge/>
            <w:vAlign w:val="center"/>
            <w:hideMark/>
          </w:tcPr>
          <w:p w14:paraId="7E5315D7"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5479E49F"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634489D7"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790" w:type="dxa"/>
            <w:vMerge/>
            <w:shd w:val="clear" w:color="auto" w:fill="auto"/>
            <w:vAlign w:val="center"/>
            <w:hideMark/>
          </w:tcPr>
          <w:p w14:paraId="5768F464" w14:textId="617058E5"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900" w:type="dxa"/>
            <w:shd w:val="clear" w:color="auto" w:fill="auto"/>
            <w:vAlign w:val="center"/>
            <w:hideMark/>
          </w:tcPr>
          <w:p w14:paraId="707480C2" w14:textId="77777777" w:rsidR="00BB6756" w:rsidRPr="00355BC4" w:rsidRDefault="00BB6756"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9,</w:t>
            </w:r>
            <w:r>
              <w:rPr>
                <w:rFonts w:ascii="Times New Roman" w:eastAsia="Times New Roman" w:hAnsi="Times New Roman" w:cs="Times New Roman"/>
                <w:color w:val="000000"/>
                <w:sz w:val="20"/>
                <w:szCs w:val="20"/>
                <w:lang w:val="en-US"/>
              </w:rPr>
              <w:t>2</w:t>
            </w:r>
            <w:r w:rsidRPr="00355BC4">
              <w:rPr>
                <w:rFonts w:ascii="Times New Roman" w:eastAsia="Times New Roman" w:hAnsi="Times New Roman" w:cs="Times New Roman"/>
                <w:color w:val="000000"/>
                <w:sz w:val="20"/>
                <w:szCs w:val="20"/>
                <w:lang w:val="en-US"/>
              </w:rPr>
              <w:t>00</w:t>
            </w:r>
          </w:p>
        </w:tc>
        <w:tc>
          <w:tcPr>
            <w:tcW w:w="990" w:type="dxa"/>
            <w:shd w:val="clear" w:color="auto" w:fill="auto"/>
            <w:noWrap/>
            <w:vAlign w:val="center"/>
            <w:hideMark/>
          </w:tcPr>
          <w:p w14:paraId="407C89EA" w14:textId="77777777" w:rsidR="00BB6756" w:rsidRPr="00355BC4" w:rsidRDefault="00BB6756"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04C39E05"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1864" w:type="dxa"/>
            <w:vMerge/>
          </w:tcPr>
          <w:p w14:paraId="5F91C848"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r>
      <w:tr w:rsidR="0053450F" w:rsidRPr="00355BC4" w14:paraId="5FB7AF34" w14:textId="77777777" w:rsidTr="00BB6756">
        <w:trPr>
          <w:trHeight w:val="300"/>
        </w:trPr>
        <w:tc>
          <w:tcPr>
            <w:tcW w:w="2448" w:type="dxa"/>
            <w:vMerge/>
            <w:vAlign w:val="center"/>
            <w:hideMark/>
          </w:tcPr>
          <w:p w14:paraId="5A49A294"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55EEF409"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4B14E92A"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7C41DFAC"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Travel</w:t>
            </w:r>
          </w:p>
        </w:tc>
        <w:tc>
          <w:tcPr>
            <w:tcW w:w="900" w:type="dxa"/>
            <w:shd w:val="clear" w:color="auto" w:fill="auto"/>
            <w:vAlign w:val="center"/>
            <w:hideMark/>
          </w:tcPr>
          <w:p w14:paraId="062ECD83"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r w:rsidRPr="00355BC4">
              <w:rPr>
                <w:rFonts w:ascii="Times New Roman" w:eastAsia="Times New Roman" w:hAnsi="Times New Roman" w:cs="Times New Roman"/>
                <w:color w:val="000000"/>
                <w:sz w:val="20"/>
                <w:szCs w:val="20"/>
                <w:lang w:val="en-US"/>
              </w:rPr>
              <w:t>,000</w:t>
            </w:r>
          </w:p>
        </w:tc>
        <w:tc>
          <w:tcPr>
            <w:tcW w:w="990" w:type="dxa"/>
            <w:shd w:val="clear" w:color="auto" w:fill="auto"/>
            <w:noWrap/>
            <w:vAlign w:val="center"/>
            <w:hideMark/>
          </w:tcPr>
          <w:p w14:paraId="4C8ED003"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1DCEF07D"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26ECA661"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53450F" w:rsidRPr="00355BC4" w14:paraId="5A58B38E" w14:textId="77777777" w:rsidTr="00BB6756">
        <w:trPr>
          <w:trHeight w:val="314"/>
        </w:trPr>
        <w:tc>
          <w:tcPr>
            <w:tcW w:w="2448" w:type="dxa"/>
            <w:vMerge/>
            <w:vAlign w:val="center"/>
            <w:hideMark/>
          </w:tcPr>
          <w:p w14:paraId="24C9412C"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57D6024F"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48237BEC"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2A15AD46" w14:textId="77777777" w:rsidR="00BB6756" w:rsidRPr="00BB6756" w:rsidRDefault="00BB6756" w:rsidP="00BB6756">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Supplies, commodities,  materials (Workshop/</w:t>
            </w:r>
          </w:p>
          <w:p w14:paraId="1455E3CE" w14:textId="1CA52ABA" w:rsidR="00670351" w:rsidRPr="00355BC4" w:rsidRDefault="00BB6756" w:rsidP="00BB6756">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Training)</w:t>
            </w:r>
          </w:p>
        </w:tc>
        <w:tc>
          <w:tcPr>
            <w:tcW w:w="900" w:type="dxa"/>
            <w:shd w:val="clear" w:color="auto" w:fill="auto"/>
            <w:vAlign w:val="center"/>
            <w:hideMark/>
          </w:tcPr>
          <w:p w14:paraId="3E110BDC"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8,000</w:t>
            </w:r>
          </w:p>
        </w:tc>
        <w:tc>
          <w:tcPr>
            <w:tcW w:w="990" w:type="dxa"/>
            <w:shd w:val="clear" w:color="auto" w:fill="auto"/>
            <w:noWrap/>
            <w:vAlign w:val="center"/>
            <w:hideMark/>
          </w:tcPr>
          <w:p w14:paraId="2F00CF57"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4D1EFCF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38DB910F"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BB6756" w:rsidRPr="00355BC4" w14:paraId="2969FE71" w14:textId="77777777" w:rsidTr="00BB6756">
        <w:trPr>
          <w:trHeight w:val="219"/>
        </w:trPr>
        <w:tc>
          <w:tcPr>
            <w:tcW w:w="2448" w:type="dxa"/>
            <w:vMerge/>
            <w:vAlign w:val="center"/>
            <w:hideMark/>
          </w:tcPr>
          <w:p w14:paraId="17ED36E4"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610" w:type="dxa"/>
            <w:vMerge w:val="restart"/>
            <w:shd w:val="clear" w:color="auto" w:fill="auto"/>
            <w:vAlign w:val="center"/>
            <w:hideMark/>
          </w:tcPr>
          <w:p w14:paraId="025F7650" w14:textId="77777777" w:rsidR="00BB6756" w:rsidRPr="00355BC4" w:rsidRDefault="00BB6756"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 xml:space="preserve">Capacity development plan and awareness raising plan </w:t>
            </w:r>
          </w:p>
        </w:tc>
        <w:tc>
          <w:tcPr>
            <w:tcW w:w="2790" w:type="dxa"/>
            <w:vMerge w:val="restart"/>
            <w:shd w:val="clear" w:color="auto" w:fill="auto"/>
            <w:vAlign w:val="center"/>
            <w:hideMark/>
          </w:tcPr>
          <w:p w14:paraId="234A985B" w14:textId="77777777" w:rsidR="00BB6756" w:rsidRPr="00355BC4" w:rsidRDefault="00BB6756"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3. Development and implementation of plans</w:t>
            </w:r>
            <w:proofErr w:type="gramStart"/>
            <w:r w:rsidRPr="00355BC4">
              <w:rPr>
                <w:rFonts w:ascii="Times New Roman" w:eastAsia="Times New Roman" w:hAnsi="Times New Roman" w:cs="Times New Roman"/>
                <w:color w:val="000000"/>
                <w:sz w:val="20"/>
                <w:szCs w:val="20"/>
                <w:lang w:val="en-US"/>
              </w:rPr>
              <w:t>:</w:t>
            </w:r>
            <w:proofErr w:type="gramEnd"/>
            <w:r w:rsidRPr="00355BC4">
              <w:rPr>
                <w:rFonts w:ascii="Times New Roman" w:eastAsia="Times New Roman" w:hAnsi="Times New Roman" w:cs="Times New Roman"/>
                <w:color w:val="000000"/>
                <w:sz w:val="20"/>
                <w:szCs w:val="20"/>
                <w:lang w:val="en-US"/>
              </w:rPr>
              <w:br/>
            </w:r>
            <w:r w:rsidRPr="00355BC4">
              <w:rPr>
                <w:rFonts w:ascii="Times New Roman" w:eastAsia="Times New Roman" w:hAnsi="Times New Roman" w:cs="Times New Roman"/>
                <w:color w:val="000000"/>
                <w:sz w:val="20"/>
                <w:szCs w:val="20"/>
                <w:lang w:val="en-US"/>
              </w:rPr>
              <w:br/>
              <w:t>- Capacity development and awareness raising plans are developed and agreed with government. These feed into the Roadmap.</w:t>
            </w:r>
          </w:p>
        </w:tc>
        <w:tc>
          <w:tcPr>
            <w:tcW w:w="2790" w:type="dxa"/>
            <w:vMerge w:val="restart"/>
            <w:shd w:val="clear" w:color="auto" w:fill="auto"/>
            <w:vAlign w:val="center"/>
            <w:hideMark/>
          </w:tcPr>
          <w:p w14:paraId="7FC3A4DD" w14:textId="5D19BBFD" w:rsidR="00BB6756" w:rsidRPr="00355BC4" w:rsidRDefault="00BB6756" w:rsidP="002C2439">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Staff and other personnel costs</w:t>
            </w:r>
          </w:p>
        </w:tc>
        <w:tc>
          <w:tcPr>
            <w:tcW w:w="900" w:type="dxa"/>
            <w:shd w:val="clear" w:color="auto" w:fill="auto"/>
            <w:vAlign w:val="center"/>
            <w:hideMark/>
          </w:tcPr>
          <w:p w14:paraId="0F989FE9" w14:textId="77777777" w:rsidR="00BB6756" w:rsidRPr="00355BC4" w:rsidRDefault="00BB6756"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11,000</w:t>
            </w:r>
          </w:p>
        </w:tc>
        <w:tc>
          <w:tcPr>
            <w:tcW w:w="990" w:type="dxa"/>
            <w:shd w:val="clear" w:color="auto" w:fill="auto"/>
            <w:noWrap/>
            <w:vAlign w:val="center"/>
            <w:hideMark/>
          </w:tcPr>
          <w:p w14:paraId="6D3B573A" w14:textId="5E66EC45" w:rsidR="00BB6756" w:rsidRPr="00355BC4" w:rsidRDefault="00BB6756" w:rsidP="00BB6756">
            <w:pPr>
              <w:jc w:val="lef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CD</w:t>
            </w:r>
            <w:r>
              <w:rPr>
                <w:rFonts w:ascii="Times New Roman" w:eastAsia="Times New Roman" w:hAnsi="Times New Roman" w:cs="Times New Roman"/>
                <w:color w:val="000000"/>
                <w:sz w:val="20"/>
                <w:szCs w:val="20"/>
                <w:lang w:val="en-US"/>
              </w:rPr>
              <w:t xml:space="preserve"> </w:t>
            </w:r>
            <w:bookmarkStart w:id="0" w:name="_GoBack"/>
            <w:bookmarkEnd w:id="0"/>
          </w:p>
        </w:tc>
        <w:tc>
          <w:tcPr>
            <w:tcW w:w="926" w:type="dxa"/>
            <w:vMerge/>
          </w:tcPr>
          <w:p w14:paraId="188E4502"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1864" w:type="dxa"/>
            <w:vMerge/>
          </w:tcPr>
          <w:p w14:paraId="24FA17A6"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r>
      <w:tr w:rsidR="00BB6756" w:rsidRPr="00355BC4" w14:paraId="76F4EBE5" w14:textId="77777777" w:rsidTr="00BB6756">
        <w:trPr>
          <w:trHeight w:val="300"/>
        </w:trPr>
        <w:tc>
          <w:tcPr>
            <w:tcW w:w="2448" w:type="dxa"/>
            <w:vMerge/>
            <w:vAlign w:val="center"/>
          </w:tcPr>
          <w:p w14:paraId="6253054C"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610" w:type="dxa"/>
            <w:vMerge/>
            <w:shd w:val="clear" w:color="auto" w:fill="auto"/>
            <w:vAlign w:val="center"/>
          </w:tcPr>
          <w:p w14:paraId="25FF230E"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790" w:type="dxa"/>
            <w:vMerge/>
            <w:shd w:val="clear" w:color="auto" w:fill="auto"/>
            <w:vAlign w:val="center"/>
          </w:tcPr>
          <w:p w14:paraId="47F09FE2"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2790" w:type="dxa"/>
            <w:vMerge/>
            <w:shd w:val="clear" w:color="auto" w:fill="auto"/>
            <w:vAlign w:val="center"/>
          </w:tcPr>
          <w:p w14:paraId="75328C19" w14:textId="56FE5CFD"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900" w:type="dxa"/>
            <w:shd w:val="clear" w:color="auto" w:fill="auto"/>
            <w:vAlign w:val="center"/>
          </w:tcPr>
          <w:p w14:paraId="2F35839C" w14:textId="77777777" w:rsidR="00BB6756" w:rsidRPr="00355BC4" w:rsidRDefault="00BB6756"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lang w:val="en-US"/>
              </w:rPr>
              <w:t>0</w:t>
            </w:r>
            <w:r w:rsidRPr="00355BC4">
              <w:rPr>
                <w:rFonts w:ascii="Times New Roman" w:eastAsia="Times New Roman" w:hAnsi="Times New Roman" w:cs="Times New Roman"/>
                <w:color w:val="000000"/>
                <w:sz w:val="20"/>
                <w:szCs w:val="20"/>
                <w:lang w:val="en-US"/>
              </w:rPr>
              <w:t>,000</w:t>
            </w:r>
          </w:p>
        </w:tc>
        <w:tc>
          <w:tcPr>
            <w:tcW w:w="990" w:type="dxa"/>
            <w:shd w:val="clear" w:color="auto" w:fill="auto"/>
            <w:noWrap/>
            <w:vAlign w:val="center"/>
          </w:tcPr>
          <w:p w14:paraId="3306BA22" w14:textId="77777777" w:rsidR="00BB6756" w:rsidRPr="00355BC4" w:rsidRDefault="00BB6756"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241F889D"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c>
          <w:tcPr>
            <w:tcW w:w="1864" w:type="dxa"/>
            <w:vMerge/>
          </w:tcPr>
          <w:p w14:paraId="68C8B5D7" w14:textId="77777777" w:rsidR="00BB6756" w:rsidRPr="00355BC4" w:rsidRDefault="00BB6756" w:rsidP="00670351">
            <w:pPr>
              <w:jc w:val="left"/>
              <w:rPr>
                <w:rFonts w:ascii="Times New Roman" w:eastAsia="Times New Roman" w:hAnsi="Times New Roman" w:cs="Times New Roman"/>
                <w:color w:val="000000"/>
                <w:sz w:val="20"/>
                <w:szCs w:val="20"/>
                <w:lang w:val="en-US"/>
              </w:rPr>
            </w:pPr>
          </w:p>
        </w:tc>
      </w:tr>
      <w:tr w:rsidR="0053450F" w:rsidRPr="00355BC4" w14:paraId="3F688372" w14:textId="77777777" w:rsidTr="00BB6756">
        <w:trPr>
          <w:trHeight w:val="255"/>
        </w:trPr>
        <w:tc>
          <w:tcPr>
            <w:tcW w:w="2448" w:type="dxa"/>
            <w:vMerge/>
            <w:vAlign w:val="center"/>
            <w:hideMark/>
          </w:tcPr>
          <w:p w14:paraId="2D0A9486"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09F0948D"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6D7F9DB7"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652FE29F" w14:textId="77777777" w:rsidR="00BB6756" w:rsidRPr="00BB6756" w:rsidRDefault="00BB6756" w:rsidP="00BB6756">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Supplies, commodities,  materials (Workshop/</w:t>
            </w:r>
          </w:p>
          <w:p w14:paraId="53D27409" w14:textId="7915ED23" w:rsidR="00670351" w:rsidRPr="00355BC4" w:rsidRDefault="00BB6756" w:rsidP="00BB6756">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Training)</w:t>
            </w:r>
          </w:p>
        </w:tc>
        <w:tc>
          <w:tcPr>
            <w:tcW w:w="900" w:type="dxa"/>
            <w:shd w:val="clear" w:color="auto" w:fill="auto"/>
            <w:vAlign w:val="center"/>
            <w:hideMark/>
          </w:tcPr>
          <w:p w14:paraId="4BBA4F2A"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9,000</w:t>
            </w:r>
          </w:p>
        </w:tc>
        <w:tc>
          <w:tcPr>
            <w:tcW w:w="990" w:type="dxa"/>
            <w:shd w:val="clear" w:color="auto" w:fill="auto"/>
            <w:noWrap/>
            <w:vAlign w:val="center"/>
            <w:hideMark/>
          </w:tcPr>
          <w:p w14:paraId="457BEC8D"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3E2EC573"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235999A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53450F" w:rsidRPr="00355BC4" w14:paraId="57AD7594" w14:textId="77777777" w:rsidTr="00BB6756">
        <w:trPr>
          <w:trHeight w:val="395"/>
        </w:trPr>
        <w:tc>
          <w:tcPr>
            <w:tcW w:w="2448" w:type="dxa"/>
            <w:vMerge/>
            <w:vAlign w:val="center"/>
            <w:hideMark/>
          </w:tcPr>
          <w:p w14:paraId="278775D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12C0B99C"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069D5CDC"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5E000676"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Travel</w:t>
            </w:r>
          </w:p>
        </w:tc>
        <w:tc>
          <w:tcPr>
            <w:tcW w:w="900" w:type="dxa"/>
            <w:shd w:val="clear" w:color="auto" w:fill="auto"/>
            <w:vAlign w:val="center"/>
            <w:hideMark/>
          </w:tcPr>
          <w:p w14:paraId="4204D2F4"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w:t>
            </w:r>
            <w:r w:rsidRPr="00355BC4">
              <w:rPr>
                <w:rFonts w:ascii="Times New Roman" w:eastAsia="Times New Roman" w:hAnsi="Times New Roman" w:cs="Times New Roman"/>
                <w:color w:val="000000"/>
                <w:sz w:val="20"/>
                <w:szCs w:val="20"/>
                <w:lang w:val="en-US"/>
              </w:rPr>
              <w:t>,000</w:t>
            </w:r>
          </w:p>
        </w:tc>
        <w:tc>
          <w:tcPr>
            <w:tcW w:w="990" w:type="dxa"/>
            <w:shd w:val="clear" w:color="auto" w:fill="auto"/>
            <w:noWrap/>
            <w:vAlign w:val="center"/>
            <w:hideMark/>
          </w:tcPr>
          <w:p w14:paraId="4E1DBEAB"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662892C4"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3D935194"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53450F" w:rsidRPr="00355BC4" w14:paraId="471EC58A" w14:textId="77777777" w:rsidTr="00BB6756">
        <w:trPr>
          <w:trHeight w:val="147"/>
        </w:trPr>
        <w:tc>
          <w:tcPr>
            <w:tcW w:w="2448" w:type="dxa"/>
            <w:vMerge/>
            <w:vAlign w:val="center"/>
            <w:hideMark/>
          </w:tcPr>
          <w:p w14:paraId="34848E4D"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5C53EA26"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1A4AAD44"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3DE5CE0A" w14:textId="0FD3AA86" w:rsidR="00670351" w:rsidRPr="00355BC4" w:rsidRDefault="00BB6756" w:rsidP="00BB6756">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 xml:space="preserve">Equipment, Vehicles, and Furniture </w:t>
            </w:r>
            <w:r>
              <w:rPr>
                <w:rFonts w:ascii="Times New Roman" w:eastAsia="Times New Roman" w:hAnsi="Times New Roman" w:cs="Times New Roman"/>
                <w:color w:val="000000"/>
                <w:sz w:val="20"/>
                <w:szCs w:val="20"/>
                <w:lang w:val="en-US"/>
              </w:rPr>
              <w:t xml:space="preserve"> </w:t>
            </w:r>
          </w:p>
        </w:tc>
        <w:tc>
          <w:tcPr>
            <w:tcW w:w="900" w:type="dxa"/>
            <w:shd w:val="clear" w:color="auto" w:fill="auto"/>
            <w:vAlign w:val="center"/>
            <w:hideMark/>
          </w:tcPr>
          <w:p w14:paraId="341E2249"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711</w:t>
            </w:r>
          </w:p>
        </w:tc>
        <w:tc>
          <w:tcPr>
            <w:tcW w:w="990" w:type="dxa"/>
            <w:shd w:val="clear" w:color="auto" w:fill="auto"/>
            <w:noWrap/>
            <w:vAlign w:val="center"/>
            <w:hideMark/>
          </w:tcPr>
          <w:p w14:paraId="03161D65"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02725B20"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781E8D47"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53450F" w:rsidRPr="00355BC4" w14:paraId="5353902A" w14:textId="77777777" w:rsidTr="00BB6756">
        <w:trPr>
          <w:trHeight w:val="77"/>
        </w:trPr>
        <w:tc>
          <w:tcPr>
            <w:tcW w:w="2448" w:type="dxa"/>
            <w:vMerge/>
            <w:vAlign w:val="center"/>
            <w:hideMark/>
          </w:tcPr>
          <w:p w14:paraId="028D0EC9"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610" w:type="dxa"/>
            <w:vMerge/>
            <w:vAlign w:val="center"/>
            <w:hideMark/>
          </w:tcPr>
          <w:p w14:paraId="787CEBB7"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vMerge/>
            <w:vAlign w:val="center"/>
            <w:hideMark/>
          </w:tcPr>
          <w:p w14:paraId="6B6BBC3F"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1F21BBE4"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Contractual services</w:t>
            </w:r>
          </w:p>
        </w:tc>
        <w:tc>
          <w:tcPr>
            <w:tcW w:w="900" w:type="dxa"/>
            <w:shd w:val="clear" w:color="auto" w:fill="auto"/>
            <w:vAlign w:val="center"/>
            <w:hideMark/>
          </w:tcPr>
          <w:p w14:paraId="6C31EF2B"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10,000</w:t>
            </w:r>
          </w:p>
        </w:tc>
        <w:tc>
          <w:tcPr>
            <w:tcW w:w="990" w:type="dxa"/>
            <w:shd w:val="clear" w:color="auto" w:fill="auto"/>
            <w:noWrap/>
            <w:vAlign w:val="center"/>
            <w:hideMark/>
          </w:tcPr>
          <w:p w14:paraId="52B1408D"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75064BB1"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0D92C9C7"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BB6756" w:rsidRPr="00355BC4" w14:paraId="4648E3C3" w14:textId="77777777" w:rsidTr="00BB6756">
        <w:trPr>
          <w:trHeight w:val="510"/>
        </w:trPr>
        <w:tc>
          <w:tcPr>
            <w:tcW w:w="2448" w:type="dxa"/>
            <w:vMerge/>
            <w:vAlign w:val="center"/>
            <w:hideMark/>
          </w:tcPr>
          <w:p w14:paraId="47CE6FED"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5400" w:type="dxa"/>
            <w:gridSpan w:val="2"/>
            <w:vMerge w:val="restart"/>
            <w:shd w:val="clear" w:color="auto" w:fill="auto"/>
            <w:vAlign w:val="center"/>
            <w:hideMark/>
          </w:tcPr>
          <w:p w14:paraId="55A8BAAD" w14:textId="77777777" w:rsidR="00670351" w:rsidRPr="00355BC4" w:rsidRDefault="00670351" w:rsidP="00670351">
            <w:pPr>
              <w:jc w:val="left"/>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Management</w:t>
            </w:r>
          </w:p>
        </w:tc>
        <w:tc>
          <w:tcPr>
            <w:tcW w:w="2790" w:type="dxa"/>
            <w:shd w:val="clear" w:color="auto" w:fill="auto"/>
            <w:vAlign w:val="center"/>
            <w:hideMark/>
          </w:tcPr>
          <w:p w14:paraId="450E680C" w14:textId="7820AE41" w:rsidR="00670351" w:rsidRPr="00355BC4" w:rsidRDefault="00BB6756" w:rsidP="00670351">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 xml:space="preserve">Equipment, Vehicles, and Furniture </w:t>
            </w:r>
            <w:r>
              <w:rPr>
                <w:rFonts w:ascii="Times New Roman" w:eastAsia="Times New Roman" w:hAnsi="Times New Roman" w:cs="Times New Roman"/>
                <w:color w:val="000000"/>
                <w:sz w:val="20"/>
                <w:szCs w:val="20"/>
                <w:lang w:val="en-US"/>
              </w:rPr>
              <w:t xml:space="preserve"> </w:t>
            </w:r>
          </w:p>
        </w:tc>
        <w:tc>
          <w:tcPr>
            <w:tcW w:w="900" w:type="dxa"/>
            <w:shd w:val="clear" w:color="auto" w:fill="auto"/>
            <w:vAlign w:val="center"/>
            <w:hideMark/>
          </w:tcPr>
          <w:p w14:paraId="54BA6F19"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6,000</w:t>
            </w:r>
          </w:p>
        </w:tc>
        <w:tc>
          <w:tcPr>
            <w:tcW w:w="990" w:type="dxa"/>
            <w:shd w:val="clear" w:color="auto" w:fill="auto"/>
            <w:noWrap/>
            <w:vAlign w:val="center"/>
            <w:hideMark/>
          </w:tcPr>
          <w:p w14:paraId="0F44EAA7"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61EAB09A"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0385FD09"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BB6756" w:rsidRPr="00355BC4" w14:paraId="32FC4CF9" w14:textId="77777777" w:rsidTr="00BB6756">
        <w:trPr>
          <w:trHeight w:val="77"/>
        </w:trPr>
        <w:tc>
          <w:tcPr>
            <w:tcW w:w="2448" w:type="dxa"/>
            <w:vMerge/>
            <w:vAlign w:val="center"/>
            <w:hideMark/>
          </w:tcPr>
          <w:p w14:paraId="7556911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5400" w:type="dxa"/>
            <w:gridSpan w:val="2"/>
            <w:vMerge/>
            <w:vAlign w:val="center"/>
            <w:hideMark/>
          </w:tcPr>
          <w:p w14:paraId="15093D15"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2790" w:type="dxa"/>
            <w:shd w:val="clear" w:color="auto" w:fill="auto"/>
            <w:vAlign w:val="center"/>
            <w:hideMark/>
          </w:tcPr>
          <w:p w14:paraId="1E790FBE" w14:textId="72B0A5D2" w:rsidR="00670351" w:rsidRPr="00355BC4" w:rsidRDefault="00BB6756" w:rsidP="00670351">
            <w:pPr>
              <w:jc w:val="left"/>
              <w:rPr>
                <w:rFonts w:ascii="Times New Roman" w:eastAsia="Times New Roman" w:hAnsi="Times New Roman" w:cs="Times New Roman"/>
                <w:color w:val="000000"/>
                <w:sz w:val="20"/>
                <w:szCs w:val="20"/>
                <w:lang w:val="en-US"/>
              </w:rPr>
            </w:pPr>
            <w:r w:rsidRPr="00BB6756">
              <w:rPr>
                <w:rFonts w:ascii="Times New Roman" w:eastAsia="Times New Roman" w:hAnsi="Times New Roman" w:cs="Times New Roman"/>
                <w:color w:val="000000"/>
                <w:sz w:val="20"/>
                <w:szCs w:val="20"/>
                <w:lang w:val="en-US"/>
              </w:rPr>
              <w:t>General Operating and Other Direct Costs</w:t>
            </w:r>
          </w:p>
        </w:tc>
        <w:tc>
          <w:tcPr>
            <w:tcW w:w="900" w:type="dxa"/>
            <w:shd w:val="clear" w:color="auto" w:fill="auto"/>
            <w:vAlign w:val="center"/>
            <w:hideMark/>
          </w:tcPr>
          <w:p w14:paraId="255DBFF2" w14:textId="77777777" w:rsidR="00670351" w:rsidRPr="00355BC4" w:rsidRDefault="00670351" w:rsidP="00670351">
            <w:pPr>
              <w:jc w:val="center"/>
              <w:rPr>
                <w:rFonts w:ascii="Times New Roman" w:eastAsia="Times New Roman" w:hAnsi="Times New Roman" w:cs="Times New Roman"/>
                <w:color w:val="000000"/>
                <w:sz w:val="20"/>
                <w:szCs w:val="20"/>
                <w:lang w:val="en-US"/>
              </w:rPr>
            </w:pPr>
            <w:r w:rsidRPr="00355BC4">
              <w:rPr>
                <w:rFonts w:ascii="Times New Roman" w:eastAsia="Times New Roman" w:hAnsi="Times New Roman" w:cs="Times New Roman"/>
                <w:color w:val="000000"/>
                <w:sz w:val="20"/>
                <w:szCs w:val="20"/>
                <w:lang w:val="en-US"/>
              </w:rPr>
              <w:t>3,000</w:t>
            </w:r>
          </w:p>
        </w:tc>
        <w:tc>
          <w:tcPr>
            <w:tcW w:w="990" w:type="dxa"/>
            <w:shd w:val="clear" w:color="auto" w:fill="auto"/>
            <w:noWrap/>
            <w:vAlign w:val="center"/>
            <w:hideMark/>
          </w:tcPr>
          <w:p w14:paraId="18996B2D" w14:textId="77777777" w:rsidR="00670351" w:rsidRPr="00355BC4" w:rsidRDefault="00670351" w:rsidP="00670351">
            <w:pPr>
              <w:jc w:val="left"/>
              <w:rPr>
                <w:rFonts w:ascii="Times New Roman" w:eastAsia="Times New Roman" w:hAnsi="Times New Roman" w:cs="Times New Roman"/>
                <w:color w:val="000000"/>
                <w:sz w:val="20"/>
                <w:szCs w:val="20"/>
                <w:lang w:val="en-US"/>
              </w:rPr>
            </w:pPr>
            <w:proofErr w:type="spellStart"/>
            <w:r w:rsidRPr="00355BC4">
              <w:rPr>
                <w:rFonts w:ascii="Times New Roman" w:eastAsia="Times New Roman" w:hAnsi="Times New Roman" w:cs="Times New Roman"/>
                <w:color w:val="000000"/>
                <w:sz w:val="20"/>
                <w:szCs w:val="20"/>
                <w:lang w:val="en-US"/>
              </w:rPr>
              <w:t>TS</w:t>
            </w:r>
            <w:proofErr w:type="spellEnd"/>
          </w:p>
        </w:tc>
        <w:tc>
          <w:tcPr>
            <w:tcW w:w="926" w:type="dxa"/>
            <w:vMerge/>
          </w:tcPr>
          <w:p w14:paraId="50B16308"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c>
          <w:tcPr>
            <w:tcW w:w="1864" w:type="dxa"/>
            <w:vMerge/>
          </w:tcPr>
          <w:p w14:paraId="403100E6" w14:textId="77777777" w:rsidR="00670351" w:rsidRPr="00355BC4" w:rsidRDefault="00670351" w:rsidP="00670351">
            <w:pPr>
              <w:jc w:val="left"/>
              <w:rPr>
                <w:rFonts w:ascii="Times New Roman" w:eastAsia="Times New Roman" w:hAnsi="Times New Roman" w:cs="Times New Roman"/>
                <w:color w:val="000000"/>
                <w:sz w:val="20"/>
                <w:szCs w:val="20"/>
                <w:lang w:val="en-US"/>
              </w:rPr>
            </w:pPr>
          </w:p>
        </w:tc>
      </w:tr>
      <w:tr w:rsidR="0053450F" w:rsidRPr="00A56E4B" w14:paraId="707B2DEC" w14:textId="77777777" w:rsidTr="00BB6756">
        <w:trPr>
          <w:trHeight w:val="261"/>
        </w:trPr>
        <w:tc>
          <w:tcPr>
            <w:tcW w:w="7848" w:type="dxa"/>
            <w:gridSpan w:val="3"/>
            <w:vMerge w:val="restart"/>
            <w:shd w:val="clear" w:color="auto" w:fill="auto"/>
            <w:vAlign w:val="center"/>
          </w:tcPr>
          <w:p w14:paraId="1421C8FF"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p>
        </w:tc>
        <w:tc>
          <w:tcPr>
            <w:tcW w:w="2790" w:type="dxa"/>
            <w:shd w:val="clear" w:color="auto" w:fill="auto"/>
            <w:vAlign w:val="center"/>
          </w:tcPr>
          <w:p w14:paraId="24D0EFE7" w14:textId="598E7B07" w:rsidR="0053450F" w:rsidRPr="0053450F" w:rsidRDefault="0053450F" w:rsidP="0053450F">
            <w:pPr>
              <w:rPr>
                <w:sz w:val="20"/>
                <w:szCs w:val="20"/>
                <w:lang w:val="en-US"/>
              </w:rPr>
            </w:pPr>
            <w:r w:rsidRPr="0053450F">
              <w:rPr>
                <w:sz w:val="20"/>
                <w:szCs w:val="20"/>
                <w:lang w:val="en-US"/>
              </w:rPr>
              <w:t>Co-financing (in-kind)</w:t>
            </w:r>
          </w:p>
        </w:tc>
        <w:tc>
          <w:tcPr>
            <w:tcW w:w="900" w:type="dxa"/>
            <w:shd w:val="clear" w:color="auto" w:fill="auto"/>
            <w:vAlign w:val="center"/>
          </w:tcPr>
          <w:p w14:paraId="7E902BE2"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22,000</w:t>
            </w:r>
          </w:p>
        </w:tc>
        <w:tc>
          <w:tcPr>
            <w:tcW w:w="3780" w:type="dxa"/>
            <w:gridSpan w:val="3"/>
            <w:vMerge w:val="restart"/>
            <w:shd w:val="clear" w:color="auto" w:fill="auto"/>
            <w:noWrap/>
            <w:vAlign w:val="bottom"/>
          </w:tcPr>
          <w:p w14:paraId="2339E9A9" w14:textId="77777777" w:rsidR="0053450F" w:rsidRPr="00A56E4B" w:rsidRDefault="0053450F" w:rsidP="00670351">
            <w:pPr>
              <w:jc w:val="left"/>
              <w:rPr>
                <w:rFonts w:ascii="Times New Roman" w:eastAsia="Times New Roman" w:hAnsi="Times New Roman" w:cs="Times New Roman"/>
                <w:b/>
                <w:color w:val="000000"/>
                <w:sz w:val="20"/>
                <w:szCs w:val="20"/>
                <w:lang w:val="en-US"/>
              </w:rPr>
            </w:pPr>
            <w:r w:rsidRPr="00A56E4B">
              <w:rPr>
                <w:rFonts w:ascii="Times New Roman" w:eastAsia="Times New Roman" w:hAnsi="Times New Roman" w:cs="Times New Roman"/>
                <w:b/>
                <w:color w:val="000000"/>
                <w:sz w:val="20"/>
                <w:szCs w:val="20"/>
                <w:lang w:val="en-US"/>
              </w:rPr>
              <w:t> </w:t>
            </w:r>
          </w:p>
          <w:p w14:paraId="7FC5B9A7" w14:textId="77777777" w:rsidR="0053450F" w:rsidRPr="00A56E4B" w:rsidRDefault="0053450F" w:rsidP="00670351">
            <w:pPr>
              <w:jc w:val="left"/>
              <w:rPr>
                <w:rFonts w:ascii="Times New Roman" w:eastAsia="Times New Roman" w:hAnsi="Times New Roman" w:cs="Times New Roman"/>
                <w:b/>
                <w:color w:val="000000"/>
                <w:sz w:val="20"/>
                <w:szCs w:val="20"/>
                <w:lang w:val="en-US"/>
              </w:rPr>
            </w:pPr>
            <w:r w:rsidRPr="00A56E4B">
              <w:rPr>
                <w:rFonts w:ascii="Times New Roman" w:eastAsia="Times New Roman" w:hAnsi="Times New Roman" w:cs="Times New Roman"/>
                <w:b/>
                <w:color w:val="000000"/>
                <w:sz w:val="20"/>
                <w:szCs w:val="20"/>
                <w:lang w:val="en-US"/>
              </w:rPr>
              <w:t> </w:t>
            </w:r>
          </w:p>
          <w:p w14:paraId="5F7043E3" w14:textId="77777777" w:rsidR="0053450F" w:rsidRPr="00A56E4B" w:rsidRDefault="0053450F" w:rsidP="0053450F">
            <w:pPr>
              <w:jc w:val="left"/>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 xml:space="preserve"> </w:t>
            </w:r>
          </w:p>
          <w:p w14:paraId="53BC0E3D" w14:textId="70E93DD8" w:rsidR="0053450F" w:rsidRPr="00A56E4B" w:rsidRDefault="0053450F" w:rsidP="00670351">
            <w:pPr>
              <w:jc w:val="left"/>
              <w:rPr>
                <w:rFonts w:ascii="Times New Roman" w:eastAsia="Times New Roman" w:hAnsi="Times New Roman" w:cs="Times New Roman"/>
                <w:color w:val="000000"/>
                <w:sz w:val="20"/>
                <w:szCs w:val="20"/>
                <w:lang w:val="en-US"/>
              </w:rPr>
            </w:pPr>
            <w:r w:rsidRPr="00A56E4B">
              <w:rPr>
                <w:rFonts w:ascii="Times New Roman" w:eastAsia="Times New Roman" w:hAnsi="Times New Roman" w:cs="Times New Roman"/>
                <w:b/>
                <w:color w:val="000000"/>
                <w:sz w:val="20"/>
                <w:szCs w:val="20"/>
                <w:lang w:val="en-US"/>
              </w:rPr>
              <w:t> </w:t>
            </w:r>
          </w:p>
        </w:tc>
      </w:tr>
      <w:tr w:rsidR="0053450F" w:rsidRPr="00A56E4B" w14:paraId="6623B1B0" w14:textId="77777777" w:rsidTr="00BB6756">
        <w:trPr>
          <w:trHeight w:val="251"/>
        </w:trPr>
        <w:tc>
          <w:tcPr>
            <w:tcW w:w="7848" w:type="dxa"/>
            <w:gridSpan w:val="3"/>
            <w:vMerge/>
            <w:shd w:val="clear" w:color="auto" w:fill="auto"/>
            <w:vAlign w:val="center"/>
            <w:hideMark/>
          </w:tcPr>
          <w:p w14:paraId="409DA8ED"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p>
        </w:tc>
        <w:tc>
          <w:tcPr>
            <w:tcW w:w="2790" w:type="dxa"/>
            <w:shd w:val="clear" w:color="auto" w:fill="auto"/>
            <w:vAlign w:val="center"/>
            <w:hideMark/>
          </w:tcPr>
          <w:p w14:paraId="7B665F0A" w14:textId="77777777" w:rsidR="0053450F" w:rsidRPr="0053450F" w:rsidRDefault="0053450F" w:rsidP="00670351">
            <w:pPr>
              <w:rPr>
                <w:sz w:val="20"/>
                <w:szCs w:val="20"/>
                <w:lang w:val="en-US"/>
              </w:rPr>
            </w:pPr>
            <w:r w:rsidRPr="0053450F">
              <w:rPr>
                <w:sz w:val="20"/>
                <w:szCs w:val="20"/>
                <w:lang w:val="en-US"/>
              </w:rPr>
              <w:t>Co-financing (grant)</w:t>
            </w:r>
          </w:p>
        </w:tc>
        <w:tc>
          <w:tcPr>
            <w:tcW w:w="900" w:type="dxa"/>
            <w:shd w:val="clear" w:color="auto" w:fill="auto"/>
            <w:vAlign w:val="center"/>
          </w:tcPr>
          <w:p w14:paraId="215905C2" w14:textId="76765719" w:rsidR="0053450F" w:rsidRPr="00A56E4B" w:rsidRDefault="00300567" w:rsidP="00670351">
            <w:pPr>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4</w:t>
            </w:r>
            <w:r w:rsidR="0053450F">
              <w:rPr>
                <w:rFonts w:ascii="Times New Roman" w:eastAsia="Times New Roman" w:hAnsi="Times New Roman" w:cs="Times New Roman"/>
                <w:b/>
                <w:bCs/>
                <w:color w:val="000000"/>
                <w:sz w:val="20"/>
                <w:szCs w:val="20"/>
                <w:lang w:val="en-US"/>
              </w:rPr>
              <w:t>0</w:t>
            </w:r>
            <w:r w:rsidR="0053450F" w:rsidRPr="00A56E4B">
              <w:rPr>
                <w:rFonts w:ascii="Times New Roman" w:eastAsia="Times New Roman" w:hAnsi="Times New Roman" w:cs="Times New Roman"/>
                <w:b/>
                <w:bCs/>
                <w:color w:val="000000"/>
                <w:sz w:val="20"/>
                <w:szCs w:val="20"/>
                <w:lang w:val="en-US"/>
              </w:rPr>
              <w:t>,000</w:t>
            </w:r>
          </w:p>
        </w:tc>
        <w:tc>
          <w:tcPr>
            <w:tcW w:w="3780" w:type="dxa"/>
            <w:gridSpan w:val="3"/>
            <w:vMerge/>
            <w:shd w:val="clear" w:color="auto" w:fill="auto"/>
            <w:noWrap/>
            <w:vAlign w:val="bottom"/>
            <w:hideMark/>
          </w:tcPr>
          <w:p w14:paraId="5433E6A2" w14:textId="77777777" w:rsidR="0053450F" w:rsidRPr="00A56E4B" w:rsidRDefault="0053450F" w:rsidP="00670351">
            <w:pPr>
              <w:jc w:val="left"/>
              <w:rPr>
                <w:rFonts w:ascii="Times New Roman" w:eastAsia="Times New Roman" w:hAnsi="Times New Roman" w:cs="Times New Roman"/>
                <w:color w:val="000000"/>
                <w:sz w:val="20"/>
                <w:szCs w:val="20"/>
                <w:lang w:val="en-US"/>
              </w:rPr>
            </w:pPr>
          </w:p>
        </w:tc>
      </w:tr>
      <w:tr w:rsidR="0053450F" w:rsidRPr="00A56E4B" w14:paraId="6AE2F5A4" w14:textId="77777777" w:rsidTr="00BB6756">
        <w:trPr>
          <w:trHeight w:val="300"/>
        </w:trPr>
        <w:tc>
          <w:tcPr>
            <w:tcW w:w="7848" w:type="dxa"/>
            <w:gridSpan w:val="3"/>
            <w:vMerge/>
            <w:shd w:val="clear" w:color="auto" w:fill="auto"/>
            <w:vAlign w:val="center"/>
            <w:hideMark/>
          </w:tcPr>
          <w:p w14:paraId="026488CE"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p>
        </w:tc>
        <w:tc>
          <w:tcPr>
            <w:tcW w:w="2790" w:type="dxa"/>
            <w:shd w:val="clear" w:color="auto" w:fill="auto"/>
            <w:noWrap/>
            <w:vAlign w:val="center"/>
            <w:hideMark/>
          </w:tcPr>
          <w:p w14:paraId="65E0EE79" w14:textId="77777777" w:rsidR="0053450F" w:rsidRPr="0053450F" w:rsidRDefault="0053450F" w:rsidP="00670351">
            <w:pPr>
              <w:rPr>
                <w:sz w:val="20"/>
                <w:szCs w:val="20"/>
                <w:lang w:val="en-US"/>
              </w:rPr>
            </w:pPr>
            <w:r w:rsidRPr="0053450F">
              <w:rPr>
                <w:sz w:val="20"/>
                <w:szCs w:val="20"/>
                <w:lang w:val="en-US"/>
              </w:rPr>
              <w:t>Targeted Support (</w:t>
            </w:r>
            <w:proofErr w:type="spellStart"/>
            <w:r w:rsidRPr="0053450F">
              <w:rPr>
                <w:sz w:val="20"/>
                <w:szCs w:val="20"/>
                <w:lang w:val="en-US"/>
              </w:rPr>
              <w:t>TS</w:t>
            </w:r>
            <w:proofErr w:type="spellEnd"/>
            <w:r w:rsidRPr="0053450F">
              <w:rPr>
                <w:sz w:val="20"/>
                <w:szCs w:val="20"/>
                <w:lang w:val="en-US"/>
              </w:rPr>
              <w:t>)</w:t>
            </w:r>
          </w:p>
        </w:tc>
        <w:tc>
          <w:tcPr>
            <w:tcW w:w="900" w:type="dxa"/>
            <w:shd w:val="clear" w:color="auto" w:fill="auto"/>
            <w:vAlign w:val="center"/>
          </w:tcPr>
          <w:p w14:paraId="0129752D"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86911</w:t>
            </w:r>
          </w:p>
        </w:tc>
        <w:tc>
          <w:tcPr>
            <w:tcW w:w="3780" w:type="dxa"/>
            <w:gridSpan w:val="3"/>
            <w:vMerge/>
            <w:shd w:val="clear" w:color="auto" w:fill="auto"/>
            <w:noWrap/>
            <w:vAlign w:val="bottom"/>
            <w:hideMark/>
          </w:tcPr>
          <w:p w14:paraId="2169976D" w14:textId="77777777" w:rsidR="0053450F" w:rsidRPr="00A56E4B" w:rsidRDefault="0053450F" w:rsidP="00670351">
            <w:pPr>
              <w:jc w:val="left"/>
              <w:rPr>
                <w:rFonts w:ascii="Times New Roman" w:eastAsia="Times New Roman" w:hAnsi="Times New Roman" w:cs="Times New Roman"/>
                <w:color w:val="000000"/>
                <w:sz w:val="20"/>
                <w:szCs w:val="20"/>
                <w:lang w:val="en-US"/>
              </w:rPr>
            </w:pPr>
          </w:p>
        </w:tc>
      </w:tr>
      <w:tr w:rsidR="0053450F" w:rsidRPr="00A56E4B" w14:paraId="525B56A3" w14:textId="77777777" w:rsidTr="00BB6756">
        <w:trPr>
          <w:trHeight w:val="300"/>
        </w:trPr>
        <w:tc>
          <w:tcPr>
            <w:tcW w:w="7848" w:type="dxa"/>
            <w:gridSpan w:val="3"/>
            <w:vMerge/>
            <w:shd w:val="clear" w:color="auto" w:fill="auto"/>
            <w:vAlign w:val="center"/>
            <w:hideMark/>
          </w:tcPr>
          <w:p w14:paraId="1FF69040"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p>
        </w:tc>
        <w:tc>
          <w:tcPr>
            <w:tcW w:w="2790" w:type="dxa"/>
            <w:shd w:val="clear" w:color="auto" w:fill="auto"/>
            <w:vAlign w:val="center"/>
            <w:hideMark/>
          </w:tcPr>
          <w:p w14:paraId="5108A61D" w14:textId="04118EA4" w:rsidR="0053450F" w:rsidRPr="0053450F" w:rsidRDefault="0053450F" w:rsidP="0053450F">
            <w:pPr>
              <w:rPr>
                <w:sz w:val="20"/>
                <w:szCs w:val="20"/>
                <w:lang w:val="en-US"/>
              </w:rPr>
            </w:pPr>
            <w:r w:rsidRPr="0053450F">
              <w:rPr>
                <w:sz w:val="20"/>
                <w:szCs w:val="20"/>
                <w:lang w:val="en-US"/>
              </w:rPr>
              <w:t>GMS (5%)</w:t>
            </w:r>
            <w:r w:rsidRPr="0053450F">
              <w:rPr>
                <w:sz w:val="20"/>
                <w:szCs w:val="20"/>
                <w:lang w:val="en-US"/>
              </w:rPr>
              <w:t xml:space="preserve"> </w:t>
            </w:r>
            <w:r>
              <w:rPr>
                <w:sz w:val="20"/>
                <w:szCs w:val="20"/>
                <w:lang w:val="en-US"/>
              </w:rPr>
              <w:t xml:space="preserve">of </w:t>
            </w:r>
            <w:proofErr w:type="spellStart"/>
            <w:r>
              <w:rPr>
                <w:sz w:val="20"/>
                <w:szCs w:val="20"/>
                <w:lang w:val="en-US"/>
              </w:rPr>
              <w:t>TS</w:t>
            </w:r>
            <w:proofErr w:type="spellEnd"/>
          </w:p>
        </w:tc>
        <w:tc>
          <w:tcPr>
            <w:tcW w:w="900" w:type="dxa"/>
            <w:shd w:val="clear" w:color="auto" w:fill="auto"/>
            <w:vAlign w:val="center"/>
          </w:tcPr>
          <w:p w14:paraId="53D98F95"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4574</w:t>
            </w:r>
          </w:p>
        </w:tc>
        <w:tc>
          <w:tcPr>
            <w:tcW w:w="3780" w:type="dxa"/>
            <w:gridSpan w:val="3"/>
            <w:vMerge/>
            <w:shd w:val="clear" w:color="auto" w:fill="auto"/>
            <w:noWrap/>
            <w:vAlign w:val="bottom"/>
            <w:hideMark/>
          </w:tcPr>
          <w:p w14:paraId="58D7300D" w14:textId="77777777" w:rsidR="0053450F" w:rsidRPr="00A56E4B" w:rsidRDefault="0053450F" w:rsidP="00670351">
            <w:pPr>
              <w:jc w:val="left"/>
              <w:rPr>
                <w:rFonts w:ascii="Times New Roman" w:eastAsia="Times New Roman" w:hAnsi="Times New Roman" w:cs="Times New Roman"/>
                <w:color w:val="000000"/>
                <w:sz w:val="20"/>
                <w:szCs w:val="20"/>
                <w:lang w:val="en-US"/>
              </w:rPr>
            </w:pPr>
          </w:p>
        </w:tc>
      </w:tr>
      <w:tr w:rsidR="0053450F" w:rsidRPr="00A56E4B" w14:paraId="5EF6280F" w14:textId="77777777" w:rsidTr="00BB6756">
        <w:trPr>
          <w:trHeight w:val="360"/>
        </w:trPr>
        <w:tc>
          <w:tcPr>
            <w:tcW w:w="7848" w:type="dxa"/>
            <w:gridSpan w:val="3"/>
            <w:vMerge/>
            <w:shd w:val="clear" w:color="auto" w:fill="auto"/>
            <w:vAlign w:val="center"/>
            <w:hideMark/>
          </w:tcPr>
          <w:p w14:paraId="151784FB" w14:textId="77777777" w:rsidR="0053450F" w:rsidRPr="00A56E4B" w:rsidRDefault="0053450F" w:rsidP="00670351">
            <w:pPr>
              <w:jc w:val="center"/>
              <w:rPr>
                <w:rFonts w:ascii="Times New Roman" w:eastAsia="Times New Roman" w:hAnsi="Times New Roman" w:cs="Times New Roman"/>
                <w:b/>
                <w:bCs/>
                <w:color w:val="000000"/>
                <w:sz w:val="20"/>
                <w:szCs w:val="20"/>
                <w:lang w:val="en-US"/>
              </w:rPr>
            </w:pPr>
          </w:p>
        </w:tc>
        <w:tc>
          <w:tcPr>
            <w:tcW w:w="2790" w:type="dxa"/>
            <w:shd w:val="clear" w:color="auto" w:fill="auto"/>
            <w:vAlign w:val="center"/>
            <w:hideMark/>
          </w:tcPr>
          <w:p w14:paraId="42555BE3" w14:textId="77777777" w:rsidR="0053450F" w:rsidRPr="0053450F" w:rsidRDefault="0053450F" w:rsidP="00670351">
            <w:pPr>
              <w:rPr>
                <w:sz w:val="20"/>
                <w:szCs w:val="20"/>
                <w:lang w:val="en-US"/>
              </w:rPr>
            </w:pPr>
            <w:r w:rsidRPr="0053450F">
              <w:rPr>
                <w:sz w:val="20"/>
                <w:szCs w:val="20"/>
                <w:lang w:val="en-US"/>
              </w:rPr>
              <w:t xml:space="preserve">Total </w:t>
            </w:r>
          </w:p>
        </w:tc>
        <w:tc>
          <w:tcPr>
            <w:tcW w:w="900" w:type="dxa"/>
            <w:shd w:val="clear" w:color="auto" w:fill="auto"/>
            <w:vAlign w:val="center"/>
          </w:tcPr>
          <w:p w14:paraId="5FB2F0F9" w14:textId="0F9EDC2A" w:rsidR="0053450F" w:rsidRPr="00A56E4B" w:rsidRDefault="0053450F" w:rsidP="00300567">
            <w:pPr>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w:t>
            </w:r>
            <w:r w:rsidR="00300567">
              <w:rPr>
                <w:rFonts w:ascii="Times New Roman" w:eastAsia="Times New Roman" w:hAnsi="Times New Roman" w:cs="Times New Roman"/>
                <w:b/>
                <w:bCs/>
                <w:color w:val="000000"/>
                <w:sz w:val="20"/>
                <w:szCs w:val="20"/>
                <w:lang w:val="en-US"/>
              </w:rPr>
              <w:t>5</w:t>
            </w:r>
            <w:r>
              <w:rPr>
                <w:rFonts w:ascii="Times New Roman" w:eastAsia="Times New Roman" w:hAnsi="Times New Roman" w:cs="Times New Roman"/>
                <w:b/>
                <w:bCs/>
                <w:color w:val="000000"/>
                <w:sz w:val="20"/>
                <w:szCs w:val="20"/>
                <w:lang w:val="en-US"/>
              </w:rPr>
              <w:t>3,485</w:t>
            </w:r>
          </w:p>
        </w:tc>
        <w:tc>
          <w:tcPr>
            <w:tcW w:w="3780" w:type="dxa"/>
            <w:gridSpan w:val="3"/>
            <w:vMerge/>
            <w:shd w:val="clear" w:color="auto" w:fill="auto"/>
            <w:noWrap/>
            <w:vAlign w:val="bottom"/>
            <w:hideMark/>
          </w:tcPr>
          <w:p w14:paraId="412FB9C2" w14:textId="77777777" w:rsidR="0053450F" w:rsidRPr="00A56E4B" w:rsidRDefault="0053450F" w:rsidP="00670351">
            <w:pPr>
              <w:jc w:val="left"/>
              <w:rPr>
                <w:rFonts w:ascii="Times New Roman" w:eastAsia="Times New Roman" w:hAnsi="Times New Roman" w:cs="Times New Roman"/>
                <w:color w:val="000000"/>
                <w:sz w:val="20"/>
                <w:szCs w:val="20"/>
                <w:lang w:val="en-US"/>
              </w:rPr>
            </w:pPr>
          </w:p>
        </w:tc>
      </w:tr>
    </w:tbl>
    <w:p w14:paraId="420CE2D9" w14:textId="77777777" w:rsidR="00355BC4" w:rsidRPr="00A56E4B" w:rsidRDefault="00355BC4" w:rsidP="003B5A59">
      <w:pPr>
        <w:rPr>
          <w:sz w:val="20"/>
          <w:szCs w:val="20"/>
        </w:rPr>
      </w:pPr>
    </w:p>
    <w:sectPr w:rsidR="00355BC4" w:rsidRPr="00A56E4B" w:rsidSect="003B5A59">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C81FC" w14:textId="77777777" w:rsidR="00193B38" w:rsidRDefault="00193B38" w:rsidP="00FC124B">
      <w:r>
        <w:separator/>
      </w:r>
    </w:p>
  </w:endnote>
  <w:endnote w:type="continuationSeparator" w:id="0">
    <w:p w14:paraId="0A19994F" w14:textId="77777777" w:rsidR="00193B38" w:rsidRDefault="00193B38" w:rsidP="00FC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Eras Light ITC"/>
    <w:charset w:val="00"/>
    <w:family w:val="auto"/>
    <w:pitch w:val="variable"/>
    <w:sig w:usb0="00000000"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99C7" w14:textId="77777777" w:rsidR="00D42777" w:rsidRDefault="00D42777" w:rsidP="00044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C65D8" w14:textId="77777777" w:rsidR="00D42777" w:rsidRDefault="00D42777" w:rsidP="000447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158DE" w14:textId="77777777" w:rsidR="00D42777" w:rsidRDefault="00D42777" w:rsidP="00044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756">
      <w:rPr>
        <w:rStyle w:val="PageNumber"/>
        <w:noProof/>
      </w:rPr>
      <w:t>1</w:t>
    </w:r>
    <w:r>
      <w:rPr>
        <w:rStyle w:val="PageNumber"/>
      </w:rPr>
      <w:fldChar w:fldCharType="end"/>
    </w:r>
  </w:p>
  <w:p w14:paraId="2A6AFE83" w14:textId="77777777" w:rsidR="00D42777" w:rsidRDefault="00D42777" w:rsidP="000447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FADFF" w14:textId="77777777" w:rsidR="00193B38" w:rsidRDefault="00193B38" w:rsidP="00FC124B">
      <w:r>
        <w:separator/>
      </w:r>
    </w:p>
  </w:footnote>
  <w:footnote w:type="continuationSeparator" w:id="0">
    <w:p w14:paraId="612F7649" w14:textId="77777777" w:rsidR="00193B38" w:rsidRDefault="00193B38" w:rsidP="00FC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943"/>
    <w:multiLevelType w:val="hybridMultilevel"/>
    <w:tmpl w:val="11AE9E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87B26"/>
    <w:multiLevelType w:val="hybridMultilevel"/>
    <w:tmpl w:val="78A8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E1A24"/>
    <w:multiLevelType w:val="hybridMultilevel"/>
    <w:tmpl w:val="0812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86FB5"/>
    <w:multiLevelType w:val="hybridMultilevel"/>
    <w:tmpl w:val="81CC1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2A4D26"/>
    <w:multiLevelType w:val="hybridMultilevel"/>
    <w:tmpl w:val="C03E9EF4"/>
    <w:lvl w:ilvl="0" w:tplc="23C8F6E0">
      <w:start w:val="20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D3623"/>
    <w:multiLevelType w:val="hybridMultilevel"/>
    <w:tmpl w:val="11E0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E3745"/>
    <w:multiLevelType w:val="hybridMultilevel"/>
    <w:tmpl w:val="4472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A52D06"/>
    <w:multiLevelType w:val="multilevel"/>
    <w:tmpl w:val="E188BA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525679BE"/>
    <w:multiLevelType w:val="hybridMultilevel"/>
    <w:tmpl w:val="5D64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D1DF8"/>
    <w:multiLevelType w:val="hybridMultilevel"/>
    <w:tmpl w:val="E3642EA4"/>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07637F"/>
    <w:multiLevelType w:val="hybridMultilevel"/>
    <w:tmpl w:val="B9CEA54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nsid w:val="66FA56BD"/>
    <w:multiLevelType w:val="hybridMultilevel"/>
    <w:tmpl w:val="CFEC1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F0C84"/>
    <w:multiLevelType w:val="hybridMultilevel"/>
    <w:tmpl w:val="07B4EB60"/>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3"/>
  </w:num>
  <w:num w:numId="5">
    <w:abstractNumId w:val="5"/>
  </w:num>
  <w:num w:numId="6">
    <w:abstractNumId w:val="2"/>
  </w:num>
  <w:num w:numId="7">
    <w:abstractNumId w:val="0"/>
  </w:num>
  <w:num w:numId="8">
    <w:abstractNumId w:val="10"/>
  </w:num>
  <w:num w:numId="9">
    <w:abstractNumId w:val="7"/>
  </w:num>
  <w:num w:numId="10">
    <w:abstractNumId w:val="6"/>
  </w:num>
  <w:num w:numId="11">
    <w:abstractNumId w:val="3"/>
  </w:num>
  <w:num w:numId="12">
    <w:abstractNumId w:val="12"/>
  </w:num>
  <w:num w:numId="13">
    <w:abstractNumId w:val="1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B7"/>
    <w:rsid w:val="0001682D"/>
    <w:rsid w:val="0001757E"/>
    <w:rsid w:val="0004476A"/>
    <w:rsid w:val="000515F2"/>
    <w:rsid w:val="0006149A"/>
    <w:rsid w:val="0006241A"/>
    <w:rsid w:val="00083175"/>
    <w:rsid w:val="000B524B"/>
    <w:rsid w:val="000C2DC6"/>
    <w:rsid w:val="000D764A"/>
    <w:rsid w:val="000E2C57"/>
    <w:rsid w:val="000F1A64"/>
    <w:rsid w:val="0010042E"/>
    <w:rsid w:val="00100A32"/>
    <w:rsid w:val="00101F68"/>
    <w:rsid w:val="00113D00"/>
    <w:rsid w:val="00123A26"/>
    <w:rsid w:val="00125018"/>
    <w:rsid w:val="00133FDA"/>
    <w:rsid w:val="00140A74"/>
    <w:rsid w:val="00155E67"/>
    <w:rsid w:val="00160300"/>
    <w:rsid w:val="00170D0A"/>
    <w:rsid w:val="00180105"/>
    <w:rsid w:val="001937BE"/>
    <w:rsid w:val="00193B38"/>
    <w:rsid w:val="00194BF8"/>
    <w:rsid w:val="001A59DE"/>
    <w:rsid w:val="001B0A0C"/>
    <w:rsid w:val="00240C62"/>
    <w:rsid w:val="0024666E"/>
    <w:rsid w:val="00267914"/>
    <w:rsid w:val="00270255"/>
    <w:rsid w:val="0029737C"/>
    <w:rsid w:val="002B0077"/>
    <w:rsid w:val="002B3368"/>
    <w:rsid w:val="002C02A7"/>
    <w:rsid w:val="002C215B"/>
    <w:rsid w:val="002C25A5"/>
    <w:rsid w:val="002D6525"/>
    <w:rsid w:val="00300567"/>
    <w:rsid w:val="00310B94"/>
    <w:rsid w:val="00311236"/>
    <w:rsid w:val="0031571F"/>
    <w:rsid w:val="00337D36"/>
    <w:rsid w:val="0034092D"/>
    <w:rsid w:val="003479AB"/>
    <w:rsid w:val="00355BC4"/>
    <w:rsid w:val="00370A29"/>
    <w:rsid w:val="00376054"/>
    <w:rsid w:val="00386E76"/>
    <w:rsid w:val="003B5A59"/>
    <w:rsid w:val="003E283E"/>
    <w:rsid w:val="003E36D5"/>
    <w:rsid w:val="003F079F"/>
    <w:rsid w:val="00405848"/>
    <w:rsid w:val="00423418"/>
    <w:rsid w:val="004373F4"/>
    <w:rsid w:val="004376FE"/>
    <w:rsid w:val="00463EFF"/>
    <w:rsid w:val="00470140"/>
    <w:rsid w:val="00485380"/>
    <w:rsid w:val="00494D50"/>
    <w:rsid w:val="00496E33"/>
    <w:rsid w:val="004C35A2"/>
    <w:rsid w:val="004E46E0"/>
    <w:rsid w:val="00513E94"/>
    <w:rsid w:val="00515C53"/>
    <w:rsid w:val="0053450F"/>
    <w:rsid w:val="005565F2"/>
    <w:rsid w:val="005808DF"/>
    <w:rsid w:val="00581D73"/>
    <w:rsid w:val="0059374F"/>
    <w:rsid w:val="00595A66"/>
    <w:rsid w:val="005A3BF0"/>
    <w:rsid w:val="005B0ACE"/>
    <w:rsid w:val="005B5DFE"/>
    <w:rsid w:val="005E7A48"/>
    <w:rsid w:val="00626531"/>
    <w:rsid w:val="00626956"/>
    <w:rsid w:val="00630AA6"/>
    <w:rsid w:val="00645D34"/>
    <w:rsid w:val="00664456"/>
    <w:rsid w:val="00670351"/>
    <w:rsid w:val="00692E78"/>
    <w:rsid w:val="00692F3B"/>
    <w:rsid w:val="006931EF"/>
    <w:rsid w:val="006A1911"/>
    <w:rsid w:val="006A6ED5"/>
    <w:rsid w:val="006C2C4C"/>
    <w:rsid w:val="006D0A05"/>
    <w:rsid w:val="006F5EB1"/>
    <w:rsid w:val="007205B0"/>
    <w:rsid w:val="0073519E"/>
    <w:rsid w:val="007676E6"/>
    <w:rsid w:val="00784B9D"/>
    <w:rsid w:val="0079681D"/>
    <w:rsid w:val="007A38AB"/>
    <w:rsid w:val="007A3DAE"/>
    <w:rsid w:val="007C3CE9"/>
    <w:rsid w:val="007F0D49"/>
    <w:rsid w:val="00804A68"/>
    <w:rsid w:val="00812439"/>
    <w:rsid w:val="00815181"/>
    <w:rsid w:val="008D6561"/>
    <w:rsid w:val="008D7394"/>
    <w:rsid w:val="008E03E5"/>
    <w:rsid w:val="008F6266"/>
    <w:rsid w:val="00905F38"/>
    <w:rsid w:val="00907CEC"/>
    <w:rsid w:val="00917B18"/>
    <w:rsid w:val="00926DCB"/>
    <w:rsid w:val="0094322F"/>
    <w:rsid w:val="00974002"/>
    <w:rsid w:val="009A6F3C"/>
    <w:rsid w:val="009F486C"/>
    <w:rsid w:val="00A04589"/>
    <w:rsid w:val="00A22484"/>
    <w:rsid w:val="00A22ADB"/>
    <w:rsid w:val="00A33975"/>
    <w:rsid w:val="00A56E4B"/>
    <w:rsid w:val="00A63580"/>
    <w:rsid w:val="00AB0521"/>
    <w:rsid w:val="00AB4C7F"/>
    <w:rsid w:val="00AC3B4A"/>
    <w:rsid w:val="00AC68B8"/>
    <w:rsid w:val="00AD318E"/>
    <w:rsid w:val="00AD663E"/>
    <w:rsid w:val="00AE57C9"/>
    <w:rsid w:val="00AF5F34"/>
    <w:rsid w:val="00B107D6"/>
    <w:rsid w:val="00B25AD6"/>
    <w:rsid w:val="00B375F9"/>
    <w:rsid w:val="00B4142B"/>
    <w:rsid w:val="00B43DE1"/>
    <w:rsid w:val="00B6569A"/>
    <w:rsid w:val="00B72F09"/>
    <w:rsid w:val="00B8768D"/>
    <w:rsid w:val="00B93452"/>
    <w:rsid w:val="00B96A10"/>
    <w:rsid w:val="00BA37D5"/>
    <w:rsid w:val="00BA7254"/>
    <w:rsid w:val="00BA7D5E"/>
    <w:rsid w:val="00BB6756"/>
    <w:rsid w:val="00C059BF"/>
    <w:rsid w:val="00C2255D"/>
    <w:rsid w:val="00C25EDC"/>
    <w:rsid w:val="00C33A4A"/>
    <w:rsid w:val="00C45992"/>
    <w:rsid w:val="00C64A0C"/>
    <w:rsid w:val="00CA0CDA"/>
    <w:rsid w:val="00CA212F"/>
    <w:rsid w:val="00CC0132"/>
    <w:rsid w:val="00CC0927"/>
    <w:rsid w:val="00CD12C0"/>
    <w:rsid w:val="00CD4BB4"/>
    <w:rsid w:val="00CE0ADE"/>
    <w:rsid w:val="00CF286B"/>
    <w:rsid w:val="00CF61AB"/>
    <w:rsid w:val="00D050F7"/>
    <w:rsid w:val="00D239B7"/>
    <w:rsid w:val="00D3293F"/>
    <w:rsid w:val="00D34708"/>
    <w:rsid w:val="00D42777"/>
    <w:rsid w:val="00D57645"/>
    <w:rsid w:val="00D82AC1"/>
    <w:rsid w:val="00DA3469"/>
    <w:rsid w:val="00DB01B7"/>
    <w:rsid w:val="00DC6C7C"/>
    <w:rsid w:val="00DD0563"/>
    <w:rsid w:val="00DD7F9E"/>
    <w:rsid w:val="00DF5E2F"/>
    <w:rsid w:val="00E16F74"/>
    <w:rsid w:val="00E2249E"/>
    <w:rsid w:val="00E224A8"/>
    <w:rsid w:val="00E42BB0"/>
    <w:rsid w:val="00E45187"/>
    <w:rsid w:val="00E556D1"/>
    <w:rsid w:val="00E56DA5"/>
    <w:rsid w:val="00E76A66"/>
    <w:rsid w:val="00E85773"/>
    <w:rsid w:val="00E91B05"/>
    <w:rsid w:val="00EA4876"/>
    <w:rsid w:val="00EB17BB"/>
    <w:rsid w:val="00EB6569"/>
    <w:rsid w:val="00EC17DF"/>
    <w:rsid w:val="00EC374F"/>
    <w:rsid w:val="00EC60AD"/>
    <w:rsid w:val="00ED3353"/>
    <w:rsid w:val="00EE382D"/>
    <w:rsid w:val="00F128EE"/>
    <w:rsid w:val="00F403EF"/>
    <w:rsid w:val="00F738D4"/>
    <w:rsid w:val="00FC124B"/>
    <w:rsid w:val="00FD13D7"/>
    <w:rsid w:val="00FD3AA0"/>
    <w:rsid w:val="00FD7724"/>
    <w:rsid w:val="00FF334B"/>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6F7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2F"/>
    <w:pPr>
      <w:jc w:val="both"/>
    </w:pPr>
    <w:rPr>
      <w:lang w:val="en-GB"/>
    </w:rPr>
  </w:style>
  <w:style w:type="paragraph" w:styleId="Heading1">
    <w:name w:val="heading 1"/>
    <w:basedOn w:val="Normal"/>
    <w:next w:val="Normal"/>
    <w:link w:val="Heading1Char"/>
    <w:uiPriority w:val="9"/>
    <w:qFormat/>
    <w:rsid w:val="00804A68"/>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iPriority w:val="9"/>
    <w:unhideWhenUsed/>
    <w:qFormat/>
    <w:rsid w:val="00804A68"/>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12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077"/>
    <w:rPr>
      <w:rFonts w:ascii="Lucida Grande" w:hAnsi="Lucida Grande" w:cs="Lucida Grande"/>
      <w:sz w:val="18"/>
      <w:szCs w:val="18"/>
      <w:lang w:val="en-GB"/>
    </w:rPr>
  </w:style>
  <w:style w:type="paragraph" w:styleId="ListParagraph">
    <w:name w:val="List Paragraph"/>
    <w:basedOn w:val="Normal"/>
    <w:uiPriority w:val="34"/>
    <w:qFormat/>
    <w:rsid w:val="00DB01B7"/>
    <w:pPr>
      <w:spacing w:after="200"/>
      <w:ind w:left="720"/>
      <w:contextualSpacing/>
    </w:pPr>
    <w:rPr>
      <w:rFonts w:eastAsia="Calibri" w:cs="Times New Roman"/>
      <w:lang w:val="en-US"/>
    </w:rPr>
  </w:style>
  <w:style w:type="character" w:customStyle="1" w:styleId="Heading1Char">
    <w:name w:val="Heading 1 Char"/>
    <w:basedOn w:val="DefaultParagraphFont"/>
    <w:link w:val="Heading1"/>
    <w:uiPriority w:val="9"/>
    <w:rsid w:val="00804A6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30AA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CD12C0"/>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E556D1"/>
    <w:rPr>
      <w:sz w:val="18"/>
      <w:szCs w:val="18"/>
    </w:rPr>
  </w:style>
  <w:style w:type="paragraph" w:styleId="CommentText">
    <w:name w:val="annotation text"/>
    <w:basedOn w:val="Normal"/>
    <w:link w:val="CommentTextChar"/>
    <w:uiPriority w:val="99"/>
    <w:unhideWhenUsed/>
    <w:rsid w:val="00E556D1"/>
  </w:style>
  <w:style w:type="character" w:customStyle="1" w:styleId="CommentTextChar">
    <w:name w:val="Comment Text Char"/>
    <w:basedOn w:val="DefaultParagraphFont"/>
    <w:link w:val="CommentText"/>
    <w:uiPriority w:val="99"/>
    <w:rsid w:val="00E556D1"/>
    <w:rPr>
      <w:lang w:val="en-GB"/>
    </w:rPr>
  </w:style>
  <w:style w:type="paragraph" w:styleId="CommentSubject">
    <w:name w:val="annotation subject"/>
    <w:basedOn w:val="CommentText"/>
    <w:next w:val="CommentText"/>
    <w:link w:val="CommentSubjectChar"/>
    <w:uiPriority w:val="99"/>
    <w:semiHidden/>
    <w:unhideWhenUsed/>
    <w:rsid w:val="00E556D1"/>
    <w:rPr>
      <w:b/>
      <w:bCs/>
      <w:sz w:val="20"/>
      <w:szCs w:val="20"/>
    </w:rPr>
  </w:style>
  <w:style w:type="character" w:customStyle="1" w:styleId="CommentSubjectChar">
    <w:name w:val="Comment Subject Char"/>
    <w:basedOn w:val="CommentTextChar"/>
    <w:link w:val="CommentSubject"/>
    <w:uiPriority w:val="99"/>
    <w:semiHidden/>
    <w:rsid w:val="00E556D1"/>
    <w:rPr>
      <w:b/>
      <w:bCs/>
      <w:sz w:val="20"/>
      <w:szCs w:val="20"/>
      <w:lang w:val="en-GB"/>
    </w:rPr>
  </w:style>
  <w:style w:type="table" w:styleId="TableGrid">
    <w:name w:val="Table Grid"/>
    <w:basedOn w:val="TableNormal"/>
    <w:uiPriority w:val="59"/>
    <w:rsid w:val="00FC124B"/>
    <w:rPr>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C124B"/>
    <w:rPr>
      <w:lang w:eastAsia="ja-JP"/>
    </w:rPr>
  </w:style>
  <w:style w:type="character" w:customStyle="1" w:styleId="FootnoteTextChar">
    <w:name w:val="Footnote Text Char"/>
    <w:basedOn w:val="DefaultParagraphFont"/>
    <w:link w:val="FootnoteText"/>
    <w:uiPriority w:val="99"/>
    <w:rsid w:val="00FC124B"/>
    <w:rPr>
      <w:lang w:val="en-GB" w:eastAsia="ja-JP"/>
    </w:rPr>
  </w:style>
  <w:style w:type="character" w:styleId="FootnoteReference">
    <w:name w:val="footnote reference"/>
    <w:aliases w:val="BVI fnr,ftref"/>
    <w:basedOn w:val="DefaultParagraphFont"/>
    <w:uiPriority w:val="99"/>
    <w:unhideWhenUsed/>
    <w:rsid w:val="00FC124B"/>
    <w:rPr>
      <w:vertAlign w:val="superscript"/>
    </w:rPr>
  </w:style>
  <w:style w:type="paragraph" w:styleId="Footer">
    <w:name w:val="footer"/>
    <w:basedOn w:val="Normal"/>
    <w:link w:val="FooterChar"/>
    <w:uiPriority w:val="99"/>
    <w:unhideWhenUsed/>
    <w:rsid w:val="00FC124B"/>
    <w:pPr>
      <w:tabs>
        <w:tab w:val="center" w:pos="4320"/>
        <w:tab w:val="right" w:pos="8640"/>
      </w:tabs>
    </w:pPr>
    <w:rPr>
      <w:sz w:val="22"/>
      <w:szCs w:val="22"/>
      <w:lang w:eastAsia="ja-JP"/>
    </w:rPr>
  </w:style>
  <w:style w:type="character" w:customStyle="1" w:styleId="FooterChar">
    <w:name w:val="Footer Char"/>
    <w:basedOn w:val="DefaultParagraphFont"/>
    <w:link w:val="Footer"/>
    <w:uiPriority w:val="99"/>
    <w:rsid w:val="00FC124B"/>
    <w:rPr>
      <w:sz w:val="22"/>
      <w:szCs w:val="22"/>
      <w:lang w:val="en-GB" w:eastAsia="ja-JP"/>
    </w:rPr>
  </w:style>
  <w:style w:type="character" w:styleId="PageNumber">
    <w:name w:val="page number"/>
    <w:basedOn w:val="DefaultParagraphFont"/>
    <w:uiPriority w:val="99"/>
    <w:semiHidden/>
    <w:unhideWhenUsed/>
    <w:rsid w:val="00FC124B"/>
  </w:style>
  <w:style w:type="character" w:styleId="Hyperlink">
    <w:name w:val="Hyperlink"/>
    <w:basedOn w:val="DefaultParagraphFont"/>
    <w:uiPriority w:val="99"/>
    <w:unhideWhenUsed/>
    <w:rsid w:val="00240C62"/>
    <w:rPr>
      <w:color w:val="0000FF" w:themeColor="hyperlink"/>
      <w:u w:val="single"/>
    </w:rPr>
  </w:style>
  <w:style w:type="character" w:styleId="FollowedHyperlink">
    <w:name w:val="FollowedHyperlink"/>
    <w:basedOn w:val="DefaultParagraphFont"/>
    <w:uiPriority w:val="99"/>
    <w:semiHidden/>
    <w:unhideWhenUsed/>
    <w:rsid w:val="002C25A5"/>
    <w:rPr>
      <w:color w:val="800080" w:themeColor="followedHyperlink"/>
      <w:u w:val="single"/>
    </w:rPr>
  </w:style>
  <w:style w:type="paragraph" w:styleId="NormalWeb">
    <w:name w:val="Normal (Web)"/>
    <w:basedOn w:val="Normal"/>
    <w:uiPriority w:val="99"/>
    <w:semiHidden/>
    <w:unhideWhenUsed/>
    <w:rsid w:val="00515C53"/>
    <w:pPr>
      <w:spacing w:before="100" w:beforeAutospacing="1" w:after="100" w:afterAutospacing="1"/>
      <w:jc w:val="left"/>
    </w:pPr>
    <w:rPr>
      <w:rFonts w:ascii="Times" w:hAnsi="Times" w:cs="Times New Roman"/>
      <w:sz w:val="20"/>
      <w:szCs w:val="20"/>
    </w:rPr>
  </w:style>
  <w:style w:type="paragraph" w:styleId="Header">
    <w:name w:val="header"/>
    <w:basedOn w:val="Normal"/>
    <w:link w:val="HeaderChar"/>
    <w:uiPriority w:val="99"/>
    <w:unhideWhenUsed/>
    <w:rsid w:val="00113D00"/>
    <w:pPr>
      <w:tabs>
        <w:tab w:val="center" w:pos="4680"/>
        <w:tab w:val="right" w:pos="9360"/>
      </w:tabs>
    </w:pPr>
  </w:style>
  <w:style w:type="character" w:customStyle="1" w:styleId="HeaderChar">
    <w:name w:val="Header Char"/>
    <w:basedOn w:val="DefaultParagraphFont"/>
    <w:link w:val="Header"/>
    <w:uiPriority w:val="99"/>
    <w:rsid w:val="00113D0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2F"/>
    <w:pPr>
      <w:jc w:val="both"/>
    </w:pPr>
    <w:rPr>
      <w:lang w:val="en-GB"/>
    </w:rPr>
  </w:style>
  <w:style w:type="paragraph" w:styleId="Heading1">
    <w:name w:val="heading 1"/>
    <w:basedOn w:val="Normal"/>
    <w:next w:val="Normal"/>
    <w:link w:val="Heading1Char"/>
    <w:uiPriority w:val="9"/>
    <w:qFormat/>
    <w:rsid w:val="00804A68"/>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iPriority w:val="9"/>
    <w:unhideWhenUsed/>
    <w:qFormat/>
    <w:rsid w:val="00804A68"/>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12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077"/>
    <w:rPr>
      <w:rFonts w:ascii="Lucida Grande" w:hAnsi="Lucida Grande" w:cs="Lucida Grande"/>
      <w:sz w:val="18"/>
      <w:szCs w:val="18"/>
      <w:lang w:val="en-GB"/>
    </w:rPr>
  </w:style>
  <w:style w:type="paragraph" w:styleId="ListParagraph">
    <w:name w:val="List Paragraph"/>
    <w:basedOn w:val="Normal"/>
    <w:uiPriority w:val="34"/>
    <w:qFormat/>
    <w:rsid w:val="00DB01B7"/>
    <w:pPr>
      <w:spacing w:after="200"/>
      <w:ind w:left="720"/>
      <w:contextualSpacing/>
    </w:pPr>
    <w:rPr>
      <w:rFonts w:eastAsia="Calibri" w:cs="Times New Roman"/>
      <w:lang w:val="en-US"/>
    </w:rPr>
  </w:style>
  <w:style w:type="character" w:customStyle="1" w:styleId="Heading1Char">
    <w:name w:val="Heading 1 Char"/>
    <w:basedOn w:val="DefaultParagraphFont"/>
    <w:link w:val="Heading1"/>
    <w:uiPriority w:val="9"/>
    <w:rsid w:val="00804A6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30AA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CD12C0"/>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E556D1"/>
    <w:rPr>
      <w:sz w:val="18"/>
      <w:szCs w:val="18"/>
    </w:rPr>
  </w:style>
  <w:style w:type="paragraph" w:styleId="CommentText">
    <w:name w:val="annotation text"/>
    <w:basedOn w:val="Normal"/>
    <w:link w:val="CommentTextChar"/>
    <w:uiPriority w:val="99"/>
    <w:unhideWhenUsed/>
    <w:rsid w:val="00E556D1"/>
  </w:style>
  <w:style w:type="character" w:customStyle="1" w:styleId="CommentTextChar">
    <w:name w:val="Comment Text Char"/>
    <w:basedOn w:val="DefaultParagraphFont"/>
    <w:link w:val="CommentText"/>
    <w:uiPriority w:val="99"/>
    <w:rsid w:val="00E556D1"/>
    <w:rPr>
      <w:lang w:val="en-GB"/>
    </w:rPr>
  </w:style>
  <w:style w:type="paragraph" w:styleId="CommentSubject">
    <w:name w:val="annotation subject"/>
    <w:basedOn w:val="CommentText"/>
    <w:next w:val="CommentText"/>
    <w:link w:val="CommentSubjectChar"/>
    <w:uiPriority w:val="99"/>
    <w:semiHidden/>
    <w:unhideWhenUsed/>
    <w:rsid w:val="00E556D1"/>
    <w:rPr>
      <w:b/>
      <w:bCs/>
      <w:sz w:val="20"/>
      <w:szCs w:val="20"/>
    </w:rPr>
  </w:style>
  <w:style w:type="character" w:customStyle="1" w:styleId="CommentSubjectChar">
    <w:name w:val="Comment Subject Char"/>
    <w:basedOn w:val="CommentTextChar"/>
    <w:link w:val="CommentSubject"/>
    <w:uiPriority w:val="99"/>
    <w:semiHidden/>
    <w:rsid w:val="00E556D1"/>
    <w:rPr>
      <w:b/>
      <w:bCs/>
      <w:sz w:val="20"/>
      <w:szCs w:val="20"/>
      <w:lang w:val="en-GB"/>
    </w:rPr>
  </w:style>
  <w:style w:type="table" w:styleId="TableGrid">
    <w:name w:val="Table Grid"/>
    <w:basedOn w:val="TableNormal"/>
    <w:uiPriority w:val="59"/>
    <w:rsid w:val="00FC124B"/>
    <w:rPr>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C124B"/>
    <w:rPr>
      <w:lang w:eastAsia="ja-JP"/>
    </w:rPr>
  </w:style>
  <w:style w:type="character" w:customStyle="1" w:styleId="FootnoteTextChar">
    <w:name w:val="Footnote Text Char"/>
    <w:basedOn w:val="DefaultParagraphFont"/>
    <w:link w:val="FootnoteText"/>
    <w:uiPriority w:val="99"/>
    <w:rsid w:val="00FC124B"/>
    <w:rPr>
      <w:lang w:val="en-GB" w:eastAsia="ja-JP"/>
    </w:rPr>
  </w:style>
  <w:style w:type="character" w:styleId="FootnoteReference">
    <w:name w:val="footnote reference"/>
    <w:aliases w:val="BVI fnr,ftref"/>
    <w:basedOn w:val="DefaultParagraphFont"/>
    <w:uiPriority w:val="99"/>
    <w:unhideWhenUsed/>
    <w:rsid w:val="00FC124B"/>
    <w:rPr>
      <w:vertAlign w:val="superscript"/>
    </w:rPr>
  </w:style>
  <w:style w:type="paragraph" w:styleId="Footer">
    <w:name w:val="footer"/>
    <w:basedOn w:val="Normal"/>
    <w:link w:val="FooterChar"/>
    <w:uiPriority w:val="99"/>
    <w:unhideWhenUsed/>
    <w:rsid w:val="00FC124B"/>
    <w:pPr>
      <w:tabs>
        <w:tab w:val="center" w:pos="4320"/>
        <w:tab w:val="right" w:pos="8640"/>
      </w:tabs>
    </w:pPr>
    <w:rPr>
      <w:sz w:val="22"/>
      <w:szCs w:val="22"/>
      <w:lang w:eastAsia="ja-JP"/>
    </w:rPr>
  </w:style>
  <w:style w:type="character" w:customStyle="1" w:styleId="FooterChar">
    <w:name w:val="Footer Char"/>
    <w:basedOn w:val="DefaultParagraphFont"/>
    <w:link w:val="Footer"/>
    <w:uiPriority w:val="99"/>
    <w:rsid w:val="00FC124B"/>
    <w:rPr>
      <w:sz w:val="22"/>
      <w:szCs w:val="22"/>
      <w:lang w:val="en-GB" w:eastAsia="ja-JP"/>
    </w:rPr>
  </w:style>
  <w:style w:type="character" w:styleId="PageNumber">
    <w:name w:val="page number"/>
    <w:basedOn w:val="DefaultParagraphFont"/>
    <w:uiPriority w:val="99"/>
    <w:semiHidden/>
    <w:unhideWhenUsed/>
    <w:rsid w:val="00FC124B"/>
  </w:style>
  <w:style w:type="character" w:styleId="Hyperlink">
    <w:name w:val="Hyperlink"/>
    <w:basedOn w:val="DefaultParagraphFont"/>
    <w:uiPriority w:val="99"/>
    <w:unhideWhenUsed/>
    <w:rsid w:val="00240C62"/>
    <w:rPr>
      <w:color w:val="0000FF" w:themeColor="hyperlink"/>
      <w:u w:val="single"/>
    </w:rPr>
  </w:style>
  <w:style w:type="character" w:styleId="FollowedHyperlink">
    <w:name w:val="FollowedHyperlink"/>
    <w:basedOn w:val="DefaultParagraphFont"/>
    <w:uiPriority w:val="99"/>
    <w:semiHidden/>
    <w:unhideWhenUsed/>
    <w:rsid w:val="002C25A5"/>
    <w:rPr>
      <w:color w:val="800080" w:themeColor="followedHyperlink"/>
      <w:u w:val="single"/>
    </w:rPr>
  </w:style>
  <w:style w:type="paragraph" w:styleId="NormalWeb">
    <w:name w:val="Normal (Web)"/>
    <w:basedOn w:val="Normal"/>
    <w:uiPriority w:val="99"/>
    <w:semiHidden/>
    <w:unhideWhenUsed/>
    <w:rsid w:val="00515C53"/>
    <w:pPr>
      <w:spacing w:before="100" w:beforeAutospacing="1" w:after="100" w:afterAutospacing="1"/>
      <w:jc w:val="left"/>
    </w:pPr>
    <w:rPr>
      <w:rFonts w:ascii="Times" w:hAnsi="Times" w:cs="Times New Roman"/>
      <w:sz w:val="20"/>
      <w:szCs w:val="20"/>
    </w:rPr>
  </w:style>
  <w:style w:type="paragraph" w:styleId="Header">
    <w:name w:val="header"/>
    <w:basedOn w:val="Normal"/>
    <w:link w:val="HeaderChar"/>
    <w:uiPriority w:val="99"/>
    <w:unhideWhenUsed/>
    <w:rsid w:val="00113D00"/>
    <w:pPr>
      <w:tabs>
        <w:tab w:val="center" w:pos="4680"/>
        <w:tab w:val="right" w:pos="9360"/>
      </w:tabs>
    </w:pPr>
  </w:style>
  <w:style w:type="character" w:customStyle="1" w:styleId="HeaderChar">
    <w:name w:val="Header Char"/>
    <w:basedOn w:val="DefaultParagraphFont"/>
    <w:link w:val="Header"/>
    <w:uiPriority w:val="99"/>
    <w:rsid w:val="00113D0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19318">
      <w:bodyDiv w:val="1"/>
      <w:marLeft w:val="0"/>
      <w:marRight w:val="0"/>
      <w:marTop w:val="0"/>
      <w:marBottom w:val="0"/>
      <w:divBdr>
        <w:top w:val="none" w:sz="0" w:space="0" w:color="auto"/>
        <w:left w:val="none" w:sz="0" w:space="0" w:color="auto"/>
        <w:bottom w:val="none" w:sz="0" w:space="0" w:color="auto"/>
        <w:right w:val="none" w:sz="0" w:space="0" w:color="auto"/>
      </w:divBdr>
      <w:divsChild>
        <w:div w:id="344328926">
          <w:marLeft w:val="446"/>
          <w:marRight w:val="0"/>
          <w:marTop w:val="0"/>
          <w:marBottom w:val="0"/>
          <w:divBdr>
            <w:top w:val="none" w:sz="0" w:space="0" w:color="auto"/>
            <w:left w:val="none" w:sz="0" w:space="0" w:color="auto"/>
            <w:bottom w:val="none" w:sz="0" w:space="0" w:color="auto"/>
            <w:right w:val="none" w:sz="0" w:space="0" w:color="auto"/>
          </w:divBdr>
        </w:div>
        <w:div w:id="953748250">
          <w:marLeft w:val="446"/>
          <w:marRight w:val="0"/>
          <w:marTop w:val="0"/>
          <w:marBottom w:val="0"/>
          <w:divBdr>
            <w:top w:val="none" w:sz="0" w:space="0" w:color="auto"/>
            <w:left w:val="none" w:sz="0" w:space="0" w:color="auto"/>
            <w:bottom w:val="none" w:sz="0" w:space="0" w:color="auto"/>
            <w:right w:val="none" w:sz="0" w:space="0" w:color="auto"/>
          </w:divBdr>
        </w:div>
        <w:div w:id="1658801306">
          <w:marLeft w:val="446"/>
          <w:marRight w:val="0"/>
          <w:marTop w:val="0"/>
          <w:marBottom w:val="0"/>
          <w:divBdr>
            <w:top w:val="none" w:sz="0" w:space="0" w:color="auto"/>
            <w:left w:val="none" w:sz="0" w:space="0" w:color="auto"/>
            <w:bottom w:val="none" w:sz="0" w:space="0" w:color="auto"/>
            <w:right w:val="none" w:sz="0" w:space="0" w:color="auto"/>
          </w:divBdr>
        </w:div>
      </w:divsChild>
    </w:div>
    <w:div w:id="1199775084">
      <w:bodyDiv w:val="1"/>
      <w:marLeft w:val="0"/>
      <w:marRight w:val="0"/>
      <w:marTop w:val="0"/>
      <w:marBottom w:val="0"/>
      <w:divBdr>
        <w:top w:val="none" w:sz="0" w:space="0" w:color="auto"/>
        <w:left w:val="none" w:sz="0" w:space="0" w:color="auto"/>
        <w:bottom w:val="none" w:sz="0" w:space="0" w:color="auto"/>
        <w:right w:val="none" w:sz="0" w:space="0" w:color="auto"/>
      </w:divBdr>
    </w:div>
    <w:div w:id="1609315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redd.net/index.php?option=com_docman&amp;task=doc_download&amp;gid=82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D1BC-BB3E-4A89-892D-3AD67F38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Peskett</dc:creator>
  <cp:lastModifiedBy>Akihito Kono</cp:lastModifiedBy>
  <cp:revision>5</cp:revision>
  <dcterms:created xsi:type="dcterms:W3CDTF">2013-01-23T06:25:00Z</dcterms:created>
  <dcterms:modified xsi:type="dcterms:W3CDTF">2013-01-23T07:17:00Z</dcterms:modified>
</cp:coreProperties>
</file>