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959" w:rsidRDefault="007F6C24" w:rsidP="002C4959">
      <w:pPr>
        <w:pStyle w:val="PlainText"/>
        <w:rPr>
          <w:rFonts w:asciiTheme="minorHAnsi" w:hAnsiTheme="minorHAnsi" w:cstheme="minorHAnsi"/>
          <w:b/>
          <w:sz w:val="24"/>
          <w:szCs w:val="24"/>
        </w:rPr>
      </w:pPr>
      <w:r w:rsidRPr="006065EE">
        <w:rPr>
          <w:rFonts w:asciiTheme="minorHAnsi" w:hAnsiTheme="minorHAnsi" w:cstheme="minorHAnsi"/>
          <w:b/>
          <w:sz w:val="24"/>
          <w:szCs w:val="24"/>
        </w:rPr>
        <w:t xml:space="preserve">Request for Targeted </w:t>
      </w:r>
      <w:r w:rsidR="00762E92" w:rsidRPr="006065EE">
        <w:rPr>
          <w:rFonts w:asciiTheme="minorHAnsi" w:hAnsiTheme="minorHAnsi" w:cstheme="minorHAnsi"/>
          <w:b/>
          <w:sz w:val="24"/>
          <w:szCs w:val="24"/>
        </w:rPr>
        <w:t xml:space="preserve">Support: </w:t>
      </w:r>
      <w:r w:rsidR="002C4959">
        <w:rPr>
          <w:rFonts w:asciiTheme="minorHAnsi" w:hAnsiTheme="minorHAnsi" w:cstheme="minorHAnsi"/>
          <w:b/>
          <w:sz w:val="24"/>
          <w:szCs w:val="24"/>
        </w:rPr>
        <w:t>Developing</w:t>
      </w:r>
      <w:r w:rsidR="0075376F" w:rsidRPr="006065EE">
        <w:rPr>
          <w:rFonts w:asciiTheme="minorHAnsi" w:hAnsiTheme="minorHAnsi" w:cstheme="minorHAnsi"/>
          <w:b/>
          <w:sz w:val="24"/>
          <w:szCs w:val="24"/>
        </w:rPr>
        <w:t xml:space="preserve"> REDD+ Readiness </w:t>
      </w:r>
      <w:r w:rsidR="002C4959">
        <w:rPr>
          <w:rFonts w:asciiTheme="minorHAnsi" w:hAnsiTheme="minorHAnsi" w:cstheme="minorHAnsi"/>
          <w:b/>
          <w:sz w:val="24"/>
          <w:szCs w:val="24"/>
        </w:rPr>
        <w:t>in Bhutan</w:t>
      </w:r>
      <w:r w:rsidR="0075376F" w:rsidRPr="006065EE">
        <w:rPr>
          <w:rFonts w:asciiTheme="minorHAnsi" w:hAnsiTheme="minorHAnsi" w:cstheme="minorHAnsi"/>
          <w:b/>
          <w:sz w:val="24"/>
          <w:szCs w:val="24"/>
        </w:rPr>
        <w:t xml:space="preserve"> – </w:t>
      </w:r>
      <w:r w:rsidR="002C4959">
        <w:rPr>
          <w:rFonts w:asciiTheme="minorHAnsi" w:hAnsiTheme="minorHAnsi" w:cstheme="minorHAnsi"/>
          <w:b/>
          <w:sz w:val="24"/>
          <w:szCs w:val="24"/>
        </w:rPr>
        <w:t xml:space="preserve">Developing Options for Benefit Distribution and </w:t>
      </w:r>
      <w:r w:rsidR="0075376F" w:rsidRPr="006065EE">
        <w:rPr>
          <w:rFonts w:asciiTheme="minorHAnsi" w:hAnsiTheme="minorHAnsi" w:cstheme="minorHAnsi"/>
          <w:b/>
          <w:sz w:val="24"/>
          <w:szCs w:val="24"/>
        </w:rPr>
        <w:t>Addressing Corruption Risks</w:t>
      </w:r>
    </w:p>
    <w:p w:rsidR="007F6C24" w:rsidRPr="006065EE" w:rsidRDefault="00A17C9B" w:rsidP="002C4959">
      <w:pPr>
        <w:pStyle w:val="PlainText"/>
        <w:rPr>
          <w:rFonts w:cstheme="minorHAnsi"/>
          <w:b/>
          <w:sz w:val="24"/>
          <w:szCs w:val="24"/>
        </w:rPr>
      </w:pPr>
      <w:r w:rsidRPr="006065EE">
        <w:rPr>
          <w:rFonts w:cstheme="minorHAnsi"/>
          <w:b/>
          <w:sz w:val="24"/>
          <w:szCs w:val="24"/>
        </w:rPr>
        <w:t xml:space="preserve"> </w:t>
      </w:r>
    </w:p>
    <w:p w:rsidR="00AA341F" w:rsidRPr="006065EE" w:rsidRDefault="00AA341F" w:rsidP="00584245">
      <w:pPr>
        <w:spacing w:after="0"/>
        <w:jc w:val="both"/>
        <w:rPr>
          <w:rFonts w:cstheme="minorHAnsi"/>
          <w:b/>
          <w:lang w:val="en-US"/>
        </w:rPr>
      </w:pPr>
      <w:r w:rsidRPr="006065EE">
        <w:rPr>
          <w:rFonts w:cstheme="minorHAnsi"/>
          <w:b/>
          <w:lang w:val="en-US"/>
        </w:rPr>
        <w:t>Background</w:t>
      </w:r>
    </w:p>
    <w:p w:rsidR="002C4959" w:rsidRPr="002C4959" w:rsidRDefault="002C4959" w:rsidP="002C4959">
      <w:pPr>
        <w:autoSpaceDE w:val="0"/>
        <w:autoSpaceDN w:val="0"/>
        <w:adjustRightInd w:val="0"/>
        <w:spacing w:after="0"/>
        <w:jc w:val="both"/>
        <w:rPr>
          <w:rFonts w:cstheme="minorHAnsi"/>
        </w:rPr>
      </w:pPr>
      <w:bookmarkStart w:id="0" w:name="00-intro"/>
      <w:r w:rsidRPr="002C4959">
        <w:rPr>
          <w:rFonts w:cstheme="minorHAnsi"/>
        </w:rPr>
        <w:t xml:space="preserve">Approximately </w:t>
      </w:r>
      <w:r>
        <w:rPr>
          <w:rFonts w:cstheme="minorHAnsi"/>
        </w:rPr>
        <w:t>70</w:t>
      </w:r>
      <w:r w:rsidRPr="002C4959">
        <w:rPr>
          <w:rFonts w:cstheme="minorHAnsi"/>
        </w:rPr>
        <w:t>%, or about 3,2</w:t>
      </w:r>
      <w:r>
        <w:rPr>
          <w:rFonts w:cstheme="minorHAnsi"/>
        </w:rPr>
        <w:t>50</w:t>
      </w:r>
      <w:r w:rsidRPr="002C4959">
        <w:rPr>
          <w:rFonts w:cstheme="minorHAnsi"/>
        </w:rPr>
        <w:t xml:space="preserve">,000ha, of Bhutan is forested. Of this, 12.7%, roughly 413,000ha, is classified as primary forest.  Between 1990 and 2000, Bhutan gained an average of 10,600ha of forest per year. This equates to an average annual reforestation rate of 0.35%.  Between 2000 and 20010, the rate of forest change decreased slightly to 0.34% per annum.  In total, between 1990 and 2010, Bhutan gained 6.7% of its forest </w:t>
      </w:r>
      <w:r w:rsidR="00273F4E" w:rsidRPr="002C4959">
        <w:rPr>
          <w:rFonts w:cstheme="minorHAnsi"/>
        </w:rPr>
        <w:t>cover</w:t>
      </w:r>
      <w:r w:rsidRPr="002C4959">
        <w:rPr>
          <w:rFonts w:cstheme="minorHAnsi"/>
        </w:rPr>
        <w:t xml:space="preserve"> or around 214,000hectares (data from FRA 2010</w:t>
      </w:r>
      <w:r>
        <w:rPr>
          <w:rFonts w:cstheme="minorHAnsi"/>
        </w:rPr>
        <w:t>).</w:t>
      </w:r>
      <w:r w:rsidRPr="002C4959">
        <w:rPr>
          <w:rFonts w:cstheme="minorHAnsi"/>
        </w:rPr>
        <w:t xml:space="preserve"> </w:t>
      </w:r>
      <w:bookmarkEnd w:id="0"/>
      <w:r>
        <w:rPr>
          <w:rFonts w:cstheme="minorHAnsi"/>
        </w:rPr>
        <w:t xml:space="preserve"> </w:t>
      </w:r>
      <w:r w:rsidRPr="002C4959">
        <w:rPr>
          <w:rFonts w:cstheme="minorHAnsi"/>
        </w:rPr>
        <w:t xml:space="preserve">It is estimated that 236,700 ha of forests are degraded; the annual rate of degradation is estimated to be 0.5 per cent. It has also been observed that forest degradation is more prominent in the close vicinity of human settlements.  </w:t>
      </w:r>
    </w:p>
    <w:p w:rsidR="002C4959" w:rsidRDefault="002C4959" w:rsidP="002C4959">
      <w:pPr>
        <w:spacing w:after="0"/>
        <w:jc w:val="both"/>
        <w:rPr>
          <w:rFonts w:cstheme="minorHAnsi"/>
          <w:b/>
          <w:lang w:val="en-US"/>
        </w:rPr>
      </w:pPr>
    </w:p>
    <w:p w:rsidR="002C4959" w:rsidRPr="0058778A" w:rsidRDefault="002C4959" w:rsidP="002C4959">
      <w:pPr>
        <w:autoSpaceDE w:val="0"/>
        <w:autoSpaceDN w:val="0"/>
        <w:adjustRightInd w:val="0"/>
        <w:spacing w:after="0"/>
        <w:jc w:val="both"/>
        <w:rPr>
          <w:rFonts w:cstheme="minorHAnsi"/>
        </w:rPr>
      </w:pPr>
      <w:r w:rsidRPr="002C4959">
        <w:rPr>
          <w:rFonts w:cstheme="minorHAnsi"/>
          <w:color w:val="000000" w:themeColor="text1"/>
        </w:rPr>
        <w:t>Bhutan today has 10 formally protected areas covering nearly 43% of the land area.  An additional 9% of the land area has been declared as biological corridors connecting the protected areas. With the addition of conservation areas, about 51% of the country’s area is under some form of conservation management</w:t>
      </w:r>
      <w:r w:rsidRPr="002C4959">
        <w:rPr>
          <w:rFonts w:cstheme="minorHAnsi"/>
        </w:rPr>
        <w:t>.</w:t>
      </w:r>
      <w:r w:rsidRPr="002C4959">
        <w:rPr>
          <w:rFonts w:cstheme="minorHAnsi"/>
          <w:color w:val="333333"/>
        </w:rPr>
        <w:t xml:space="preserve"> </w:t>
      </w:r>
      <w:r>
        <w:rPr>
          <w:rFonts w:cstheme="minorHAnsi"/>
          <w:color w:val="333333"/>
        </w:rPr>
        <w:t xml:space="preserve">  </w:t>
      </w:r>
      <w:r w:rsidRPr="002C4959">
        <w:rPr>
          <w:rFonts w:cstheme="minorHAnsi"/>
          <w:color w:val="000000" w:themeColor="text1"/>
        </w:rPr>
        <w:t xml:space="preserve">Most timber harvesting takes place in forest management units (FMUs).  Currently FMUs cover approximately 11% of the land area.  All commercial harvesting is undertaken by the </w:t>
      </w:r>
      <w:r w:rsidRPr="002C4959">
        <w:rPr>
          <w:rFonts w:eastAsia="Times New Roman" w:cstheme="minorHAnsi"/>
          <w:color w:val="000000" w:themeColor="text1"/>
        </w:rPr>
        <w:t xml:space="preserve">Natural Resources Development Corporation Limited (NRDCL), which is </w:t>
      </w:r>
      <w:r w:rsidRPr="002C4959">
        <w:rPr>
          <w:rFonts w:eastAsia="Times New Roman" w:cstheme="minorHAnsi"/>
          <w:color w:val="000000"/>
        </w:rPr>
        <w:t>owned by Druk Holding and Investments (DHI), which is a 100% Government owned Investment Company.</w:t>
      </w:r>
      <w:r>
        <w:rPr>
          <w:rFonts w:eastAsia="Times New Roman" w:cstheme="minorHAnsi"/>
          <w:color w:val="000000"/>
        </w:rPr>
        <w:t xml:space="preserve">  </w:t>
      </w:r>
      <w:r w:rsidR="009D32AB">
        <w:rPr>
          <w:rFonts w:cstheme="minorHAnsi"/>
        </w:rPr>
        <w:t xml:space="preserve">There are currently about </w:t>
      </w:r>
      <w:r w:rsidR="00C93B77">
        <w:rPr>
          <w:rFonts w:cstheme="minorHAnsi"/>
        </w:rPr>
        <w:t>200</w:t>
      </w:r>
      <w:r w:rsidRPr="002C4959">
        <w:rPr>
          <w:rFonts w:cstheme="minorHAnsi"/>
        </w:rPr>
        <w:t xml:space="preserve"> community </w:t>
      </w:r>
      <w:r w:rsidRPr="0058778A">
        <w:rPr>
          <w:rFonts w:cstheme="minorHAnsi"/>
        </w:rPr>
        <w:t xml:space="preserve">forests, </w:t>
      </w:r>
      <w:r w:rsidR="00F160F5" w:rsidRPr="0058778A">
        <w:rPr>
          <w:rFonts w:cstheme="minorHAnsi"/>
        </w:rPr>
        <w:t xml:space="preserve">with approx, 9, 700 households involved in managing a total of around 24,000 hectares ( Gilmour, 2010). </w:t>
      </w:r>
      <w:r w:rsidR="00F160F5" w:rsidRPr="0058778A">
        <w:rPr>
          <w:rFonts w:cs="Arial"/>
        </w:rPr>
        <w:t>This constitutes less than 2% o</w:t>
      </w:r>
      <w:r w:rsidR="00F160F5" w:rsidRPr="0058778A">
        <w:rPr>
          <w:rFonts w:cs="Arial"/>
          <w:bCs/>
        </w:rPr>
        <w:t xml:space="preserve">f the national forest land. However, with the growing interest in CF among the rural population, the figure is expected to increase (Chhetri et al., 2009). Thus, it </w:t>
      </w:r>
      <w:r w:rsidR="00F160F5" w:rsidRPr="0058778A">
        <w:rPr>
          <w:rFonts w:cs="Arial"/>
        </w:rPr>
        <w:t>is projected (MOA, 2009; Temphel and Beukeboom, 2006; Gilmour, 2009) that the number of CFMG could rise to about 400 by 2013 (covering about 4% of the total forest area). In the long term about 20% of the Government Reserved Forest (about 238,000 ha) has the potential to become CF (Temphel and Beukeboom, 2006; Gilmour, 2009).</w:t>
      </w:r>
      <w:r w:rsidR="00F160F5" w:rsidRPr="0058778A">
        <w:rPr>
          <w:rFonts w:cstheme="minorHAnsi"/>
        </w:rPr>
        <w:t xml:space="preserve"> </w:t>
      </w:r>
      <w:r w:rsidRPr="0058778A">
        <w:rPr>
          <w:rFonts w:cstheme="minorHAnsi"/>
        </w:rPr>
        <w:t>covering approximately 10,000 hectares.  In recent years about 70-80 new community forest applications have been approved each year.</w:t>
      </w:r>
      <w:r w:rsidR="00F160F5" w:rsidRPr="0058778A">
        <w:rPr>
          <w:rFonts w:ascii="Arial" w:hAnsi="Arial" w:cs="Arial"/>
        </w:rPr>
        <w:t xml:space="preserve"> </w:t>
      </w:r>
    </w:p>
    <w:p w:rsidR="00F160F5" w:rsidRPr="0058778A" w:rsidRDefault="00F160F5" w:rsidP="000815D8">
      <w:pPr>
        <w:spacing w:after="0"/>
        <w:jc w:val="both"/>
        <w:rPr>
          <w:rFonts w:cstheme="minorHAnsi"/>
          <w:b/>
          <w:lang w:val="en-US"/>
        </w:rPr>
      </w:pPr>
    </w:p>
    <w:p w:rsidR="00353CEE" w:rsidRPr="00D6525F" w:rsidRDefault="00353CEE" w:rsidP="000815D8">
      <w:pPr>
        <w:spacing w:after="0"/>
        <w:jc w:val="both"/>
        <w:rPr>
          <w:rFonts w:cstheme="minorHAnsi"/>
          <w:b/>
          <w:lang w:val="en-US"/>
        </w:rPr>
      </w:pPr>
      <w:r w:rsidRPr="00D6525F">
        <w:rPr>
          <w:rFonts w:cstheme="minorHAnsi"/>
          <w:b/>
          <w:lang w:val="en-US"/>
        </w:rPr>
        <w:t>General Approach</w:t>
      </w:r>
    </w:p>
    <w:p w:rsidR="002C4959" w:rsidRPr="002C4959" w:rsidRDefault="002C4959" w:rsidP="002C4959">
      <w:pPr>
        <w:spacing w:after="0"/>
        <w:jc w:val="both"/>
        <w:rPr>
          <w:rFonts w:cstheme="minorHAnsi"/>
        </w:rPr>
      </w:pPr>
      <w:r w:rsidRPr="002C4959">
        <w:rPr>
          <w:rFonts w:cstheme="minorHAnsi"/>
        </w:rPr>
        <w:t>Bhutan’s economy is based on agriculture and forestry, which provide the main livelihood for more than 90% of the population.  Agriculture consists largely of subsistence farming and animal husbandry.  Rugged mountains dominate the terrain and make the building of roads and other infrastructure difficult and expensive.  The economy is closely aligned with India's through strong trade and monetary links and dependence on India's financial assistance.</w:t>
      </w:r>
    </w:p>
    <w:p w:rsidR="002C4959" w:rsidRPr="002C4959" w:rsidRDefault="002C4959" w:rsidP="002C4959">
      <w:pPr>
        <w:spacing w:after="0"/>
        <w:jc w:val="both"/>
        <w:rPr>
          <w:rFonts w:cstheme="minorHAnsi"/>
        </w:rPr>
      </w:pPr>
    </w:p>
    <w:p w:rsidR="002C4959" w:rsidRPr="002C4959" w:rsidRDefault="002C4959" w:rsidP="002C4959">
      <w:pPr>
        <w:pStyle w:val="NormalWeb"/>
        <w:spacing w:before="0" w:beforeAutospacing="0" w:after="0" w:afterAutospacing="0" w:line="276" w:lineRule="auto"/>
        <w:contextualSpacing/>
        <w:jc w:val="both"/>
        <w:rPr>
          <w:rFonts w:asciiTheme="minorHAnsi" w:hAnsiTheme="minorHAnsi" w:cstheme="minorHAnsi"/>
        </w:rPr>
      </w:pPr>
      <w:r w:rsidRPr="002C4959">
        <w:rPr>
          <w:rFonts w:asciiTheme="minorHAnsi" w:hAnsiTheme="minorHAnsi" w:cstheme="minorHAnsi"/>
        </w:rPr>
        <w:t xml:space="preserve">The key legal document governing forest management is the "Forest and Nature Conservation Act, 1995". An important objective of the act was to ensure an adequate supply of basic forest products to meet the needs of the population with due recognition of the multiple responsibilities for forest resources and their sustainable management and use. </w:t>
      </w:r>
      <w:r>
        <w:rPr>
          <w:rFonts w:asciiTheme="minorHAnsi" w:hAnsiTheme="minorHAnsi" w:cstheme="minorHAnsi"/>
        </w:rPr>
        <w:t xml:space="preserve"> </w:t>
      </w:r>
      <w:r w:rsidRPr="002C4959">
        <w:rPr>
          <w:rFonts w:asciiTheme="minorHAnsi" w:hAnsiTheme="minorHAnsi" w:cstheme="minorHAnsi"/>
        </w:rPr>
        <w:t>The act also provides for the special legal protection from fires; and protection of flora and fauna, listing twenty-three wild animals and seven plants as totally protected species. The act also lays down regulations for the extraction of firewood.</w:t>
      </w:r>
      <w:r>
        <w:rPr>
          <w:rFonts w:asciiTheme="minorHAnsi" w:hAnsiTheme="minorHAnsi" w:cstheme="minorHAnsi"/>
        </w:rPr>
        <w:t xml:space="preserve">  </w:t>
      </w:r>
      <w:r w:rsidRPr="002C4959">
        <w:rPr>
          <w:rFonts w:asciiTheme="minorHAnsi" w:hAnsiTheme="minorHAnsi" w:cstheme="minorHAnsi"/>
        </w:rPr>
        <w:t xml:space="preserve">The Land Act of Bhutan 2007 is another important piece of legislation that has major implications for forest management.  In the context of REDD+, one of the important implications is that Chapter 6 (99) confirms that trees, either naturally grown or planted, in registered land shall belong to the landowner. </w:t>
      </w:r>
    </w:p>
    <w:p w:rsidR="002C4959" w:rsidRPr="002C4959" w:rsidRDefault="002C4959" w:rsidP="002C4959">
      <w:pPr>
        <w:pStyle w:val="Default"/>
        <w:spacing w:line="276" w:lineRule="auto"/>
        <w:contextualSpacing/>
        <w:jc w:val="both"/>
        <w:rPr>
          <w:rFonts w:asciiTheme="minorHAnsi" w:hAnsiTheme="minorHAnsi" w:cstheme="minorHAnsi"/>
          <w:sz w:val="22"/>
          <w:szCs w:val="22"/>
        </w:rPr>
      </w:pPr>
    </w:p>
    <w:p w:rsidR="002C4959" w:rsidRPr="002C4959" w:rsidRDefault="002C4959" w:rsidP="002C4959">
      <w:pPr>
        <w:shd w:val="clear" w:color="auto" w:fill="FFFFFF"/>
        <w:spacing w:after="0"/>
        <w:jc w:val="both"/>
        <w:rPr>
          <w:rFonts w:eastAsia="Times New Roman" w:cstheme="minorHAnsi"/>
          <w:color w:val="000000" w:themeColor="text1"/>
        </w:rPr>
      </w:pPr>
      <w:r w:rsidRPr="002C4959">
        <w:rPr>
          <w:rFonts w:eastAsia="Times New Roman" w:cstheme="minorHAnsi"/>
          <w:color w:val="000000" w:themeColor="text1"/>
        </w:rPr>
        <w:t xml:space="preserve">Bhutan's Tenth Five Year Plan (2008-2013) was launched in February 2008.  Its central focus is poverty reduction, but it also deals with </w:t>
      </w:r>
      <w:r w:rsidRPr="002C4959">
        <w:rPr>
          <w:rFonts w:cstheme="minorHAnsi"/>
          <w:color w:val="000000" w:themeColor="text1"/>
        </w:rPr>
        <w:t>mainstreaming environment in policies and programmes</w:t>
      </w:r>
      <w:r w:rsidRPr="002C4959">
        <w:rPr>
          <w:rFonts w:eastAsia="Times New Roman" w:cstheme="minorHAnsi"/>
          <w:color w:val="000000" w:themeColor="text1"/>
        </w:rPr>
        <w:t xml:space="preserve">.  </w:t>
      </w:r>
      <w:r w:rsidRPr="002C4959">
        <w:rPr>
          <w:rFonts w:cstheme="minorHAnsi"/>
          <w:color w:val="000000" w:themeColor="text1"/>
        </w:rPr>
        <w:t>One of the five specific policy objectives of the 10th Plan is to: “</w:t>
      </w:r>
      <w:r w:rsidRPr="002C4959">
        <w:rPr>
          <w:rFonts w:cstheme="minorHAnsi"/>
          <w:i/>
          <w:iCs/>
          <w:color w:val="000000" w:themeColor="text1"/>
        </w:rPr>
        <w:t>Conserve and promote sustainable commercial utilisation of forest and water resources</w:t>
      </w:r>
      <w:r w:rsidRPr="002C4959">
        <w:rPr>
          <w:rFonts w:cstheme="minorHAnsi"/>
          <w:color w:val="000000" w:themeColor="text1"/>
        </w:rPr>
        <w:t>”, and it is noted that “</w:t>
      </w:r>
      <w:r w:rsidRPr="002C4959">
        <w:rPr>
          <w:rFonts w:cstheme="minorHAnsi"/>
          <w:i/>
          <w:iCs/>
          <w:color w:val="000000" w:themeColor="text1"/>
        </w:rPr>
        <w:t>more than any other sector, the RNR sector has the deepest linkage to the Tenth Plan’s theme and objective of poverty reduction and the best prospects to address it.</w:t>
      </w:r>
      <w:r w:rsidRPr="002C4959">
        <w:rPr>
          <w:rFonts w:cstheme="minorHAnsi"/>
          <w:color w:val="000000" w:themeColor="text1"/>
        </w:rPr>
        <w:t>” Among the strategic measures included is one related to the: “</w:t>
      </w:r>
      <w:r w:rsidRPr="002C4959">
        <w:rPr>
          <w:rFonts w:cstheme="minorHAnsi"/>
          <w:i/>
          <w:iCs/>
          <w:color w:val="000000" w:themeColor="text1"/>
        </w:rPr>
        <w:t>Establishment of Community Forests and expansion of commercial harvesting of Non Wood Forest Products (NWFPs)</w:t>
      </w:r>
      <w:r w:rsidRPr="002C4959">
        <w:rPr>
          <w:rFonts w:cstheme="minorHAnsi"/>
          <w:color w:val="000000" w:themeColor="text1"/>
        </w:rPr>
        <w:t>.” This measure is clearly aimed at making progress in both devolution and poverty reduction within a broader sustainable development framework.</w:t>
      </w:r>
      <w:r>
        <w:rPr>
          <w:rFonts w:cstheme="minorHAnsi"/>
          <w:color w:val="000000" w:themeColor="text1"/>
        </w:rPr>
        <w:t xml:space="preserve">  </w:t>
      </w:r>
      <w:r w:rsidRPr="002C4959">
        <w:rPr>
          <w:rFonts w:eastAsia="Times New Roman" w:cstheme="minorHAnsi"/>
          <w:color w:val="000000" w:themeColor="text1"/>
        </w:rPr>
        <w:t>A new National Forest Policy was drafted in 2008.  Its goal is that:</w:t>
      </w:r>
    </w:p>
    <w:p w:rsidR="002C4959" w:rsidRPr="002C4959" w:rsidRDefault="002C4959" w:rsidP="002C4959">
      <w:pPr>
        <w:shd w:val="clear" w:color="auto" w:fill="FFFFFF"/>
        <w:spacing w:after="0"/>
        <w:contextualSpacing/>
        <w:jc w:val="both"/>
        <w:rPr>
          <w:rFonts w:eastAsia="Times New Roman" w:cstheme="minorHAnsi"/>
          <w:color w:val="000000" w:themeColor="text1"/>
        </w:rPr>
      </w:pPr>
    </w:p>
    <w:p w:rsidR="002C4959" w:rsidRPr="002C4959" w:rsidRDefault="002C4959" w:rsidP="002C4959">
      <w:pPr>
        <w:shd w:val="clear" w:color="auto" w:fill="FFFFFF"/>
        <w:spacing w:after="0"/>
        <w:ind w:left="720" w:right="720"/>
        <w:jc w:val="both"/>
        <w:rPr>
          <w:rFonts w:cstheme="minorHAnsi"/>
          <w:i/>
        </w:rPr>
      </w:pPr>
      <w:r w:rsidRPr="002C4959">
        <w:rPr>
          <w:rFonts w:cstheme="minorHAnsi"/>
          <w:i/>
        </w:rPr>
        <w:t>Bhutan’s forest resources and biodiversity are managed sustainably and equitably to produce a wide range of social, economic and environmental goods and services for the optimal benefit of all citizens while still maintaining 60% of the land under forest, thereby contributing to Gross National Happiness.</w:t>
      </w:r>
    </w:p>
    <w:p w:rsidR="002C4959" w:rsidRDefault="002C4959" w:rsidP="002C4959">
      <w:pPr>
        <w:shd w:val="clear" w:color="auto" w:fill="FFFFFF"/>
        <w:spacing w:after="0"/>
        <w:contextualSpacing/>
        <w:jc w:val="both"/>
        <w:rPr>
          <w:rFonts w:cstheme="minorHAnsi"/>
        </w:rPr>
      </w:pPr>
    </w:p>
    <w:p w:rsidR="002C4959" w:rsidRPr="002C4959" w:rsidRDefault="002C4959" w:rsidP="002C4959">
      <w:pPr>
        <w:shd w:val="clear" w:color="auto" w:fill="FFFFFF"/>
        <w:spacing w:after="0"/>
        <w:contextualSpacing/>
        <w:jc w:val="both"/>
        <w:rPr>
          <w:rFonts w:cstheme="minorHAnsi"/>
        </w:rPr>
      </w:pPr>
      <w:r>
        <w:rPr>
          <w:rFonts w:cstheme="minorHAnsi"/>
        </w:rPr>
        <w:t>Bhutan has initiated REDD+ readiness activities with support from two sources.  The UNDP Country Office has mobilized approximately $100,000 for a suite of activities designed to compose an initial National REDD+ Strategy.  In parallel with this, the joint UNDP/UNEP “Poverty Environment Initiative” has ear-marked about $56,000 to explore options for benefit distribution systems in the environment sector.  Clearly, at such levels of funding, the full complexity of the social aspects of REDD+ readiness cannot be fully addressed.  Consequently, Bhutan is requesting targeted support to supplement currently proposed activities so as to ensure that the REDD+ specific aspects of benefit distribution, and REDD+ specific corruption risks are adequately addressed</w:t>
      </w:r>
    </w:p>
    <w:p w:rsidR="008909E9" w:rsidRDefault="008909E9" w:rsidP="00584245">
      <w:pPr>
        <w:pStyle w:val="Default"/>
        <w:spacing w:line="276" w:lineRule="auto"/>
        <w:jc w:val="both"/>
        <w:rPr>
          <w:rFonts w:asciiTheme="minorHAnsi" w:hAnsiTheme="minorHAnsi" w:cstheme="minorHAnsi"/>
          <w:color w:val="000000" w:themeColor="text1"/>
          <w:sz w:val="22"/>
          <w:szCs w:val="22"/>
          <w:lang w:val="en-GB"/>
        </w:rPr>
      </w:pPr>
    </w:p>
    <w:p w:rsidR="008909E9" w:rsidRDefault="008909E9" w:rsidP="00584245">
      <w:pPr>
        <w:pStyle w:val="Default"/>
        <w:spacing w:line="276" w:lineRule="auto"/>
        <w:jc w:val="both"/>
        <w:rPr>
          <w:rFonts w:asciiTheme="minorHAnsi" w:hAnsiTheme="minorHAnsi" w:cstheme="minorHAnsi"/>
          <w:color w:val="000000" w:themeColor="text1"/>
          <w:sz w:val="22"/>
          <w:szCs w:val="22"/>
          <w:lang w:val="en-GB"/>
        </w:rPr>
      </w:pPr>
      <w:r>
        <w:rPr>
          <w:rFonts w:asciiTheme="minorHAnsi" w:hAnsiTheme="minorHAnsi" w:cstheme="minorHAnsi"/>
          <w:b/>
          <w:color w:val="000000" w:themeColor="text1"/>
          <w:sz w:val="22"/>
          <w:szCs w:val="22"/>
          <w:lang w:val="en-GB"/>
        </w:rPr>
        <w:t xml:space="preserve">Objective </w:t>
      </w:r>
    </w:p>
    <w:p w:rsidR="008909E9" w:rsidRDefault="008909E9" w:rsidP="00584245">
      <w:pPr>
        <w:pStyle w:val="Default"/>
        <w:spacing w:line="276" w:lineRule="auto"/>
        <w:jc w:val="both"/>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t>The Objective of the proposed targeted support is “</w:t>
      </w:r>
      <w:r w:rsidRPr="008909E9">
        <w:rPr>
          <w:rFonts w:asciiTheme="minorHAnsi" w:hAnsiTheme="minorHAnsi" w:cstheme="minorHAnsi"/>
          <w:b/>
          <w:i/>
          <w:color w:val="000000" w:themeColor="text1"/>
          <w:sz w:val="22"/>
          <w:szCs w:val="22"/>
          <w:lang w:val="en-GB"/>
        </w:rPr>
        <w:t xml:space="preserve">to </w:t>
      </w:r>
      <w:r w:rsidR="002C4959">
        <w:rPr>
          <w:rFonts w:asciiTheme="minorHAnsi" w:hAnsiTheme="minorHAnsi" w:cstheme="minorHAnsi"/>
          <w:b/>
          <w:i/>
          <w:color w:val="000000" w:themeColor="text1"/>
          <w:sz w:val="22"/>
          <w:szCs w:val="22"/>
          <w:lang w:val="en-GB"/>
        </w:rPr>
        <w:t>ensure that the initial National REDD+ Strategy incorporates effective measures to address REDD+ corruption risks, and options for REDD+ benefit distribution that fully reflect national and international requirements.</w:t>
      </w:r>
      <w:r>
        <w:rPr>
          <w:rFonts w:asciiTheme="minorHAnsi" w:hAnsiTheme="minorHAnsi" w:cstheme="minorHAnsi"/>
          <w:color w:val="000000" w:themeColor="text1"/>
          <w:sz w:val="22"/>
          <w:szCs w:val="22"/>
          <w:lang w:val="en-GB"/>
        </w:rPr>
        <w:t>”</w:t>
      </w:r>
    </w:p>
    <w:p w:rsidR="008909E9" w:rsidRDefault="008909E9" w:rsidP="00584245">
      <w:pPr>
        <w:pStyle w:val="Default"/>
        <w:spacing w:line="276" w:lineRule="auto"/>
        <w:jc w:val="both"/>
        <w:rPr>
          <w:rFonts w:asciiTheme="minorHAnsi" w:hAnsiTheme="minorHAnsi" w:cstheme="minorHAnsi"/>
          <w:color w:val="000000" w:themeColor="text1"/>
          <w:sz w:val="22"/>
          <w:szCs w:val="22"/>
          <w:lang w:val="en-GB"/>
        </w:rPr>
      </w:pPr>
    </w:p>
    <w:p w:rsidR="008909E9" w:rsidRPr="008909E9" w:rsidRDefault="008909E9" w:rsidP="00584245">
      <w:pPr>
        <w:pStyle w:val="Default"/>
        <w:spacing w:line="276" w:lineRule="auto"/>
        <w:jc w:val="both"/>
        <w:rPr>
          <w:rFonts w:asciiTheme="minorHAnsi" w:hAnsiTheme="minorHAnsi" w:cstheme="minorHAnsi"/>
          <w:b/>
          <w:color w:val="000000" w:themeColor="text1"/>
          <w:sz w:val="22"/>
          <w:szCs w:val="22"/>
          <w:lang w:val="en-GB"/>
        </w:rPr>
      </w:pPr>
      <w:r w:rsidRPr="008909E9">
        <w:rPr>
          <w:rFonts w:asciiTheme="minorHAnsi" w:hAnsiTheme="minorHAnsi" w:cstheme="minorHAnsi"/>
          <w:b/>
          <w:color w:val="000000" w:themeColor="text1"/>
          <w:sz w:val="22"/>
          <w:szCs w:val="22"/>
          <w:lang w:val="en-GB"/>
        </w:rPr>
        <w:t>Activities</w:t>
      </w:r>
    </w:p>
    <w:p w:rsidR="008909E9" w:rsidRDefault="008909E9" w:rsidP="00584245">
      <w:pPr>
        <w:pStyle w:val="Default"/>
        <w:spacing w:line="276" w:lineRule="auto"/>
        <w:jc w:val="both"/>
        <w:rPr>
          <w:rFonts w:asciiTheme="minorHAnsi" w:hAnsiTheme="minorHAnsi" w:cstheme="minorHAnsi"/>
          <w:color w:val="000000" w:themeColor="text1"/>
          <w:sz w:val="22"/>
          <w:szCs w:val="22"/>
          <w:lang w:val="en-GB"/>
        </w:rPr>
      </w:pPr>
      <w:r>
        <w:rPr>
          <w:rFonts w:asciiTheme="minorHAnsi" w:hAnsiTheme="minorHAnsi" w:cstheme="minorHAnsi"/>
          <w:color w:val="000000" w:themeColor="text1"/>
          <w:sz w:val="22"/>
          <w:szCs w:val="22"/>
          <w:lang w:val="en-GB"/>
        </w:rPr>
        <w:t>In order to achieve the stated Objective, the following indicative activities are anticipated:</w:t>
      </w:r>
    </w:p>
    <w:p w:rsidR="008909E9" w:rsidRDefault="008909E9" w:rsidP="00584245">
      <w:pPr>
        <w:pStyle w:val="Default"/>
        <w:spacing w:line="276" w:lineRule="auto"/>
        <w:jc w:val="both"/>
        <w:rPr>
          <w:rFonts w:asciiTheme="minorHAnsi" w:hAnsiTheme="minorHAnsi" w:cstheme="minorHAnsi"/>
          <w:color w:val="000000" w:themeColor="text1"/>
          <w:sz w:val="22"/>
          <w:szCs w:val="22"/>
          <w:lang w:val="en-GB"/>
        </w:rPr>
      </w:pPr>
    </w:p>
    <w:p w:rsidR="008909E9" w:rsidRPr="000815D8" w:rsidRDefault="00A5164D" w:rsidP="00584245">
      <w:pPr>
        <w:pStyle w:val="ListParagraph"/>
        <w:numPr>
          <w:ilvl w:val="0"/>
          <w:numId w:val="3"/>
        </w:numPr>
        <w:spacing w:after="0"/>
        <w:jc w:val="both"/>
        <w:rPr>
          <w:rFonts w:cstheme="minorHAnsi"/>
          <w:lang w:val="en-US"/>
        </w:rPr>
      </w:pPr>
      <w:r>
        <w:rPr>
          <w:rFonts w:cstheme="minorHAnsi"/>
          <w:lang w:val="en-US"/>
        </w:rPr>
        <w:t>U</w:t>
      </w:r>
      <w:r w:rsidR="008909E9" w:rsidRPr="000815D8">
        <w:rPr>
          <w:rFonts w:cstheme="minorHAnsi"/>
          <w:lang w:val="en-US"/>
        </w:rPr>
        <w:t>ndertake an assessment of corruption risks for REDD+ in B</w:t>
      </w:r>
      <w:r>
        <w:rPr>
          <w:rFonts w:cstheme="minorHAnsi"/>
          <w:lang w:val="en-US"/>
        </w:rPr>
        <w:t>hutan</w:t>
      </w:r>
      <w:r w:rsidR="008909E9" w:rsidRPr="000815D8">
        <w:rPr>
          <w:rFonts w:cstheme="minorHAnsi"/>
          <w:lang w:val="en-US"/>
        </w:rPr>
        <w:t>;</w:t>
      </w:r>
    </w:p>
    <w:p w:rsidR="008909E9" w:rsidRPr="000815D8" w:rsidRDefault="00A5164D" w:rsidP="00584245">
      <w:pPr>
        <w:pStyle w:val="ListParagraph"/>
        <w:numPr>
          <w:ilvl w:val="0"/>
          <w:numId w:val="3"/>
        </w:numPr>
        <w:spacing w:after="0"/>
        <w:jc w:val="both"/>
        <w:rPr>
          <w:rFonts w:cstheme="minorHAnsi"/>
          <w:lang w:val="en-US"/>
        </w:rPr>
      </w:pPr>
      <w:r>
        <w:rPr>
          <w:iCs/>
        </w:rPr>
        <w:t>Supplementing the analysis of options for benefit distribution under PEI, review REDD+ specific benefit distribution issues and propose options to ensure that these issues are adequately addressed</w:t>
      </w:r>
      <w:r w:rsidR="008909E9" w:rsidRPr="000815D8">
        <w:rPr>
          <w:iCs/>
        </w:rPr>
        <w:t>;</w:t>
      </w:r>
    </w:p>
    <w:p w:rsidR="008909E9" w:rsidRPr="000815D8" w:rsidRDefault="008909E9" w:rsidP="00584245">
      <w:pPr>
        <w:pStyle w:val="ListParagraph"/>
        <w:numPr>
          <w:ilvl w:val="0"/>
          <w:numId w:val="3"/>
        </w:numPr>
        <w:spacing w:after="0"/>
        <w:jc w:val="both"/>
        <w:rPr>
          <w:rFonts w:cstheme="minorHAnsi"/>
          <w:lang w:val="en-US"/>
        </w:rPr>
      </w:pPr>
      <w:r w:rsidRPr="000815D8">
        <w:rPr>
          <w:iCs/>
        </w:rPr>
        <w:t>Design and implement wide stakeholder consultation process to review and validate the results of the assessments undertaken under 1 and 2, above;</w:t>
      </w:r>
    </w:p>
    <w:p w:rsidR="000815D8" w:rsidRDefault="000815D8" w:rsidP="00584245">
      <w:pPr>
        <w:spacing w:after="0"/>
        <w:jc w:val="both"/>
        <w:rPr>
          <w:rFonts w:cstheme="minorHAnsi"/>
          <w:b/>
          <w:lang w:val="en-US"/>
        </w:rPr>
      </w:pPr>
    </w:p>
    <w:p w:rsidR="003D1E6E" w:rsidRDefault="003D1E6E" w:rsidP="00584245">
      <w:pPr>
        <w:spacing w:after="0"/>
        <w:jc w:val="both"/>
        <w:rPr>
          <w:rFonts w:cstheme="minorHAnsi"/>
          <w:b/>
          <w:lang w:val="en-US"/>
        </w:rPr>
      </w:pPr>
    </w:p>
    <w:p w:rsidR="003D1E6E" w:rsidRDefault="003D1E6E" w:rsidP="00584245">
      <w:pPr>
        <w:spacing w:after="0"/>
        <w:jc w:val="both"/>
        <w:rPr>
          <w:rFonts w:cstheme="minorHAnsi"/>
          <w:b/>
          <w:lang w:val="en-US"/>
        </w:rPr>
      </w:pPr>
    </w:p>
    <w:p w:rsidR="003D1E6E" w:rsidRDefault="003D1E6E" w:rsidP="00584245">
      <w:pPr>
        <w:spacing w:after="0"/>
        <w:jc w:val="both"/>
        <w:rPr>
          <w:rFonts w:cstheme="minorHAnsi"/>
          <w:b/>
          <w:lang w:val="en-US"/>
        </w:rPr>
      </w:pPr>
    </w:p>
    <w:p w:rsidR="003D1E6E" w:rsidRDefault="003D1E6E" w:rsidP="00584245">
      <w:pPr>
        <w:spacing w:after="0"/>
        <w:jc w:val="both"/>
        <w:rPr>
          <w:rFonts w:cstheme="minorHAnsi"/>
          <w:b/>
          <w:lang w:val="en-US"/>
        </w:rPr>
      </w:pPr>
    </w:p>
    <w:p w:rsidR="003D1E6E" w:rsidRDefault="003D1E6E" w:rsidP="00584245">
      <w:pPr>
        <w:spacing w:after="0"/>
        <w:jc w:val="both"/>
        <w:rPr>
          <w:rFonts w:cstheme="minorHAnsi"/>
          <w:b/>
          <w:lang w:val="en-US"/>
        </w:rPr>
      </w:pPr>
    </w:p>
    <w:p w:rsidR="00FF49A4" w:rsidRPr="006065EE" w:rsidRDefault="00FF49A4" w:rsidP="00584245">
      <w:pPr>
        <w:spacing w:after="0"/>
        <w:jc w:val="both"/>
        <w:rPr>
          <w:rFonts w:cstheme="minorHAnsi"/>
          <w:b/>
          <w:lang w:val="en-US"/>
        </w:rPr>
      </w:pPr>
      <w:r w:rsidRPr="006065EE">
        <w:rPr>
          <w:rFonts w:cstheme="minorHAnsi"/>
          <w:b/>
          <w:lang w:val="en-US"/>
        </w:rPr>
        <w:t>Budget</w:t>
      </w:r>
    </w:p>
    <w:p w:rsidR="007F6C24" w:rsidRDefault="000815D8" w:rsidP="00584245">
      <w:pPr>
        <w:spacing w:after="0"/>
        <w:jc w:val="both"/>
        <w:rPr>
          <w:rFonts w:cstheme="minorHAnsi"/>
          <w:lang w:val="en-US"/>
        </w:rPr>
      </w:pPr>
      <w:r>
        <w:rPr>
          <w:rFonts w:cstheme="minorHAnsi"/>
          <w:lang w:val="en-US"/>
        </w:rPr>
        <w:t>The total budget for these activities is estimated at $</w:t>
      </w:r>
      <w:r w:rsidR="00A5164D">
        <w:rPr>
          <w:rFonts w:cstheme="minorHAnsi"/>
          <w:lang w:val="en-US"/>
        </w:rPr>
        <w:t>4</w:t>
      </w:r>
      <w:r>
        <w:rPr>
          <w:rFonts w:cstheme="minorHAnsi"/>
          <w:lang w:val="en-US"/>
        </w:rPr>
        <w:t>0,000 for the</w:t>
      </w:r>
      <w:r w:rsidR="00267958" w:rsidRPr="006065EE">
        <w:rPr>
          <w:rFonts w:cstheme="minorHAnsi"/>
          <w:lang w:val="en-US"/>
        </w:rPr>
        <w:t xml:space="preserve"> described </w:t>
      </w:r>
      <w:r>
        <w:rPr>
          <w:rFonts w:cstheme="minorHAnsi"/>
          <w:lang w:val="en-US"/>
        </w:rPr>
        <w:t>activities, to be implemented</w:t>
      </w:r>
      <w:r w:rsidR="00B941B7" w:rsidRPr="006065EE">
        <w:rPr>
          <w:rFonts w:cstheme="minorHAnsi"/>
          <w:lang w:val="en-US"/>
        </w:rPr>
        <w:t xml:space="preserve"> over a period of one year</w:t>
      </w:r>
      <w:r>
        <w:rPr>
          <w:rFonts w:cstheme="minorHAnsi"/>
          <w:lang w:val="en-US"/>
        </w:rPr>
        <w:t>, broken down as follows:</w:t>
      </w:r>
    </w:p>
    <w:p w:rsidR="000815D8" w:rsidRDefault="000815D8" w:rsidP="00584245">
      <w:pPr>
        <w:spacing w:after="0"/>
        <w:jc w:val="both"/>
        <w:rPr>
          <w:rFonts w:cstheme="minorHAnsi"/>
          <w:lang w:val="en-US"/>
        </w:rPr>
      </w:pPr>
    </w:p>
    <w:tbl>
      <w:tblPr>
        <w:tblStyle w:val="TableGrid"/>
        <w:tblW w:w="0" w:type="auto"/>
        <w:tblLook w:val="04A0"/>
      </w:tblPr>
      <w:tblGrid>
        <w:gridCol w:w="2448"/>
        <w:gridCol w:w="1440"/>
        <w:gridCol w:w="2160"/>
        <w:gridCol w:w="1080"/>
        <w:gridCol w:w="1260"/>
        <w:gridCol w:w="1170"/>
      </w:tblGrid>
      <w:tr w:rsidR="000815D8">
        <w:tc>
          <w:tcPr>
            <w:tcW w:w="2448" w:type="dxa"/>
          </w:tcPr>
          <w:p w:rsidR="000815D8" w:rsidRPr="000815D8" w:rsidRDefault="000815D8" w:rsidP="00584245">
            <w:pPr>
              <w:jc w:val="center"/>
              <w:rPr>
                <w:rFonts w:cstheme="minorHAnsi"/>
                <w:sz w:val="20"/>
                <w:szCs w:val="20"/>
                <w:lang w:val="en-US"/>
              </w:rPr>
            </w:pPr>
            <w:r w:rsidRPr="000815D8">
              <w:rPr>
                <w:rFonts w:cstheme="minorHAnsi"/>
                <w:sz w:val="20"/>
                <w:szCs w:val="20"/>
                <w:lang w:val="en-US"/>
              </w:rPr>
              <w:t>Activity</w:t>
            </w:r>
          </w:p>
        </w:tc>
        <w:tc>
          <w:tcPr>
            <w:tcW w:w="1440" w:type="dxa"/>
          </w:tcPr>
          <w:p w:rsidR="000815D8" w:rsidRPr="000815D8" w:rsidRDefault="000815D8" w:rsidP="00584245">
            <w:pPr>
              <w:jc w:val="center"/>
              <w:rPr>
                <w:rFonts w:cstheme="minorHAnsi"/>
                <w:color w:val="000000"/>
                <w:sz w:val="20"/>
                <w:szCs w:val="20"/>
              </w:rPr>
            </w:pPr>
            <w:r w:rsidRPr="000815D8">
              <w:rPr>
                <w:rFonts w:cstheme="minorHAnsi"/>
                <w:color w:val="000000"/>
                <w:sz w:val="20"/>
                <w:szCs w:val="20"/>
              </w:rPr>
              <w:t>Personnel</w:t>
            </w:r>
          </w:p>
        </w:tc>
        <w:tc>
          <w:tcPr>
            <w:tcW w:w="2160" w:type="dxa"/>
          </w:tcPr>
          <w:p w:rsidR="000815D8" w:rsidRPr="000815D8" w:rsidRDefault="000815D8" w:rsidP="00584245">
            <w:pPr>
              <w:jc w:val="center"/>
              <w:rPr>
                <w:rFonts w:cstheme="minorHAnsi"/>
                <w:color w:val="000000"/>
                <w:sz w:val="20"/>
                <w:szCs w:val="20"/>
              </w:rPr>
            </w:pPr>
            <w:r w:rsidRPr="000815D8">
              <w:rPr>
                <w:rFonts w:cstheme="minorHAnsi"/>
                <w:color w:val="000000"/>
                <w:sz w:val="20"/>
                <w:szCs w:val="20"/>
              </w:rPr>
              <w:t>Supplies, commodities, equipment and transport</w:t>
            </w:r>
          </w:p>
        </w:tc>
        <w:tc>
          <w:tcPr>
            <w:tcW w:w="1080" w:type="dxa"/>
          </w:tcPr>
          <w:p w:rsidR="000815D8" w:rsidRPr="000815D8" w:rsidRDefault="000815D8" w:rsidP="00584245">
            <w:pPr>
              <w:jc w:val="center"/>
              <w:rPr>
                <w:rFonts w:cstheme="minorHAnsi"/>
                <w:color w:val="000000"/>
                <w:sz w:val="20"/>
                <w:szCs w:val="20"/>
              </w:rPr>
            </w:pPr>
            <w:r w:rsidRPr="000815D8">
              <w:rPr>
                <w:rFonts w:cstheme="minorHAnsi"/>
                <w:color w:val="000000"/>
                <w:sz w:val="20"/>
                <w:szCs w:val="20"/>
              </w:rPr>
              <w:t>Contracts</w:t>
            </w:r>
          </w:p>
        </w:tc>
        <w:tc>
          <w:tcPr>
            <w:tcW w:w="1260" w:type="dxa"/>
          </w:tcPr>
          <w:p w:rsidR="000815D8" w:rsidRPr="000815D8" w:rsidRDefault="000815D8" w:rsidP="00584245">
            <w:pPr>
              <w:jc w:val="center"/>
              <w:rPr>
                <w:rFonts w:cstheme="minorHAnsi"/>
                <w:sz w:val="20"/>
                <w:szCs w:val="20"/>
                <w:lang w:val="en-US"/>
              </w:rPr>
            </w:pPr>
            <w:r w:rsidRPr="000815D8">
              <w:rPr>
                <w:rFonts w:cstheme="minorHAnsi"/>
                <w:sz w:val="20"/>
                <w:szCs w:val="20"/>
                <w:lang w:val="en-US"/>
              </w:rPr>
              <w:t>Other direct costs</w:t>
            </w:r>
          </w:p>
        </w:tc>
        <w:tc>
          <w:tcPr>
            <w:tcW w:w="1170" w:type="dxa"/>
          </w:tcPr>
          <w:p w:rsidR="000815D8" w:rsidRPr="000815D8" w:rsidRDefault="000815D8" w:rsidP="00584245">
            <w:pPr>
              <w:jc w:val="center"/>
              <w:rPr>
                <w:rFonts w:cstheme="minorHAnsi"/>
                <w:sz w:val="20"/>
                <w:szCs w:val="20"/>
                <w:lang w:val="en-US"/>
              </w:rPr>
            </w:pPr>
            <w:r>
              <w:rPr>
                <w:rFonts w:cstheme="minorHAnsi"/>
                <w:sz w:val="20"/>
                <w:szCs w:val="20"/>
                <w:lang w:val="en-US"/>
              </w:rPr>
              <w:t>TOTAL</w:t>
            </w:r>
          </w:p>
        </w:tc>
      </w:tr>
      <w:tr w:rsidR="00584245">
        <w:tc>
          <w:tcPr>
            <w:tcW w:w="2448" w:type="dxa"/>
          </w:tcPr>
          <w:p w:rsidR="00584245" w:rsidRPr="000815D8" w:rsidRDefault="00584245" w:rsidP="00584245">
            <w:pPr>
              <w:jc w:val="both"/>
              <w:rPr>
                <w:rFonts w:cstheme="minorHAnsi"/>
                <w:sz w:val="20"/>
                <w:szCs w:val="20"/>
              </w:rPr>
            </w:pPr>
            <w:r>
              <w:rPr>
                <w:rFonts w:cstheme="minorHAnsi"/>
                <w:sz w:val="20"/>
                <w:szCs w:val="20"/>
                <w:lang w:val="en-US"/>
              </w:rPr>
              <w:t>A</w:t>
            </w:r>
            <w:r w:rsidRPr="000815D8">
              <w:rPr>
                <w:rFonts w:cstheme="minorHAnsi"/>
                <w:sz w:val="20"/>
                <w:szCs w:val="20"/>
                <w:lang w:val="en-US"/>
              </w:rPr>
              <w:t xml:space="preserve">ssessment of corruption risks </w:t>
            </w:r>
          </w:p>
        </w:tc>
        <w:tc>
          <w:tcPr>
            <w:tcW w:w="1440" w:type="dxa"/>
            <w:vAlign w:val="center"/>
          </w:tcPr>
          <w:p w:rsidR="00584245" w:rsidRPr="00584245" w:rsidRDefault="002C4959" w:rsidP="002C4959">
            <w:pPr>
              <w:ind w:right="252"/>
              <w:jc w:val="right"/>
              <w:rPr>
                <w:rFonts w:cstheme="minorHAnsi"/>
                <w:color w:val="000000"/>
                <w:sz w:val="20"/>
                <w:szCs w:val="20"/>
              </w:rPr>
            </w:pPr>
            <w:r>
              <w:rPr>
                <w:rFonts w:cstheme="minorHAnsi"/>
                <w:color w:val="000000"/>
                <w:sz w:val="20"/>
                <w:szCs w:val="20"/>
              </w:rPr>
              <w:t>15</w:t>
            </w:r>
            <w:r w:rsidR="00584245" w:rsidRPr="00584245">
              <w:rPr>
                <w:rFonts w:cstheme="minorHAnsi"/>
                <w:color w:val="000000"/>
                <w:sz w:val="20"/>
                <w:szCs w:val="20"/>
              </w:rPr>
              <w:t>,000</w:t>
            </w:r>
          </w:p>
        </w:tc>
        <w:tc>
          <w:tcPr>
            <w:tcW w:w="2160" w:type="dxa"/>
            <w:vAlign w:val="center"/>
          </w:tcPr>
          <w:p w:rsidR="00584245" w:rsidRPr="00584245" w:rsidRDefault="00584245" w:rsidP="00584245">
            <w:pPr>
              <w:ind w:right="252"/>
              <w:jc w:val="right"/>
              <w:rPr>
                <w:rFonts w:cstheme="minorHAnsi"/>
                <w:sz w:val="20"/>
                <w:szCs w:val="20"/>
                <w:lang w:val="en-US"/>
              </w:rPr>
            </w:pPr>
          </w:p>
        </w:tc>
        <w:tc>
          <w:tcPr>
            <w:tcW w:w="1080" w:type="dxa"/>
            <w:vAlign w:val="center"/>
          </w:tcPr>
          <w:p w:rsidR="00584245" w:rsidRPr="00584245" w:rsidRDefault="00584245" w:rsidP="00584245">
            <w:pPr>
              <w:ind w:right="252"/>
              <w:jc w:val="right"/>
              <w:rPr>
                <w:rFonts w:cstheme="minorHAnsi"/>
                <w:sz w:val="20"/>
                <w:szCs w:val="20"/>
                <w:lang w:val="en-US"/>
              </w:rPr>
            </w:pPr>
            <w:r w:rsidRPr="00584245">
              <w:rPr>
                <w:rFonts w:cstheme="minorHAnsi"/>
                <w:sz w:val="20"/>
                <w:szCs w:val="20"/>
                <w:lang w:val="en-US"/>
              </w:rPr>
              <w:t>0</w:t>
            </w:r>
          </w:p>
        </w:tc>
        <w:tc>
          <w:tcPr>
            <w:tcW w:w="1260" w:type="dxa"/>
            <w:vAlign w:val="center"/>
          </w:tcPr>
          <w:p w:rsidR="00584245" w:rsidRPr="00584245" w:rsidRDefault="00584245" w:rsidP="00584245">
            <w:pPr>
              <w:ind w:right="252"/>
              <w:jc w:val="right"/>
              <w:rPr>
                <w:rFonts w:cstheme="minorHAnsi"/>
                <w:sz w:val="20"/>
                <w:szCs w:val="20"/>
                <w:lang w:val="en-US"/>
              </w:rPr>
            </w:pPr>
            <w:r w:rsidRPr="00584245">
              <w:rPr>
                <w:rFonts w:cstheme="minorHAnsi"/>
                <w:sz w:val="20"/>
                <w:szCs w:val="20"/>
                <w:lang w:val="en-US"/>
              </w:rPr>
              <w:t>0</w:t>
            </w:r>
          </w:p>
        </w:tc>
        <w:tc>
          <w:tcPr>
            <w:tcW w:w="1170" w:type="dxa"/>
            <w:vAlign w:val="center"/>
          </w:tcPr>
          <w:p w:rsidR="00584245" w:rsidRPr="00584245" w:rsidRDefault="002C4959" w:rsidP="00584245">
            <w:pPr>
              <w:ind w:right="252"/>
              <w:jc w:val="right"/>
              <w:rPr>
                <w:rFonts w:cstheme="minorHAnsi"/>
                <w:color w:val="000000"/>
                <w:sz w:val="20"/>
                <w:szCs w:val="20"/>
              </w:rPr>
            </w:pPr>
            <w:r>
              <w:rPr>
                <w:rFonts w:cstheme="minorHAnsi"/>
                <w:color w:val="000000"/>
                <w:sz w:val="20"/>
                <w:szCs w:val="20"/>
              </w:rPr>
              <w:t>15</w:t>
            </w:r>
            <w:r w:rsidR="00584245" w:rsidRPr="00584245">
              <w:rPr>
                <w:rFonts w:cstheme="minorHAnsi"/>
                <w:color w:val="000000"/>
                <w:sz w:val="20"/>
                <w:szCs w:val="20"/>
              </w:rPr>
              <w:t>,000</w:t>
            </w:r>
          </w:p>
        </w:tc>
      </w:tr>
      <w:tr w:rsidR="00584245">
        <w:tc>
          <w:tcPr>
            <w:tcW w:w="2448" w:type="dxa"/>
          </w:tcPr>
          <w:p w:rsidR="00584245" w:rsidRPr="000815D8" w:rsidRDefault="002C4959" w:rsidP="00584245">
            <w:pPr>
              <w:jc w:val="both"/>
              <w:rPr>
                <w:rFonts w:cstheme="minorHAnsi"/>
                <w:sz w:val="20"/>
                <w:szCs w:val="20"/>
              </w:rPr>
            </w:pPr>
            <w:r>
              <w:rPr>
                <w:iCs/>
                <w:sz w:val="20"/>
                <w:szCs w:val="20"/>
              </w:rPr>
              <w:t>Design of BDS options</w:t>
            </w:r>
            <w:r w:rsidR="00584245" w:rsidRPr="000815D8">
              <w:rPr>
                <w:iCs/>
                <w:sz w:val="20"/>
                <w:szCs w:val="20"/>
              </w:rPr>
              <w:t xml:space="preserve"> </w:t>
            </w:r>
          </w:p>
        </w:tc>
        <w:tc>
          <w:tcPr>
            <w:tcW w:w="1440" w:type="dxa"/>
            <w:vAlign w:val="center"/>
          </w:tcPr>
          <w:p w:rsidR="00584245" w:rsidRPr="00584245" w:rsidRDefault="002C4959" w:rsidP="002C4959">
            <w:pPr>
              <w:ind w:right="252"/>
              <w:jc w:val="right"/>
              <w:rPr>
                <w:rFonts w:cstheme="minorHAnsi"/>
                <w:color w:val="000000"/>
                <w:sz w:val="20"/>
                <w:szCs w:val="20"/>
              </w:rPr>
            </w:pPr>
            <w:r>
              <w:rPr>
                <w:rFonts w:cstheme="minorHAnsi"/>
                <w:color w:val="000000"/>
                <w:sz w:val="20"/>
                <w:szCs w:val="20"/>
              </w:rPr>
              <w:t>15</w:t>
            </w:r>
            <w:r w:rsidR="00584245" w:rsidRPr="00584245">
              <w:rPr>
                <w:rFonts w:cstheme="minorHAnsi"/>
                <w:color w:val="000000"/>
                <w:sz w:val="20"/>
                <w:szCs w:val="20"/>
              </w:rPr>
              <w:t>,000</w:t>
            </w:r>
          </w:p>
        </w:tc>
        <w:tc>
          <w:tcPr>
            <w:tcW w:w="2160" w:type="dxa"/>
            <w:vAlign w:val="center"/>
          </w:tcPr>
          <w:p w:rsidR="00584245" w:rsidRPr="00584245" w:rsidRDefault="00584245" w:rsidP="00584245">
            <w:pPr>
              <w:ind w:right="252"/>
              <w:jc w:val="right"/>
              <w:rPr>
                <w:rFonts w:cstheme="minorHAnsi"/>
                <w:sz w:val="20"/>
                <w:szCs w:val="20"/>
                <w:lang w:val="en-US"/>
              </w:rPr>
            </w:pPr>
          </w:p>
        </w:tc>
        <w:tc>
          <w:tcPr>
            <w:tcW w:w="1080" w:type="dxa"/>
            <w:vAlign w:val="center"/>
          </w:tcPr>
          <w:p w:rsidR="00584245" w:rsidRPr="00584245" w:rsidRDefault="00584245" w:rsidP="00584245">
            <w:pPr>
              <w:ind w:right="252"/>
              <w:jc w:val="right"/>
              <w:rPr>
                <w:rFonts w:cstheme="minorHAnsi"/>
                <w:sz w:val="20"/>
                <w:szCs w:val="20"/>
                <w:lang w:val="en-US"/>
              </w:rPr>
            </w:pPr>
            <w:r w:rsidRPr="00584245">
              <w:rPr>
                <w:rFonts w:cstheme="minorHAnsi"/>
                <w:sz w:val="20"/>
                <w:szCs w:val="20"/>
                <w:lang w:val="en-US"/>
              </w:rPr>
              <w:t>0</w:t>
            </w:r>
          </w:p>
        </w:tc>
        <w:tc>
          <w:tcPr>
            <w:tcW w:w="1260" w:type="dxa"/>
            <w:vAlign w:val="center"/>
          </w:tcPr>
          <w:p w:rsidR="00584245" w:rsidRPr="00584245" w:rsidRDefault="00584245" w:rsidP="00584245">
            <w:pPr>
              <w:ind w:right="252"/>
              <w:jc w:val="right"/>
              <w:rPr>
                <w:rFonts w:cstheme="minorHAnsi"/>
                <w:sz w:val="20"/>
                <w:szCs w:val="20"/>
                <w:lang w:val="en-US"/>
              </w:rPr>
            </w:pPr>
            <w:r w:rsidRPr="00584245">
              <w:rPr>
                <w:rFonts w:cstheme="minorHAnsi"/>
                <w:sz w:val="20"/>
                <w:szCs w:val="20"/>
                <w:lang w:val="en-US"/>
              </w:rPr>
              <w:t>0</w:t>
            </w:r>
          </w:p>
        </w:tc>
        <w:tc>
          <w:tcPr>
            <w:tcW w:w="1170" w:type="dxa"/>
            <w:vAlign w:val="center"/>
          </w:tcPr>
          <w:p w:rsidR="00584245" w:rsidRPr="00584245" w:rsidRDefault="002C4959" w:rsidP="00584245">
            <w:pPr>
              <w:ind w:right="252"/>
              <w:jc w:val="right"/>
              <w:rPr>
                <w:rFonts w:cstheme="minorHAnsi"/>
                <w:color w:val="000000"/>
                <w:sz w:val="20"/>
                <w:szCs w:val="20"/>
              </w:rPr>
            </w:pPr>
            <w:r>
              <w:rPr>
                <w:rFonts w:cstheme="minorHAnsi"/>
                <w:color w:val="000000"/>
                <w:sz w:val="20"/>
                <w:szCs w:val="20"/>
              </w:rPr>
              <w:t>15</w:t>
            </w:r>
            <w:r w:rsidR="00584245" w:rsidRPr="00584245">
              <w:rPr>
                <w:rFonts w:cstheme="minorHAnsi"/>
                <w:color w:val="000000"/>
                <w:sz w:val="20"/>
                <w:szCs w:val="20"/>
              </w:rPr>
              <w:t>,000</w:t>
            </w:r>
          </w:p>
        </w:tc>
      </w:tr>
      <w:tr w:rsidR="00584245">
        <w:tc>
          <w:tcPr>
            <w:tcW w:w="2448" w:type="dxa"/>
          </w:tcPr>
          <w:p w:rsidR="00584245" w:rsidRPr="000815D8" w:rsidRDefault="00584245" w:rsidP="00584245">
            <w:pPr>
              <w:jc w:val="both"/>
              <w:rPr>
                <w:rFonts w:cstheme="minorHAnsi"/>
                <w:sz w:val="20"/>
                <w:szCs w:val="20"/>
              </w:rPr>
            </w:pPr>
            <w:r>
              <w:rPr>
                <w:iCs/>
                <w:sz w:val="20"/>
                <w:szCs w:val="20"/>
              </w:rPr>
              <w:t>S</w:t>
            </w:r>
            <w:r w:rsidRPr="000815D8">
              <w:rPr>
                <w:iCs/>
                <w:sz w:val="20"/>
                <w:szCs w:val="20"/>
              </w:rPr>
              <w:t xml:space="preserve">takeholder consultation process to review and validate the results </w:t>
            </w:r>
          </w:p>
        </w:tc>
        <w:tc>
          <w:tcPr>
            <w:tcW w:w="1440" w:type="dxa"/>
            <w:vAlign w:val="center"/>
          </w:tcPr>
          <w:p w:rsidR="00584245" w:rsidRPr="00584245" w:rsidRDefault="002C4959" w:rsidP="00584245">
            <w:pPr>
              <w:ind w:right="252"/>
              <w:jc w:val="right"/>
              <w:rPr>
                <w:rFonts w:cstheme="minorHAnsi"/>
                <w:color w:val="000000"/>
                <w:sz w:val="20"/>
                <w:szCs w:val="20"/>
              </w:rPr>
            </w:pPr>
            <w:r>
              <w:rPr>
                <w:rFonts w:cstheme="minorHAnsi"/>
                <w:color w:val="000000"/>
                <w:sz w:val="20"/>
                <w:szCs w:val="20"/>
              </w:rPr>
              <w:t>5,000</w:t>
            </w:r>
          </w:p>
        </w:tc>
        <w:tc>
          <w:tcPr>
            <w:tcW w:w="2160" w:type="dxa"/>
            <w:vAlign w:val="center"/>
          </w:tcPr>
          <w:p w:rsidR="00584245" w:rsidRPr="00584245" w:rsidRDefault="00584245" w:rsidP="00584245">
            <w:pPr>
              <w:ind w:right="252"/>
              <w:jc w:val="right"/>
              <w:rPr>
                <w:rFonts w:cstheme="minorHAnsi"/>
                <w:sz w:val="20"/>
                <w:szCs w:val="20"/>
                <w:lang w:val="en-US"/>
              </w:rPr>
            </w:pPr>
            <w:r w:rsidRPr="00584245">
              <w:rPr>
                <w:rFonts w:cstheme="minorHAnsi"/>
                <w:sz w:val="20"/>
                <w:szCs w:val="20"/>
                <w:lang w:val="en-US"/>
              </w:rPr>
              <w:t>5,000</w:t>
            </w:r>
          </w:p>
        </w:tc>
        <w:tc>
          <w:tcPr>
            <w:tcW w:w="1080" w:type="dxa"/>
            <w:vAlign w:val="center"/>
          </w:tcPr>
          <w:p w:rsidR="00584245" w:rsidRPr="00584245" w:rsidRDefault="00584245" w:rsidP="00584245">
            <w:pPr>
              <w:ind w:right="252"/>
              <w:jc w:val="right"/>
              <w:rPr>
                <w:rFonts w:cstheme="minorHAnsi"/>
                <w:sz w:val="20"/>
                <w:szCs w:val="20"/>
                <w:lang w:val="en-US"/>
              </w:rPr>
            </w:pPr>
            <w:r w:rsidRPr="00584245">
              <w:rPr>
                <w:rFonts w:cstheme="minorHAnsi"/>
                <w:sz w:val="20"/>
                <w:szCs w:val="20"/>
                <w:lang w:val="en-US"/>
              </w:rPr>
              <w:t>0</w:t>
            </w:r>
          </w:p>
        </w:tc>
        <w:tc>
          <w:tcPr>
            <w:tcW w:w="1260" w:type="dxa"/>
            <w:vAlign w:val="center"/>
          </w:tcPr>
          <w:p w:rsidR="00584245" w:rsidRPr="00584245" w:rsidRDefault="00584245" w:rsidP="00584245">
            <w:pPr>
              <w:ind w:right="252"/>
              <w:jc w:val="right"/>
              <w:rPr>
                <w:rFonts w:cstheme="minorHAnsi"/>
                <w:sz w:val="20"/>
                <w:szCs w:val="20"/>
                <w:lang w:val="en-US"/>
              </w:rPr>
            </w:pPr>
            <w:r w:rsidRPr="00584245">
              <w:rPr>
                <w:rFonts w:cstheme="minorHAnsi"/>
                <w:sz w:val="20"/>
                <w:szCs w:val="20"/>
                <w:lang w:val="en-US"/>
              </w:rPr>
              <w:t>0</w:t>
            </w:r>
          </w:p>
        </w:tc>
        <w:tc>
          <w:tcPr>
            <w:tcW w:w="1170" w:type="dxa"/>
            <w:vAlign w:val="center"/>
          </w:tcPr>
          <w:p w:rsidR="00584245" w:rsidRPr="00584245" w:rsidRDefault="00584245" w:rsidP="002C4959">
            <w:pPr>
              <w:ind w:right="252"/>
              <w:jc w:val="right"/>
              <w:rPr>
                <w:rFonts w:cstheme="minorHAnsi"/>
                <w:color w:val="000000"/>
                <w:sz w:val="20"/>
                <w:szCs w:val="20"/>
              </w:rPr>
            </w:pPr>
            <w:r w:rsidRPr="00584245">
              <w:rPr>
                <w:rFonts w:cstheme="minorHAnsi"/>
                <w:color w:val="000000"/>
                <w:sz w:val="20"/>
                <w:szCs w:val="20"/>
              </w:rPr>
              <w:t>1</w:t>
            </w:r>
            <w:r w:rsidR="002C4959">
              <w:rPr>
                <w:rFonts w:cstheme="minorHAnsi"/>
                <w:color w:val="000000"/>
                <w:sz w:val="20"/>
                <w:szCs w:val="20"/>
              </w:rPr>
              <w:t>0</w:t>
            </w:r>
            <w:r w:rsidRPr="00584245">
              <w:rPr>
                <w:rFonts w:cstheme="minorHAnsi"/>
                <w:color w:val="000000"/>
                <w:sz w:val="20"/>
                <w:szCs w:val="20"/>
              </w:rPr>
              <w:t>,000</w:t>
            </w:r>
          </w:p>
        </w:tc>
      </w:tr>
      <w:tr w:rsidR="00584245">
        <w:tc>
          <w:tcPr>
            <w:tcW w:w="2448" w:type="dxa"/>
          </w:tcPr>
          <w:p w:rsidR="00584245" w:rsidRDefault="00584245" w:rsidP="00584245">
            <w:pPr>
              <w:jc w:val="both"/>
              <w:rPr>
                <w:rFonts w:cstheme="minorHAnsi"/>
                <w:lang w:val="en-US"/>
              </w:rPr>
            </w:pPr>
            <w:r>
              <w:rPr>
                <w:rFonts w:cstheme="minorHAnsi"/>
                <w:lang w:val="en-US"/>
              </w:rPr>
              <w:t>TOTALS</w:t>
            </w:r>
          </w:p>
        </w:tc>
        <w:tc>
          <w:tcPr>
            <w:tcW w:w="1440" w:type="dxa"/>
            <w:vAlign w:val="center"/>
          </w:tcPr>
          <w:p w:rsidR="00584245" w:rsidRPr="00584245" w:rsidRDefault="002C4959" w:rsidP="00584245">
            <w:pPr>
              <w:ind w:right="252"/>
              <w:jc w:val="right"/>
              <w:rPr>
                <w:rFonts w:cstheme="minorHAnsi"/>
                <w:color w:val="000000"/>
                <w:sz w:val="20"/>
                <w:szCs w:val="20"/>
              </w:rPr>
            </w:pPr>
            <w:r>
              <w:rPr>
                <w:rFonts w:cstheme="minorHAnsi"/>
                <w:color w:val="000000"/>
                <w:sz w:val="20"/>
                <w:szCs w:val="20"/>
              </w:rPr>
              <w:t>35</w:t>
            </w:r>
            <w:r w:rsidR="00584245" w:rsidRPr="00584245">
              <w:rPr>
                <w:rFonts w:cstheme="minorHAnsi"/>
                <w:color w:val="000000"/>
                <w:sz w:val="20"/>
                <w:szCs w:val="20"/>
              </w:rPr>
              <w:t>,000</w:t>
            </w:r>
          </w:p>
        </w:tc>
        <w:tc>
          <w:tcPr>
            <w:tcW w:w="2160" w:type="dxa"/>
            <w:vAlign w:val="center"/>
          </w:tcPr>
          <w:p w:rsidR="00584245" w:rsidRPr="00584245" w:rsidRDefault="002C4959" w:rsidP="00584245">
            <w:pPr>
              <w:ind w:right="252"/>
              <w:jc w:val="right"/>
              <w:rPr>
                <w:rFonts w:cstheme="minorHAnsi"/>
                <w:color w:val="000000"/>
                <w:sz w:val="20"/>
                <w:szCs w:val="20"/>
              </w:rPr>
            </w:pPr>
            <w:r>
              <w:rPr>
                <w:rFonts w:cstheme="minorHAnsi"/>
                <w:color w:val="000000"/>
                <w:sz w:val="20"/>
                <w:szCs w:val="20"/>
              </w:rPr>
              <w:t>5</w:t>
            </w:r>
            <w:r w:rsidR="00584245" w:rsidRPr="00584245">
              <w:rPr>
                <w:rFonts w:cstheme="minorHAnsi"/>
                <w:color w:val="000000"/>
                <w:sz w:val="20"/>
                <w:szCs w:val="20"/>
              </w:rPr>
              <w:t>,000</w:t>
            </w:r>
          </w:p>
        </w:tc>
        <w:tc>
          <w:tcPr>
            <w:tcW w:w="1080" w:type="dxa"/>
            <w:vAlign w:val="center"/>
          </w:tcPr>
          <w:p w:rsidR="00584245" w:rsidRPr="00584245" w:rsidRDefault="002C4959" w:rsidP="00584245">
            <w:pPr>
              <w:ind w:right="252"/>
              <w:jc w:val="right"/>
              <w:rPr>
                <w:rFonts w:cstheme="minorHAnsi"/>
                <w:color w:val="000000"/>
                <w:sz w:val="20"/>
                <w:szCs w:val="20"/>
              </w:rPr>
            </w:pPr>
            <w:r>
              <w:rPr>
                <w:rFonts w:cstheme="minorHAnsi"/>
                <w:color w:val="000000"/>
                <w:sz w:val="20"/>
                <w:szCs w:val="20"/>
              </w:rPr>
              <w:t>0</w:t>
            </w:r>
          </w:p>
        </w:tc>
        <w:tc>
          <w:tcPr>
            <w:tcW w:w="1260" w:type="dxa"/>
            <w:vAlign w:val="center"/>
          </w:tcPr>
          <w:p w:rsidR="00584245" w:rsidRPr="00584245" w:rsidRDefault="00584245" w:rsidP="00584245">
            <w:pPr>
              <w:ind w:right="252"/>
              <w:jc w:val="right"/>
              <w:rPr>
                <w:rFonts w:cstheme="minorHAnsi"/>
                <w:color w:val="000000"/>
                <w:sz w:val="20"/>
                <w:szCs w:val="20"/>
              </w:rPr>
            </w:pPr>
            <w:r w:rsidRPr="00584245">
              <w:rPr>
                <w:rFonts w:cstheme="minorHAnsi"/>
                <w:color w:val="000000"/>
                <w:sz w:val="20"/>
                <w:szCs w:val="20"/>
              </w:rPr>
              <w:t>0</w:t>
            </w:r>
          </w:p>
        </w:tc>
        <w:tc>
          <w:tcPr>
            <w:tcW w:w="1170" w:type="dxa"/>
            <w:vAlign w:val="center"/>
          </w:tcPr>
          <w:p w:rsidR="00584245" w:rsidRPr="00584245" w:rsidRDefault="002C4959" w:rsidP="00584245">
            <w:pPr>
              <w:ind w:right="252"/>
              <w:jc w:val="right"/>
              <w:rPr>
                <w:rFonts w:cstheme="minorHAnsi"/>
                <w:color w:val="000000"/>
                <w:sz w:val="20"/>
                <w:szCs w:val="20"/>
              </w:rPr>
            </w:pPr>
            <w:r>
              <w:rPr>
                <w:rFonts w:cstheme="minorHAnsi"/>
                <w:color w:val="000000"/>
                <w:sz w:val="20"/>
                <w:szCs w:val="20"/>
              </w:rPr>
              <w:t>4</w:t>
            </w:r>
            <w:r w:rsidR="00584245" w:rsidRPr="00584245">
              <w:rPr>
                <w:rFonts w:cstheme="minorHAnsi"/>
                <w:color w:val="000000"/>
                <w:sz w:val="20"/>
                <w:szCs w:val="20"/>
              </w:rPr>
              <w:t>0,000</w:t>
            </w:r>
          </w:p>
        </w:tc>
      </w:tr>
    </w:tbl>
    <w:p w:rsidR="000815D8" w:rsidRPr="006065EE" w:rsidRDefault="000815D8" w:rsidP="00584245">
      <w:pPr>
        <w:spacing w:after="0"/>
        <w:jc w:val="both"/>
        <w:rPr>
          <w:rFonts w:cstheme="minorHAnsi"/>
          <w:lang w:val="en-US"/>
        </w:rPr>
      </w:pPr>
    </w:p>
    <w:sectPr w:rsidR="000815D8" w:rsidRPr="006065EE" w:rsidSect="004A1A97">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F88" w:rsidRDefault="004B6F88" w:rsidP="00D6525F">
      <w:pPr>
        <w:spacing w:after="0" w:line="240" w:lineRule="auto"/>
      </w:pPr>
      <w:r>
        <w:separator/>
      </w:r>
    </w:p>
  </w:endnote>
  <w:endnote w:type="continuationSeparator" w:id="0">
    <w:p w:rsidR="004B6F88" w:rsidRDefault="004B6F88" w:rsidP="00D652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panose1 w:val="03050602040202020205"/>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F88" w:rsidRDefault="004B6F88" w:rsidP="00D6525F">
      <w:pPr>
        <w:spacing w:after="0" w:line="240" w:lineRule="auto"/>
      </w:pPr>
      <w:r>
        <w:separator/>
      </w:r>
    </w:p>
  </w:footnote>
  <w:footnote w:type="continuationSeparator" w:id="0">
    <w:p w:rsidR="004B6F88" w:rsidRDefault="004B6F88" w:rsidP="00D6525F">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D7053"/>
    <w:multiLevelType w:val="hybridMultilevel"/>
    <w:tmpl w:val="6A5CE3CE"/>
    <w:lvl w:ilvl="0" w:tplc="E8B4E158">
      <w:start w:val="1"/>
      <w:numFmt w:val="decimal"/>
      <w:lvlText w:val="%1."/>
      <w:lvlJc w:val="left"/>
      <w:pPr>
        <w:ind w:left="360" w:hanging="360"/>
      </w:pPr>
      <w:rPr>
        <w:b w:val="0"/>
        <w:color w:val="auto"/>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nsid w:val="20D66081"/>
    <w:multiLevelType w:val="hybridMultilevel"/>
    <w:tmpl w:val="02EA0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1348B1"/>
    <w:multiLevelType w:val="hybridMultilevel"/>
    <w:tmpl w:val="D9789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A96A3F"/>
    <w:multiLevelType w:val="hybridMultilevel"/>
    <w:tmpl w:val="78747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3B4F53"/>
    <w:multiLevelType w:val="hybridMultilevel"/>
    <w:tmpl w:val="B3BA64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D87881"/>
    <w:multiLevelType w:val="hybridMultilevel"/>
    <w:tmpl w:val="FD66D2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962A61"/>
    <w:multiLevelType w:val="hybridMultilevel"/>
    <w:tmpl w:val="E8A8FCC0"/>
    <w:lvl w:ilvl="0" w:tplc="0A7A6498">
      <w:start w:val="1"/>
      <w:numFmt w:val="bullet"/>
      <w:lvlText w:val=""/>
      <w:lvlJc w:val="left"/>
      <w:pPr>
        <w:ind w:left="720" w:hanging="360"/>
      </w:pPr>
      <w:rPr>
        <w:rFonts w:ascii="Symbol" w:hAnsi="Symbo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705423DD"/>
    <w:multiLevelType w:val="hybridMultilevel"/>
    <w:tmpl w:val="E46C9C4C"/>
    <w:lvl w:ilvl="0" w:tplc="0CF2F8F8">
      <w:start w:val="1"/>
      <w:numFmt w:val="decimal"/>
      <w:lvlText w:val="%1."/>
      <w:lvlJc w:val="left"/>
      <w:pPr>
        <w:ind w:left="990" w:hanging="360"/>
      </w:pPr>
      <w:rPr>
        <w:rFonts w:ascii="Verdana" w:hAnsi="Verdana" w:cs="Verdana" w:hint="default"/>
        <w:b w:val="0"/>
        <w:i w:val="0"/>
        <w:sz w:val="16"/>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3"/>
  </w:num>
  <w:num w:numId="2">
    <w:abstractNumId w:val="5"/>
  </w:num>
  <w:num w:numId="3">
    <w:abstractNumId w:val="1"/>
  </w:num>
  <w:num w:numId="4">
    <w:abstractNumId w:val="0"/>
  </w:num>
  <w:num w:numId="5">
    <w:abstractNumId w:val="6"/>
  </w:num>
  <w:num w:numId="6">
    <w:abstractNumId w:val="2"/>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useFELayout/>
  </w:compat>
  <w:rsids>
    <w:rsidRoot w:val="007F6C24"/>
    <w:rsid w:val="00037017"/>
    <w:rsid w:val="00075FF9"/>
    <w:rsid w:val="000815D8"/>
    <w:rsid w:val="000855F1"/>
    <w:rsid w:val="000F53D7"/>
    <w:rsid w:val="001142B9"/>
    <w:rsid w:val="0013407F"/>
    <w:rsid w:val="0018531D"/>
    <w:rsid w:val="001C1BBE"/>
    <w:rsid w:val="001C6B20"/>
    <w:rsid w:val="001D47E1"/>
    <w:rsid w:val="001E3731"/>
    <w:rsid w:val="00207A52"/>
    <w:rsid w:val="0024093E"/>
    <w:rsid w:val="00267958"/>
    <w:rsid w:val="00273F4E"/>
    <w:rsid w:val="002C136D"/>
    <w:rsid w:val="002C4959"/>
    <w:rsid w:val="002C7867"/>
    <w:rsid w:val="00321323"/>
    <w:rsid w:val="00353373"/>
    <w:rsid w:val="00353CEE"/>
    <w:rsid w:val="00372F8D"/>
    <w:rsid w:val="00376168"/>
    <w:rsid w:val="00392C07"/>
    <w:rsid w:val="003B054A"/>
    <w:rsid w:val="003D1E6E"/>
    <w:rsid w:val="003D3531"/>
    <w:rsid w:val="003E0CA4"/>
    <w:rsid w:val="00433ECC"/>
    <w:rsid w:val="004601D5"/>
    <w:rsid w:val="00494E15"/>
    <w:rsid w:val="004A1A97"/>
    <w:rsid w:val="004B6F88"/>
    <w:rsid w:val="004E4BD2"/>
    <w:rsid w:val="004E63E9"/>
    <w:rsid w:val="004F1971"/>
    <w:rsid w:val="0051035B"/>
    <w:rsid w:val="0053202B"/>
    <w:rsid w:val="005359F0"/>
    <w:rsid w:val="00554EEA"/>
    <w:rsid w:val="00584245"/>
    <w:rsid w:val="0058452B"/>
    <w:rsid w:val="0058778A"/>
    <w:rsid w:val="005B39A2"/>
    <w:rsid w:val="005C217D"/>
    <w:rsid w:val="006065EE"/>
    <w:rsid w:val="00657CD9"/>
    <w:rsid w:val="006B518A"/>
    <w:rsid w:val="006D6EE7"/>
    <w:rsid w:val="006E3269"/>
    <w:rsid w:val="007256AF"/>
    <w:rsid w:val="00742963"/>
    <w:rsid w:val="0075376F"/>
    <w:rsid w:val="00755466"/>
    <w:rsid w:val="00762E92"/>
    <w:rsid w:val="00763E07"/>
    <w:rsid w:val="007813C8"/>
    <w:rsid w:val="007E06B8"/>
    <w:rsid w:val="007F6C24"/>
    <w:rsid w:val="00814C83"/>
    <w:rsid w:val="00824F8B"/>
    <w:rsid w:val="00825E78"/>
    <w:rsid w:val="008909E9"/>
    <w:rsid w:val="008B1C77"/>
    <w:rsid w:val="008C6EAA"/>
    <w:rsid w:val="008D233C"/>
    <w:rsid w:val="008F4011"/>
    <w:rsid w:val="0091643F"/>
    <w:rsid w:val="009275B6"/>
    <w:rsid w:val="0093083B"/>
    <w:rsid w:val="009503E9"/>
    <w:rsid w:val="0097445D"/>
    <w:rsid w:val="00981F0D"/>
    <w:rsid w:val="00992F29"/>
    <w:rsid w:val="009A3380"/>
    <w:rsid w:val="009D32AB"/>
    <w:rsid w:val="00A0120C"/>
    <w:rsid w:val="00A06EA6"/>
    <w:rsid w:val="00A10ADC"/>
    <w:rsid w:val="00A17C9B"/>
    <w:rsid w:val="00A5164D"/>
    <w:rsid w:val="00A67B08"/>
    <w:rsid w:val="00A72BAE"/>
    <w:rsid w:val="00A838A6"/>
    <w:rsid w:val="00A97195"/>
    <w:rsid w:val="00AA341F"/>
    <w:rsid w:val="00AA5AAE"/>
    <w:rsid w:val="00AB7C5E"/>
    <w:rsid w:val="00AD431C"/>
    <w:rsid w:val="00AE3B2D"/>
    <w:rsid w:val="00B01570"/>
    <w:rsid w:val="00B107DD"/>
    <w:rsid w:val="00B20779"/>
    <w:rsid w:val="00B236FE"/>
    <w:rsid w:val="00B306DC"/>
    <w:rsid w:val="00B941B7"/>
    <w:rsid w:val="00BB12AB"/>
    <w:rsid w:val="00BD130A"/>
    <w:rsid w:val="00C05E0A"/>
    <w:rsid w:val="00C37C3D"/>
    <w:rsid w:val="00C53838"/>
    <w:rsid w:val="00C603B7"/>
    <w:rsid w:val="00C93B77"/>
    <w:rsid w:val="00CC22C1"/>
    <w:rsid w:val="00CF3C1D"/>
    <w:rsid w:val="00CF741E"/>
    <w:rsid w:val="00D41CF8"/>
    <w:rsid w:val="00D6525F"/>
    <w:rsid w:val="00D973CC"/>
    <w:rsid w:val="00DA283C"/>
    <w:rsid w:val="00DA480F"/>
    <w:rsid w:val="00DD3D2E"/>
    <w:rsid w:val="00E36097"/>
    <w:rsid w:val="00E459A5"/>
    <w:rsid w:val="00E63483"/>
    <w:rsid w:val="00EA7BE7"/>
    <w:rsid w:val="00EF5DF5"/>
    <w:rsid w:val="00F06362"/>
    <w:rsid w:val="00F160F5"/>
    <w:rsid w:val="00F513AE"/>
    <w:rsid w:val="00F539D6"/>
    <w:rsid w:val="00F54DBB"/>
    <w:rsid w:val="00F977C2"/>
    <w:rsid w:val="00FA1677"/>
    <w:rsid w:val="00FA7A54"/>
    <w:rsid w:val="00FC249F"/>
    <w:rsid w:val="00FF0538"/>
    <w:rsid w:val="00FF49A4"/>
  </w:rsids>
  <m:mathPr>
    <m:mathFont m:val="Palatino Linotype"/>
    <m:brkBin m:val="before"/>
    <m:brkBinSub m:val="--"/>
    <m:smallFrac m:val="off"/>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F0D"/>
    <w:rPr>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DD3D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66C"/>
    <w:rPr>
      <w:rFonts w:ascii="Lucida Grande" w:hAnsi="Lucida Grande"/>
      <w:sz w:val="18"/>
      <w:szCs w:val="18"/>
    </w:rPr>
  </w:style>
  <w:style w:type="paragraph" w:styleId="ListParagraph">
    <w:name w:val="List Paragraph"/>
    <w:basedOn w:val="Normal"/>
    <w:uiPriority w:val="34"/>
    <w:qFormat/>
    <w:rsid w:val="00353373"/>
    <w:pPr>
      <w:ind w:left="720"/>
      <w:contextualSpacing/>
    </w:pPr>
  </w:style>
  <w:style w:type="paragraph" w:styleId="PlainText">
    <w:name w:val="Plain Text"/>
    <w:basedOn w:val="Normal"/>
    <w:link w:val="PlainTextChar"/>
    <w:uiPriority w:val="99"/>
    <w:unhideWhenUsed/>
    <w:rsid w:val="00FA1677"/>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rsid w:val="00FA1677"/>
    <w:rPr>
      <w:rFonts w:ascii="Calibri" w:hAnsi="Calibri"/>
      <w:szCs w:val="21"/>
    </w:rPr>
  </w:style>
  <w:style w:type="character" w:styleId="CommentReference">
    <w:name w:val="annotation reference"/>
    <w:basedOn w:val="DefaultParagraphFont"/>
    <w:uiPriority w:val="99"/>
    <w:semiHidden/>
    <w:unhideWhenUsed/>
    <w:rsid w:val="00DD3D2E"/>
    <w:rPr>
      <w:sz w:val="16"/>
      <w:szCs w:val="16"/>
    </w:rPr>
  </w:style>
  <w:style w:type="paragraph" w:styleId="CommentText">
    <w:name w:val="annotation text"/>
    <w:basedOn w:val="Normal"/>
    <w:link w:val="CommentTextChar"/>
    <w:uiPriority w:val="99"/>
    <w:semiHidden/>
    <w:unhideWhenUsed/>
    <w:rsid w:val="00DD3D2E"/>
    <w:pPr>
      <w:spacing w:line="240" w:lineRule="auto"/>
    </w:pPr>
    <w:rPr>
      <w:sz w:val="20"/>
      <w:szCs w:val="20"/>
    </w:rPr>
  </w:style>
  <w:style w:type="character" w:customStyle="1" w:styleId="CommentTextChar">
    <w:name w:val="Comment Text Char"/>
    <w:basedOn w:val="DefaultParagraphFont"/>
    <w:link w:val="CommentText"/>
    <w:uiPriority w:val="99"/>
    <w:semiHidden/>
    <w:rsid w:val="00DD3D2E"/>
    <w:rPr>
      <w:sz w:val="20"/>
      <w:szCs w:val="20"/>
      <w:lang w:val="en-GB"/>
    </w:rPr>
  </w:style>
  <w:style w:type="paragraph" w:styleId="CommentSubject">
    <w:name w:val="annotation subject"/>
    <w:basedOn w:val="CommentText"/>
    <w:next w:val="CommentText"/>
    <w:link w:val="CommentSubjectChar"/>
    <w:uiPriority w:val="99"/>
    <w:semiHidden/>
    <w:unhideWhenUsed/>
    <w:rsid w:val="00DD3D2E"/>
    <w:rPr>
      <w:b/>
      <w:bCs/>
    </w:rPr>
  </w:style>
  <w:style w:type="character" w:customStyle="1" w:styleId="CommentSubjectChar">
    <w:name w:val="Comment Subject Char"/>
    <w:basedOn w:val="CommentTextChar"/>
    <w:link w:val="CommentSubject"/>
    <w:uiPriority w:val="99"/>
    <w:semiHidden/>
    <w:rsid w:val="00DD3D2E"/>
    <w:rPr>
      <w:b/>
      <w:bCs/>
      <w:sz w:val="20"/>
      <w:szCs w:val="20"/>
      <w:lang w:val="en-GB"/>
    </w:rPr>
  </w:style>
  <w:style w:type="character" w:customStyle="1" w:styleId="BalloonTextChar1">
    <w:name w:val="Balloon Text Char1"/>
    <w:basedOn w:val="DefaultParagraphFont"/>
    <w:link w:val="BalloonText"/>
    <w:uiPriority w:val="99"/>
    <w:semiHidden/>
    <w:rsid w:val="00DD3D2E"/>
    <w:rPr>
      <w:rFonts w:ascii="Tahoma" w:hAnsi="Tahoma" w:cs="Tahoma"/>
      <w:sz w:val="16"/>
      <w:szCs w:val="16"/>
      <w:lang w:val="en-GB"/>
    </w:rPr>
  </w:style>
  <w:style w:type="paragraph" w:styleId="Revision">
    <w:name w:val="Revision"/>
    <w:hidden/>
    <w:uiPriority w:val="99"/>
    <w:semiHidden/>
    <w:rsid w:val="00A17C9B"/>
    <w:pPr>
      <w:spacing w:after="0" w:line="240" w:lineRule="auto"/>
    </w:pPr>
    <w:rPr>
      <w:lang w:val="en-GB"/>
    </w:rPr>
  </w:style>
  <w:style w:type="character" w:styleId="Hyperlink">
    <w:name w:val="Hyperlink"/>
    <w:basedOn w:val="DefaultParagraphFont"/>
    <w:uiPriority w:val="99"/>
    <w:unhideWhenUsed/>
    <w:rsid w:val="00D6525F"/>
    <w:rPr>
      <w:color w:val="0000FF"/>
      <w:u w:val="single"/>
    </w:rPr>
  </w:style>
  <w:style w:type="paragraph" w:styleId="FootnoteText">
    <w:name w:val="footnote text"/>
    <w:aliases w:val="Footnote Text Char2 Char,Char Char Char,Char CarNum-Doc Paragraph Char Char,Footnote Text Char1 Char Char,Footnote Text Char Char Char Char,Fo Char Char Char Char,Fotnot Char Char Char Char,Footnote Text Char Char1 Char,Char, Char1"/>
    <w:basedOn w:val="Normal"/>
    <w:link w:val="FootnoteTextChar"/>
    <w:uiPriority w:val="99"/>
    <w:qFormat/>
    <w:rsid w:val="00D6525F"/>
    <w:pPr>
      <w:spacing w:after="0" w:line="240" w:lineRule="auto"/>
    </w:pPr>
    <w:rPr>
      <w:rFonts w:eastAsiaTheme="minorHAnsi"/>
      <w:sz w:val="24"/>
      <w:szCs w:val="24"/>
      <w:lang w:val="en-US" w:eastAsia="en-US"/>
    </w:rPr>
  </w:style>
  <w:style w:type="character" w:customStyle="1" w:styleId="FootnoteTextChar">
    <w:name w:val="Footnote Text Char"/>
    <w:aliases w:val="Footnote Text Char2 Char Char,Char Char Char Char,Char CarNum-Doc Paragraph Char Char Char,Footnote Text Char1 Char Char Char,Footnote Text Char Char Char Char Char,Fo Char Char Char Char Char,Fotnot Char Char Char Char Char,Char Char"/>
    <w:basedOn w:val="DefaultParagraphFont"/>
    <w:link w:val="FootnoteText"/>
    <w:uiPriority w:val="99"/>
    <w:rsid w:val="00D6525F"/>
    <w:rPr>
      <w:rFonts w:eastAsiaTheme="minorHAnsi"/>
      <w:sz w:val="24"/>
      <w:szCs w:val="24"/>
      <w:lang w:eastAsia="en-US"/>
    </w:rPr>
  </w:style>
  <w:style w:type="character" w:styleId="FootnoteReference">
    <w:name w:val="footnote reference"/>
    <w:aliases w:val="E FNZ,-E Fußnotenzeichen,Footnote#"/>
    <w:basedOn w:val="DefaultParagraphFont"/>
    <w:uiPriority w:val="99"/>
    <w:rsid w:val="00D6525F"/>
    <w:rPr>
      <w:vertAlign w:val="superscript"/>
    </w:rPr>
  </w:style>
  <w:style w:type="paragraph" w:customStyle="1" w:styleId="Default">
    <w:name w:val="Default"/>
    <w:link w:val="DefaultChar"/>
    <w:rsid w:val="00D6525F"/>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DefaultChar">
    <w:name w:val="Default Char"/>
    <w:basedOn w:val="DefaultParagraphFont"/>
    <w:link w:val="Default"/>
    <w:locked/>
    <w:rsid w:val="00D6525F"/>
    <w:rPr>
      <w:rFonts w:ascii="Times New Roman" w:eastAsia="Calibri" w:hAnsi="Times New Roman" w:cs="Times New Roman"/>
      <w:color w:val="000000"/>
      <w:sz w:val="24"/>
      <w:szCs w:val="24"/>
      <w:lang w:eastAsia="en-US"/>
    </w:rPr>
  </w:style>
  <w:style w:type="table" w:styleId="TableGrid">
    <w:name w:val="Table Grid"/>
    <w:basedOn w:val="TableNormal"/>
    <w:uiPriority w:val="59"/>
    <w:rsid w:val="000815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2C4959"/>
    <w:pPr>
      <w:spacing w:before="100" w:beforeAutospacing="1" w:after="100" w:afterAutospacing="1" w:line="240" w:lineRule="auto"/>
    </w:pPr>
    <w:rPr>
      <w:rFonts w:ascii="Arial" w:eastAsia="Times New Roman" w:hAnsi="Arial" w:cs="Arial"/>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373"/>
    <w:pPr>
      <w:ind w:left="720"/>
      <w:contextualSpacing/>
    </w:pPr>
  </w:style>
  <w:style w:type="paragraph" w:styleId="PlainText">
    <w:name w:val="Plain Text"/>
    <w:basedOn w:val="Normal"/>
    <w:link w:val="PlainTextChar"/>
    <w:uiPriority w:val="99"/>
    <w:unhideWhenUsed/>
    <w:rsid w:val="00FA1677"/>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rsid w:val="00FA1677"/>
    <w:rPr>
      <w:rFonts w:ascii="Calibri" w:hAnsi="Calibri"/>
      <w:szCs w:val="21"/>
    </w:rPr>
  </w:style>
  <w:style w:type="character" w:styleId="CommentReference">
    <w:name w:val="annotation reference"/>
    <w:basedOn w:val="DefaultParagraphFont"/>
    <w:uiPriority w:val="99"/>
    <w:semiHidden/>
    <w:unhideWhenUsed/>
    <w:rsid w:val="00DD3D2E"/>
    <w:rPr>
      <w:sz w:val="16"/>
      <w:szCs w:val="16"/>
    </w:rPr>
  </w:style>
  <w:style w:type="paragraph" w:styleId="CommentText">
    <w:name w:val="annotation text"/>
    <w:basedOn w:val="Normal"/>
    <w:link w:val="CommentTextChar"/>
    <w:uiPriority w:val="99"/>
    <w:semiHidden/>
    <w:unhideWhenUsed/>
    <w:rsid w:val="00DD3D2E"/>
    <w:pPr>
      <w:spacing w:line="240" w:lineRule="auto"/>
    </w:pPr>
    <w:rPr>
      <w:sz w:val="20"/>
      <w:szCs w:val="20"/>
    </w:rPr>
  </w:style>
  <w:style w:type="character" w:customStyle="1" w:styleId="CommentTextChar">
    <w:name w:val="Comment Text Char"/>
    <w:basedOn w:val="DefaultParagraphFont"/>
    <w:link w:val="CommentText"/>
    <w:uiPriority w:val="99"/>
    <w:semiHidden/>
    <w:rsid w:val="00DD3D2E"/>
    <w:rPr>
      <w:sz w:val="20"/>
      <w:szCs w:val="20"/>
      <w:lang w:val="en-GB"/>
    </w:rPr>
  </w:style>
  <w:style w:type="paragraph" w:styleId="CommentSubject">
    <w:name w:val="annotation subject"/>
    <w:basedOn w:val="CommentText"/>
    <w:next w:val="CommentText"/>
    <w:link w:val="CommentSubjectChar"/>
    <w:uiPriority w:val="99"/>
    <w:semiHidden/>
    <w:unhideWhenUsed/>
    <w:rsid w:val="00DD3D2E"/>
    <w:rPr>
      <w:b/>
      <w:bCs/>
    </w:rPr>
  </w:style>
  <w:style w:type="character" w:customStyle="1" w:styleId="CommentSubjectChar">
    <w:name w:val="Comment Subject Char"/>
    <w:basedOn w:val="CommentTextChar"/>
    <w:link w:val="CommentSubject"/>
    <w:uiPriority w:val="99"/>
    <w:semiHidden/>
    <w:rsid w:val="00DD3D2E"/>
    <w:rPr>
      <w:b/>
      <w:bCs/>
      <w:sz w:val="20"/>
      <w:szCs w:val="20"/>
      <w:lang w:val="en-GB"/>
    </w:rPr>
  </w:style>
  <w:style w:type="paragraph" w:styleId="BalloonText">
    <w:name w:val="Balloon Text"/>
    <w:basedOn w:val="Normal"/>
    <w:link w:val="BalloonTextChar"/>
    <w:uiPriority w:val="99"/>
    <w:semiHidden/>
    <w:unhideWhenUsed/>
    <w:rsid w:val="00DD3D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D2E"/>
    <w:rPr>
      <w:rFonts w:ascii="Tahoma" w:hAnsi="Tahoma" w:cs="Tahoma"/>
      <w:sz w:val="16"/>
      <w:szCs w:val="16"/>
      <w:lang w:val="en-GB"/>
    </w:rPr>
  </w:style>
  <w:style w:type="paragraph" w:styleId="Revision">
    <w:name w:val="Revision"/>
    <w:hidden/>
    <w:uiPriority w:val="99"/>
    <w:semiHidden/>
    <w:rsid w:val="00A17C9B"/>
    <w:pPr>
      <w:spacing w:after="0" w:line="240" w:lineRule="auto"/>
    </w:pPr>
    <w:rPr>
      <w:lang w:val="en-GB"/>
    </w:rPr>
  </w:style>
</w:styles>
</file>

<file path=word/webSettings.xml><?xml version="1.0" encoding="utf-8"?>
<w:webSettings xmlns:r="http://schemas.openxmlformats.org/officeDocument/2006/relationships" xmlns:w="http://schemas.openxmlformats.org/wordprocessingml/2006/main">
  <w:divs>
    <w:div w:id="289630477">
      <w:bodyDiv w:val="1"/>
      <w:marLeft w:val="0"/>
      <w:marRight w:val="0"/>
      <w:marTop w:val="0"/>
      <w:marBottom w:val="0"/>
      <w:divBdr>
        <w:top w:val="none" w:sz="0" w:space="0" w:color="auto"/>
        <w:left w:val="none" w:sz="0" w:space="0" w:color="auto"/>
        <w:bottom w:val="none" w:sz="0" w:space="0" w:color="auto"/>
        <w:right w:val="none" w:sz="0" w:space="0" w:color="auto"/>
      </w:divBdr>
    </w:div>
    <w:div w:id="176803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1016</Words>
  <Characters>5796</Characters>
  <Application>Microsoft Macintosh Word</Application>
  <DocSecurity>0</DocSecurity>
  <Lines>48</Lines>
  <Paragraphs>11</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7117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Akihito Kono</dc:creator>
  <cp:lastModifiedBy>Elspeth Halverson</cp:lastModifiedBy>
  <cp:revision>3</cp:revision>
  <cp:lastPrinted>2012-03-14T03:57:00Z</cp:lastPrinted>
  <dcterms:created xsi:type="dcterms:W3CDTF">2012-03-20T19:17:00Z</dcterms:created>
  <dcterms:modified xsi:type="dcterms:W3CDTF">2012-06-19T20:18:00Z</dcterms:modified>
</cp:coreProperties>
</file>