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094"/>
        <w:tblW w:w="9326" w:type="dxa"/>
        <w:tblLook w:val="04A0" w:firstRow="1" w:lastRow="0" w:firstColumn="1" w:lastColumn="0" w:noHBand="0" w:noVBand="1"/>
      </w:tblPr>
      <w:tblGrid>
        <w:gridCol w:w="998"/>
        <w:gridCol w:w="1190"/>
        <w:gridCol w:w="7138"/>
      </w:tblGrid>
      <w:tr w:rsidR="00051D63" w:rsidRPr="00051D63" w:rsidTr="00051D63">
        <w:trPr>
          <w:trHeight w:val="300"/>
        </w:trPr>
        <w:tc>
          <w:tcPr>
            <w:tcW w:w="93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bookmarkStart w:id="0" w:name="_GoBack"/>
            <w:bookmarkEnd w:id="0"/>
            <w:r w:rsidRPr="00051D63">
              <w:rPr>
                <w:rFonts w:ascii="Calibri" w:eastAsia="Times New Roman" w:hAnsi="Calibri" w:cs="Calibri"/>
                <w:b/>
                <w:bCs/>
                <w:color w:val="000000"/>
                <w:lang w:eastAsia="id-ID"/>
              </w:rPr>
              <w:t>ASPEK KEPASTIAN KAWASAN HUTAN</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Kode</w:t>
            </w:r>
          </w:p>
        </w:tc>
        <w:tc>
          <w:tcPr>
            <w:tcW w:w="1190"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Variabel</w:t>
            </w: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Indikator</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A.1.1.1</w:t>
            </w:r>
          </w:p>
        </w:tc>
        <w:tc>
          <w:tcPr>
            <w:tcW w:w="11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Kerangka peraturan dan kebijakan</w:t>
            </w: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dan atau kebijakan mengenai penyusunan perencanaan tata ruang yang transparan, akuntabel dan partisipatif di tingkat nasional, provinsi dan kabupaten/ kota (keberadaan dan kualitasnya)</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A.1.2.2</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dan atau kebijakan pengukuhan kawasan hutan yang transparan, akuntabel dan partisipatif di tingkat nasional, provinsi dan kabupaten (keberadaan dan kualitasnya)</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A.1.3.3</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dan atau kebijakan satu peta yang mengadopsi prinsip transparansi dan partisipasi di tingkat nasional, provinsi dan kabupaten (keberadaan dan kualitasnya)</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A.2.1.4</w:t>
            </w:r>
          </w:p>
        </w:tc>
        <w:tc>
          <w:tcPr>
            <w:tcW w:w="11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Kapasitas para aktor</w:t>
            </w: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klaim pengguna hutan yang diterima dan dapat diselesaikan oleh pemerintah secara nasional, provinsi dan kabupaten pada tahun 2013-2014</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A.2.2.5</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anggaran belanja yang dialokasikan untuk menangani klaim kawasan hutan di Kementrian atau SKPD Kehutanan pada tahun 2013-2014</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A.2.2.6</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luas hutan adat yang telah diintervensi oleh lembaga masyarakat secara nasional, provinsi dan kabupaten s.d 2014</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A.3.1.7</w:t>
            </w:r>
          </w:p>
        </w:tc>
        <w:tc>
          <w:tcPr>
            <w:tcW w:w="11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Kinerja</w:t>
            </w: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luas kawasan hutan yang telah ditetapkan secara nasional, provinsi dan kabupaten (ha/ s.d 2014)</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A.3.2.8</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luas hutan adat yang diakui oleh pemerintah dalam bentuk Perda, SK Bupati atau dikeluarkan dalam Revisi RTRW secara nasional, provinsi dan kabupaten s.d 2014</w:t>
            </w:r>
          </w:p>
        </w:tc>
      </w:tr>
      <w:tr w:rsidR="00051D63" w:rsidRPr="00051D63" w:rsidTr="00051D63">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A.3.3.9</w:t>
            </w:r>
          </w:p>
        </w:tc>
        <w:tc>
          <w:tcPr>
            <w:tcW w:w="1190"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3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kasus kegiatan illegal dalam kawasan hutan secara nasional, provinsi dan kabupaten pada tahun 2013-2014</w:t>
            </w:r>
          </w:p>
        </w:tc>
      </w:tr>
    </w:tbl>
    <w:p w:rsidR="00051D63" w:rsidRPr="005E5BBF" w:rsidRDefault="005E5BBF" w:rsidP="00051D63">
      <w:pPr>
        <w:jc w:val="center"/>
        <w:rPr>
          <w:b/>
          <w:sz w:val="36"/>
          <w:szCs w:val="36"/>
          <w:u w:val="single"/>
        </w:rPr>
      </w:pPr>
      <w:r w:rsidRPr="005E5BBF">
        <w:rPr>
          <w:b/>
          <w:sz w:val="36"/>
          <w:szCs w:val="36"/>
          <w:u w:val="single"/>
        </w:rPr>
        <w:t xml:space="preserve">Indonesian </w:t>
      </w:r>
      <w:r w:rsidR="00051D63" w:rsidRPr="005E5BBF">
        <w:rPr>
          <w:b/>
          <w:sz w:val="36"/>
          <w:szCs w:val="36"/>
          <w:u w:val="single"/>
        </w:rPr>
        <w:t>Indicator Set</w:t>
      </w:r>
    </w:p>
    <w:p w:rsidR="00051D63" w:rsidRDefault="00051D63" w:rsidP="00D356A9"/>
    <w:tbl>
      <w:tblPr>
        <w:tblW w:w="9338" w:type="dxa"/>
        <w:jc w:val="center"/>
        <w:tblInd w:w="48" w:type="dxa"/>
        <w:tblLook w:val="04A0" w:firstRow="1" w:lastRow="0" w:firstColumn="1" w:lastColumn="0" w:noHBand="0" w:noVBand="1"/>
      </w:tblPr>
      <w:tblGrid>
        <w:gridCol w:w="1007"/>
        <w:gridCol w:w="1149"/>
        <w:gridCol w:w="7128"/>
        <w:gridCol w:w="54"/>
      </w:tblGrid>
      <w:tr w:rsidR="00051D63" w:rsidRPr="00051D63" w:rsidTr="005E5BBF">
        <w:trPr>
          <w:trHeight w:val="300"/>
          <w:jc w:val="center"/>
        </w:trPr>
        <w:tc>
          <w:tcPr>
            <w:tcW w:w="933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ASPEK KEADILAN ATAS SUMBERDAYA HUTAN</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Kode</w:t>
            </w:r>
          </w:p>
        </w:tc>
        <w:tc>
          <w:tcPr>
            <w:tcW w:w="1149"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Variabel</w:t>
            </w: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Indikator</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B.1.1.1</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Kerangka peraturan dan kebijakan</w:t>
            </w: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untuk memberikan akses kepada masyarakat dalam kawasan hutan (keberadaan dan kualitasnya)</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B.1.2.2</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Peraturan dan atau kebijakan tentang kesamaan akses mendapatkan pasar produk kayu dan non kayu secara nasional, provinsi dan kabupaten (keberadaan dan kualitas)</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B.1.3.3</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kebijakan dan atau SOP penanganan konflik antara para pihak dalam memanfaatkan kawasan hutan yang transparan, akuntabel dan berkeadilan di pemerintahan pusat, provinsi dan kabupaten (keberadaan dan kualitasnya)</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B.2.1.4</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Kapasitas para aktor</w:t>
            </w: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Jumlah lembaga masyarakat sipil yang kegiatannya melakukan pendampingan kepada masyarakat untuk mendapatkan hak dan manfaat sumber daya hutan di tingkat pusat, provinsi dan kabupaten pada tahun 2012-2014</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B.2.2.5</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alokasi dana APBN/D untuk mendorong masyarakat mendapatkan izin pengelolaan hutan bersama (HD, HKM, HTR) di Pemerintahan Pusat, Provinsi dan Kabupaten pada tahun 2012-2014</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B.2.3.6</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alokasi dana APBN/D untuk menangani konflik penggunaan kawasan hutan pada Pemerintahan Pusat, Provinsi dan Kabupaten pada tahun 2012-2014</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B.3.1.7</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Kinerja</w:t>
            </w: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kasus konflik penggunaan kawasan hutan yang dapat diselesaikan oleh pemerintah dari yang dilaporkan secara nasional, provinsi dan kabupaten pada tahun 2012-2014</w:t>
            </w:r>
          </w:p>
        </w:tc>
      </w:tr>
      <w:tr w:rsidR="00051D63" w:rsidRPr="00051D63" w:rsidTr="005E5BBF">
        <w:trPr>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B.3.2.8</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82" w:type="dxa"/>
            <w:gridSpan w:val="2"/>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Rasio pemanfaatan kawasan hutan antara masyarakat dan korporasi dalam periode 2012-2014 secara nasional, masing-masing provinsi dan kabupaten</w:t>
            </w:r>
          </w:p>
        </w:tc>
      </w:tr>
      <w:tr w:rsidR="00051D63" w:rsidRPr="00051D63" w:rsidTr="005E5BBF">
        <w:trPr>
          <w:gridAfter w:val="1"/>
          <w:wAfter w:w="54" w:type="dxa"/>
          <w:trHeight w:val="300"/>
          <w:jc w:val="center"/>
        </w:trPr>
        <w:tc>
          <w:tcPr>
            <w:tcW w:w="92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lastRenderedPageBreak/>
              <w:t>ASPEK TRANSPARANSI PENGELOLAAN HUTAN</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Kode</w:t>
            </w:r>
          </w:p>
        </w:tc>
        <w:tc>
          <w:tcPr>
            <w:tcW w:w="1149"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Variabel</w:t>
            </w: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Indikator</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C.1.1.1</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Kerangka peraturan dan kebijakan</w:t>
            </w: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yang memasukkan pertimbangan kualifikasi, kompetensi, kinerja, integritas moral, dan pemeriksaan kekayaan dalam pemilihan pejabat yang bertanggung jawab di bidang kehutanan pada tingkat pusat, provinsi dan kabupaten (keberadaan dan kualitas)</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C.1.2.2</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kebijakan pencegahan korupsi di unit kerja yang bertanggung jawab di bidang pengelolaan hutan di pusat, masing-masing provinsi dan kabupaten (keberadaan dan kualitas)</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C.1.3.3</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yang mengatur proses perizinan termasuk rekomendasi di bidang pemanfaatan hutan dan lahan gambut yang transparan dan melibatkan para pihak di pusat, provinsi dan kabupaten (keberadaan dan kualitas)</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C.2.1.4</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Kapasitas para aktor</w:t>
            </w: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perusahaan pengguna kawasan hutan (Izin Usaha Pemanfaatan Hasil Hutan Kayu yang berasal dari Hutan Alam/ Hutan Tanaman/ Restorasi Ekosistem dan Izin Pinjam Pakai Kawasan Hutan untuk Pertambangan dan Non Pertambangan) yang menerapkan prinsip-prinsip tata kelola yang baik pada tahun 2012-2014</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C.2.2.5</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KPH yang telah terbentuk kelembagaannya dan yang telah beroperasi sesuai tahapannya secara nasional, provinsi dan kabupaten dari tahun 2012-2014</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C.2.4.6</w:t>
            </w:r>
          </w:p>
        </w:tc>
        <w:tc>
          <w:tcPr>
            <w:tcW w:w="1149"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Jumlah lembaga masyarakat sipil yang melakukan pengawasan proses pemberian izin bidang sumber daya hutan di pusat, provinsi dan kabupaten pada tahun 2013-2014</w:t>
            </w:r>
          </w:p>
        </w:tc>
      </w:tr>
      <w:tr w:rsidR="00051D63" w:rsidRPr="00051D63" w:rsidTr="005E5BBF">
        <w:trPr>
          <w:gridAfter w:val="1"/>
          <w:wAfter w:w="54" w:type="dxa"/>
          <w:trHeight w:val="300"/>
          <w:jc w:val="center"/>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C.3.1.7</w:t>
            </w:r>
          </w:p>
        </w:tc>
        <w:tc>
          <w:tcPr>
            <w:tcW w:w="1149"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Kinerja</w:t>
            </w:r>
          </w:p>
        </w:tc>
        <w:tc>
          <w:tcPr>
            <w:tcW w:w="7128"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Jumlah biaya tidak resmi dalam mengurus izin dan rekomendasi dalam pemanfaatan hutan atau penggunaan kawasan hutan pada periode tahun 2012-2014</w:t>
            </w:r>
          </w:p>
        </w:tc>
      </w:tr>
    </w:tbl>
    <w:p w:rsidR="00051D63" w:rsidRDefault="00051D63" w:rsidP="00D356A9"/>
    <w:tbl>
      <w:tblPr>
        <w:tblW w:w="9293" w:type="dxa"/>
        <w:jc w:val="center"/>
        <w:tblInd w:w="86" w:type="dxa"/>
        <w:tblLook w:val="04A0" w:firstRow="1" w:lastRow="0" w:firstColumn="1" w:lastColumn="0" w:noHBand="0" w:noVBand="1"/>
      </w:tblPr>
      <w:tblGrid>
        <w:gridCol w:w="985"/>
        <w:gridCol w:w="1134"/>
        <w:gridCol w:w="7174"/>
      </w:tblGrid>
      <w:tr w:rsidR="00051D63" w:rsidRPr="00051D63" w:rsidTr="005E5BBF">
        <w:trPr>
          <w:trHeight w:val="300"/>
          <w:jc w:val="center"/>
        </w:trPr>
        <w:tc>
          <w:tcPr>
            <w:tcW w:w="92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ASPEK KAPASITAS PENEGAKAN HUKUM</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Kode</w:t>
            </w:r>
          </w:p>
        </w:tc>
        <w:tc>
          <w:tcPr>
            <w:tcW w:w="113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Variabel</w:t>
            </w: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b/>
                <w:bCs/>
                <w:color w:val="000000"/>
                <w:lang w:eastAsia="id-ID"/>
              </w:rPr>
            </w:pPr>
            <w:r w:rsidRPr="00051D63">
              <w:rPr>
                <w:rFonts w:ascii="Calibri" w:eastAsia="Times New Roman" w:hAnsi="Calibri" w:cs="Calibri"/>
                <w:b/>
                <w:bCs/>
                <w:color w:val="000000"/>
                <w:lang w:eastAsia="id-ID"/>
              </w:rPr>
              <w:t>Indikator</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D.1.1.1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Kerangka peraturan dan kebijakan</w:t>
            </w: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 xml:space="preserve">Kualitas peraturan yang menyediakan fasilitas pengaduan dan </w:t>
            </w:r>
            <w:r w:rsidRPr="00051D63">
              <w:rPr>
                <w:rFonts w:ascii="Calibri" w:eastAsia="Times New Roman" w:hAnsi="Calibri" w:cs="Calibri"/>
                <w:i/>
                <w:iCs/>
                <w:color w:val="000000"/>
                <w:lang w:eastAsia="id-ID"/>
              </w:rPr>
              <w:t>whistle blower system</w:t>
            </w:r>
            <w:r w:rsidRPr="00051D63">
              <w:rPr>
                <w:rFonts w:ascii="Calibri" w:eastAsia="Times New Roman" w:hAnsi="Calibri" w:cs="Calibri"/>
                <w:color w:val="000000"/>
                <w:lang w:eastAsia="id-ID"/>
              </w:rPr>
              <w:t>di Kemenhut dan BPN, provinsi dan kabupaten (keberadaan dan kualitas)</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D.1.2.2</w:t>
            </w:r>
          </w:p>
        </w:tc>
        <w:tc>
          <w:tcPr>
            <w:tcW w:w="1134"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Kualitas peraturan yang melandasi kewajiban sertifikasi/ diklat tertentu bagi polisi, jaksa, dan hakim yang menangani kasus korupsi dan kejahatan kehutanan (keberadaan dan kualitasnya)</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D.2.1.3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Kapasitas para aktor</w:t>
            </w: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penegak hukum (polisi/ jaksa/ hakim) yang mendapatkan sertifikat multi rezim hukum dalam penegakan kasus kejahatan kehutanan di pusat, provinsi dan kabupaten pada periode 2012-2014</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D.2.2.4</w:t>
            </w:r>
          </w:p>
        </w:tc>
        <w:tc>
          <w:tcPr>
            <w:tcW w:w="1134"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Jumlah lembaga masyarakat sipil yang melakukan monitoring atas korupsi dan kejahatan kehutanan di pusat, provinsi dan kabupaten pada periode 2012-2014</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D.2.3.5</w:t>
            </w:r>
          </w:p>
        </w:tc>
        <w:tc>
          <w:tcPr>
            <w:tcW w:w="1134"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Rasio jagawana/ polisi hutan/ penjaga hutan dengan kawasan hutan secara nasional, masing-masing provinsi dan kabupaten pada 2011-2014</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D.3.1.6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Kinerja</w:t>
            </w: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pelanggaran atas kewajiban pemegang IUPHHK HA/ HT/ RE dan IPPKH, jumlah yang ditangani, serta jumlah yang telah diberikan sanksi secara nasional, provinsi dan kabupaten pada 2012-2014</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D.3.2.7</w:t>
            </w:r>
          </w:p>
        </w:tc>
        <w:tc>
          <w:tcPr>
            <w:tcW w:w="1134"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Persentase kasus korupsi dan kejahatan kehutanan dalam tahap informasi, penyelidikan, penuntutan, dan vonis yang dilakukan oleh aparat penegak hukum (Pengadilan, Kejaksaan, Kepolisian, PPNS Kehutanan) secara nasional, provinsi dan kabupaten pada periode 2012-2014</w:t>
            </w:r>
          </w:p>
        </w:tc>
      </w:tr>
      <w:tr w:rsidR="00051D63" w:rsidRPr="00051D63" w:rsidTr="005E5BBF">
        <w:trPr>
          <w:trHeight w:val="300"/>
          <w:jc w:val="center"/>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jc w:val="center"/>
              <w:rPr>
                <w:rFonts w:ascii="Calibri" w:eastAsia="Times New Roman" w:hAnsi="Calibri" w:cs="Calibri"/>
                <w:color w:val="000000"/>
                <w:lang w:eastAsia="id-ID"/>
              </w:rPr>
            </w:pPr>
            <w:r w:rsidRPr="00051D63">
              <w:rPr>
                <w:rFonts w:ascii="Calibri" w:eastAsia="Times New Roman" w:hAnsi="Calibri" w:cs="Calibri"/>
                <w:color w:val="000000"/>
                <w:lang w:eastAsia="id-ID"/>
              </w:rPr>
              <w:t>D.3.3.8</w:t>
            </w:r>
          </w:p>
        </w:tc>
        <w:tc>
          <w:tcPr>
            <w:tcW w:w="1134" w:type="dxa"/>
            <w:vMerge/>
            <w:tcBorders>
              <w:top w:val="nil"/>
              <w:left w:val="single" w:sz="4" w:space="0" w:color="auto"/>
              <w:bottom w:val="single" w:sz="4" w:space="0" w:color="auto"/>
              <w:right w:val="single" w:sz="4" w:space="0" w:color="auto"/>
            </w:tcBorders>
            <w:vAlign w:val="center"/>
            <w:hideMark/>
          </w:tcPr>
          <w:p w:rsidR="00051D63" w:rsidRPr="00051D63" w:rsidRDefault="00051D63" w:rsidP="00051D63">
            <w:pPr>
              <w:spacing w:after="0" w:line="240" w:lineRule="auto"/>
              <w:rPr>
                <w:rFonts w:ascii="Calibri" w:eastAsia="Times New Roman" w:hAnsi="Calibri" w:cs="Calibri"/>
                <w:color w:val="000000"/>
                <w:lang w:eastAsia="id-ID"/>
              </w:rPr>
            </w:pPr>
          </w:p>
        </w:tc>
        <w:tc>
          <w:tcPr>
            <w:tcW w:w="7174" w:type="dxa"/>
            <w:tcBorders>
              <w:top w:val="nil"/>
              <w:left w:val="nil"/>
              <w:bottom w:val="single" w:sz="4" w:space="0" w:color="auto"/>
              <w:right w:val="single" w:sz="4" w:space="0" w:color="auto"/>
            </w:tcBorders>
            <w:shd w:val="clear" w:color="auto" w:fill="auto"/>
            <w:noWrap/>
            <w:vAlign w:val="center"/>
            <w:hideMark/>
          </w:tcPr>
          <w:p w:rsidR="00051D63" w:rsidRPr="00051D63" w:rsidRDefault="00051D63" w:rsidP="00051D63">
            <w:pPr>
              <w:spacing w:after="0" w:line="240" w:lineRule="auto"/>
              <w:rPr>
                <w:rFonts w:ascii="Calibri" w:eastAsia="Times New Roman" w:hAnsi="Calibri" w:cs="Calibri"/>
                <w:color w:val="000000"/>
                <w:lang w:eastAsia="id-ID"/>
              </w:rPr>
            </w:pPr>
            <w:r w:rsidRPr="00051D63">
              <w:rPr>
                <w:rFonts w:ascii="Calibri" w:eastAsia="Times New Roman" w:hAnsi="Calibri" w:cs="Calibri"/>
                <w:color w:val="000000"/>
                <w:lang w:eastAsia="id-ID"/>
              </w:rPr>
              <w:t xml:space="preserve">Persentase indikasi korupsi dan pelanggaran administrasi pengelolaan hutan yang memiliki potensi kerugian negara yang dilakukan oleh pejabat </w:t>
            </w:r>
            <w:r w:rsidRPr="00051D63">
              <w:rPr>
                <w:rFonts w:ascii="Calibri" w:eastAsia="Times New Roman" w:hAnsi="Calibri" w:cs="Calibri"/>
                <w:color w:val="000000"/>
                <w:lang w:eastAsia="id-ID"/>
              </w:rPr>
              <w:lastRenderedPageBreak/>
              <w:t>pemerintah yang ditangani Inspektorat dalam periode 2012-2014</w:t>
            </w:r>
          </w:p>
        </w:tc>
      </w:tr>
    </w:tbl>
    <w:p w:rsidR="00051D63" w:rsidRPr="00D356A9" w:rsidRDefault="00051D63" w:rsidP="00D356A9"/>
    <w:sectPr w:rsidR="00051D63" w:rsidRPr="00D356A9" w:rsidSect="005E5BBF">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05" w:rsidRDefault="00966105" w:rsidP="00051D63">
      <w:pPr>
        <w:spacing w:after="0" w:line="240" w:lineRule="auto"/>
      </w:pPr>
      <w:r>
        <w:separator/>
      </w:r>
    </w:p>
  </w:endnote>
  <w:endnote w:type="continuationSeparator" w:id="0">
    <w:p w:rsidR="00966105" w:rsidRDefault="00966105" w:rsidP="0005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05" w:rsidRDefault="00966105" w:rsidP="00051D63">
      <w:pPr>
        <w:spacing w:after="0" w:line="240" w:lineRule="auto"/>
      </w:pPr>
      <w:r>
        <w:separator/>
      </w:r>
    </w:p>
  </w:footnote>
  <w:footnote w:type="continuationSeparator" w:id="0">
    <w:p w:rsidR="00966105" w:rsidRDefault="00966105" w:rsidP="00051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A9"/>
    <w:rsid w:val="00051D63"/>
    <w:rsid w:val="005E5BBF"/>
    <w:rsid w:val="009276EB"/>
    <w:rsid w:val="00966105"/>
    <w:rsid w:val="00D356A9"/>
    <w:rsid w:val="00F56E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D63"/>
  </w:style>
  <w:style w:type="paragraph" w:styleId="Footer">
    <w:name w:val="footer"/>
    <w:basedOn w:val="Normal"/>
    <w:link w:val="FooterChar"/>
    <w:uiPriority w:val="99"/>
    <w:unhideWhenUsed/>
    <w:rsid w:val="00051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D63"/>
  </w:style>
  <w:style w:type="paragraph" w:styleId="Footer">
    <w:name w:val="footer"/>
    <w:basedOn w:val="Normal"/>
    <w:link w:val="FooterChar"/>
    <w:uiPriority w:val="99"/>
    <w:unhideWhenUsed/>
    <w:rsid w:val="00051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2">
      <w:bodyDiv w:val="1"/>
      <w:marLeft w:val="0"/>
      <w:marRight w:val="0"/>
      <w:marTop w:val="0"/>
      <w:marBottom w:val="0"/>
      <w:divBdr>
        <w:top w:val="none" w:sz="0" w:space="0" w:color="auto"/>
        <w:left w:val="none" w:sz="0" w:space="0" w:color="auto"/>
        <w:bottom w:val="none" w:sz="0" w:space="0" w:color="auto"/>
        <w:right w:val="none" w:sz="0" w:space="0" w:color="auto"/>
      </w:divBdr>
    </w:div>
    <w:div w:id="196894532">
      <w:bodyDiv w:val="1"/>
      <w:marLeft w:val="0"/>
      <w:marRight w:val="0"/>
      <w:marTop w:val="0"/>
      <w:marBottom w:val="0"/>
      <w:divBdr>
        <w:top w:val="none" w:sz="0" w:space="0" w:color="auto"/>
        <w:left w:val="none" w:sz="0" w:space="0" w:color="auto"/>
        <w:bottom w:val="none" w:sz="0" w:space="0" w:color="auto"/>
        <w:right w:val="none" w:sz="0" w:space="0" w:color="auto"/>
      </w:divBdr>
    </w:div>
    <w:div w:id="361059314">
      <w:bodyDiv w:val="1"/>
      <w:marLeft w:val="0"/>
      <w:marRight w:val="0"/>
      <w:marTop w:val="0"/>
      <w:marBottom w:val="0"/>
      <w:divBdr>
        <w:top w:val="none" w:sz="0" w:space="0" w:color="auto"/>
        <w:left w:val="none" w:sz="0" w:space="0" w:color="auto"/>
        <w:bottom w:val="none" w:sz="0" w:space="0" w:color="auto"/>
        <w:right w:val="none" w:sz="0" w:space="0" w:color="auto"/>
      </w:divBdr>
    </w:div>
    <w:div w:id="754936820">
      <w:bodyDiv w:val="1"/>
      <w:marLeft w:val="0"/>
      <w:marRight w:val="0"/>
      <w:marTop w:val="0"/>
      <w:marBottom w:val="0"/>
      <w:divBdr>
        <w:top w:val="none" w:sz="0" w:space="0" w:color="auto"/>
        <w:left w:val="none" w:sz="0" w:space="0" w:color="auto"/>
        <w:bottom w:val="none" w:sz="0" w:space="0" w:color="auto"/>
        <w:right w:val="none" w:sz="0" w:space="0" w:color="auto"/>
      </w:divBdr>
    </w:div>
    <w:div w:id="782384934">
      <w:bodyDiv w:val="1"/>
      <w:marLeft w:val="0"/>
      <w:marRight w:val="0"/>
      <w:marTop w:val="0"/>
      <w:marBottom w:val="0"/>
      <w:divBdr>
        <w:top w:val="none" w:sz="0" w:space="0" w:color="auto"/>
        <w:left w:val="none" w:sz="0" w:space="0" w:color="auto"/>
        <w:bottom w:val="none" w:sz="0" w:space="0" w:color="auto"/>
        <w:right w:val="none" w:sz="0" w:space="0" w:color="auto"/>
      </w:divBdr>
    </w:div>
    <w:div w:id="1058240840">
      <w:bodyDiv w:val="1"/>
      <w:marLeft w:val="0"/>
      <w:marRight w:val="0"/>
      <w:marTop w:val="0"/>
      <w:marBottom w:val="0"/>
      <w:divBdr>
        <w:top w:val="none" w:sz="0" w:space="0" w:color="auto"/>
        <w:left w:val="none" w:sz="0" w:space="0" w:color="auto"/>
        <w:bottom w:val="none" w:sz="0" w:space="0" w:color="auto"/>
        <w:right w:val="none" w:sz="0" w:space="0" w:color="auto"/>
      </w:divBdr>
    </w:div>
    <w:div w:id="1071197354">
      <w:bodyDiv w:val="1"/>
      <w:marLeft w:val="0"/>
      <w:marRight w:val="0"/>
      <w:marTop w:val="0"/>
      <w:marBottom w:val="0"/>
      <w:divBdr>
        <w:top w:val="none" w:sz="0" w:space="0" w:color="auto"/>
        <w:left w:val="none" w:sz="0" w:space="0" w:color="auto"/>
        <w:bottom w:val="none" w:sz="0" w:space="0" w:color="auto"/>
        <w:right w:val="none" w:sz="0" w:space="0" w:color="auto"/>
      </w:divBdr>
    </w:div>
    <w:div w:id="1247886235">
      <w:bodyDiv w:val="1"/>
      <w:marLeft w:val="0"/>
      <w:marRight w:val="0"/>
      <w:marTop w:val="0"/>
      <w:marBottom w:val="0"/>
      <w:divBdr>
        <w:top w:val="none" w:sz="0" w:space="0" w:color="auto"/>
        <w:left w:val="none" w:sz="0" w:space="0" w:color="auto"/>
        <w:bottom w:val="none" w:sz="0" w:space="0" w:color="auto"/>
        <w:right w:val="none" w:sz="0" w:space="0" w:color="auto"/>
      </w:divBdr>
    </w:div>
    <w:div w:id="14583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Tina Solvberg</cp:lastModifiedBy>
  <cp:revision>2</cp:revision>
  <dcterms:created xsi:type="dcterms:W3CDTF">2014-05-23T15:41:00Z</dcterms:created>
  <dcterms:modified xsi:type="dcterms:W3CDTF">2014-05-23T15:41:00Z</dcterms:modified>
</cp:coreProperties>
</file>