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8F" w:rsidRDefault="00FD368F"/>
    <w:p w:rsidR="009637E0" w:rsidRPr="009637E0" w:rsidRDefault="009637E0" w:rsidP="009637E0">
      <w:pPr>
        <w:tabs>
          <w:tab w:val="left" w:pos="9112"/>
        </w:tabs>
        <w:rPr>
          <w:b/>
          <w:sz w:val="32"/>
        </w:rPr>
      </w:pPr>
      <w:r w:rsidRPr="00A5036C">
        <w:rPr>
          <w:b/>
          <w:sz w:val="32"/>
        </w:rPr>
        <w:t>Corruption risks in “</w:t>
      </w:r>
      <w:r>
        <w:rPr>
          <w:b/>
          <w:sz w:val="32"/>
        </w:rPr>
        <w:t xml:space="preserve">Forest Resource use, Allocation and </w:t>
      </w:r>
      <w:proofErr w:type="gramStart"/>
      <w:r>
        <w:rPr>
          <w:b/>
          <w:sz w:val="32"/>
        </w:rPr>
        <w:t>Management ”</w:t>
      </w:r>
      <w:proofErr w:type="gramEnd"/>
    </w:p>
    <w:p w:rsidR="009637E0" w:rsidRDefault="009637E0" w:rsidP="009637E0">
      <w:r>
        <w:t>In the last session of the workshop, on 16 October, participants were split into groups and asked to reflect upon corruption risks using the different components of the PNRPS, using a set template and reflecting on who has the power/mandate, what is the abuse, and who benefits from it. Below is the unedited table submitted for the “</w:t>
      </w:r>
      <w:r w:rsidRPr="009637E0">
        <w:t>Forest Resource use, Allocation and Management</w:t>
      </w:r>
      <w:r>
        <w:t xml:space="preserve">” components and activities of the PNRPS. </w:t>
      </w:r>
    </w:p>
    <w:tbl>
      <w:tblPr>
        <w:tblStyle w:val="TableGrid"/>
        <w:tblW w:w="0" w:type="auto"/>
        <w:tblLook w:val="04A0"/>
      </w:tblPr>
      <w:tblGrid>
        <w:gridCol w:w="2558"/>
        <w:gridCol w:w="2197"/>
        <w:gridCol w:w="2106"/>
        <w:gridCol w:w="2120"/>
        <w:gridCol w:w="1801"/>
        <w:gridCol w:w="2394"/>
      </w:tblGrid>
      <w:tr w:rsidR="009A57FD" w:rsidTr="009A57FD">
        <w:tc>
          <w:tcPr>
            <w:tcW w:w="2558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 w:rsidRPr="008C1DB7">
              <w:rPr>
                <w:b/>
              </w:rPr>
              <w:t>ACTIVITIES</w:t>
            </w:r>
          </w:p>
        </w:tc>
        <w:tc>
          <w:tcPr>
            <w:tcW w:w="2197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 w:rsidRPr="008C1DB7">
              <w:rPr>
                <w:b/>
              </w:rPr>
              <w:t>CORRUPTION RISKS – MEANS AND PLAYERS</w:t>
            </w:r>
          </w:p>
        </w:tc>
        <w:tc>
          <w:tcPr>
            <w:tcW w:w="2106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 w:rsidRPr="008C1DB7">
              <w:rPr>
                <w:b/>
              </w:rPr>
              <w:t>LIKELIHOOD</w:t>
            </w:r>
            <w:r w:rsidR="00D96E08">
              <w:rPr>
                <w:b/>
              </w:rPr>
              <w:t xml:space="preserve"> </w:t>
            </w:r>
          </w:p>
        </w:tc>
        <w:tc>
          <w:tcPr>
            <w:tcW w:w="2120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 w:rsidRPr="008C1DB7">
              <w:rPr>
                <w:b/>
              </w:rPr>
              <w:t>EFFECT</w:t>
            </w:r>
          </w:p>
        </w:tc>
        <w:tc>
          <w:tcPr>
            <w:tcW w:w="1801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>
              <w:rPr>
                <w:b/>
              </w:rPr>
              <w:t>Conditions enabling the potential  corrupt practice</w:t>
            </w:r>
          </w:p>
        </w:tc>
        <w:tc>
          <w:tcPr>
            <w:tcW w:w="2394" w:type="dxa"/>
          </w:tcPr>
          <w:p w:rsidR="009A57FD" w:rsidRPr="008C1DB7" w:rsidRDefault="009A57FD" w:rsidP="007C19E7">
            <w:pPr>
              <w:jc w:val="center"/>
              <w:rPr>
                <w:b/>
              </w:rPr>
            </w:pPr>
            <w:r w:rsidRPr="008C1DB7">
              <w:rPr>
                <w:b/>
              </w:rPr>
              <w:t>INTERVENTIONS NEEDED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Complete the delineation of permanent forest lines</w:t>
            </w:r>
          </w:p>
        </w:tc>
        <w:tc>
          <w:tcPr>
            <w:tcW w:w="2197" w:type="dxa"/>
          </w:tcPr>
          <w:p w:rsidR="009A57FD" w:rsidRDefault="009A57FD" w:rsidP="007C19E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 xml:space="preserve">Forestlands are converted  to A&amp;D lands </w:t>
            </w:r>
          </w:p>
          <w:p w:rsidR="009A57FD" w:rsidRDefault="009A57FD" w:rsidP="007C19E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 xml:space="preserve">Prioritize persons  whom they can benefit from in the </w:t>
            </w:r>
            <w:proofErr w:type="spellStart"/>
            <w:r>
              <w:t>monumenting</w:t>
            </w:r>
            <w:proofErr w:type="spellEnd"/>
          </w:p>
          <w:p w:rsidR="009A57FD" w:rsidRDefault="009A57FD" w:rsidP="007C19E7">
            <w:pPr>
              <w:ind w:left="72"/>
            </w:pPr>
          </w:p>
          <w:p w:rsidR="009A57FD" w:rsidRDefault="009A57FD" w:rsidP="007C19E7">
            <w:pPr>
              <w:ind w:left="72"/>
            </w:pPr>
            <w:r>
              <w:t>Survey and assessment teams; landowners</w:t>
            </w:r>
          </w:p>
        </w:tc>
        <w:tc>
          <w:tcPr>
            <w:tcW w:w="2106" w:type="dxa"/>
          </w:tcPr>
          <w:p w:rsidR="009A57FD" w:rsidRDefault="009A57FD" w:rsidP="007C19E7">
            <w:r>
              <w:t>1</w:t>
            </w:r>
          </w:p>
        </w:tc>
        <w:tc>
          <w:tcPr>
            <w:tcW w:w="2120" w:type="dxa"/>
          </w:tcPr>
          <w:p w:rsidR="009A57FD" w:rsidRDefault="009A57FD" w:rsidP="007C19E7">
            <w:r>
              <w:t>Decreasing forestland area;</w:t>
            </w:r>
          </w:p>
          <w:p w:rsidR="009A57FD" w:rsidRDefault="009A57FD" w:rsidP="007C19E7">
            <w:r>
              <w:t>Land</w:t>
            </w:r>
            <w:r w:rsidR="00D96E08">
              <w:t xml:space="preserve"> </w:t>
            </w:r>
            <w:r>
              <w:t>use conversion</w:t>
            </w:r>
          </w:p>
          <w:p w:rsidR="009A57FD" w:rsidRDefault="009A57FD" w:rsidP="007C19E7"/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Passage of National Land Use, SFM, establishing the permanent forest lines</w:t>
            </w:r>
          </w:p>
          <w:p w:rsidR="009A57FD" w:rsidRDefault="009A57FD" w:rsidP="007C19E7"/>
          <w:p w:rsidR="009A57FD" w:rsidRDefault="009A57FD" w:rsidP="007C19E7">
            <w:r>
              <w:t>Lobby for the passage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Define and delineate the protection and production forests within forestlands</w:t>
            </w:r>
          </w:p>
        </w:tc>
        <w:tc>
          <w:tcPr>
            <w:tcW w:w="2197" w:type="dxa"/>
          </w:tcPr>
          <w:p w:rsidR="009A57FD" w:rsidRDefault="009A57FD" w:rsidP="007C19E7">
            <w:r>
              <w:t>Conversion of protection forests into production – to allow harvesting</w:t>
            </w:r>
          </w:p>
          <w:p w:rsidR="009A57FD" w:rsidRDefault="009A57FD" w:rsidP="007C19E7"/>
          <w:p w:rsidR="009A57FD" w:rsidRDefault="009A57FD" w:rsidP="007C19E7">
            <w:r>
              <w:t>Assessment teams; approving authority</w:t>
            </w:r>
          </w:p>
        </w:tc>
        <w:tc>
          <w:tcPr>
            <w:tcW w:w="2106" w:type="dxa"/>
          </w:tcPr>
          <w:p w:rsidR="009A57FD" w:rsidRDefault="009A57FD" w:rsidP="007C19E7">
            <w:r>
              <w:t>2</w:t>
            </w:r>
          </w:p>
        </w:tc>
        <w:tc>
          <w:tcPr>
            <w:tcW w:w="2120" w:type="dxa"/>
          </w:tcPr>
          <w:p w:rsidR="009A57FD" w:rsidRDefault="009A57FD" w:rsidP="007C19E7">
            <w:r>
              <w:t>Decreasing area of protection forests</w:t>
            </w:r>
          </w:p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Passage of National Land Use, SFM, establishing the permanent forest lines, PA bills</w:t>
            </w:r>
          </w:p>
          <w:p w:rsidR="009A57FD" w:rsidRDefault="009A57FD" w:rsidP="007C19E7"/>
          <w:p w:rsidR="009A57FD" w:rsidRDefault="009A57FD" w:rsidP="007C19E7">
            <w:r>
              <w:t>Lobby for the passage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Secure land tenure</w:t>
            </w:r>
          </w:p>
        </w:tc>
        <w:tc>
          <w:tcPr>
            <w:tcW w:w="2197" w:type="dxa"/>
          </w:tcPr>
          <w:p w:rsidR="009A57FD" w:rsidRDefault="009A57FD" w:rsidP="007C19E7">
            <w:r>
              <w:t>Application and Processing of tenure instruments</w:t>
            </w:r>
          </w:p>
          <w:p w:rsidR="009A57FD" w:rsidRDefault="009A57FD" w:rsidP="007C19E7"/>
          <w:p w:rsidR="009A57FD" w:rsidRDefault="009A57FD" w:rsidP="007C19E7">
            <w:r>
              <w:t xml:space="preserve">Overlapping claims </w:t>
            </w:r>
            <w:proofErr w:type="spellStart"/>
            <w:r>
              <w:t>i.for</w:t>
            </w:r>
            <w:proofErr w:type="spellEnd"/>
            <w:r>
              <w:t xml:space="preserve"> CBFMA and IFMA – favor private groups</w:t>
            </w:r>
          </w:p>
          <w:p w:rsidR="009A57FD" w:rsidRDefault="009A57FD" w:rsidP="007C19E7"/>
          <w:p w:rsidR="009A57FD" w:rsidRDefault="009A57FD" w:rsidP="007C19E7">
            <w:r>
              <w:t>CLOAs issued in forestlands</w:t>
            </w:r>
          </w:p>
        </w:tc>
        <w:tc>
          <w:tcPr>
            <w:tcW w:w="2106" w:type="dxa"/>
          </w:tcPr>
          <w:p w:rsidR="009A57FD" w:rsidRDefault="009A57FD" w:rsidP="007C19E7"/>
        </w:tc>
        <w:tc>
          <w:tcPr>
            <w:tcW w:w="2120" w:type="dxa"/>
          </w:tcPr>
          <w:p w:rsidR="009A57FD" w:rsidRDefault="009A57FD" w:rsidP="007C19E7">
            <w:r>
              <w:t>Illegal issuance of tenure/ titling</w:t>
            </w:r>
          </w:p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Strict enforcement of forestry laws, rules and regulations</w:t>
            </w:r>
          </w:p>
          <w:p w:rsidR="009A57FD" w:rsidRDefault="009A57FD" w:rsidP="007C19E7"/>
          <w:p w:rsidR="009A57FD" w:rsidRDefault="009A57FD" w:rsidP="007C19E7"/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Secure carbon tenure</w:t>
            </w:r>
          </w:p>
        </w:tc>
        <w:tc>
          <w:tcPr>
            <w:tcW w:w="2197" w:type="dxa"/>
          </w:tcPr>
          <w:p w:rsidR="009A57FD" w:rsidRDefault="009A57FD" w:rsidP="007C19E7">
            <w:r>
              <w:t>Certification; Middlemen- rights of communities are at stake</w:t>
            </w:r>
          </w:p>
        </w:tc>
        <w:tc>
          <w:tcPr>
            <w:tcW w:w="2106" w:type="dxa"/>
          </w:tcPr>
          <w:p w:rsidR="009A57FD" w:rsidRDefault="009A57FD" w:rsidP="007C19E7"/>
        </w:tc>
        <w:tc>
          <w:tcPr>
            <w:tcW w:w="2120" w:type="dxa"/>
          </w:tcPr>
          <w:p w:rsidR="009A57FD" w:rsidRDefault="009A57FD" w:rsidP="007C19E7"/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/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Improve management of protection and production forests for REDD-plus</w:t>
            </w:r>
          </w:p>
        </w:tc>
        <w:tc>
          <w:tcPr>
            <w:tcW w:w="2197" w:type="dxa"/>
          </w:tcPr>
          <w:p w:rsidR="009A57FD" w:rsidRDefault="009A57FD" w:rsidP="007C19E7"/>
        </w:tc>
        <w:tc>
          <w:tcPr>
            <w:tcW w:w="2106" w:type="dxa"/>
          </w:tcPr>
          <w:p w:rsidR="009A57FD" w:rsidRDefault="009A57FD" w:rsidP="007C19E7"/>
        </w:tc>
        <w:tc>
          <w:tcPr>
            <w:tcW w:w="2120" w:type="dxa"/>
          </w:tcPr>
          <w:p w:rsidR="009A57FD" w:rsidRDefault="009A57FD" w:rsidP="007C19E7"/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/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Extend protected areas network</w:t>
            </w:r>
          </w:p>
        </w:tc>
        <w:tc>
          <w:tcPr>
            <w:tcW w:w="2197" w:type="dxa"/>
          </w:tcPr>
          <w:p w:rsidR="009A57FD" w:rsidRDefault="009A57FD" w:rsidP="007C19E7"/>
        </w:tc>
        <w:tc>
          <w:tcPr>
            <w:tcW w:w="2106" w:type="dxa"/>
          </w:tcPr>
          <w:p w:rsidR="009A57FD" w:rsidRDefault="009A57FD" w:rsidP="007C19E7"/>
        </w:tc>
        <w:tc>
          <w:tcPr>
            <w:tcW w:w="2120" w:type="dxa"/>
          </w:tcPr>
          <w:p w:rsidR="009A57FD" w:rsidRDefault="009A57FD" w:rsidP="007C19E7"/>
        </w:tc>
        <w:tc>
          <w:tcPr>
            <w:tcW w:w="1801" w:type="dxa"/>
          </w:tcPr>
          <w:p w:rsidR="009A57FD" w:rsidRDefault="009A57FD" w:rsidP="007C19E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94" w:type="dxa"/>
          </w:tcPr>
          <w:p w:rsidR="009A57FD" w:rsidRDefault="009A57FD" w:rsidP="00D96E08">
            <w:pPr>
              <w:pStyle w:val="ListParagraph"/>
              <w:numPr>
                <w:ilvl w:val="0"/>
                <w:numId w:val="2"/>
              </w:numPr>
              <w:ind w:left="133" w:hanging="133"/>
            </w:pPr>
            <w:r>
              <w:t xml:space="preserve">Clarify carbon ownership (government – national, LGU, </w:t>
            </w:r>
            <w:proofErr w:type="spellStart"/>
            <w:r>
              <w:t>brgy</w:t>
            </w:r>
            <w:proofErr w:type="spellEnd"/>
            <w:proofErr w:type="gramStart"/>
            <w:r>
              <w:t>;  community</w:t>
            </w:r>
            <w:proofErr w:type="gramEnd"/>
            <w:r>
              <w:t>, IPs, PAMB?</w:t>
            </w:r>
          </w:p>
          <w:p w:rsidR="009A57FD" w:rsidRDefault="009A57FD" w:rsidP="00D96E08">
            <w:pPr>
              <w:pStyle w:val="ListParagraph"/>
              <w:numPr>
                <w:ilvl w:val="0"/>
                <w:numId w:val="2"/>
              </w:numPr>
              <w:ind w:left="133" w:hanging="133"/>
            </w:pPr>
            <w:r>
              <w:t>benefit sharing scheme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Enhance carbon stocks through forest restoration, regeneration and reforestation</w:t>
            </w:r>
          </w:p>
        </w:tc>
        <w:tc>
          <w:tcPr>
            <w:tcW w:w="2197" w:type="dxa"/>
          </w:tcPr>
          <w:p w:rsidR="009A57FD" w:rsidRDefault="009A57FD" w:rsidP="007C19E7">
            <w:r>
              <w:t xml:space="preserve">Opportunities for unqualified person to enter into contract in seedling production; low quality of seedlings </w:t>
            </w:r>
          </w:p>
          <w:p w:rsidR="009A57FD" w:rsidRDefault="009A57FD" w:rsidP="007C19E7"/>
          <w:p w:rsidR="009A57FD" w:rsidRDefault="009A57FD" w:rsidP="007C19E7">
            <w:r>
              <w:t xml:space="preserve">plantation establishment- area planted is lower than reported  </w:t>
            </w:r>
          </w:p>
          <w:p w:rsidR="009A57FD" w:rsidRDefault="009A57FD" w:rsidP="007C19E7"/>
          <w:p w:rsidR="009A57FD" w:rsidRDefault="009A57FD" w:rsidP="007C19E7">
            <w:r>
              <w:t>maintenance &amp; protection – there is payment  even if the required survival rate is not attained</w:t>
            </w:r>
          </w:p>
          <w:p w:rsidR="009A57FD" w:rsidRDefault="009A57FD" w:rsidP="007C19E7"/>
        </w:tc>
        <w:tc>
          <w:tcPr>
            <w:tcW w:w="2106" w:type="dxa"/>
          </w:tcPr>
          <w:p w:rsidR="009A57FD" w:rsidRDefault="009A57FD" w:rsidP="007C19E7">
            <w:r>
              <w:t>1</w:t>
            </w:r>
          </w:p>
        </w:tc>
        <w:tc>
          <w:tcPr>
            <w:tcW w:w="2120" w:type="dxa"/>
          </w:tcPr>
          <w:p w:rsidR="009A57FD" w:rsidRDefault="009A57FD" w:rsidP="007C19E7">
            <w:r>
              <w:t>Quality of plantations</w:t>
            </w:r>
          </w:p>
          <w:p w:rsidR="009A57FD" w:rsidRDefault="009A57FD" w:rsidP="007C19E7"/>
          <w:p w:rsidR="009A57FD" w:rsidRDefault="009A57FD" w:rsidP="007C19E7">
            <w:r>
              <w:t>Quantity of carbon removals</w:t>
            </w:r>
          </w:p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Strict monitoring, MRV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Provide appropriate support to tenure holders to ensure improved forest management and to decrease pressures on natural forests</w:t>
            </w:r>
          </w:p>
        </w:tc>
        <w:tc>
          <w:tcPr>
            <w:tcW w:w="2197" w:type="dxa"/>
          </w:tcPr>
          <w:p w:rsidR="009A57FD" w:rsidRDefault="009A57FD" w:rsidP="007C19E7">
            <w:r>
              <w:t>Favoritism</w:t>
            </w:r>
          </w:p>
        </w:tc>
        <w:tc>
          <w:tcPr>
            <w:tcW w:w="2106" w:type="dxa"/>
          </w:tcPr>
          <w:p w:rsidR="009A57FD" w:rsidRDefault="009A57FD" w:rsidP="007C19E7">
            <w:r>
              <w:t>2</w:t>
            </w:r>
          </w:p>
        </w:tc>
        <w:tc>
          <w:tcPr>
            <w:tcW w:w="2120" w:type="dxa"/>
          </w:tcPr>
          <w:p w:rsidR="009A57FD" w:rsidRDefault="009A57FD" w:rsidP="007C19E7">
            <w:r>
              <w:t>Unequal distribution of benefits</w:t>
            </w:r>
          </w:p>
          <w:p w:rsidR="009A57FD" w:rsidRDefault="009A57FD" w:rsidP="007C19E7"/>
          <w:p w:rsidR="009A57FD" w:rsidRDefault="009A57FD" w:rsidP="007C19E7">
            <w:r>
              <w:t>Empowerment of non-favored group</w:t>
            </w:r>
          </w:p>
          <w:p w:rsidR="009A57FD" w:rsidRDefault="009A57FD" w:rsidP="007C19E7"/>
          <w:p w:rsidR="009A57FD" w:rsidRDefault="009A57FD" w:rsidP="007C19E7">
            <w:r>
              <w:t>Output oriented; compliance requirements – favoring groups that can deliver</w:t>
            </w:r>
          </w:p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IEC and capacity building</w:t>
            </w:r>
          </w:p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Provide incentives for early REDD-plus engagement in pilot communities</w:t>
            </w:r>
          </w:p>
        </w:tc>
        <w:tc>
          <w:tcPr>
            <w:tcW w:w="2197" w:type="dxa"/>
          </w:tcPr>
          <w:p w:rsidR="009A57FD" w:rsidRDefault="009A57FD" w:rsidP="007C19E7"/>
        </w:tc>
        <w:tc>
          <w:tcPr>
            <w:tcW w:w="2106" w:type="dxa"/>
          </w:tcPr>
          <w:p w:rsidR="009A57FD" w:rsidRDefault="009A57FD" w:rsidP="007C19E7"/>
        </w:tc>
        <w:tc>
          <w:tcPr>
            <w:tcW w:w="2120" w:type="dxa"/>
          </w:tcPr>
          <w:p w:rsidR="009A57FD" w:rsidRDefault="009A57FD" w:rsidP="007C19E7"/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/>
        </w:tc>
      </w:tr>
      <w:tr w:rsidR="009A57FD" w:rsidTr="009A57FD">
        <w:tc>
          <w:tcPr>
            <w:tcW w:w="2558" w:type="dxa"/>
          </w:tcPr>
          <w:p w:rsidR="009A57FD" w:rsidRDefault="009A57FD" w:rsidP="007C19E7">
            <w:r>
              <w:t>Integrate population growth and in-migration into forest management</w:t>
            </w:r>
          </w:p>
        </w:tc>
        <w:tc>
          <w:tcPr>
            <w:tcW w:w="2197" w:type="dxa"/>
          </w:tcPr>
          <w:p w:rsidR="009A57FD" w:rsidRDefault="009A57FD" w:rsidP="007C19E7">
            <w:r>
              <w:t>Informal settlers -Voters</w:t>
            </w:r>
          </w:p>
          <w:p w:rsidR="009A57FD" w:rsidRDefault="009A57FD" w:rsidP="007C19E7">
            <w:r>
              <w:t>Political intervention</w:t>
            </w:r>
          </w:p>
        </w:tc>
        <w:tc>
          <w:tcPr>
            <w:tcW w:w="2106" w:type="dxa"/>
          </w:tcPr>
          <w:p w:rsidR="009A57FD" w:rsidRDefault="009A57FD" w:rsidP="007C19E7">
            <w:r>
              <w:t>1</w:t>
            </w:r>
          </w:p>
        </w:tc>
        <w:tc>
          <w:tcPr>
            <w:tcW w:w="2120" w:type="dxa"/>
          </w:tcPr>
          <w:p w:rsidR="009A57FD" w:rsidRDefault="009A57FD" w:rsidP="007C19E7">
            <w:r>
              <w:t xml:space="preserve">Increasing population in the uplands and pressures on </w:t>
            </w:r>
            <w:proofErr w:type="spellStart"/>
            <w:r>
              <w:t>frestlands</w:t>
            </w:r>
            <w:proofErr w:type="spellEnd"/>
          </w:p>
        </w:tc>
        <w:tc>
          <w:tcPr>
            <w:tcW w:w="1801" w:type="dxa"/>
          </w:tcPr>
          <w:p w:rsidR="009A57FD" w:rsidRDefault="009A57FD" w:rsidP="007C19E7"/>
        </w:tc>
        <w:tc>
          <w:tcPr>
            <w:tcW w:w="2394" w:type="dxa"/>
          </w:tcPr>
          <w:p w:rsidR="009A57FD" w:rsidRDefault="009A57FD" w:rsidP="007C19E7">
            <w:r>
              <w:t>RH bill; strengthen provision of social services in the lowlands</w:t>
            </w:r>
          </w:p>
          <w:p w:rsidR="009A57FD" w:rsidRDefault="009A57FD" w:rsidP="007C19E7">
            <w:r>
              <w:t>Social fencing</w:t>
            </w:r>
          </w:p>
        </w:tc>
      </w:tr>
    </w:tbl>
    <w:p w:rsidR="009637E0" w:rsidRDefault="009637E0" w:rsidP="009637E0"/>
    <w:p w:rsidR="009637E0" w:rsidRDefault="009637E0"/>
    <w:sectPr w:rsidR="009637E0" w:rsidSect="008C1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37AEB"/>
    <w:multiLevelType w:val="hybridMultilevel"/>
    <w:tmpl w:val="AD1E02CC"/>
    <w:lvl w:ilvl="0" w:tplc="01649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C594A"/>
    <w:multiLevelType w:val="hybridMultilevel"/>
    <w:tmpl w:val="5BC8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C1DB7"/>
    <w:rsid w:val="00082F69"/>
    <w:rsid w:val="003A65C6"/>
    <w:rsid w:val="003C481A"/>
    <w:rsid w:val="004F6F84"/>
    <w:rsid w:val="00765F46"/>
    <w:rsid w:val="008C1DB7"/>
    <w:rsid w:val="009637E0"/>
    <w:rsid w:val="00974BF5"/>
    <w:rsid w:val="009A57FD"/>
    <w:rsid w:val="00A86312"/>
    <w:rsid w:val="00BD581B"/>
    <w:rsid w:val="00C12B52"/>
    <w:rsid w:val="00D96E08"/>
    <w:rsid w:val="00DE1538"/>
    <w:rsid w:val="00EA1B1E"/>
    <w:rsid w:val="00FD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1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w10201i</dc:creator>
  <cp:lastModifiedBy>Estelle Fach</cp:lastModifiedBy>
  <cp:revision>4</cp:revision>
  <dcterms:created xsi:type="dcterms:W3CDTF">2012-10-17T06:19:00Z</dcterms:created>
  <dcterms:modified xsi:type="dcterms:W3CDTF">2012-10-17T06:49:00Z</dcterms:modified>
</cp:coreProperties>
</file>