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36" w:rsidRPr="000B6D36" w:rsidRDefault="000B6D36" w:rsidP="000B6D36">
      <w:pPr>
        <w:tabs>
          <w:tab w:val="left" w:pos="9112"/>
        </w:tabs>
        <w:rPr>
          <w:b/>
        </w:rPr>
      </w:pPr>
      <w:r w:rsidRPr="000B6D36">
        <w:rPr>
          <w:b/>
        </w:rPr>
        <w:t>Corruption risks in “Research and Development”, “Capacity Building” and “Sustainable Financing”</w:t>
      </w:r>
      <w:r w:rsidRPr="000B6D36">
        <w:rPr>
          <w:b/>
        </w:rPr>
        <w:tab/>
      </w:r>
    </w:p>
    <w:p w:rsidR="00513C01" w:rsidRDefault="00CB706F">
      <w:r>
        <w:t>In the last session of the workshop, on 16 October, participants were split into groups and asked to reflect upon corruption risks using the different components of the PNRPS, using a set template and reflecting on who has the power/mandate, what is the abuse, and who benefits from it. Below is the unedited table submitted for the “Research and Development”</w:t>
      </w:r>
      <w:r w:rsidR="000B6D36">
        <w:t xml:space="preserve">, “Capacity Building” and “Sustainable Financing” components and activities </w:t>
      </w:r>
      <w:r>
        <w:t xml:space="preserve">of the </w:t>
      </w:r>
      <w:proofErr w:type="gramStart"/>
      <w:r>
        <w:t>PNRPS.</w:t>
      </w:r>
      <w:proofErr w:type="gramEnd"/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2088"/>
        <w:gridCol w:w="1662"/>
        <w:gridCol w:w="2928"/>
        <w:gridCol w:w="1497"/>
        <w:gridCol w:w="2498"/>
        <w:gridCol w:w="2503"/>
      </w:tblGrid>
      <w:tr w:rsidR="00CB706F" w:rsidTr="007C19E7">
        <w:tc>
          <w:tcPr>
            <w:tcW w:w="2088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bookmarkStart w:id="0" w:name="_GoBack"/>
            <w:bookmarkEnd w:id="0"/>
            <w:r w:rsidRPr="00231244">
              <w:rPr>
                <w:b/>
                <w:sz w:val="28"/>
              </w:rPr>
              <w:t>Component Key Activities</w:t>
            </w:r>
          </w:p>
        </w:tc>
        <w:tc>
          <w:tcPr>
            <w:tcW w:w="1662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Root Cause </w:t>
            </w:r>
            <w:r w:rsidR="00D86614">
              <w:rPr>
                <w:b/>
                <w:sz w:val="28"/>
              </w:rPr>
              <w:t xml:space="preserve">/enabling condition </w:t>
            </w:r>
            <w:r>
              <w:rPr>
                <w:b/>
                <w:sz w:val="28"/>
              </w:rPr>
              <w:t>of corruption risks</w:t>
            </w:r>
          </w:p>
        </w:tc>
        <w:tc>
          <w:tcPr>
            <w:tcW w:w="2928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r w:rsidRPr="00231244">
              <w:rPr>
                <w:b/>
                <w:sz w:val="28"/>
              </w:rPr>
              <w:t>Corruption Risks – Means and Players</w:t>
            </w:r>
          </w:p>
        </w:tc>
        <w:tc>
          <w:tcPr>
            <w:tcW w:w="1497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r w:rsidRPr="00231244">
              <w:rPr>
                <w:b/>
                <w:sz w:val="28"/>
              </w:rPr>
              <w:t>Likelihood</w:t>
            </w:r>
          </w:p>
        </w:tc>
        <w:tc>
          <w:tcPr>
            <w:tcW w:w="2498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r w:rsidRPr="00231244">
              <w:rPr>
                <w:b/>
                <w:sz w:val="28"/>
              </w:rPr>
              <w:t>Effect</w:t>
            </w:r>
          </w:p>
        </w:tc>
        <w:tc>
          <w:tcPr>
            <w:tcW w:w="2503" w:type="dxa"/>
          </w:tcPr>
          <w:p w:rsidR="00CB706F" w:rsidRPr="00231244" w:rsidRDefault="00CB706F" w:rsidP="007C19E7">
            <w:pPr>
              <w:rPr>
                <w:b/>
                <w:sz w:val="28"/>
              </w:rPr>
            </w:pPr>
            <w:r w:rsidRPr="00231244">
              <w:rPr>
                <w:b/>
                <w:sz w:val="28"/>
              </w:rPr>
              <w:t>Interventions Needed</w:t>
            </w:r>
          </w:p>
        </w:tc>
      </w:tr>
      <w:tr w:rsidR="00CB706F" w:rsidTr="007C19E7">
        <w:tc>
          <w:tcPr>
            <w:tcW w:w="2088" w:type="dxa"/>
          </w:tcPr>
          <w:p w:rsidR="00CB706F" w:rsidRPr="00231244" w:rsidRDefault="00CB706F" w:rsidP="007C19E7">
            <w:pPr>
              <w:rPr>
                <w:b/>
              </w:rPr>
            </w:pPr>
            <w:r w:rsidRPr="00231244">
              <w:rPr>
                <w:b/>
              </w:rPr>
              <w:t>Research and Development</w:t>
            </w:r>
          </w:p>
        </w:tc>
        <w:tc>
          <w:tcPr>
            <w:tcW w:w="1662" w:type="dxa"/>
          </w:tcPr>
          <w:p w:rsidR="00CB706F" w:rsidRDefault="00CB706F" w:rsidP="007C19E7"/>
        </w:tc>
        <w:tc>
          <w:tcPr>
            <w:tcW w:w="2928" w:type="dxa"/>
          </w:tcPr>
          <w:p w:rsidR="00CB706F" w:rsidRDefault="00CB706F" w:rsidP="007C19E7"/>
        </w:tc>
        <w:tc>
          <w:tcPr>
            <w:tcW w:w="1497" w:type="dxa"/>
          </w:tcPr>
          <w:p w:rsidR="00CB706F" w:rsidRDefault="00CB706F" w:rsidP="007C19E7"/>
        </w:tc>
        <w:tc>
          <w:tcPr>
            <w:tcW w:w="2498" w:type="dxa"/>
          </w:tcPr>
          <w:p w:rsidR="00CB706F" w:rsidRDefault="00CB706F" w:rsidP="007C19E7"/>
        </w:tc>
        <w:tc>
          <w:tcPr>
            <w:tcW w:w="2503" w:type="dxa"/>
          </w:tcPr>
          <w:p w:rsidR="00CB706F" w:rsidRDefault="00CB706F" w:rsidP="007C19E7"/>
        </w:tc>
      </w:tr>
      <w:tr w:rsidR="00CB706F" w:rsidTr="007C19E7">
        <w:tc>
          <w:tcPr>
            <w:tcW w:w="2088" w:type="dxa"/>
          </w:tcPr>
          <w:p w:rsidR="00CB706F" w:rsidRDefault="00CB706F" w:rsidP="007C19E7">
            <w:r>
              <w:t>Selection of priorities for research</w:t>
            </w:r>
          </w:p>
          <w:p w:rsidR="00CB706F" w:rsidRDefault="00CB706F" w:rsidP="007C19E7"/>
          <w:p w:rsidR="00CB706F" w:rsidRDefault="00CB706F" w:rsidP="007C19E7">
            <w:r>
              <w:t>Selection of target areas (demo sites)</w:t>
            </w:r>
          </w:p>
          <w:p w:rsidR="00CB706F" w:rsidRDefault="00CB706F" w:rsidP="007C19E7"/>
          <w:p w:rsidR="00CB706F" w:rsidRDefault="00CB706F" w:rsidP="007C19E7">
            <w:r>
              <w:t>Presentation of the study</w:t>
            </w:r>
          </w:p>
        </w:tc>
        <w:tc>
          <w:tcPr>
            <w:tcW w:w="1662" w:type="dxa"/>
          </w:tcPr>
          <w:p w:rsidR="00CB706F" w:rsidRDefault="00CB706F" w:rsidP="007C19E7">
            <w:r>
              <w:t>Donor driven researches to put forward implementation and funding of their proposals</w:t>
            </w:r>
          </w:p>
          <w:p w:rsidR="00CB706F" w:rsidRDefault="00CB706F" w:rsidP="007C19E7"/>
          <w:p w:rsidR="00CB706F" w:rsidRDefault="00CB706F" w:rsidP="007C19E7">
            <w:r>
              <w:t>Donors have the means to do research work</w:t>
            </w:r>
          </w:p>
          <w:p w:rsidR="00CB706F" w:rsidRDefault="00CB706F" w:rsidP="007C19E7"/>
          <w:p w:rsidR="00CB706F" w:rsidRDefault="00CB706F" w:rsidP="007C19E7">
            <w:r>
              <w:t>Alignment of research agenda among the priorities of the government</w:t>
            </w:r>
          </w:p>
        </w:tc>
        <w:tc>
          <w:tcPr>
            <w:tcW w:w="2928" w:type="dxa"/>
          </w:tcPr>
          <w:p w:rsidR="00CB706F" w:rsidRDefault="00CB706F" w:rsidP="00CB706F">
            <w:pPr>
              <w:pStyle w:val="ListParagraph"/>
              <w:numPr>
                <w:ilvl w:val="0"/>
                <w:numId w:val="1"/>
              </w:numPr>
              <w:ind w:left="219" w:hanging="141"/>
            </w:pPr>
            <w:r>
              <w:t xml:space="preserve">Bribery/Collusion from the person who has  the means (e.g. donor agencies) </w:t>
            </w:r>
          </w:p>
          <w:p w:rsidR="00CB706F" w:rsidRDefault="00CB706F" w:rsidP="00CB706F">
            <w:pPr>
              <w:ind w:left="219" w:hanging="141"/>
            </w:pPr>
          </w:p>
          <w:p w:rsidR="00CB706F" w:rsidRDefault="00CB706F" w:rsidP="00CB706F">
            <w:pPr>
              <w:pStyle w:val="ListParagraph"/>
              <w:numPr>
                <w:ilvl w:val="0"/>
                <w:numId w:val="1"/>
              </w:numPr>
              <w:ind w:left="219" w:hanging="141"/>
            </w:pPr>
            <w:r>
              <w:t>Favoritism on the part of the funder in choosing project proponents to do the research</w:t>
            </w:r>
          </w:p>
          <w:p w:rsidR="00CB706F" w:rsidRDefault="00CB706F" w:rsidP="007C19E7"/>
          <w:p w:rsidR="00CB706F" w:rsidRDefault="00CB706F" w:rsidP="007C19E7">
            <w:r w:rsidRPr="00CB706F">
              <w:rPr>
                <w:b/>
              </w:rPr>
              <w:t>Who are the Players/benefactors?:</w:t>
            </w:r>
            <w:r>
              <w:t xml:space="preserve"> DOST, DENR, Academe and State Universities, Donor Agencies</w:t>
            </w:r>
          </w:p>
          <w:p w:rsidR="00CB706F" w:rsidRDefault="00CB706F" w:rsidP="007C19E7"/>
          <w:p w:rsidR="00CB706F" w:rsidRPr="00CB706F" w:rsidRDefault="00CB706F" w:rsidP="007C19E7">
            <w:pPr>
              <w:rPr>
                <w:b/>
              </w:rPr>
            </w:pPr>
            <w:r w:rsidRPr="00CB706F">
              <w:rPr>
                <w:b/>
              </w:rPr>
              <w:t>Who are the beneficiaries?</w:t>
            </w:r>
          </w:p>
          <w:p w:rsidR="00CB706F" w:rsidRDefault="00CB706F" w:rsidP="007C19E7">
            <w:r>
              <w:t>Selected funders, Selected government and private officials, selected project proponents and local community members</w:t>
            </w:r>
          </w:p>
          <w:p w:rsidR="00CB706F" w:rsidRDefault="00CB706F" w:rsidP="007C19E7"/>
          <w:p w:rsidR="00CB706F" w:rsidRDefault="00CB706F" w:rsidP="007C19E7"/>
          <w:p w:rsidR="00CB706F" w:rsidRDefault="00CB706F" w:rsidP="007C19E7"/>
        </w:tc>
        <w:tc>
          <w:tcPr>
            <w:tcW w:w="1497" w:type="dxa"/>
          </w:tcPr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</w:pPr>
          </w:p>
          <w:p w:rsidR="00CB706F" w:rsidRDefault="00CB706F" w:rsidP="007C19E7">
            <w:pPr>
              <w:pStyle w:val="ListParagraph"/>
              <w:ind w:left="323"/>
              <w:jc w:val="center"/>
            </w:pPr>
            <w:r>
              <w:t>1</w:t>
            </w:r>
          </w:p>
        </w:tc>
        <w:tc>
          <w:tcPr>
            <w:tcW w:w="2498" w:type="dxa"/>
          </w:tcPr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189" w:hanging="142"/>
            </w:pPr>
            <w:r>
              <w:t>Biased Research which might result to wrong policy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189" w:hanging="142"/>
            </w:pPr>
            <w:r>
              <w:t>Misallocation of funds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189" w:hanging="142"/>
            </w:pPr>
            <w:r>
              <w:t xml:space="preserve">Limited areas to be covered </w:t>
            </w:r>
          </w:p>
        </w:tc>
        <w:tc>
          <w:tcPr>
            <w:tcW w:w="2503" w:type="dxa"/>
          </w:tcPr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242" w:hanging="142"/>
            </w:pPr>
            <w:r>
              <w:t>Visit related studies (SANDEE)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242" w:hanging="142"/>
            </w:pPr>
            <w:r>
              <w:t>Conduct public call for proposals</w:t>
            </w:r>
          </w:p>
          <w:p w:rsidR="00CB706F" w:rsidRDefault="00CB706F" w:rsidP="00D86614">
            <w:pPr>
              <w:pStyle w:val="ListParagraph"/>
              <w:ind w:left="242" w:hanging="142"/>
            </w:pPr>
          </w:p>
          <w:p w:rsidR="00CB706F" w:rsidRDefault="00CB706F" w:rsidP="00D86614">
            <w:pPr>
              <w:pStyle w:val="ListParagraph"/>
              <w:numPr>
                <w:ilvl w:val="0"/>
                <w:numId w:val="1"/>
              </w:numPr>
              <w:ind w:left="242" w:hanging="142"/>
            </w:pPr>
            <w:r>
              <w:t>Transparency</w:t>
            </w:r>
          </w:p>
        </w:tc>
      </w:tr>
      <w:tr w:rsidR="00CB706F" w:rsidTr="007C19E7">
        <w:tc>
          <w:tcPr>
            <w:tcW w:w="2088" w:type="dxa"/>
          </w:tcPr>
          <w:p w:rsidR="00CB706F" w:rsidRDefault="00CB706F" w:rsidP="007C19E7">
            <w:r>
              <w:t xml:space="preserve">Analyze  drivers of deforestation and forest degradation </w:t>
            </w:r>
          </w:p>
        </w:tc>
        <w:tc>
          <w:tcPr>
            <w:tcW w:w="1662" w:type="dxa"/>
          </w:tcPr>
          <w:p w:rsidR="00CB706F" w:rsidRDefault="00CB706F" w:rsidP="007C19E7">
            <w:r>
              <w:t xml:space="preserve">Private companies may </w:t>
            </w:r>
          </w:p>
        </w:tc>
        <w:tc>
          <w:tcPr>
            <w:tcW w:w="2928" w:type="dxa"/>
          </w:tcPr>
          <w:p w:rsidR="00CB706F" w:rsidRDefault="00CB706F" w:rsidP="007C19E7">
            <w:r>
              <w:t>Fraud and Bribery – Private companies may bribe institutions doing the research to manipulate or hide critical findings</w:t>
            </w:r>
          </w:p>
          <w:p w:rsidR="00CB706F" w:rsidRDefault="00CB706F" w:rsidP="007C19E7"/>
          <w:p w:rsidR="00CB706F" w:rsidRDefault="00CB706F" w:rsidP="007C19E7">
            <w:r>
              <w:t>Diversion of results</w:t>
            </w:r>
          </w:p>
        </w:tc>
        <w:tc>
          <w:tcPr>
            <w:tcW w:w="1497" w:type="dxa"/>
          </w:tcPr>
          <w:p w:rsidR="00CB706F" w:rsidRDefault="00CB706F" w:rsidP="007C19E7">
            <w:pPr>
              <w:pStyle w:val="ListParagraph"/>
            </w:pPr>
            <w:r>
              <w:t>1</w:t>
            </w:r>
          </w:p>
        </w:tc>
        <w:tc>
          <w:tcPr>
            <w:tcW w:w="2498" w:type="dxa"/>
          </w:tcPr>
          <w:p w:rsidR="00CB706F" w:rsidRDefault="00CB706F" w:rsidP="00D86614">
            <w:pPr>
              <w:pStyle w:val="ListParagraph"/>
              <w:numPr>
                <w:ilvl w:val="0"/>
                <w:numId w:val="4"/>
              </w:numPr>
              <w:ind w:left="330" w:hanging="283"/>
            </w:pPr>
            <w:r>
              <w:t>Misleading results leading to unaddressed real causes</w:t>
            </w:r>
          </w:p>
        </w:tc>
        <w:tc>
          <w:tcPr>
            <w:tcW w:w="2503" w:type="dxa"/>
          </w:tcPr>
          <w:p w:rsidR="00CB706F" w:rsidRDefault="00CB706F" w:rsidP="00D86614">
            <w:pPr>
              <w:pStyle w:val="ListParagraph"/>
              <w:numPr>
                <w:ilvl w:val="0"/>
                <w:numId w:val="4"/>
              </w:numPr>
              <w:ind w:left="242" w:hanging="142"/>
            </w:pPr>
            <w:r>
              <w:t>Secure community involvement and transparency in the study area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4"/>
              </w:numPr>
              <w:ind w:left="242" w:hanging="142"/>
            </w:pPr>
            <w:r>
              <w:t>Publish results in peer review, and open access  journals</w:t>
            </w:r>
          </w:p>
        </w:tc>
      </w:tr>
      <w:tr w:rsidR="00CB706F" w:rsidTr="007C19E7">
        <w:trPr>
          <w:trHeight w:val="4031"/>
        </w:trPr>
        <w:tc>
          <w:tcPr>
            <w:tcW w:w="2088" w:type="dxa"/>
          </w:tcPr>
          <w:p w:rsidR="00CB706F" w:rsidRDefault="00CB706F" w:rsidP="007C19E7">
            <w:pPr>
              <w:rPr>
                <w:b/>
              </w:rPr>
            </w:pPr>
            <w:r w:rsidRPr="00DB5DB6">
              <w:rPr>
                <w:b/>
              </w:rPr>
              <w:t>Capacity Building and Communication</w:t>
            </w:r>
          </w:p>
          <w:p w:rsidR="00CB706F" w:rsidRDefault="00CB706F" w:rsidP="007C19E7">
            <w:pPr>
              <w:rPr>
                <w:b/>
              </w:rPr>
            </w:pPr>
          </w:p>
          <w:p w:rsidR="00CB706F" w:rsidRPr="00DB5DB6" w:rsidRDefault="00CB706F" w:rsidP="007C19E7">
            <w:r w:rsidRPr="00DB5DB6">
              <w:t xml:space="preserve">Promote REDD Plus through information, education, and communication (IEC) Activities </w:t>
            </w:r>
          </w:p>
          <w:p w:rsidR="00CB706F" w:rsidRDefault="00CB706F" w:rsidP="007C19E7">
            <w:pPr>
              <w:rPr>
                <w:b/>
              </w:rPr>
            </w:pPr>
          </w:p>
          <w:p w:rsidR="00CB706F" w:rsidRPr="00DB5DB6" w:rsidRDefault="00CB706F" w:rsidP="007C19E7">
            <w:pPr>
              <w:rPr>
                <w:b/>
              </w:rPr>
            </w:pPr>
          </w:p>
        </w:tc>
        <w:tc>
          <w:tcPr>
            <w:tcW w:w="1662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Procurement selection (RA 9184) e.g. selection of printers, quantity of materials to produce, contracts</w:t>
            </w:r>
          </w:p>
        </w:tc>
        <w:tc>
          <w:tcPr>
            <w:tcW w:w="2928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Bribery</w:t>
            </w:r>
          </w:p>
          <w:p w:rsidR="00CB706F" w:rsidRDefault="00CB706F" w:rsidP="007C19E7">
            <w:r>
              <w:t xml:space="preserve">Favoritism - </w:t>
            </w:r>
          </w:p>
          <w:p w:rsidR="00CB706F" w:rsidRDefault="00CB706F" w:rsidP="007C19E7">
            <w:r>
              <w:t>Abuse of discretion – circumventing some provision of RA 9184</w:t>
            </w:r>
          </w:p>
          <w:p w:rsidR="00CB706F" w:rsidRDefault="00CB706F" w:rsidP="007C19E7"/>
          <w:p w:rsidR="00CB706F" w:rsidRDefault="00CB706F" w:rsidP="007C19E7">
            <w:r>
              <w:t>Who has the power? – Procurement entities</w:t>
            </w:r>
          </w:p>
          <w:p w:rsidR="00CB706F" w:rsidRDefault="00CB706F" w:rsidP="007C19E7"/>
          <w:p w:rsidR="00CB706F" w:rsidRDefault="00CB706F" w:rsidP="007C19E7">
            <w:r>
              <w:t>Who are the beneficiaries? Procurement entities, Funder, implementing agencies</w:t>
            </w:r>
          </w:p>
          <w:p w:rsidR="00CB706F" w:rsidRDefault="00CB706F" w:rsidP="007C19E7"/>
          <w:p w:rsidR="00CB706F" w:rsidRDefault="00CB706F" w:rsidP="007C19E7"/>
        </w:tc>
        <w:tc>
          <w:tcPr>
            <w:tcW w:w="1497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  <w:r>
              <w:t>1</w:t>
            </w:r>
          </w:p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</w:tc>
        <w:tc>
          <w:tcPr>
            <w:tcW w:w="2498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pPr>
              <w:pStyle w:val="ListParagraph"/>
              <w:numPr>
                <w:ilvl w:val="0"/>
                <w:numId w:val="5"/>
              </w:numPr>
              <w:ind w:left="195" w:hanging="195"/>
            </w:pPr>
            <w:r>
              <w:t xml:space="preserve">Target audience will not be reached (limited beneficiaries) </w:t>
            </w:r>
          </w:p>
          <w:p w:rsidR="00CB706F" w:rsidRDefault="00CB706F" w:rsidP="007C19E7">
            <w:pPr>
              <w:pStyle w:val="ListParagraph"/>
              <w:numPr>
                <w:ilvl w:val="0"/>
                <w:numId w:val="5"/>
              </w:numPr>
              <w:ind w:left="195" w:hanging="195"/>
            </w:pPr>
            <w:r>
              <w:t>Profit is confined to limited number of firms/contractors</w:t>
            </w:r>
          </w:p>
          <w:p w:rsidR="00CB706F" w:rsidRDefault="00CB706F" w:rsidP="007C19E7">
            <w:pPr>
              <w:pStyle w:val="ListParagraph"/>
              <w:ind w:left="195"/>
            </w:pPr>
          </w:p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</w:tc>
        <w:tc>
          <w:tcPr>
            <w:tcW w:w="2503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pPr>
              <w:pStyle w:val="ListParagraph"/>
              <w:numPr>
                <w:ilvl w:val="0"/>
                <w:numId w:val="6"/>
              </w:numPr>
              <w:ind w:left="487" w:hanging="270"/>
            </w:pPr>
            <w:r>
              <w:t xml:space="preserve">Values formation and reorientation, self-reflection </w:t>
            </w:r>
          </w:p>
          <w:p w:rsidR="00CB706F" w:rsidRDefault="00CB706F" w:rsidP="007C19E7">
            <w:pPr>
              <w:pStyle w:val="ListParagraph"/>
              <w:numPr>
                <w:ilvl w:val="0"/>
                <w:numId w:val="6"/>
              </w:numPr>
              <w:ind w:left="487" w:hanging="270"/>
            </w:pPr>
            <w:r>
              <w:t>Monitoring the Strict implementation of RA 9184</w:t>
            </w:r>
          </w:p>
          <w:p w:rsidR="00CB706F" w:rsidRDefault="00CB706F" w:rsidP="007C19E7">
            <w:pPr>
              <w:pStyle w:val="ListParagraph"/>
              <w:numPr>
                <w:ilvl w:val="0"/>
                <w:numId w:val="6"/>
              </w:numPr>
              <w:ind w:left="487" w:hanging="270"/>
            </w:pPr>
            <w:r>
              <w:t>Orientation of RA 9184 to other stakeholders</w:t>
            </w:r>
          </w:p>
          <w:p w:rsidR="00CB706F" w:rsidRDefault="00CB706F" w:rsidP="007C19E7">
            <w:pPr>
              <w:pStyle w:val="ListParagraph"/>
              <w:numPr>
                <w:ilvl w:val="0"/>
                <w:numId w:val="6"/>
              </w:numPr>
              <w:ind w:left="487" w:hanging="270"/>
            </w:pPr>
            <w:r>
              <w:t xml:space="preserve">Emphasize the “plus” in  REDD Plus IEC </w:t>
            </w:r>
          </w:p>
        </w:tc>
      </w:tr>
      <w:tr w:rsidR="00CB706F" w:rsidTr="007C19E7">
        <w:tc>
          <w:tcPr>
            <w:tcW w:w="2088" w:type="dxa"/>
          </w:tcPr>
          <w:p w:rsidR="00CB706F" w:rsidRDefault="00CB706F" w:rsidP="007C19E7">
            <w:r>
              <w:t>Enhance REDD-Plus learning exchanges</w:t>
            </w:r>
          </w:p>
        </w:tc>
        <w:tc>
          <w:tcPr>
            <w:tcW w:w="1662" w:type="dxa"/>
          </w:tcPr>
          <w:p w:rsidR="00CB706F" w:rsidRDefault="00CB706F" w:rsidP="007C19E7">
            <w:r>
              <w:t>Being used as an incentive or rewards to favorite staff even if it is not their not part of the REDD Plus working group</w:t>
            </w:r>
          </w:p>
        </w:tc>
        <w:tc>
          <w:tcPr>
            <w:tcW w:w="2928" w:type="dxa"/>
          </w:tcPr>
          <w:p w:rsidR="00CB706F" w:rsidRDefault="00CB706F" w:rsidP="007C19E7">
            <w:r>
              <w:t>Favoritism – No prioritization selection criteria</w:t>
            </w:r>
          </w:p>
          <w:p w:rsidR="00CB706F" w:rsidRDefault="00CB706F" w:rsidP="007C19E7"/>
          <w:p w:rsidR="00CB706F" w:rsidRDefault="00CB706F" w:rsidP="007C19E7">
            <w:r>
              <w:t xml:space="preserve">Who has the power? - </w:t>
            </w:r>
          </w:p>
        </w:tc>
        <w:tc>
          <w:tcPr>
            <w:tcW w:w="1497" w:type="dxa"/>
          </w:tcPr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:rsidR="00CB706F" w:rsidRDefault="00CB706F" w:rsidP="00D86614">
            <w:pPr>
              <w:pStyle w:val="ListParagraph"/>
              <w:numPr>
                <w:ilvl w:val="0"/>
                <w:numId w:val="7"/>
              </w:numPr>
              <w:ind w:left="189" w:hanging="142"/>
            </w:pPr>
            <w:r>
              <w:t>No trickle-down effect on the learning exchanges</w:t>
            </w:r>
          </w:p>
        </w:tc>
        <w:tc>
          <w:tcPr>
            <w:tcW w:w="2503" w:type="dxa"/>
          </w:tcPr>
          <w:p w:rsidR="00CB706F" w:rsidRDefault="00CB706F" w:rsidP="00D86614">
            <w:pPr>
              <w:pStyle w:val="ListParagraph"/>
              <w:numPr>
                <w:ilvl w:val="0"/>
                <w:numId w:val="7"/>
              </w:numPr>
              <w:ind w:left="384" w:hanging="284"/>
            </w:pPr>
            <w:r>
              <w:t>Develop mechanism on sustaining learning exchanges</w:t>
            </w:r>
          </w:p>
        </w:tc>
      </w:tr>
      <w:tr w:rsidR="00CB706F" w:rsidTr="007C19E7">
        <w:tc>
          <w:tcPr>
            <w:tcW w:w="2088" w:type="dxa"/>
          </w:tcPr>
          <w:p w:rsidR="00CB706F" w:rsidRDefault="00CB706F" w:rsidP="007C19E7">
            <w:pPr>
              <w:rPr>
                <w:b/>
              </w:rPr>
            </w:pPr>
          </w:p>
          <w:p w:rsidR="00CB706F" w:rsidRDefault="00CB706F" w:rsidP="007C19E7">
            <w:pPr>
              <w:rPr>
                <w:b/>
              </w:rPr>
            </w:pPr>
            <w:r w:rsidRPr="00E111BD">
              <w:rPr>
                <w:b/>
              </w:rPr>
              <w:t xml:space="preserve">Sustainable </w:t>
            </w:r>
          </w:p>
          <w:p w:rsidR="00CB706F" w:rsidRDefault="00CB706F" w:rsidP="007C19E7">
            <w:pPr>
              <w:rPr>
                <w:b/>
              </w:rPr>
            </w:pPr>
            <w:r w:rsidRPr="00E111BD">
              <w:rPr>
                <w:b/>
              </w:rPr>
              <w:t>Financing</w:t>
            </w:r>
          </w:p>
          <w:p w:rsidR="00CB706F" w:rsidRDefault="00CB706F" w:rsidP="007C19E7">
            <w:pPr>
              <w:rPr>
                <w:b/>
              </w:rPr>
            </w:pPr>
          </w:p>
          <w:p w:rsidR="00CB706F" w:rsidRPr="00CA24EE" w:rsidRDefault="00CB706F" w:rsidP="007C19E7">
            <w:r w:rsidRPr="00CA24EE">
              <w:t>Pursue equitable and reasonable benefit-sharing among stakeholders</w:t>
            </w:r>
          </w:p>
        </w:tc>
        <w:tc>
          <w:tcPr>
            <w:tcW w:w="1662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-Greed for money</w:t>
            </w:r>
          </w:p>
        </w:tc>
        <w:tc>
          <w:tcPr>
            <w:tcW w:w="2928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-Abuse of discretion – involves executive agencies which decides on who gets what and who gets how much</w:t>
            </w:r>
          </w:p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Who benefits?</w:t>
            </w:r>
          </w:p>
          <w:p w:rsidR="00CB706F" w:rsidRDefault="00CB706F" w:rsidP="007C19E7">
            <w:r>
              <w:t>-Selected executive officials, favored stakeholders</w:t>
            </w:r>
          </w:p>
        </w:tc>
        <w:tc>
          <w:tcPr>
            <w:tcW w:w="1497" w:type="dxa"/>
          </w:tcPr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D86614">
            <w:pPr>
              <w:pStyle w:val="ListParagraph"/>
              <w:numPr>
                <w:ilvl w:val="0"/>
                <w:numId w:val="9"/>
              </w:numPr>
              <w:ind w:left="189" w:hanging="142"/>
            </w:pPr>
            <w:r>
              <w:t>conflicts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9"/>
              </w:numPr>
              <w:ind w:left="189" w:hanging="142"/>
            </w:pPr>
            <w:r>
              <w:t>Discourage participation to REDD Plus related activities</w:t>
            </w:r>
          </w:p>
          <w:p w:rsidR="00CB706F" w:rsidRDefault="00CB706F" w:rsidP="00D86614">
            <w:pPr>
              <w:pStyle w:val="ListParagraph"/>
              <w:numPr>
                <w:ilvl w:val="0"/>
                <w:numId w:val="9"/>
              </w:numPr>
              <w:ind w:left="189" w:hanging="142"/>
            </w:pPr>
            <w:r>
              <w:t>inequitable distribution of benefits</w:t>
            </w:r>
          </w:p>
          <w:p w:rsidR="00CB706F" w:rsidRDefault="00CB706F" w:rsidP="007C19E7">
            <w:pPr>
              <w:ind w:left="360"/>
            </w:pPr>
          </w:p>
        </w:tc>
        <w:tc>
          <w:tcPr>
            <w:tcW w:w="2503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>-Identify a more sustainable financing mechanism to fund REDD plus readiness phase</w:t>
            </w:r>
          </w:p>
          <w:p w:rsidR="00CB706F" w:rsidRDefault="00CB706F" w:rsidP="007C19E7">
            <w:r>
              <w:t>-Develop strong and transparent MRV System</w:t>
            </w:r>
          </w:p>
          <w:p w:rsidR="00CB706F" w:rsidRDefault="00CB706F" w:rsidP="007C19E7"/>
        </w:tc>
      </w:tr>
      <w:tr w:rsidR="00CB706F" w:rsidTr="007C19E7">
        <w:tc>
          <w:tcPr>
            <w:tcW w:w="2088" w:type="dxa"/>
          </w:tcPr>
          <w:p w:rsidR="00CB706F" w:rsidRPr="00DC3D90" w:rsidRDefault="00CB706F" w:rsidP="007C19E7">
            <w:r w:rsidRPr="00DC3D90">
              <w:t>Seek immediate donor funding for REDD-plus readiness</w:t>
            </w:r>
          </w:p>
        </w:tc>
        <w:tc>
          <w:tcPr>
            <w:tcW w:w="1662" w:type="dxa"/>
          </w:tcPr>
          <w:p w:rsidR="00CB706F" w:rsidRDefault="00CB706F" w:rsidP="007C19E7">
            <w:r>
              <w:t>-Embedded nature of REDD plus, carbon trading, and the Filipino culture of “</w:t>
            </w:r>
            <w:proofErr w:type="spellStart"/>
            <w:r>
              <w:t>utang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loob</w:t>
            </w:r>
            <w:proofErr w:type="spellEnd"/>
            <w:r>
              <w:t>” can result to lock downs, biases in terms of where to trade or who owns the carbon credit</w:t>
            </w:r>
          </w:p>
        </w:tc>
        <w:tc>
          <w:tcPr>
            <w:tcW w:w="2928" w:type="dxa"/>
          </w:tcPr>
          <w:p w:rsidR="00CB706F" w:rsidRDefault="00CB706F" w:rsidP="007C19E7">
            <w:r>
              <w:t>Bribery</w:t>
            </w:r>
          </w:p>
          <w:p w:rsidR="00CB706F" w:rsidRDefault="00CB706F" w:rsidP="007C19E7"/>
          <w:p w:rsidR="00CB706F" w:rsidRDefault="00CB706F" w:rsidP="007C19E7">
            <w:r>
              <w:t>Who has the power?</w:t>
            </w:r>
          </w:p>
          <w:p w:rsidR="00CB706F" w:rsidRDefault="00CB706F" w:rsidP="007C19E7">
            <w:r>
              <w:t>Funding agency</w:t>
            </w:r>
          </w:p>
          <w:p w:rsidR="00CB706F" w:rsidRDefault="00CB706F" w:rsidP="007C19E7"/>
          <w:p w:rsidR="00CB706F" w:rsidRDefault="00CB706F" w:rsidP="007C19E7">
            <w:r>
              <w:t>Who benefits?</w:t>
            </w:r>
          </w:p>
          <w:p w:rsidR="00CB706F" w:rsidRDefault="00CB706F" w:rsidP="007C19E7">
            <w:r>
              <w:t>Funding agency, selected local communities</w:t>
            </w:r>
          </w:p>
        </w:tc>
        <w:tc>
          <w:tcPr>
            <w:tcW w:w="1497" w:type="dxa"/>
          </w:tcPr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</w:p>
          <w:p w:rsidR="00CB706F" w:rsidRDefault="00CB706F" w:rsidP="007C19E7">
            <w:pPr>
              <w:jc w:val="center"/>
            </w:pPr>
            <w:r>
              <w:t>1</w:t>
            </w:r>
          </w:p>
        </w:tc>
        <w:tc>
          <w:tcPr>
            <w:tcW w:w="2498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D86614">
            <w:pPr>
              <w:pStyle w:val="ListParagraph"/>
              <w:numPr>
                <w:ilvl w:val="0"/>
                <w:numId w:val="9"/>
              </w:numPr>
              <w:ind w:left="189" w:hanging="142"/>
            </w:pPr>
            <w:r>
              <w:t>Climate Injustice</w:t>
            </w:r>
          </w:p>
          <w:p w:rsidR="00CB706F" w:rsidRDefault="00CB706F" w:rsidP="007C19E7">
            <w:pPr>
              <w:pStyle w:val="ListParagraph"/>
            </w:pPr>
          </w:p>
        </w:tc>
        <w:tc>
          <w:tcPr>
            <w:tcW w:w="2503" w:type="dxa"/>
          </w:tcPr>
          <w:p w:rsidR="00CB706F" w:rsidRDefault="00CB706F" w:rsidP="007C19E7"/>
          <w:p w:rsidR="00CB706F" w:rsidRDefault="00CB706F" w:rsidP="007C19E7"/>
          <w:p w:rsidR="00CB706F" w:rsidRDefault="00CB706F" w:rsidP="007C19E7"/>
          <w:p w:rsidR="00CB706F" w:rsidRDefault="00CB706F" w:rsidP="007C19E7">
            <w:r>
              <w:t xml:space="preserve">-Seek and develop long term funding mechanisms other than donor </w:t>
            </w:r>
            <w:proofErr w:type="spellStart"/>
            <w:r>
              <w:t>fundings</w:t>
            </w:r>
            <w:proofErr w:type="spellEnd"/>
          </w:p>
        </w:tc>
      </w:tr>
    </w:tbl>
    <w:p w:rsidR="00CB706F" w:rsidRDefault="00CB706F"/>
    <w:sectPr w:rsidR="00CB706F" w:rsidSect="0023124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155C2"/>
    <w:multiLevelType w:val="hybridMultilevel"/>
    <w:tmpl w:val="683A0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D265B"/>
    <w:multiLevelType w:val="hybridMultilevel"/>
    <w:tmpl w:val="11BA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C44D5"/>
    <w:multiLevelType w:val="hybridMultilevel"/>
    <w:tmpl w:val="5B0EA864"/>
    <w:lvl w:ilvl="0" w:tplc="1E3C65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90771"/>
    <w:multiLevelType w:val="hybridMultilevel"/>
    <w:tmpl w:val="47922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DB1033"/>
    <w:multiLevelType w:val="hybridMultilevel"/>
    <w:tmpl w:val="3566F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41D52"/>
    <w:multiLevelType w:val="hybridMultilevel"/>
    <w:tmpl w:val="45BA5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C66C0"/>
    <w:multiLevelType w:val="hybridMultilevel"/>
    <w:tmpl w:val="4060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F048B"/>
    <w:multiLevelType w:val="hybridMultilevel"/>
    <w:tmpl w:val="CCA4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F0ED4"/>
    <w:multiLevelType w:val="hybridMultilevel"/>
    <w:tmpl w:val="246A6672"/>
    <w:lvl w:ilvl="0" w:tplc="1E3C65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/>
  <w:rsids>
    <w:rsidRoot w:val="00231244"/>
    <w:rsid w:val="000B6D36"/>
    <w:rsid w:val="00106C3C"/>
    <w:rsid w:val="00231244"/>
    <w:rsid w:val="00251EB3"/>
    <w:rsid w:val="002D67AE"/>
    <w:rsid w:val="00513C01"/>
    <w:rsid w:val="00844D64"/>
    <w:rsid w:val="009D7152"/>
    <w:rsid w:val="00A5232E"/>
    <w:rsid w:val="00CA24EE"/>
    <w:rsid w:val="00CB706F"/>
    <w:rsid w:val="00D7404C"/>
    <w:rsid w:val="00D86614"/>
    <w:rsid w:val="00DB5DB6"/>
    <w:rsid w:val="00DC3D90"/>
    <w:rsid w:val="00DF423C"/>
    <w:rsid w:val="00E11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2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2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12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4123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Dazzle Labapis</dc:creator>
  <cp:lastModifiedBy>Estelle Fach</cp:lastModifiedBy>
  <cp:revision>4</cp:revision>
  <dcterms:created xsi:type="dcterms:W3CDTF">2012-10-17T06:04:00Z</dcterms:created>
  <dcterms:modified xsi:type="dcterms:W3CDTF">2012-10-17T06:48:00Z</dcterms:modified>
</cp:coreProperties>
</file>