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B7ACC" w14:textId="77777777" w:rsidR="00A67997" w:rsidRDefault="00A67997" w:rsidP="00A67997">
      <w:pPr>
        <w:spacing w:line="276" w:lineRule="auto"/>
        <w:ind w:left="360"/>
        <w:jc w:val="center"/>
        <w:rPr>
          <w:rFonts w:ascii="Calibri" w:eastAsia="Calibri" w:hAnsi="Calibri"/>
          <w:b/>
        </w:rPr>
      </w:pPr>
      <w:r w:rsidRPr="009D38AD">
        <w:rPr>
          <w:rFonts w:ascii="Calibri" w:eastAsia="Calibri" w:hAnsi="Calibri"/>
          <w:b/>
          <w:noProof/>
        </w:rPr>
        <w:drawing>
          <wp:inline distT="0" distB="0" distL="0" distR="0" wp14:anchorId="5B525146" wp14:editId="0004E35E">
            <wp:extent cx="1366345" cy="1028700"/>
            <wp:effectExtent l="0" t="0" r="5715" b="0"/>
            <wp:docPr id="1" name="Picture 0"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REDD.png"/>
                    <pic:cNvPicPr/>
                  </pic:nvPicPr>
                  <pic:blipFill>
                    <a:blip r:embed="rId9" cstate="print"/>
                    <a:stretch>
                      <a:fillRect/>
                    </a:stretch>
                  </pic:blipFill>
                  <pic:spPr>
                    <a:xfrm>
                      <a:off x="0" y="0"/>
                      <a:ext cx="1369357" cy="1030967"/>
                    </a:xfrm>
                    <a:prstGeom prst="rect">
                      <a:avLst/>
                    </a:prstGeom>
                  </pic:spPr>
                </pic:pic>
              </a:graphicData>
            </a:graphic>
          </wp:inline>
        </w:drawing>
      </w:r>
    </w:p>
    <w:p w14:paraId="5432EA9B" w14:textId="77777777" w:rsidR="00A67997" w:rsidRPr="009D38AD" w:rsidRDefault="00E33C7E" w:rsidP="00E33C7E">
      <w:pPr>
        <w:spacing w:line="276" w:lineRule="auto"/>
        <w:ind w:left="360"/>
        <w:jc w:val="center"/>
        <w:rPr>
          <w:rFonts w:ascii="Calibri" w:eastAsia="Calibri" w:hAnsi="Calibri"/>
          <w:b/>
        </w:rPr>
      </w:pPr>
      <w:r w:rsidRPr="00E33C7E">
        <w:rPr>
          <w:rFonts w:ascii="Calibri" w:eastAsia="Calibri" w:hAnsi="Calibri"/>
          <w:b/>
          <w:noProof/>
        </w:rPr>
        <w:drawing>
          <wp:inline distT="0" distB="0" distL="0" distR="0" wp14:anchorId="56934711" wp14:editId="6B1A40AD">
            <wp:extent cx="3527351" cy="740743"/>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a:stretch>
                      <a:fillRect/>
                    </a:stretch>
                  </pic:blipFill>
                  <pic:spPr>
                    <a:xfrm>
                      <a:off x="0" y="0"/>
                      <a:ext cx="3531371" cy="741587"/>
                    </a:xfrm>
                    <a:prstGeom prst="rect">
                      <a:avLst/>
                    </a:prstGeom>
                  </pic:spPr>
                </pic:pic>
              </a:graphicData>
            </a:graphic>
          </wp:inline>
        </w:drawing>
      </w:r>
    </w:p>
    <w:p w14:paraId="405F17F2" w14:textId="77777777" w:rsidR="00A67997" w:rsidRPr="009D38AD" w:rsidRDefault="00A67997" w:rsidP="00A67997">
      <w:pPr>
        <w:ind w:left="360"/>
        <w:jc w:val="center"/>
        <w:rPr>
          <w:rFonts w:ascii="Calibri" w:eastAsia="Calibri" w:hAnsi="Calibri"/>
          <w:b/>
          <w:sz w:val="22"/>
          <w:szCs w:val="22"/>
        </w:rPr>
      </w:pPr>
      <w:r w:rsidRPr="009D38AD">
        <w:rPr>
          <w:rFonts w:ascii="Calibri" w:eastAsia="Calibri" w:hAnsi="Calibri"/>
          <w:b/>
          <w:sz w:val="22"/>
          <w:szCs w:val="22"/>
        </w:rPr>
        <w:t>UN-REDD Programme: Targeted Support to the Philippines</w:t>
      </w:r>
    </w:p>
    <w:p w14:paraId="1B267E60" w14:textId="77777777" w:rsidR="00A67997" w:rsidRPr="009D38AD" w:rsidRDefault="00A67997" w:rsidP="00A67997">
      <w:pPr>
        <w:ind w:left="360"/>
        <w:jc w:val="center"/>
        <w:rPr>
          <w:rFonts w:ascii="Calibri" w:eastAsia="Calibri" w:hAnsi="Calibri"/>
          <w:b/>
          <w:sz w:val="22"/>
          <w:szCs w:val="22"/>
        </w:rPr>
      </w:pPr>
      <w:r>
        <w:rPr>
          <w:rFonts w:ascii="Calibri" w:eastAsia="Calibri" w:hAnsi="Calibri"/>
          <w:b/>
          <w:color w:val="FF0000"/>
          <w:sz w:val="22"/>
          <w:szCs w:val="22"/>
        </w:rPr>
        <w:t>Corruption-Risk Assessment for</w:t>
      </w:r>
      <w:r w:rsidRPr="000E6486">
        <w:rPr>
          <w:rFonts w:ascii="Calibri" w:eastAsia="Calibri" w:hAnsi="Calibri"/>
          <w:b/>
          <w:color w:val="FF0000"/>
          <w:sz w:val="22"/>
          <w:szCs w:val="22"/>
        </w:rPr>
        <w:t xml:space="preserve"> REDD+ in the Philippines</w:t>
      </w:r>
      <w:r>
        <w:rPr>
          <w:rFonts w:ascii="Calibri" w:eastAsia="Calibri" w:hAnsi="Calibri"/>
          <w:b/>
          <w:color w:val="FF0000"/>
          <w:sz w:val="22"/>
          <w:szCs w:val="22"/>
        </w:rPr>
        <w:t xml:space="preserve"> and Development of REDD+ Anti-Corruption Measures</w:t>
      </w:r>
    </w:p>
    <w:p w14:paraId="2ECAEC16" w14:textId="77777777" w:rsidR="00B85FEA" w:rsidRDefault="00A67997" w:rsidP="00A67997">
      <w:pPr>
        <w:ind w:left="360"/>
        <w:jc w:val="center"/>
        <w:rPr>
          <w:b/>
          <w:sz w:val="32"/>
          <w:szCs w:val="32"/>
        </w:rPr>
      </w:pPr>
      <w:r w:rsidRPr="009D38AD">
        <w:rPr>
          <w:rFonts w:ascii="Calibri" w:eastAsia="Calibri" w:hAnsi="Calibri"/>
          <w:b/>
          <w:sz w:val="22"/>
          <w:szCs w:val="22"/>
        </w:rPr>
        <w:t>The Philippines National REDD+ Readiness Process</w:t>
      </w:r>
      <w:r>
        <w:rPr>
          <w:b/>
          <w:sz w:val="32"/>
          <w:szCs w:val="32"/>
        </w:rPr>
        <w:tab/>
      </w:r>
    </w:p>
    <w:p w14:paraId="39CFDF36" w14:textId="77777777" w:rsidR="003F14E0" w:rsidRPr="00A67997" w:rsidRDefault="003F14E0" w:rsidP="00A67997">
      <w:pPr>
        <w:ind w:left="360"/>
        <w:jc w:val="center"/>
        <w:rPr>
          <w:rFonts w:ascii="Calibri" w:eastAsia="Calibri" w:hAnsi="Calibri"/>
          <w:b/>
          <w:sz w:val="22"/>
          <w:szCs w:val="22"/>
        </w:rPr>
      </w:pPr>
    </w:p>
    <w:p w14:paraId="76B2DE93" w14:textId="77777777" w:rsidR="00B85FEA" w:rsidRPr="00B85FEA" w:rsidRDefault="00B85FEA" w:rsidP="00B85FEA">
      <w:pPr>
        <w:jc w:val="center"/>
        <w:rPr>
          <w:b/>
          <w:sz w:val="32"/>
          <w:szCs w:val="32"/>
        </w:rPr>
      </w:pPr>
      <w:r w:rsidRPr="00B85FEA">
        <w:rPr>
          <w:b/>
          <w:sz w:val="32"/>
          <w:szCs w:val="32"/>
        </w:rPr>
        <w:t>Inception Report</w:t>
      </w:r>
    </w:p>
    <w:p w14:paraId="4711A3F0" w14:textId="77777777" w:rsidR="00B85FEA" w:rsidRPr="00B85FEA" w:rsidRDefault="00B85FEA" w:rsidP="00B85FEA">
      <w:pPr>
        <w:jc w:val="center"/>
        <w:rPr>
          <w:b/>
          <w:sz w:val="26"/>
          <w:szCs w:val="26"/>
        </w:rPr>
      </w:pPr>
      <w:r w:rsidRPr="00B85FEA">
        <w:rPr>
          <w:b/>
          <w:sz w:val="26"/>
          <w:szCs w:val="26"/>
        </w:rPr>
        <w:t>With Contextualized Methodology</w:t>
      </w:r>
    </w:p>
    <w:p w14:paraId="0ACB15D1" w14:textId="77777777" w:rsidR="00B85FEA" w:rsidRDefault="00B85FEA" w:rsidP="003B1B8F">
      <w:pPr>
        <w:jc w:val="both"/>
        <w:rPr>
          <w:sz w:val="22"/>
          <w:szCs w:val="22"/>
        </w:rPr>
      </w:pPr>
    </w:p>
    <w:p w14:paraId="2C10AE6C" w14:textId="77777777" w:rsidR="003B1B8F" w:rsidRPr="003B1B8F" w:rsidRDefault="003B1B8F" w:rsidP="003B1B8F">
      <w:pPr>
        <w:jc w:val="both"/>
        <w:rPr>
          <w:sz w:val="22"/>
          <w:szCs w:val="22"/>
        </w:rPr>
      </w:pPr>
      <w:r w:rsidRPr="003B1B8F">
        <w:rPr>
          <w:sz w:val="22"/>
          <w:szCs w:val="22"/>
        </w:rPr>
        <w:t>It has been observed that “corruption is an important enabler of deforestation in developing countries.”</w:t>
      </w:r>
      <w:r w:rsidRPr="003B1B8F">
        <w:rPr>
          <w:rStyle w:val="FootnoteReference"/>
          <w:sz w:val="22"/>
          <w:szCs w:val="22"/>
        </w:rPr>
        <w:footnoteReference w:id="1"/>
      </w:r>
      <w:r w:rsidRPr="003B1B8F">
        <w:rPr>
          <w:sz w:val="22"/>
          <w:szCs w:val="22"/>
        </w:rPr>
        <w:t xml:space="preserve"> This runs the gamut from the supply side to the demand side, from private companies and/or individuals approaching public officials to offer bribes for favorable treatment or when corrupt officials themselves demand that favors be given them. Moreover, corruption in the forestry sector breeds more corruption, as the law enforcement and judiciary are similarly compromised.</w:t>
      </w:r>
      <w:r w:rsidRPr="003B1B8F">
        <w:rPr>
          <w:rStyle w:val="FootnoteReference"/>
          <w:sz w:val="22"/>
          <w:szCs w:val="22"/>
        </w:rPr>
        <w:footnoteReference w:id="2"/>
      </w:r>
      <w:r w:rsidRPr="003B1B8F">
        <w:rPr>
          <w:sz w:val="22"/>
          <w:szCs w:val="22"/>
        </w:rPr>
        <w:t xml:space="preserve"> </w:t>
      </w:r>
    </w:p>
    <w:p w14:paraId="17002141" w14:textId="77777777" w:rsidR="003B1B8F" w:rsidRPr="003B1B8F" w:rsidRDefault="003B1B8F" w:rsidP="003B1B8F">
      <w:pPr>
        <w:jc w:val="both"/>
        <w:rPr>
          <w:sz w:val="22"/>
          <w:szCs w:val="22"/>
        </w:rPr>
      </w:pPr>
    </w:p>
    <w:p w14:paraId="7B08810B" w14:textId="77777777" w:rsidR="003B1B8F" w:rsidRPr="003B1B8F" w:rsidRDefault="003B1B8F" w:rsidP="003B1B8F">
      <w:pPr>
        <w:jc w:val="both"/>
        <w:rPr>
          <w:sz w:val="22"/>
          <w:szCs w:val="22"/>
        </w:rPr>
      </w:pPr>
      <w:r w:rsidRPr="003B1B8F">
        <w:rPr>
          <w:sz w:val="22"/>
          <w:szCs w:val="22"/>
        </w:rPr>
        <w:t xml:space="preserve">As an engagement with the forestry sector, it is foreseen that REDD-plus projects will also run up against corruption-related roadblocks and challenges. </w:t>
      </w:r>
    </w:p>
    <w:p w14:paraId="104B7950" w14:textId="77777777" w:rsidR="003B1B8F" w:rsidRPr="003B1B8F" w:rsidRDefault="003B1B8F" w:rsidP="003B1B8F">
      <w:pPr>
        <w:jc w:val="both"/>
        <w:rPr>
          <w:sz w:val="22"/>
          <w:szCs w:val="22"/>
        </w:rPr>
      </w:pPr>
    </w:p>
    <w:p w14:paraId="3A799E59" w14:textId="77777777" w:rsidR="006B4CD2" w:rsidRDefault="003B1B8F" w:rsidP="003B1B8F">
      <w:pPr>
        <w:jc w:val="both"/>
        <w:rPr>
          <w:sz w:val="22"/>
          <w:szCs w:val="22"/>
        </w:rPr>
      </w:pPr>
      <w:r w:rsidRPr="003B1B8F">
        <w:rPr>
          <w:sz w:val="22"/>
          <w:szCs w:val="22"/>
        </w:rPr>
        <w:t xml:space="preserve">REDD-plus corruption may take place during what is referred to as the </w:t>
      </w:r>
      <w:r w:rsidRPr="003B1B8F">
        <w:rPr>
          <w:i/>
          <w:sz w:val="22"/>
          <w:szCs w:val="22"/>
        </w:rPr>
        <w:t>Readiness Phase</w:t>
      </w:r>
      <w:r w:rsidRPr="003B1B8F">
        <w:rPr>
          <w:sz w:val="22"/>
          <w:szCs w:val="22"/>
        </w:rPr>
        <w:t xml:space="preserve"> as well, during which national frameworks are designed and corruption may be “legalized.”</w:t>
      </w:r>
      <w:r w:rsidRPr="003B1B8F">
        <w:rPr>
          <w:rStyle w:val="FootnoteReference"/>
          <w:sz w:val="22"/>
          <w:szCs w:val="22"/>
        </w:rPr>
        <w:footnoteReference w:id="3"/>
      </w:r>
      <w:r w:rsidRPr="003B1B8F">
        <w:rPr>
          <w:sz w:val="22"/>
          <w:szCs w:val="22"/>
        </w:rPr>
        <w:t xml:space="preserve">  During this phase, “high level actors, such as political elites, institutions, powerful national and international timber companies, industrial scale agribusiness, multinational corporations, project developers and the military… may seek to influence the design of national REDD-plus frameworks, legislation and regulations in order to maximize their chances of capturing REDD-plus revenues.”</w:t>
      </w:r>
      <w:r w:rsidRPr="003B1B8F">
        <w:rPr>
          <w:rStyle w:val="FootnoteReference"/>
          <w:sz w:val="22"/>
          <w:szCs w:val="22"/>
        </w:rPr>
        <w:footnoteReference w:id="4"/>
      </w:r>
      <w:r w:rsidRPr="003B1B8F">
        <w:rPr>
          <w:sz w:val="22"/>
          <w:szCs w:val="22"/>
        </w:rPr>
        <w:t xml:space="preserve"> </w:t>
      </w:r>
    </w:p>
    <w:p w14:paraId="66BC7D38" w14:textId="77777777" w:rsidR="006B4CD2" w:rsidRDefault="006B4CD2" w:rsidP="003B1B8F">
      <w:pPr>
        <w:jc w:val="both"/>
        <w:rPr>
          <w:sz w:val="22"/>
          <w:szCs w:val="22"/>
        </w:rPr>
      </w:pPr>
    </w:p>
    <w:p w14:paraId="681CB2B8" w14:textId="77777777" w:rsidR="00222A4C" w:rsidRPr="003B1B8F" w:rsidRDefault="00222A4C" w:rsidP="003B1B8F">
      <w:pPr>
        <w:jc w:val="both"/>
        <w:rPr>
          <w:sz w:val="22"/>
          <w:szCs w:val="22"/>
        </w:rPr>
      </w:pPr>
    </w:p>
    <w:tbl>
      <w:tblPr>
        <w:tblStyle w:val="TableGrid"/>
        <w:tblW w:w="0" w:type="auto"/>
        <w:jc w:val="cente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2093"/>
        <w:gridCol w:w="7011"/>
      </w:tblGrid>
      <w:tr w:rsidR="003B1B8F" w:rsidRPr="006B4CD2" w14:paraId="3CFE76BF" w14:textId="77777777" w:rsidTr="000170C2">
        <w:trPr>
          <w:jc w:val="center"/>
        </w:trPr>
        <w:tc>
          <w:tcPr>
            <w:tcW w:w="2093" w:type="dxa"/>
            <w:shd w:val="clear" w:color="auto" w:fill="0F243E" w:themeFill="text2" w:themeFillShade="80"/>
          </w:tcPr>
          <w:p w14:paraId="300133D5" w14:textId="77777777" w:rsidR="003B1B8F" w:rsidRPr="006B4CD2" w:rsidRDefault="003B1B8F" w:rsidP="0059250E">
            <w:pPr>
              <w:rPr>
                <w:b/>
                <w:sz w:val="20"/>
                <w:szCs w:val="20"/>
              </w:rPr>
            </w:pPr>
          </w:p>
        </w:tc>
        <w:tc>
          <w:tcPr>
            <w:tcW w:w="7011" w:type="dxa"/>
            <w:shd w:val="clear" w:color="auto" w:fill="0F243E" w:themeFill="text2" w:themeFillShade="80"/>
          </w:tcPr>
          <w:p w14:paraId="392E36F0" w14:textId="77777777" w:rsidR="003B1B8F" w:rsidRPr="006B4CD2" w:rsidRDefault="003B1B8F" w:rsidP="0059250E">
            <w:pPr>
              <w:jc w:val="center"/>
              <w:rPr>
                <w:b/>
                <w:sz w:val="20"/>
                <w:szCs w:val="20"/>
              </w:rPr>
            </w:pPr>
            <w:r w:rsidRPr="006B4CD2">
              <w:rPr>
                <w:b/>
                <w:sz w:val="20"/>
                <w:szCs w:val="20"/>
              </w:rPr>
              <w:t>Corruption Risk</w:t>
            </w:r>
            <w:r w:rsidRPr="006B4CD2">
              <w:rPr>
                <w:rStyle w:val="FootnoteReference"/>
                <w:b/>
                <w:sz w:val="20"/>
                <w:szCs w:val="20"/>
              </w:rPr>
              <w:footnoteReference w:id="5"/>
            </w:r>
          </w:p>
        </w:tc>
      </w:tr>
      <w:tr w:rsidR="003B1B8F" w:rsidRPr="006B4CD2" w14:paraId="01CF6B6C" w14:textId="77777777" w:rsidTr="000170C2">
        <w:trPr>
          <w:jc w:val="center"/>
        </w:trPr>
        <w:tc>
          <w:tcPr>
            <w:tcW w:w="2093" w:type="dxa"/>
          </w:tcPr>
          <w:p w14:paraId="091E43E6" w14:textId="77777777" w:rsidR="003B1B8F" w:rsidRPr="006B4CD2" w:rsidRDefault="003B1B8F" w:rsidP="0059250E">
            <w:pPr>
              <w:rPr>
                <w:sz w:val="20"/>
                <w:szCs w:val="20"/>
              </w:rPr>
            </w:pPr>
            <w:r w:rsidRPr="006B4CD2">
              <w:rPr>
                <w:sz w:val="20"/>
                <w:szCs w:val="20"/>
              </w:rPr>
              <w:t>Land Use Planning</w:t>
            </w:r>
          </w:p>
        </w:tc>
        <w:tc>
          <w:tcPr>
            <w:tcW w:w="7011" w:type="dxa"/>
          </w:tcPr>
          <w:p w14:paraId="691F7F1B" w14:textId="77777777" w:rsidR="003B1B8F" w:rsidRPr="006B4CD2" w:rsidRDefault="003B1B8F" w:rsidP="003B1B8F">
            <w:pPr>
              <w:pStyle w:val="ListParagraph"/>
              <w:numPr>
                <w:ilvl w:val="0"/>
                <w:numId w:val="7"/>
              </w:numPr>
              <w:jc w:val="both"/>
              <w:rPr>
                <w:sz w:val="20"/>
                <w:szCs w:val="20"/>
              </w:rPr>
            </w:pPr>
            <w:r w:rsidRPr="006B4CD2">
              <w:rPr>
                <w:sz w:val="20"/>
                <w:szCs w:val="20"/>
              </w:rPr>
              <w:t>Logging companies influencing the design of land use plans in order to exclude high timber concessions from REDD-plus; and</w:t>
            </w:r>
          </w:p>
          <w:p w14:paraId="785C239E" w14:textId="77777777" w:rsidR="003B1B8F" w:rsidRPr="006B4CD2" w:rsidRDefault="003B1B8F" w:rsidP="003B1B8F">
            <w:pPr>
              <w:pStyle w:val="ListParagraph"/>
              <w:numPr>
                <w:ilvl w:val="0"/>
                <w:numId w:val="7"/>
              </w:numPr>
              <w:jc w:val="both"/>
              <w:rPr>
                <w:sz w:val="20"/>
                <w:szCs w:val="20"/>
              </w:rPr>
            </w:pPr>
            <w:r w:rsidRPr="006B4CD2">
              <w:rPr>
                <w:sz w:val="20"/>
                <w:szCs w:val="20"/>
              </w:rPr>
              <w:t>Project developers, and other such entities with interests in particular land areas ensuring their properties are allocated to or excluded from REDD-plus</w:t>
            </w:r>
          </w:p>
        </w:tc>
      </w:tr>
      <w:tr w:rsidR="003B1B8F" w:rsidRPr="006B4CD2" w14:paraId="41970DB5" w14:textId="77777777" w:rsidTr="000170C2">
        <w:trPr>
          <w:jc w:val="center"/>
        </w:trPr>
        <w:tc>
          <w:tcPr>
            <w:tcW w:w="2093" w:type="dxa"/>
          </w:tcPr>
          <w:p w14:paraId="0D58CE00" w14:textId="77777777" w:rsidR="003B1B8F" w:rsidRPr="006B4CD2" w:rsidRDefault="003B1B8F" w:rsidP="0059250E">
            <w:pPr>
              <w:rPr>
                <w:sz w:val="20"/>
                <w:szCs w:val="20"/>
              </w:rPr>
            </w:pPr>
            <w:r w:rsidRPr="006B4CD2">
              <w:rPr>
                <w:sz w:val="20"/>
                <w:szCs w:val="20"/>
              </w:rPr>
              <w:t>Land and Natural Resource Tenure</w:t>
            </w:r>
          </w:p>
        </w:tc>
        <w:tc>
          <w:tcPr>
            <w:tcW w:w="7011" w:type="dxa"/>
          </w:tcPr>
          <w:p w14:paraId="22E39F96" w14:textId="77777777" w:rsidR="003B1B8F" w:rsidRPr="006B4CD2" w:rsidRDefault="003B1B8F" w:rsidP="003B1B8F">
            <w:pPr>
              <w:pStyle w:val="ListParagraph"/>
              <w:numPr>
                <w:ilvl w:val="0"/>
                <w:numId w:val="8"/>
              </w:numPr>
              <w:jc w:val="both"/>
              <w:rPr>
                <w:sz w:val="20"/>
                <w:szCs w:val="20"/>
              </w:rPr>
            </w:pPr>
            <w:r w:rsidRPr="006B4CD2">
              <w:rPr>
                <w:sz w:val="20"/>
                <w:szCs w:val="20"/>
              </w:rPr>
              <w:t>Influencing the failure to recognize competing rights of formal or informal customary land tenure; and</w:t>
            </w:r>
          </w:p>
          <w:p w14:paraId="116DEFD9" w14:textId="77777777" w:rsidR="003B1B8F" w:rsidRPr="006B4CD2" w:rsidRDefault="003B1B8F" w:rsidP="003B1B8F">
            <w:pPr>
              <w:pStyle w:val="ListParagraph"/>
              <w:numPr>
                <w:ilvl w:val="0"/>
                <w:numId w:val="8"/>
              </w:numPr>
              <w:jc w:val="both"/>
              <w:rPr>
                <w:sz w:val="20"/>
                <w:szCs w:val="20"/>
              </w:rPr>
            </w:pPr>
            <w:r w:rsidRPr="006B4CD2">
              <w:rPr>
                <w:sz w:val="20"/>
                <w:szCs w:val="20"/>
              </w:rPr>
              <w:t>Where national laws allow for the registration of customary land titles, failure to provide administrative and budgetary support for capacity building with regard to the registration process (“corruption by omission”)</w:t>
            </w:r>
          </w:p>
        </w:tc>
      </w:tr>
      <w:tr w:rsidR="003B1B8F" w:rsidRPr="006B4CD2" w14:paraId="3FAC3F01" w14:textId="77777777" w:rsidTr="000170C2">
        <w:trPr>
          <w:jc w:val="center"/>
        </w:trPr>
        <w:tc>
          <w:tcPr>
            <w:tcW w:w="2093" w:type="dxa"/>
          </w:tcPr>
          <w:p w14:paraId="5AF5A33B" w14:textId="77777777" w:rsidR="003B1B8F" w:rsidRPr="006B4CD2" w:rsidRDefault="003B1B8F" w:rsidP="0059250E">
            <w:pPr>
              <w:rPr>
                <w:sz w:val="20"/>
                <w:szCs w:val="20"/>
              </w:rPr>
            </w:pPr>
            <w:r w:rsidRPr="006B4CD2">
              <w:rPr>
                <w:sz w:val="20"/>
                <w:szCs w:val="20"/>
              </w:rPr>
              <w:t>Allocation of Carbon Rights</w:t>
            </w:r>
          </w:p>
        </w:tc>
        <w:tc>
          <w:tcPr>
            <w:tcW w:w="7011" w:type="dxa"/>
          </w:tcPr>
          <w:p w14:paraId="1C83FD68" w14:textId="77777777" w:rsidR="003B1B8F" w:rsidRPr="006B4CD2" w:rsidRDefault="003B1B8F" w:rsidP="003B1B8F">
            <w:pPr>
              <w:pStyle w:val="ListParagraph"/>
              <w:numPr>
                <w:ilvl w:val="0"/>
                <w:numId w:val="9"/>
              </w:numPr>
              <w:jc w:val="both"/>
              <w:rPr>
                <w:sz w:val="20"/>
                <w:szCs w:val="20"/>
              </w:rPr>
            </w:pPr>
            <w:r w:rsidRPr="006B4CD2">
              <w:rPr>
                <w:sz w:val="20"/>
                <w:szCs w:val="20"/>
              </w:rPr>
              <w:t>Linking carbon rights to State ownership of forests, to the exclusion of those holding or asserting customary tenure; or</w:t>
            </w:r>
          </w:p>
          <w:p w14:paraId="0E9D32A3" w14:textId="77777777" w:rsidR="003B1B8F" w:rsidRPr="006B4CD2" w:rsidRDefault="003B1B8F" w:rsidP="003B1B8F">
            <w:pPr>
              <w:pStyle w:val="ListParagraph"/>
              <w:numPr>
                <w:ilvl w:val="0"/>
                <w:numId w:val="9"/>
              </w:numPr>
              <w:jc w:val="both"/>
              <w:rPr>
                <w:sz w:val="20"/>
                <w:szCs w:val="20"/>
              </w:rPr>
            </w:pPr>
            <w:r w:rsidRPr="006B4CD2">
              <w:rPr>
                <w:sz w:val="20"/>
                <w:szCs w:val="20"/>
              </w:rPr>
              <w:t xml:space="preserve">Linking carbon rights to logging concessions, thereby allowing such companies to convert logging concessions into carbon rights </w:t>
            </w:r>
          </w:p>
        </w:tc>
      </w:tr>
      <w:tr w:rsidR="003B1B8F" w:rsidRPr="006B4CD2" w14:paraId="2AA742A4" w14:textId="77777777" w:rsidTr="000170C2">
        <w:trPr>
          <w:jc w:val="center"/>
        </w:trPr>
        <w:tc>
          <w:tcPr>
            <w:tcW w:w="2093" w:type="dxa"/>
          </w:tcPr>
          <w:p w14:paraId="4DF9CE26" w14:textId="77777777" w:rsidR="003B1B8F" w:rsidRPr="006B4CD2" w:rsidRDefault="003B1B8F" w:rsidP="0059250E">
            <w:pPr>
              <w:rPr>
                <w:sz w:val="20"/>
                <w:szCs w:val="20"/>
              </w:rPr>
            </w:pPr>
            <w:r w:rsidRPr="006B4CD2">
              <w:rPr>
                <w:sz w:val="20"/>
                <w:szCs w:val="20"/>
              </w:rPr>
              <w:t>Setting Reference Emission Levels/Reference Levels</w:t>
            </w:r>
          </w:p>
        </w:tc>
        <w:tc>
          <w:tcPr>
            <w:tcW w:w="7011" w:type="dxa"/>
          </w:tcPr>
          <w:p w14:paraId="036657E8" w14:textId="77777777" w:rsidR="003B1B8F" w:rsidRPr="006B4CD2" w:rsidRDefault="003B1B8F" w:rsidP="003B1B8F">
            <w:pPr>
              <w:pStyle w:val="ListParagraph"/>
              <w:numPr>
                <w:ilvl w:val="0"/>
                <w:numId w:val="10"/>
              </w:numPr>
              <w:jc w:val="both"/>
              <w:rPr>
                <w:sz w:val="20"/>
                <w:szCs w:val="20"/>
              </w:rPr>
            </w:pPr>
            <w:r w:rsidRPr="006B4CD2">
              <w:rPr>
                <w:sz w:val="20"/>
                <w:szCs w:val="20"/>
              </w:rPr>
              <w:t>Artificially inflating the baseline, thereby increasing emissions reductions, allowing excess revenues to be skimmed off once the real rate becomes apparent; and</w:t>
            </w:r>
          </w:p>
          <w:p w14:paraId="0847196E" w14:textId="77777777" w:rsidR="003B1B8F" w:rsidRPr="006B4CD2" w:rsidRDefault="003B1B8F" w:rsidP="003B1B8F">
            <w:pPr>
              <w:pStyle w:val="ListParagraph"/>
              <w:numPr>
                <w:ilvl w:val="0"/>
                <w:numId w:val="10"/>
              </w:numPr>
              <w:jc w:val="both"/>
              <w:rPr>
                <w:sz w:val="20"/>
                <w:szCs w:val="20"/>
              </w:rPr>
            </w:pPr>
            <w:r w:rsidRPr="006B4CD2">
              <w:rPr>
                <w:sz w:val="20"/>
                <w:szCs w:val="20"/>
              </w:rPr>
              <w:t xml:space="preserve">Collusion between political elites and private sector actors, by sharing proceeds derived from (a) increasing deforestation rates in the lead up to the beginning of REDD-plus </w:t>
            </w:r>
            <w:proofErr w:type="spellStart"/>
            <w:r w:rsidRPr="006B4CD2">
              <w:rPr>
                <w:sz w:val="20"/>
                <w:szCs w:val="20"/>
              </w:rPr>
              <w:t>activites</w:t>
            </w:r>
            <w:proofErr w:type="spellEnd"/>
            <w:r w:rsidRPr="006B4CD2">
              <w:rPr>
                <w:sz w:val="20"/>
                <w:szCs w:val="20"/>
              </w:rPr>
              <w:t>, or (b) determining the time for calculating reference levels, or incorporating national circumstances, in such as manner as to favor certain activities or socio-economic environments</w:t>
            </w:r>
          </w:p>
        </w:tc>
      </w:tr>
      <w:tr w:rsidR="003B1B8F" w:rsidRPr="006B4CD2" w14:paraId="32118CFF" w14:textId="77777777" w:rsidTr="000170C2">
        <w:trPr>
          <w:jc w:val="center"/>
        </w:trPr>
        <w:tc>
          <w:tcPr>
            <w:tcW w:w="2093" w:type="dxa"/>
          </w:tcPr>
          <w:p w14:paraId="6DB45176" w14:textId="77777777" w:rsidR="003B1B8F" w:rsidRPr="006B4CD2" w:rsidRDefault="003B1B8F" w:rsidP="0059250E">
            <w:pPr>
              <w:rPr>
                <w:sz w:val="20"/>
                <w:szCs w:val="20"/>
              </w:rPr>
            </w:pPr>
            <w:r w:rsidRPr="006B4CD2">
              <w:rPr>
                <w:sz w:val="20"/>
                <w:szCs w:val="20"/>
              </w:rPr>
              <w:t>Design of Benefit-Distribution Systems</w:t>
            </w:r>
          </w:p>
        </w:tc>
        <w:tc>
          <w:tcPr>
            <w:tcW w:w="7011" w:type="dxa"/>
          </w:tcPr>
          <w:p w14:paraId="39A60B70" w14:textId="77777777" w:rsidR="003B1B8F" w:rsidRPr="006B4CD2" w:rsidRDefault="003B1B8F" w:rsidP="003B1B8F">
            <w:pPr>
              <w:pStyle w:val="ListParagraph"/>
              <w:numPr>
                <w:ilvl w:val="0"/>
                <w:numId w:val="11"/>
              </w:numPr>
              <w:jc w:val="both"/>
              <w:rPr>
                <w:sz w:val="20"/>
                <w:szCs w:val="20"/>
              </w:rPr>
            </w:pPr>
            <w:r w:rsidRPr="006B4CD2">
              <w:rPr>
                <w:sz w:val="20"/>
                <w:szCs w:val="20"/>
              </w:rPr>
              <w:t>State capture, nepotism and cronyism may influence the design of BDS’ at national, provincial and local levels</w:t>
            </w:r>
          </w:p>
        </w:tc>
      </w:tr>
      <w:tr w:rsidR="000170C2" w:rsidRPr="006B4CD2" w14:paraId="4948B4D4" w14:textId="77777777" w:rsidTr="0059250E">
        <w:trPr>
          <w:jc w:val="center"/>
        </w:trPr>
        <w:tc>
          <w:tcPr>
            <w:tcW w:w="9104" w:type="dxa"/>
            <w:gridSpan w:val="2"/>
            <w:shd w:val="clear" w:color="auto" w:fill="0F243E" w:themeFill="text2" w:themeFillShade="80"/>
          </w:tcPr>
          <w:p w14:paraId="665AED26" w14:textId="77777777" w:rsidR="000170C2" w:rsidRPr="006B4CD2" w:rsidRDefault="000170C2" w:rsidP="000170C2">
            <w:pPr>
              <w:jc w:val="both"/>
              <w:rPr>
                <w:sz w:val="20"/>
                <w:szCs w:val="20"/>
              </w:rPr>
            </w:pPr>
          </w:p>
        </w:tc>
      </w:tr>
    </w:tbl>
    <w:p w14:paraId="054E03AF" w14:textId="77777777" w:rsidR="003B1B8F" w:rsidRPr="003B1B8F" w:rsidRDefault="003B1B8F" w:rsidP="003B1B8F">
      <w:pPr>
        <w:jc w:val="both"/>
        <w:rPr>
          <w:sz w:val="22"/>
          <w:szCs w:val="22"/>
        </w:rPr>
      </w:pPr>
    </w:p>
    <w:p w14:paraId="1CEFFBCF" w14:textId="77777777" w:rsidR="003B1B8F" w:rsidRPr="003B1B8F" w:rsidRDefault="003B1B8F" w:rsidP="003B1B8F">
      <w:pPr>
        <w:jc w:val="both"/>
        <w:rPr>
          <w:sz w:val="22"/>
          <w:szCs w:val="22"/>
        </w:rPr>
      </w:pPr>
      <w:r w:rsidRPr="003B1B8F">
        <w:rPr>
          <w:sz w:val="22"/>
          <w:szCs w:val="22"/>
        </w:rPr>
        <w:t xml:space="preserve">In the </w:t>
      </w:r>
      <w:r w:rsidRPr="003B1B8F">
        <w:rPr>
          <w:i/>
          <w:sz w:val="22"/>
          <w:szCs w:val="22"/>
        </w:rPr>
        <w:t>Implementation Phase</w:t>
      </w:r>
      <w:r w:rsidRPr="003B1B8F">
        <w:rPr>
          <w:sz w:val="22"/>
          <w:szCs w:val="22"/>
        </w:rPr>
        <w:t>,</w:t>
      </w:r>
      <w:r w:rsidRPr="003B1B8F">
        <w:rPr>
          <w:i/>
          <w:sz w:val="22"/>
          <w:szCs w:val="22"/>
        </w:rPr>
        <w:t xml:space="preserve"> </w:t>
      </w:r>
      <w:r w:rsidRPr="003B1B8F">
        <w:rPr>
          <w:sz w:val="22"/>
          <w:szCs w:val="22"/>
        </w:rPr>
        <w:t>Bofin, et al., categorize corruption-related challenges as follows</w:t>
      </w:r>
      <w:r w:rsidRPr="003B1B8F">
        <w:rPr>
          <w:rStyle w:val="FootnoteReference"/>
          <w:sz w:val="22"/>
          <w:szCs w:val="22"/>
        </w:rPr>
        <w:footnoteReference w:id="6"/>
      </w:r>
      <w:r w:rsidRPr="003B1B8F">
        <w:rPr>
          <w:sz w:val="22"/>
          <w:szCs w:val="22"/>
        </w:rPr>
        <w:t>:</w:t>
      </w:r>
    </w:p>
    <w:p w14:paraId="3D9C069F" w14:textId="77777777" w:rsidR="003B1B8F" w:rsidRPr="003B1B8F" w:rsidRDefault="003B1B8F" w:rsidP="003B1B8F">
      <w:pPr>
        <w:jc w:val="both"/>
        <w:rPr>
          <w:sz w:val="22"/>
          <w:szCs w:val="22"/>
        </w:rPr>
      </w:pPr>
    </w:p>
    <w:p w14:paraId="25B6D41C" w14:textId="77777777" w:rsidR="003B1B8F" w:rsidRPr="003B1B8F" w:rsidRDefault="003B1B8F" w:rsidP="003B1B8F">
      <w:pPr>
        <w:pStyle w:val="ListParagraph"/>
        <w:numPr>
          <w:ilvl w:val="0"/>
          <w:numId w:val="2"/>
        </w:numPr>
        <w:jc w:val="both"/>
        <w:rPr>
          <w:sz w:val="22"/>
          <w:szCs w:val="22"/>
        </w:rPr>
      </w:pPr>
      <w:r w:rsidRPr="003B1B8F">
        <w:rPr>
          <w:b/>
          <w:sz w:val="22"/>
          <w:szCs w:val="22"/>
        </w:rPr>
        <w:t>Those that have to do with REDD-plus implementation</w:t>
      </w:r>
      <w:r w:rsidRPr="003B1B8F">
        <w:rPr>
          <w:sz w:val="22"/>
          <w:szCs w:val="22"/>
        </w:rPr>
        <w:t xml:space="preserve"> -- Existing petty and/or grand corruption in contexts where REDD is implemented could work against the conservationist and developmental motivations behind REDD schemes. These existing corruption challenges may be located within the forest sector itself.</w:t>
      </w:r>
    </w:p>
    <w:p w14:paraId="71F4018C" w14:textId="77777777" w:rsidR="003B1B8F" w:rsidRPr="003B1B8F" w:rsidRDefault="003B1B8F" w:rsidP="003B1B8F">
      <w:pPr>
        <w:pStyle w:val="ListParagraph"/>
        <w:numPr>
          <w:ilvl w:val="0"/>
          <w:numId w:val="2"/>
        </w:numPr>
        <w:jc w:val="both"/>
        <w:rPr>
          <w:sz w:val="22"/>
          <w:szCs w:val="22"/>
        </w:rPr>
      </w:pPr>
      <w:r w:rsidRPr="003B1B8F">
        <w:rPr>
          <w:b/>
          <w:sz w:val="22"/>
          <w:szCs w:val="22"/>
        </w:rPr>
        <w:t>Those that have to do with REDD-plus financing</w:t>
      </w:r>
      <w:r w:rsidRPr="003B1B8F">
        <w:rPr>
          <w:sz w:val="22"/>
          <w:szCs w:val="22"/>
        </w:rPr>
        <w:t xml:space="preserve"> – Financial resources associated with REDD could create additional incentives and opportunities for corrupt activity. Public officials may engage in corruption to extract rents from REDD resource flows.</w:t>
      </w:r>
    </w:p>
    <w:p w14:paraId="38EC4DB9" w14:textId="77777777" w:rsidR="003B1B8F" w:rsidRPr="003B1B8F" w:rsidRDefault="003B1B8F" w:rsidP="003B1B8F">
      <w:pPr>
        <w:jc w:val="both"/>
        <w:rPr>
          <w:sz w:val="22"/>
          <w:szCs w:val="22"/>
        </w:rPr>
      </w:pPr>
    </w:p>
    <w:p w14:paraId="5C6E8168" w14:textId="77777777" w:rsidR="003B1B8F" w:rsidRPr="003B1B8F" w:rsidRDefault="003B1B8F" w:rsidP="003B1B8F">
      <w:pPr>
        <w:jc w:val="both"/>
        <w:rPr>
          <w:sz w:val="22"/>
          <w:szCs w:val="22"/>
        </w:rPr>
      </w:pPr>
      <w:r w:rsidRPr="003B1B8F">
        <w:rPr>
          <w:sz w:val="22"/>
          <w:szCs w:val="22"/>
        </w:rPr>
        <w:t>These corruption risks are further categorized based on the level of government involved</w:t>
      </w:r>
      <w:r w:rsidRPr="003B1B8F">
        <w:rPr>
          <w:rStyle w:val="FootnoteReference"/>
          <w:sz w:val="22"/>
          <w:szCs w:val="22"/>
        </w:rPr>
        <w:footnoteReference w:id="7"/>
      </w:r>
      <w:r w:rsidRPr="003B1B8F">
        <w:rPr>
          <w:sz w:val="22"/>
          <w:szCs w:val="22"/>
        </w:rPr>
        <w:t>:</w:t>
      </w:r>
    </w:p>
    <w:p w14:paraId="16674C66" w14:textId="77777777" w:rsidR="003B1B8F" w:rsidRPr="003B1B8F" w:rsidRDefault="003B1B8F" w:rsidP="003B1B8F">
      <w:pPr>
        <w:jc w:val="both"/>
        <w:rPr>
          <w:sz w:val="22"/>
          <w:szCs w:val="22"/>
        </w:rPr>
      </w:pPr>
    </w:p>
    <w:tbl>
      <w:tblPr>
        <w:tblStyle w:val="TableGrid"/>
        <w:tblW w:w="0" w:type="auto"/>
        <w:jc w:val="cente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1875"/>
        <w:gridCol w:w="7087"/>
      </w:tblGrid>
      <w:tr w:rsidR="003B1B8F" w:rsidRPr="006B4CD2" w14:paraId="0B36021A" w14:textId="77777777" w:rsidTr="000170C2">
        <w:trPr>
          <w:jc w:val="center"/>
        </w:trPr>
        <w:tc>
          <w:tcPr>
            <w:tcW w:w="1875" w:type="dxa"/>
            <w:shd w:val="clear" w:color="auto" w:fill="0F243E" w:themeFill="text2" w:themeFillShade="80"/>
          </w:tcPr>
          <w:p w14:paraId="13EAA1D3" w14:textId="77777777" w:rsidR="003B1B8F" w:rsidRPr="006B4CD2" w:rsidRDefault="003B1B8F" w:rsidP="0059250E">
            <w:pPr>
              <w:jc w:val="center"/>
              <w:rPr>
                <w:b/>
                <w:sz w:val="20"/>
                <w:szCs w:val="20"/>
              </w:rPr>
            </w:pPr>
            <w:r w:rsidRPr="006B4CD2">
              <w:rPr>
                <w:b/>
                <w:sz w:val="20"/>
                <w:szCs w:val="20"/>
              </w:rPr>
              <w:t>Governance Level</w:t>
            </w:r>
          </w:p>
        </w:tc>
        <w:tc>
          <w:tcPr>
            <w:tcW w:w="7087" w:type="dxa"/>
            <w:shd w:val="clear" w:color="auto" w:fill="0F243E" w:themeFill="text2" w:themeFillShade="80"/>
          </w:tcPr>
          <w:p w14:paraId="2B4EDB0B" w14:textId="77777777" w:rsidR="003B1B8F" w:rsidRPr="006B4CD2" w:rsidRDefault="003B1B8F" w:rsidP="0059250E">
            <w:pPr>
              <w:jc w:val="center"/>
              <w:rPr>
                <w:b/>
                <w:sz w:val="20"/>
                <w:szCs w:val="20"/>
              </w:rPr>
            </w:pPr>
            <w:r w:rsidRPr="006B4CD2">
              <w:rPr>
                <w:b/>
                <w:sz w:val="20"/>
                <w:szCs w:val="20"/>
              </w:rPr>
              <w:t>Corruption Risk</w:t>
            </w:r>
          </w:p>
        </w:tc>
      </w:tr>
      <w:tr w:rsidR="003B1B8F" w:rsidRPr="006B4CD2" w14:paraId="7C440F60" w14:textId="77777777" w:rsidTr="000170C2">
        <w:trPr>
          <w:jc w:val="center"/>
        </w:trPr>
        <w:tc>
          <w:tcPr>
            <w:tcW w:w="1875" w:type="dxa"/>
          </w:tcPr>
          <w:p w14:paraId="31FB4F67" w14:textId="77777777" w:rsidR="003B1B8F" w:rsidRPr="006B4CD2" w:rsidRDefault="003B1B8F" w:rsidP="0059250E">
            <w:pPr>
              <w:jc w:val="both"/>
              <w:rPr>
                <w:b/>
                <w:sz w:val="20"/>
                <w:szCs w:val="20"/>
              </w:rPr>
            </w:pPr>
            <w:r w:rsidRPr="006B4CD2">
              <w:rPr>
                <w:b/>
                <w:sz w:val="20"/>
                <w:szCs w:val="20"/>
              </w:rPr>
              <w:t>National</w:t>
            </w:r>
          </w:p>
        </w:tc>
        <w:tc>
          <w:tcPr>
            <w:tcW w:w="7087" w:type="dxa"/>
          </w:tcPr>
          <w:p w14:paraId="1121DF7D" w14:textId="77777777" w:rsidR="003B1B8F" w:rsidRPr="006B4CD2" w:rsidRDefault="003B1B8F" w:rsidP="0059250E">
            <w:pPr>
              <w:pStyle w:val="ListParagraph"/>
              <w:numPr>
                <w:ilvl w:val="0"/>
                <w:numId w:val="3"/>
              </w:numPr>
              <w:jc w:val="both"/>
              <w:rPr>
                <w:sz w:val="20"/>
                <w:szCs w:val="20"/>
              </w:rPr>
            </w:pPr>
            <w:r w:rsidRPr="006B4CD2">
              <w:rPr>
                <w:sz w:val="20"/>
                <w:szCs w:val="20"/>
              </w:rPr>
              <w:t>Agricultural or timber conglomerates bribe national politicians to undermine establishment of a national REDD mechanism</w:t>
            </w:r>
          </w:p>
          <w:p w14:paraId="5B87734F" w14:textId="77777777" w:rsidR="003B1B8F" w:rsidRPr="006B4CD2" w:rsidRDefault="003B1B8F" w:rsidP="0059250E">
            <w:pPr>
              <w:pStyle w:val="ListParagraph"/>
              <w:numPr>
                <w:ilvl w:val="0"/>
                <w:numId w:val="3"/>
              </w:numPr>
              <w:jc w:val="both"/>
              <w:rPr>
                <w:sz w:val="20"/>
                <w:szCs w:val="20"/>
              </w:rPr>
            </w:pPr>
            <w:r w:rsidRPr="006B4CD2">
              <w:rPr>
                <w:sz w:val="20"/>
                <w:szCs w:val="20"/>
              </w:rPr>
              <w:t>REDD project developers bribe national politicians or senior officials to promote fraudulent REDD schemes</w:t>
            </w:r>
          </w:p>
          <w:p w14:paraId="765F80AD" w14:textId="77777777" w:rsidR="003B1B8F" w:rsidRPr="006B4CD2" w:rsidRDefault="003B1B8F" w:rsidP="0059250E">
            <w:pPr>
              <w:pStyle w:val="ListParagraph"/>
              <w:numPr>
                <w:ilvl w:val="0"/>
                <w:numId w:val="3"/>
              </w:numPr>
              <w:jc w:val="both"/>
              <w:rPr>
                <w:sz w:val="20"/>
                <w:szCs w:val="20"/>
              </w:rPr>
            </w:pPr>
            <w:r w:rsidRPr="006B4CD2">
              <w:rPr>
                <w:sz w:val="20"/>
                <w:szCs w:val="20"/>
              </w:rPr>
              <w:t>Public officials or politicians bribe technical staff to skew national baseline data</w:t>
            </w:r>
          </w:p>
          <w:p w14:paraId="48D86B07" w14:textId="77777777" w:rsidR="003B1B8F" w:rsidRPr="006B4CD2" w:rsidRDefault="003B1B8F" w:rsidP="0059250E">
            <w:pPr>
              <w:pStyle w:val="ListParagraph"/>
              <w:numPr>
                <w:ilvl w:val="0"/>
                <w:numId w:val="3"/>
              </w:numPr>
              <w:jc w:val="both"/>
              <w:rPr>
                <w:sz w:val="20"/>
                <w:szCs w:val="20"/>
              </w:rPr>
            </w:pPr>
            <w:r w:rsidRPr="006B4CD2">
              <w:rPr>
                <w:sz w:val="20"/>
                <w:szCs w:val="20"/>
              </w:rPr>
              <w:lastRenderedPageBreak/>
              <w:t>Politicians and senior officials extract rents from REDD revenues</w:t>
            </w:r>
          </w:p>
          <w:p w14:paraId="318EC0E3" w14:textId="77777777" w:rsidR="003B1B8F" w:rsidRPr="006B4CD2" w:rsidRDefault="003B1B8F" w:rsidP="0059250E">
            <w:pPr>
              <w:pStyle w:val="ListParagraph"/>
              <w:numPr>
                <w:ilvl w:val="0"/>
                <w:numId w:val="3"/>
              </w:numPr>
              <w:jc w:val="both"/>
              <w:rPr>
                <w:sz w:val="20"/>
                <w:szCs w:val="20"/>
              </w:rPr>
            </w:pPr>
            <w:r w:rsidRPr="006B4CD2">
              <w:rPr>
                <w:sz w:val="20"/>
                <w:szCs w:val="20"/>
              </w:rPr>
              <w:t>Officials responsible for reconciling REDD projects with national accounting take bribes from project developers to double-count projects</w:t>
            </w:r>
          </w:p>
          <w:p w14:paraId="4C8A9A08" w14:textId="77777777" w:rsidR="003B1B8F" w:rsidRPr="006B4CD2" w:rsidRDefault="003B1B8F" w:rsidP="0059250E">
            <w:pPr>
              <w:pStyle w:val="ListParagraph"/>
              <w:numPr>
                <w:ilvl w:val="0"/>
                <w:numId w:val="3"/>
              </w:numPr>
              <w:jc w:val="both"/>
              <w:rPr>
                <w:sz w:val="20"/>
                <w:szCs w:val="20"/>
              </w:rPr>
            </w:pPr>
            <w:r w:rsidRPr="006B4CD2">
              <w:rPr>
                <w:sz w:val="20"/>
                <w:szCs w:val="20"/>
              </w:rPr>
              <w:t>Agricultural or timber conglomerates bribe national officials responsible for forest protection to ignore violations of conservation laws</w:t>
            </w:r>
          </w:p>
        </w:tc>
      </w:tr>
      <w:tr w:rsidR="003B1B8F" w:rsidRPr="006B4CD2" w14:paraId="4E30E58C" w14:textId="77777777" w:rsidTr="000170C2">
        <w:trPr>
          <w:jc w:val="center"/>
        </w:trPr>
        <w:tc>
          <w:tcPr>
            <w:tcW w:w="1875" w:type="dxa"/>
          </w:tcPr>
          <w:p w14:paraId="5A0EDA59" w14:textId="77777777" w:rsidR="003B1B8F" w:rsidRPr="006B4CD2" w:rsidRDefault="003B1B8F" w:rsidP="0059250E">
            <w:pPr>
              <w:jc w:val="both"/>
              <w:rPr>
                <w:b/>
                <w:sz w:val="20"/>
                <w:szCs w:val="20"/>
              </w:rPr>
            </w:pPr>
            <w:r w:rsidRPr="006B4CD2">
              <w:rPr>
                <w:b/>
                <w:sz w:val="20"/>
                <w:szCs w:val="20"/>
              </w:rPr>
              <w:lastRenderedPageBreak/>
              <w:t>Sub-national</w:t>
            </w:r>
          </w:p>
        </w:tc>
        <w:tc>
          <w:tcPr>
            <w:tcW w:w="7087" w:type="dxa"/>
          </w:tcPr>
          <w:p w14:paraId="06DB6792" w14:textId="77777777" w:rsidR="003B1B8F" w:rsidRPr="006B4CD2" w:rsidRDefault="003B1B8F" w:rsidP="0059250E">
            <w:pPr>
              <w:pStyle w:val="ListParagraph"/>
              <w:numPr>
                <w:ilvl w:val="0"/>
                <w:numId w:val="4"/>
              </w:numPr>
              <w:jc w:val="both"/>
              <w:rPr>
                <w:sz w:val="20"/>
                <w:szCs w:val="20"/>
              </w:rPr>
            </w:pPr>
            <w:r w:rsidRPr="006B4CD2">
              <w:rPr>
                <w:sz w:val="20"/>
                <w:szCs w:val="20"/>
              </w:rPr>
              <w:t>Agricultural or timber conglomerates bribe sub-national politicians and public officials to opt out of REDD implantation, or weaken REDD policies in their areas</w:t>
            </w:r>
          </w:p>
          <w:p w14:paraId="2A20FA59" w14:textId="77777777" w:rsidR="003B1B8F" w:rsidRPr="006B4CD2" w:rsidRDefault="003B1B8F" w:rsidP="0059250E">
            <w:pPr>
              <w:pStyle w:val="ListParagraph"/>
              <w:numPr>
                <w:ilvl w:val="0"/>
                <w:numId w:val="4"/>
              </w:numPr>
              <w:jc w:val="both"/>
              <w:rPr>
                <w:sz w:val="20"/>
                <w:szCs w:val="20"/>
              </w:rPr>
            </w:pPr>
            <w:r w:rsidRPr="006B4CD2">
              <w:rPr>
                <w:sz w:val="20"/>
                <w:szCs w:val="20"/>
              </w:rPr>
              <w:t>Agricultural or timber conglomerates bribe sub-national officials responsible for forest protection to ignore violations of conservation laws</w:t>
            </w:r>
          </w:p>
        </w:tc>
      </w:tr>
      <w:tr w:rsidR="003B1B8F" w:rsidRPr="006B4CD2" w14:paraId="5BA3717A" w14:textId="77777777" w:rsidTr="000170C2">
        <w:trPr>
          <w:jc w:val="center"/>
        </w:trPr>
        <w:tc>
          <w:tcPr>
            <w:tcW w:w="1875" w:type="dxa"/>
          </w:tcPr>
          <w:p w14:paraId="44E3150F" w14:textId="77777777" w:rsidR="003B1B8F" w:rsidRPr="006B4CD2" w:rsidRDefault="003B1B8F" w:rsidP="0059250E">
            <w:pPr>
              <w:jc w:val="both"/>
              <w:rPr>
                <w:b/>
                <w:sz w:val="20"/>
                <w:szCs w:val="20"/>
              </w:rPr>
            </w:pPr>
            <w:r w:rsidRPr="006B4CD2">
              <w:rPr>
                <w:b/>
                <w:sz w:val="20"/>
                <w:szCs w:val="20"/>
              </w:rPr>
              <w:t>Local or Project</w:t>
            </w:r>
          </w:p>
        </w:tc>
        <w:tc>
          <w:tcPr>
            <w:tcW w:w="7087" w:type="dxa"/>
          </w:tcPr>
          <w:p w14:paraId="56ABBB30" w14:textId="77777777" w:rsidR="003B1B8F" w:rsidRPr="006B4CD2" w:rsidRDefault="003B1B8F" w:rsidP="0059250E">
            <w:pPr>
              <w:pStyle w:val="ListParagraph"/>
              <w:numPr>
                <w:ilvl w:val="0"/>
                <w:numId w:val="5"/>
              </w:numPr>
              <w:jc w:val="both"/>
              <w:rPr>
                <w:sz w:val="20"/>
                <w:szCs w:val="20"/>
              </w:rPr>
            </w:pPr>
            <w:r w:rsidRPr="006B4CD2">
              <w:rPr>
                <w:sz w:val="20"/>
                <w:szCs w:val="20"/>
              </w:rPr>
              <w:t>REDD project host bribes official monitors either to overstate avoided emissions or understate problems of permanence/</w:t>
            </w:r>
            <w:proofErr w:type="spellStart"/>
            <w:r w:rsidRPr="006B4CD2">
              <w:rPr>
                <w:sz w:val="20"/>
                <w:szCs w:val="20"/>
              </w:rPr>
              <w:t>additionality</w:t>
            </w:r>
            <w:proofErr w:type="spellEnd"/>
            <w:r w:rsidRPr="006B4CD2">
              <w:rPr>
                <w:sz w:val="20"/>
                <w:szCs w:val="20"/>
              </w:rPr>
              <w:t xml:space="preserve"> of the project</w:t>
            </w:r>
          </w:p>
          <w:p w14:paraId="1538F901" w14:textId="77777777" w:rsidR="003B1B8F" w:rsidRPr="006B4CD2" w:rsidRDefault="003B1B8F" w:rsidP="0059250E">
            <w:pPr>
              <w:pStyle w:val="ListParagraph"/>
              <w:numPr>
                <w:ilvl w:val="0"/>
                <w:numId w:val="5"/>
              </w:numPr>
              <w:jc w:val="both"/>
              <w:rPr>
                <w:sz w:val="20"/>
                <w:szCs w:val="20"/>
              </w:rPr>
            </w:pPr>
            <w:r w:rsidRPr="006B4CD2">
              <w:rPr>
                <w:sz w:val="20"/>
                <w:szCs w:val="20"/>
              </w:rPr>
              <w:t>REDD project host intentionally increases emissions in lead-up to implementation in order to benefit from higher credits</w:t>
            </w:r>
          </w:p>
          <w:p w14:paraId="45B569AA" w14:textId="77777777" w:rsidR="003B1B8F" w:rsidRPr="006B4CD2" w:rsidRDefault="003B1B8F" w:rsidP="0059250E">
            <w:pPr>
              <w:pStyle w:val="ListParagraph"/>
              <w:numPr>
                <w:ilvl w:val="0"/>
                <w:numId w:val="5"/>
              </w:numPr>
              <w:jc w:val="both"/>
              <w:rPr>
                <w:sz w:val="20"/>
                <w:szCs w:val="20"/>
              </w:rPr>
            </w:pPr>
            <w:r w:rsidRPr="006B4CD2">
              <w:rPr>
                <w:sz w:val="20"/>
                <w:szCs w:val="20"/>
              </w:rPr>
              <w:t>Local administrators extract rents from environmental service schemes aimed at benefitting local communities</w:t>
            </w:r>
          </w:p>
        </w:tc>
      </w:tr>
      <w:tr w:rsidR="000170C2" w:rsidRPr="006B4CD2" w14:paraId="043CE665" w14:textId="77777777" w:rsidTr="000170C2">
        <w:trPr>
          <w:jc w:val="center"/>
        </w:trPr>
        <w:tc>
          <w:tcPr>
            <w:tcW w:w="8962" w:type="dxa"/>
            <w:gridSpan w:val="2"/>
            <w:shd w:val="clear" w:color="auto" w:fill="0F243E" w:themeFill="text2" w:themeFillShade="80"/>
          </w:tcPr>
          <w:p w14:paraId="2845438B" w14:textId="77777777" w:rsidR="000170C2" w:rsidRPr="006B4CD2" w:rsidRDefault="000170C2" w:rsidP="000170C2">
            <w:pPr>
              <w:jc w:val="both"/>
              <w:rPr>
                <w:sz w:val="20"/>
                <w:szCs w:val="20"/>
              </w:rPr>
            </w:pPr>
          </w:p>
        </w:tc>
      </w:tr>
    </w:tbl>
    <w:p w14:paraId="2F5F5B54" w14:textId="77777777" w:rsidR="003B1B8F" w:rsidRPr="003B1B8F" w:rsidRDefault="003B1B8F" w:rsidP="003B1B8F">
      <w:pPr>
        <w:jc w:val="both"/>
        <w:rPr>
          <w:sz w:val="22"/>
          <w:szCs w:val="22"/>
        </w:rPr>
      </w:pPr>
    </w:p>
    <w:p w14:paraId="783F668D" w14:textId="77777777" w:rsidR="003B1B8F" w:rsidRPr="003B1B8F" w:rsidRDefault="003B1B8F" w:rsidP="003B1B8F">
      <w:pPr>
        <w:jc w:val="both"/>
        <w:rPr>
          <w:sz w:val="22"/>
          <w:szCs w:val="22"/>
        </w:rPr>
      </w:pPr>
      <w:r w:rsidRPr="003B1B8F">
        <w:rPr>
          <w:sz w:val="22"/>
          <w:szCs w:val="22"/>
        </w:rPr>
        <w:t>The entry of REDD-PLUS projects presents an opportunity to improve “forest governance practices in developing countries while addressing emissions from deforestation and degradation as part of a global climate regime.”</w:t>
      </w:r>
      <w:r w:rsidRPr="003B1B8F">
        <w:rPr>
          <w:rStyle w:val="FootnoteReference"/>
          <w:sz w:val="22"/>
          <w:szCs w:val="22"/>
        </w:rPr>
        <w:footnoteReference w:id="8"/>
      </w:r>
      <w:r w:rsidRPr="003B1B8F">
        <w:rPr>
          <w:sz w:val="22"/>
          <w:szCs w:val="22"/>
        </w:rPr>
        <w:t xml:space="preserve"> However to do this, the corruption risks inherent in REDD-PLUS project implementation must necessarily be mitigated, if not addressed head-on.</w:t>
      </w:r>
    </w:p>
    <w:p w14:paraId="334E228A" w14:textId="77777777" w:rsidR="003B1B8F" w:rsidRPr="003B1B8F" w:rsidRDefault="003B1B8F" w:rsidP="003B1B8F">
      <w:pPr>
        <w:jc w:val="both"/>
        <w:rPr>
          <w:sz w:val="22"/>
          <w:szCs w:val="22"/>
        </w:rPr>
      </w:pPr>
    </w:p>
    <w:p w14:paraId="578FD096" w14:textId="77777777" w:rsidR="003B1B8F" w:rsidRPr="003B1B8F" w:rsidRDefault="003B1B8F" w:rsidP="003B1B8F">
      <w:pPr>
        <w:jc w:val="both"/>
        <w:rPr>
          <w:sz w:val="22"/>
          <w:szCs w:val="22"/>
        </w:rPr>
      </w:pPr>
      <w:r w:rsidRPr="003B1B8F">
        <w:rPr>
          <w:sz w:val="22"/>
          <w:szCs w:val="22"/>
        </w:rPr>
        <w:t>To this end, Bofin, et al., summarize the recent literature on possible national anti-corruption measures for REDD</w:t>
      </w:r>
      <w:r w:rsidRPr="003B1B8F">
        <w:rPr>
          <w:rStyle w:val="FootnoteReference"/>
          <w:sz w:val="22"/>
          <w:szCs w:val="22"/>
        </w:rPr>
        <w:footnoteReference w:id="9"/>
      </w:r>
      <w:r w:rsidRPr="003B1B8F">
        <w:rPr>
          <w:sz w:val="22"/>
          <w:szCs w:val="22"/>
        </w:rPr>
        <w:t>:</w:t>
      </w:r>
    </w:p>
    <w:p w14:paraId="4341FD22" w14:textId="77777777" w:rsidR="003B1B8F" w:rsidRPr="003B1B8F" w:rsidRDefault="003B1B8F" w:rsidP="003B1B8F">
      <w:pPr>
        <w:jc w:val="both"/>
        <w:rPr>
          <w:sz w:val="22"/>
          <w:szCs w:val="22"/>
        </w:rPr>
      </w:pPr>
    </w:p>
    <w:tbl>
      <w:tblPr>
        <w:tblStyle w:val="TableGrid"/>
        <w:tblW w:w="0" w:type="auto"/>
        <w:jc w:val="cente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2802"/>
        <w:gridCol w:w="6160"/>
      </w:tblGrid>
      <w:tr w:rsidR="003B1B8F" w:rsidRPr="006B4CD2" w14:paraId="1293CC61" w14:textId="77777777" w:rsidTr="00B85FEA">
        <w:trPr>
          <w:jc w:val="center"/>
        </w:trPr>
        <w:tc>
          <w:tcPr>
            <w:tcW w:w="2802" w:type="dxa"/>
            <w:shd w:val="clear" w:color="auto" w:fill="0F243E" w:themeFill="text2" w:themeFillShade="80"/>
          </w:tcPr>
          <w:p w14:paraId="5598D7BE" w14:textId="77777777" w:rsidR="003B1B8F" w:rsidRPr="006B4CD2" w:rsidRDefault="003B1B8F" w:rsidP="0059250E">
            <w:pPr>
              <w:jc w:val="center"/>
              <w:rPr>
                <w:b/>
                <w:sz w:val="20"/>
                <w:szCs w:val="20"/>
              </w:rPr>
            </w:pPr>
            <w:r w:rsidRPr="006B4CD2">
              <w:rPr>
                <w:b/>
                <w:sz w:val="20"/>
                <w:szCs w:val="20"/>
              </w:rPr>
              <w:t>Type of Measure</w:t>
            </w:r>
          </w:p>
        </w:tc>
        <w:tc>
          <w:tcPr>
            <w:tcW w:w="6160" w:type="dxa"/>
            <w:shd w:val="clear" w:color="auto" w:fill="0F243E" w:themeFill="text2" w:themeFillShade="80"/>
          </w:tcPr>
          <w:p w14:paraId="63997E6B" w14:textId="77777777" w:rsidR="003B1B8F" w:rsidRPr="006B4CD2" w:rsidRDefault="003B1B8F" w:rsidP="0059250E">
            <w:pPr>
              <w:jc w:val="center"/>
              <w:rPr>
                <w:b/>
                <w:sz w:val="20"/>
                <w:szCs w:val="20"/>
              </w:rPr>
            </w:pPr>
            <w:r w:rsidRPr="006B4CD2">
              <w:rPr>
                <w:b/>
                <w:sz w:val="20"/>
                <w:szCs w:val="20"/>
              </w:rPr>
              <w:t>Possible Foci</w:t>
            </w:r>
          </w:p>
        </w:tc>
      </w:tr>
      <w:tr w:rsidR="003B1B8F" w:rsidRPr="006B4CD2" w14:paraId="46C4D7AC" w14:textId="77777777" w:rsidTr="00B85FEA">
        <w:trPr>
          <w:jc w:val="center"/>
        </w:trPr>
        <w:tc>
          <w:tcPr>
            <w:tcW w:w="2802" w:type="dxa"/>
          </w:tcPr>
          <w:p w14:paraId="4B14623B" w14:textId="77777777" w:rsidR="003B1B8F" w:rsidRPr="006B4CD2" w:rsidRDefault="003B1B8F" w:rsidP="0059250E">
            <w:pPr>
              <w:jc w:val="both"/>
              <w:rPr>
                <w:sz w:val="20"/>
                <w:szCs w:val="20"/>
              </w:rPr>
            </w:pPr>
            <w:r w:rsidRPr="006B4CD2">
              <w:rPr>
                <w:sz w:val="20"/>
                <w:szCs w:val="20"/>
              </w:rPr>
              <w:t>Measures to improve regulatory and institutional framework</w:t>
            </w:r>
          </w:p>
        </w:tc>
        <w:tc>
          <w:tcPr>
            <w:tcW w:w="6160" w:type="dxa"/>
          </w:tcPr>
          <w:p w14:paraId="680945BA" w14:textId="77777777" w:rsidR="003B1B8F" w:rsidRPr="006B4CD2" w:rsidRDefault="003B1B8F" w:rsidP="0059250E">
            <w:pPr>
              <w:jc w:val="both"/>
              <w:rPr>
                <w:sz w:val="20"/>
                <w:szCs w:val="20"/>
              </w:rPr>
            </w:pPr>
            <w:r w:rsidRPr="006B4CD2">
              <w:rPr>
                <w:sz w:val="20"/>
                <w:szCs w:val="20"/>
              </w:rPr>
              <w:t>Land use planning process; allocation process for logging concessions; development of REDD framework (regulations plus institutions); statutory oversight institutions; framework for broad stakeholder participation (including forest communities, civil society, private sector); formalization of ownership or profit rights from forest uses.</w:t>
            </w:r>
          </w:p>
        </w:tc>
      </w:tr>
      <w:tr w:rsidR="003B1B8F" w:rsidRPr="006B4CD2" w14:paraId="7E75AB89" w14:textId="77777777" w:rsidTr="00B85FEA">
        <w:trPr>
          <w:jc w:val="center"/>
        </w:trPr>
        <w:tc>
          <w:tcPr>
            <w:tcW w:w="2802" w:type="dxa"/>
          </w:tcPr>
          <w:p w14:paraId="0892B8EE" w14:textId="77777777" w:rsidR="003B1B8F" w:rsidRPr="006B4CD2" w:rsidRDefault="003B1B8F" w:rsidP="0059250E">
            <w:pPr>
              <w:jc w:val="both"/>
              <w:rPr>
                <w:sz w:val="20"/>
                <w:szCs w:val="20"/>
              </w:rPr>
            </w:pPr>
            <w:r w:rsidRPr="006B4CD2">
              <w:rPr>
                <w:sz w:val="20"/>
                <w:szCs w:val="20"/>
              </w:rPr>
              <w:t>Measures to improve accountability and transparency</w:t>
            </w:r>
          </w:p>
        </w:tc>
        <w:tc>
          <w:tcPr>
            <w:tcW w:w="6160" w:type="dxa"/>
          </w:tcPr>
          <w:p w14:paraId="7FCD34F6" w14:textId="77777777" w:rsidR="003B1B8F" w:rsidRPr="006B4CD2" w:rsidRDefault="003B1B8F" w:rsidP="0059250E">
            <w:pPr>
              <w:jc w:val="both"/>
              <w:rPr>
                <w:sz w:val="20"/>
                <w:szCs w:val="20"/>
              </w:rPr>
            </w:pPr>
            <w:r w:rsidRPr="006B4CD2">
              <w:rPr>
                <w:sz w:val="20"/>
                <w:szCs w:val="20"/>
              </w:rPr>
              <w:t>Land use planning; creation of REDD baseline data; development of REDD framework (regulations plus institutions); regulatory framework for forests; allocation process for logging concessions; MRV system for non-carbon benefits (including field based monitoring); demand-side accountability institutions; statutory oversight institutions; data on donor support to REDD projects; data on private sector involvement in REDD projects.</w:t>
            </w:r>
          </w:p>
        </w:tc>
      </w:tr>
      <w:tr w:rsidR="003B1B8F" w:rsidRPr="006B4CD2" w14:paraId="55AF419A" w14:textId="77777777" w:rsidTr="00B85FEA">
        <w:trPr>
          <w:jc w:val="center"/>
        </w:trPr>
        <w:tc>
          <w:tcPr>
            <w:tcW w:w="2802" w:type="dxa"/>
          </w:tcPr>
          <w:p w14:paraId="0342B5D0" w14:textId="77777777" w:rsidR="003B1B8F" w:rsidRPr="006B4CD2" w:rsidRDefault="003B1B8F" w:rsidP="0059250E">
            <w:pPr>
              <w:jc w:val="both"/>
              <w:rPr>
                <w:sz w:val="20"/>
                <w:szCs w:val="20"/>
              </w:rPr>
            </w:pPr>
            <w:r w:rsidRPr="006B4CD2">
              <w:rPr>
                <w:sz w:val="20"/>
                <w:szCs w:val="20"/>
              </w:rPr>
              <w:t>Measures to improve law enforcement</w:t>
            </w:r>
          </w:p>
        </w:tc>
        <w:tc>
          <w:tcPr>
            <w:tcW w:w="6160" w:type="dxa"/>
          </w:tcPr>
          <w:p w14:paraId="31459699" w14:textId="77777777" w:rsidR="003B1B8F" w:rsidRPr="006B4CD2" w:rsidRDefault="003B1B8F" w:rsidP="0059250E">
            <w:pPr>
              <w:jc w:val="both"/>
              <w:rPr>
                <w:sz w:val="20"/>
                <w:szCs w:val="20"/>
              </w:rPr>
            </w:pPr>
            <w:r w:rsidRPr="006B4CD2">
              <w:rPr>
                <w:sz w:val="20"/>
                <w:szCs w:val="20"/>
              </w:rPr>
              <w:t>Capacity building to state prosecutors, formal anti-corruption institutions, judges and court officials.</w:t>
            </w:r>
          </w:p>
        </w:tc>
      </w:tr>
      <w:tr w:rsidR="003B1B8F" w:rsidRPr="006B4CD2" w14:paraId="4F16F8CD" w14:textId="77777777" w:rsidTr="00B85FEA">
        <w:trPr>
          <w:jc w:val="center"/>
        </w:trPr>
        <w:tc>
          <w:tcPr>
            <w:tcW w:w="2802" w:type="dxa"/>
          </w:tcPr>
          <w:p w14:paraId="3F748F81" w14:textId="77777777" w:rsidR="003B1B8F" w:rsidRPr="006B4CD2" w:rsidRDefault="003B1B8F" w:rsidP="0059250E">
            <w:pPr>
              <w:jc w:val="both"/>
              <w:rPr>
                <w:sz w:val="20"/>
                <w:szCs w:val="20"/>
              </w:rPr>
            </w:pPr>
            <w:r w:rsidRPr="006B4CD2">
              <w:rPr>
                <w:sz w:val="20"/>
                <w:szCs w:val="20"/>
              </w:rPr>
              <w:t>Measures to reduce rents from deforestation</w:t>
            </w:r>
          </w:p>
        </w:tc>
        <w:tc>
          <w:tcPr>
            <w:tcW w:w="6160" w:type="dxa"/>
          </w:tcPr>
          <w:p w14:paraId="75B22A8A" w14:textId="77777777" w:rsidR="003B1B8F" w:rsidRPr="006B4CD2" w:rsidRDefault="003B1B8F" w:rsidP="0059250E">
            <w:pPr>
              <w:jc w:val="both"/>
              <w:rPr>
                <w:sz w:val="20"/>
                <w:szCs w:val="20"/>
              </w:rPr>
            </w:pPr>
            <w:r w:rsidRPr="006B4CD2">
              <w:rPr>
                <w:sz w:val="20"/>
                <w:szCs w:val="20"/>
              </w:rPr>
              <w:t>Reform of national forestry taxation system; addressing rents from land uses that replace forests (e.g. palm plantations).</w:t>
            </w:r>
          </w:p>
        </w:tc>
      </w:tr>
      <w:tr w:rsidR="00B85FEA" w:rsidRPr="006B4CD2" w14:paraId="09857C0C" w14:textId="77777777" w:rsidTr="00B85FEA">
        <w:trPr>
          <w:jc w:val="center"/>
        </w:trPr>
        <w:tc>
          <w:tcPr>
            <w:tcW w:w="8962" w:type="dxa"/>
            <w:gridSpan w:val="2"/>
            <w:shd w:val="clear" w:color="auto" w:fill="0F243E" w:themeFill="text2" w:themeFillShade="80"/>
          </w:tcPr>
          <w:p w14:paraId="3F53B64D" w14:textId="77777777" w:rsidR="00B85FEA" w:rsidRPr="006B4CD2" w:rsidRDefault="00B85FEA" w:rsidP="0059250E">
            <w:pPr>
              <w:jc w:val="both"/>
              <w:rPr>
                <w:sz w:val="20"/>
                <w:szCs w:val="20"/>
              </w:rPr>
            </w:pPr>
          </w:p>
        </w:tc>
      </w:tr>
    </w:tbl>
    <w:p w14:paraId="60F48431" w14:textId="77777777" w:rsidR="003B1B8F" w:rsidRPr="003B1B8F" w:rsidRDefault="003B1B8F" w:rsidP="003B1B8F">
      <w:pPr>
        <w:jc w:val="both"/>
        <w:rPr>
          <w:sz w:val="22"/>
          <w:szCs w:val="22"/>
        </w:rPr>
      </w:pPr>
    </w:p>
    <w:p w14:paraId="1F802F9C" w14:textId="77777777" w:rsidR="003B1B8F" w:rsidRPr="003B1B8F" w:rsidRDefault="003B1B8F" w:rsidP="003B1B8F">
      <w:pPr>
        <w:jc w:val="both"/>
        <w:rPr>
          <w:sz w:val="22"/>
          <w:szCs w:val="22"/>
        </w:rPr>
      </w:pPr>
      <w:r w:rsidRPr="003B1B8F">
        <w:rPr>
          <w:sz w:val="22"/>
          <w:szCs w:val="22"/>
        </w:rPr>
        <w:lastRenderedPageBreak/>
        <w:t>In the Philippine setting, corruption has been attributed to both “flawed structures in the political economy” and the lure of “economic incentives between principals and agents,” both “exacerbated by social and cultural norms.”</w:t>
      </w:r>
      <w:r w:rsidRPr="003B1B8F">
        <w:rPr>
          <w:rStyle w:val="FootnoteReference"/>
          <w:sz w:val="22"/>
          <w:szCs w:val="22"/>
        </w:rPr>
        <w:footnoteReference w:id="10"/>
      </w:r>
      <w:r w:rsidRPr="003B1B8F">
        <w:rPr>
          <w:sz w:val="22"/>
          <w:szCs w:val="22"/>
        </w:rPr>
        <w:t xml:space="preserve"> In 2010, Transparency International gave the Philippines a score of 2.4, out of a cleanest possible score of 10, in its Corruption Perceptions Index. In 2009, the World Bank gave the country a score of -0.71 for its control of corruption, based on a -0.25 to 2.5 scale.</w:t>
      </w:r>
      <w:r w:rsidRPr="003B1B8F">
        <w:rPr>
          <w:rStyle w:val="FootnoteReference"/>
          <w:sz w:val="22"/>
          <w:szCs w:val="22"/>
        </w:rPr>
        <w:footnoteReference w:id="11"/>
      </w:r>
    </w:p>
    <w:p w14:paraId="13AF250D" w14:textId="77777777" w:rsidR="003B1B8F" w:rsidRPr="003B1B8F" w:rsidRDefault="003B1B8F" w:rsidP="003B1B8F">
      <w:pPr>
        <w:jc w:val="both"/>
        <w:rPr>
          <w:sz w:val="22"/>
          <w:szCs w:val="22"/>
        </w:rPr>
      </w:pPr>
    </w:p>
    <w:p w14:paraId="412D3219" w14:textId="77777777" w:rsidR="003B1B8F" w:rsidRPr="003B1B8F" w:rsidRDefault="003B1B8F" w:rsidP="003B1B8F">
      <w:pPr>
        <w:jc w:val="both"/>
        <w:rPr>
          <w:sz w:val="22"/>
          <w:szCs w:val="22"/>
        </w:rPr>
      </w:pPr>
      <w:r w:rsidRPr="003B1B8F">
        <w:rPr>
          <w:sz w:val="22"/>
          <w:szCs w:val="22"/>
        </w:rPr>
        <w:t xml:space="preserve">However, it is posited that the solution to curbing corruption does not lie in additional legislation. </w:t>
      </w:r>
      <w:proofErr w:type="spellStart"/>
      <w:r w:rsidRPr="003B1B8F">
        <w:rPr>
          <w:sz w:val="22"/>
          <w:szCs w:val="22"/>
        </w:rPr>
        <w:t>Moratalla</w:t>
      </w:r>
      <w:proofErr w:type="spellEnd"/>
      <w:r w:rsidRPr="003B1B8F">
        <w:rPr>
          <w:sz w:val="22"/>
          <w:szCs w:val="22"/>
        </w:rPr>
        <w:t xml:space="preserve"> writes, “</w:t>
      </w:r>
      <w:proofErr w:type="gramStart"/>
      <w:r w:rsidRPr="003B1B8F">
        <w:rPr>
          <w:sz w:val="22"/>
          <w:szCs w:val="22"/>
        </w:rPr>
        <w:t>the</w:t>
      </w:r>
      <w:proofErr w:type="gramEnd"/>
      <w:r w:rsidRPr="003B1B8F">
        <w:rPr>
          <w:sz w:val="22"/>
          <w:szCs w:val="22"/>
        </w:rPr>
        <w:t xml:space="preserve"> Philippines does not need any more laws against corruption. If anything, what it needs is a re-examination of anti-corruption laws not only to remove duplication, but also to ensure that those existing are accepted by the populace and enforceable by the anti-corruption agencies.”</w:t>
      </w:r>
      <w:r w:rsidRPr="003B1B8F">
        <w:rPr>
          <w:rStyle w:val="FootnoteReference"/>
          <w:sz w:val="22"/>
          <w:szCs w:val="22"/>
        </w:rPr>
        <w:footnoteReference w:id="12"/>
      </w:r>
    </w:p>
    <w:p w14:paraId="7DE7C2C5" w14:textId="77777777" w:rsidR="003B1B8F" w:rsidRPr="003B1B8F" w:rsidRDefault="003B1B8F" w:rsidP="003B1B8F">
      <w:pPr>
        <w:jc w:val="both"/>
        <w:rPr>
          <w:sz w:val="22"/>
          <w:szCs w:val="22"/>
        </w:rPr>
      </w:pPr>
    </w:p>
    <w:p w14:paraId="3F27E9AA" w14:textId="77777777" w:rsidR="003B1B8F" w:rsidRPr="003B1B8F" w:rsidRDefault="003B1B8F" w:rsidP="003B1B8F">
      <w:pPr>
        <w:jc w:val="both"/>
        <w:rPr>
          <w:sz w:val="22"/>
          <w:szCs w:val="22"/>
        </w:rPr>
      </w:pPr>
      <w:r w:rsidRPr="003B1B8F">
        <w:rPr>
          <w:sz w:val="22"/>
          <w:szCs w:val="22"/>
        </w:rPr>
        <w:t>In the Philippine forestry sector, Mayo-</w:t>
      </w:r>
      <w:proofErr w:type="spellStart"/>
      <w:r w:rsidRPr="003B1B8F">
        <w:rPr>
          <w:sz w:val="22"/>
          <w:szCs w:val="22"/>
        </w:rPr>
        <w:t>Anda</w:t>
      </w:r>
      <w:proofErr w:type="spellEnd"/>
      <w:r w:rsidRPr="003B1B8F">
        <w:rPr>
          <w:sz w:val="22"/>
          <w:szCs w:val="22"/>
        </w:rPr>
        <w:t xml:space="preserve"> identified “existing and possible points of corruption problems,” listed as follows:</w:t>
      </w:r>
      <w:r w:rsidRPr="003B1B8F">
        <w:rPr>
          <w:rStyle w:val="FootnoteReference"/>
          <w:sz w:val="22"/>
          <w:szCs w:val="22"/>
        </w:rPr>
        <w:footnoteReference w:id="13"/>
      </w:r>
    </w:p>
    <w:p w14:paraId="793C0063" w14:textId="77777777" w:rsidR="003B1B8F" w:rsidRPr="003B1B8F" w:rsidRDefault="003B1B8F" w:rsidP="003B1B8F">
      <w:pPr>
        <w:jc w:val="both"/>
        <w:rPr>
          <w:sz w:val="22"/>
          <w:szCs w:val="22"/>
        </w:rPr>
      </w:pPr>
    </w:p>
    <w:p w14:paraId="0DE7C9CF" w14:textId="77777777" w:rsidR="003B1B8F" w:rsidRPr="003B1B8F" w:rsidRDefault="003B1B8F" w:rsidP="003B1B8F">
      <w:pPr>
        <w:pStyle w:val="ListParagraph"/>
        <w:numPr>
          <w:ilvl w:val="0"/>
          <w:numId w:val="6"/>
        </w:numPr>
        <w:jc w:val="both"/>
        <w:rPr>
          <w:sz w:val="22"/>
          <w:szCs w:val="22"/>
        </w:rPr>
      </w:pPr>
      <w:r w:rsidRPr="003B1B8F">
        <w:rPr>
          <w:sz w:val="22"/>
          <w:szCs w:val="22"/>
        </w:rPr>
        <w:t>Bribery, favoritism and the manipulation of land classification documents carried out by public officials regarding the issuance of Community Based Forest Management Agreements (CBFMAs) and Certificate of Stewardship Contracts (CSCs);</w:t>
      </w:r>
    </w:p>
    <w:p w14:paraId="1035B6C9" w14:textId="77777777" w:rsidR="003B1B8F" w:rsidRPr="003B1B8F" w:rsidRDefault="003B1B8F" w:rsidP="003B1B8F">
      <w:pPr>
        <w:pStyle w:val="ListParagraph"/>
        <w:numPr>
          <w:ilvl w:val="0"/>
          <w:numId w:val="6"/>
        </w:numPr>
        <w:jc w:val="both"/>
        <w:rPr>
          <w:sz w:val="22"/>
          <w:szCs w:val="22"/>
        </w:rPr>
      </w:pPr>
      <w:r w:rsidRPr="003B1B8F">
        <w:rPr>
          <w:sz w:val="22"/>
          <w:szCs w:val="22"/>
        </w:rPr>
        <w:t>Extortion and bribery by officers of the Department of Environment and Natural Resources (DENR), by the military and by police personnel, as part of transaction costs for activities related to the harvesting, transportation and sale of forest products and for the process of compliance with forestry guidelines or requirements;</w:t>
      </w:r>
    </w:p>
    <w:p w14:paraId="77B1F36A" w14:textId="77777777" w:rsidR="003B1B8F" w:rsidRPr="003B1B8F" w:rsidRDefault="003B1B8F" w:rsidP="003B1B8F">
      <w:pPr>
        <w:pStyle w:val="ListParagraph"/>
        <w:numPr>
          <w:ilvl w:val="0"/>
          <w:numId w:val="6"/>
        </w:numPr>
        <w:jc w:val="both"/>
        <w:rPr>
          <w:sz w:val="22"/>
          <w:szCs w:val="22"/>
        </w:rPr>
      </w:pPr>
      <w:r w:rsidRPr="003B1B8F">
        <w:rPr>
          <w:sz w:val="22"/>
          <w:szCs w:val="22"/>
        </w:rPr>
        <w:t>Weak oversight of the forestry sector by the DENR due to corruption within the department which discourages effective forest management even in instances where there is demonstrable capacity in local government units and communities;</w:t>
      </w:r>
    </w:p>
    <w:p w14:paraId="00D424C5" w14:textId="77777777" w:rsidR="003B1B8F" w:rsidRPr="003B1B8F" w:rsidRDefault="003B1B8F" w:rsidP="003B1B8F">
      <w:pPr>
        <w:pStyle w:val="ListParagraph"/>
        <w:numPr>
          <w:ilvl w:val="0"/>
          <w:numId w:val="6"/>
        </w:numPr>
        <w:jc w:val="both"/>
        <w:rPr>
          <w:sz w:val="22"/>
          <w:szCs w:val="22"/>
        </w:rPr>
      </w:pPr>
      <w:r w:rsidRPr="003B1B8F">
        <w:rPr>
          <w:sz w:val="22"/>
          <w:szCs w:val="22"/>
        </w:rPr>
        <w:t>Current legal and institutional mechanisms provide only a weak accountability check on REDD schemes;</w:t>
      </w:r>
    </w:p>
    <w:p w14:paraId="65934566" w14:textId="77777777" w:rsidR="003B1B8F" w:rsidRPr="003B1B8F" w:rsidRDefault="003B1B8F" w:rsidP="003B1B8F">
      <w:pPr>
        <w:pStyle w:val="ListParagraph"/>
        <w:numPr>
          <w:ilvl w:val="0"/>
          <w:numId w:val="6"/>
        </w:numPr>
        <w:jc w:val="both"/>
        <w:rPr>
          <w:sz w:val="22"/>
          <w:szCs w:val="22"/>
        </w:rPr>
      </w:pPr>
      <w:r w:rsidRPr="003B1B8F">
        <w:rPr>
          <w:sz w:val="22"/>
          <w:szCs w:val="22"/>
        </w:rPr>
        <w:t>Court cases filed against DENR personnel alleged to have engaged in corruption are few and mostly involve mid-level rather than high ranking staff;</w:t>
      </w:r>
    </w:p>
    <w:p w14:paraId="5DDA3DDC" w14:textId="77777777" w:rsidR="003B1B8F" w:rsidRPr="003B1B8F" w:rsidRDefault="003B1B8F" w:rsidP="003B1B8F">
      <w:pPr>
        <w:pStyle w:val="ListParagraph"/>
        <w:numPr>
          <w:ilvl w:val="0"/>
          <w:numId w:val="6"/>
        </w:numPr>
        <w:jc w:val="both"/>
        <w:rPr>
          <w:sz w:val="22"/>
          <w:szCs w:val="22"/>
        </w:rPr>
      </w:pPr>
      <w:r w:rsidRPr="003B1B8F">
        <w:rPr>
          <w:sz w:val="22"/>
          <w:szCs w:val="22"/>
        </w:rPr>
        <w:t>Rent seeking activities in natural resource management are widespread;</w:t>
      </w:r>
    </w:p>
    <w:p w14:paraId="18840421" w14:textId="77777777" w:rsidR="003B1B8F" w:rsidRPr="003B1B8F" w:rsidRDefault="003B1B8F" w:rsidP="003B1B8F">
      <w:pPr>
        <w:pStyle w:val="ListParagraph"/>
        <w:numPr>
          <w:ilvl w:val="0"/>
          <w:numId w:val="6"/>
        </w:numPr>
        <w:jc w:val="both"/>
        <w:rPr>
          <w:sz w:val="22"/>
          <w:szCs w:val="22"/>
        </w:rPr>
      </w:pPr>
      <w:r w:rsidRPr="003B1B8F">
        <w:rPr>
          <w:sz w:val="22"/>
          <w:szCs w:val="22"/>
        </w:rPr>
        <w:t>A complex network of individual participants that follow unwri</w:t>
      </w:r>
      <w:r w:rsidR="00B85FEA">
        <w:rPr>
          <w:sz w:val="22"/>
          <w:szCs w:val="22"/>
        </w:rPr>
        <w:t>tten rules of secrecy and (</w:t>
      </w:r>
      <w:proofErr w:type="spellStart"/>
      <w:r w:rsidR="00B85FEA">
        <w:rPr>
          <w:sz w:val="22"/>
          <w:szCs w:val="22"/>
        </w:rPr>
        <w:t>mis</w:t>
      </w:r>
      <w:proofErr w:type="spellEnd"/>
      <w:r w:rsidR="00B85FEA">
        <w:rPr>
          <w:sz w:val="22"/>
          <w:szCs w:val="22"/>
        </w:rPr>
        <w:t>)</w:t>
      </w:r>
      <w:r w:rsidRPr="003B1B8F">
        <w:rPr>
          <w:sz w:val="22"/>
          <w:szCs w:val="22"/>
        </w:rPr>
        <w:t>conduct; and</w:t>
      </w:r>
    </w:p>
    <w:p w14:paraId="1B9F2C59" w14:textId="77777777" w:rsidR="003B1B8F" w:rsidRPr="003B1B8F" w:rsidRDefault="003B1B8F" w:rsidP="003B1B8F">
      <w:pPr>
        <w:pStyle w:val="ListParagraph"/>
        <w:numPr>
          <w:ilvl w:val="0"/>
          <w:numId w:val="6"/>
        </w:numPr>
        <w:jc w:val="both"/>
        <w:rPr>
          <w:sz w:val="22"/>
          <w:szCs w:val="22"/>
        </w:rPr>
      </w:pPr>
      <w:r w:rsidRPr="003B1B8F">
        <w:rPr>
          <w:sz w:val="22"/>
          <w:szCs w:val="22"/>
        </w:rPr>
        <w:t>Human resources are not maximized due to the negative working environment in which individuals find themselves.</w:t>
      </w:r>
    </w:p>
    <w:p w14:paraId="44751B50" w14:textId="77777777" w:rsidR="003B1B8F" w:rsidRPr="003B1B8F" w:rsidRDefault="003B1B8F" w:rsidP="003B1B8F">
      <w:pPr>
        <w:jc w:val="both"/>
        <w:rPr>
          <w:sz w:val="22"/>
          <w:szCs w:val="22"/>
        </w:rPr>
      </w:pPr>
    </w:p>
    <w:p w14:paraId="5BA5A2C1" w14:textId="77777777" w:rsidR="003B1B8F" w:rsidRPr="003B1B8F" w:rsidRDefault="003B1B8F" w:rsidP="003B1B8F">
      <w:pPr>
        <w:jc w:val="both"/>
        <w:rPr>
          <w:sz w:val="22"/>
          <w:szCs w:val="22"/>
        </w:rPr>
      </w:pPr>
      <w:r w:rsidRPr="003B1B8F">
        <w:rPr>
          <w:sz w:val="22"/>
          <w:szCs w:val="22"/>
        </w:rPr>
        <w:t>The Philippine National REDD-plus Strategy (PNRPS) likewise identifies corruption as an “underlying driver of deforestation and forest degradation,” with the immediate drivers being “allocation of resource use concessions and permits contrary to existing regulations and inconsistent enforcement of environmental laws.”</w:t>
      </w:r>
      <w:r w:rsidRPr="003B1B8F">
        <w:rPr>
          <w:rStyle w:val="FootnoteReference"/>
          <w:sz w:val="22"/>
          <w:szCs w:val="22"/>
        </w:rPr>
        <w:footnoteReference w:id="14"/>
      </w:r>
      <w:r w:rsidRPr="003B1B8F">
        <w:rPr>
          <w:sz w:val="22"/>
          <w:szCs w:val="22"/>
        </w:rPr>
        <w:t xml:space="preserve"> </w:t>
      </w:r>
    </w:p>
    <w:p w14:paraId="7C61A605" w14:textId="77777777" w:rsidR="003B1B8F" w:rsidRPr="003B1B8F" w:rsidRDefault="003B1B8F" w:rsidP="003B1B8F">
      <w:pPr>
        <w:jc w:val="both"/>
        <w:rPr>
          <w:sz w:val="22"/>
          <w:szCs w:val="22"/>
        </w:rPr>
      </w:pPr>
    </w:p>
    <w:p w14:paraId="492AFAD6" w14:textId="77777777" w:rsidR="003B1B8F" w:rsidRPr="003B1B8F" w:rsidRDefault="003B1B8F" w:rsidP="003B1B8F">
      <w:pPr>
        <w:jc w:val="both"/>
        <w:rPr>
          <w:sz w:val="22"/>
          <w:szCs w:val="22"/>
        </w:rPr>
      </w:pPr>
      <w:r w:rsidRPr="003B1B8F">
        <w:rPr>
          <w:sz w:val="22"/>
          <w:szCs w:val="22"/>
        </w:rPr>
        <w:lastRenderedPageBreak/>
        <w:t>Corruption risk assessments, economic and social impact assessments and multi-stakeholder consultations have been acknowledged by the UN REDD Programme as possible ways through which corruption risks in national REDD-plus frameworks may be identified and addressed.</w:t>
      </w:r>
      <w:r w:rsidRPr="003B1B8F">
        <w:rPr>
          <w:rStyle w:val="FootnoteReference"/>
          <w:sz w:val="22"/>
          <w:szCs w:val="22"/>
        </w:rPr>
        <w:footnoteReference w:id="15"/>
      </w:r>
    </w:p>
    <w:p w14:paraId="10E5C8AC" w14:textId="77777777" w:rsidR="003B1B8F" w:rsidRPr="003B1B8F" w:rsidRDefault="003B1B8F" w:rsidP="003B1B8F">
      <w:pPr>
        <w:jc w:val="both"/>
        <w:rPr>
          <w:sz w:val="22"/>
          <w:szCs w:val="22"/>
        </w:rPr>
      </w:pPr>
    </w:p>
    <w:p w14:paraId="5A503BA9" w14:textId="77777777" w:rsidR="003B1B8F" w:rsidRPr="003B1B8F" w:rsidRDefault="003B1B8F" w:rsidP="003B1B8F">
      <w:pPr>
        <w:jc w:val="both"/>
        <w:rPr>
          <w:sz w:val="22"/>
          <w:szCs w:val="22"/>
        </w:rPr>
      </w:pPr>
      <w:r w:rsidRPr="003B1B8F">
        <w:rPr>
          <w:sz w:val="22"/>
          <w:szCs w:val="22"/>
        </w:rPr>
        <w:t xml:space="preserve">Under the PNRPS, a </w:t>
      </w:r>
      <w:r w:rsidRPr="003B1B8F">
        <w:rPr>
          <w:i/>
          <w:sz w:val="22"/>
          <w:szCs w:val="22"/>
        </w:rPr>
        <w:t xml:space="preserve">National </w:t>
      </w:r>
      <w:proofErr w:type="spellStart"/>
      <w:r w:rsidRPr="003B1B8F">
        <w:rPr>
          <w:i/>
          <w:sz w:val="22"/>
          <w:szCs w:val="22"/>
        </w:rPr>
        <w:t>Multistakeholder</w:t>
      </w:r>
      <w:proofErr w:type="spellEnd"/>
      <w:r w:rsidRPr="003B1B8F">
        <w:rPr>
          <w:i/>
          <w:sz w:val="22"/>
          <w:szCs w:val="22"/>
        </w:rPr>
        <w:t xml:space="preserve"> REDD-plus Council</w:t>
      </w:r>
      <w:r w:rsidRPr="003B1B8F">
        <w:rPr>
          <w:sz w:val="22"/>
          <w:szCs w:val="22"/>
        </w:rPr>
        <w:t xml:space="preserve"> (NMRC) is being proposed in order to increase stakeholder engagement and coordination in the sectors relevant to REDD-plus.  This council, led by the DENR, is to be built on existing governance structures “to establish institutional arrangements through which to implement REDD-plus, including parallel structures for REDD-plus decision-making and MRV processes.”</w:t>
      </w:r>
      <w:r w:rsidRPr="003B1B8F">
        <w:rPr>
          <w:rStyle w:val="FootnoteReference"/>
          <w:sz w:val="22"/>
          <w:szCs w:val="22"/>
        </w:rPr>
        <w:footnoteReference w:id="16"/>
      </w:r>
      <w:r w:rsidRPr="003B1B8F">
        <w:rPr>
          <w:sz w:val="22"/>
          <w:szCs w:val="22"/>
        </w:rPr>
        <w:t xml:space="preserve">  The goal is for these structures to “further facilitate local engagement, share information, resolve conflicts, and report on safeguards related to the forestry sector.”</w:t>
      </w:r>
      <w:r w:rsidRPr="003B1B8F">
        <w:rPr>
          <w:rStyle w:val="FootnoteReference"/>
          <w:sz w:val="22"/>
          <w:szCs w:val="22"/>
        </w:rPr>
        <w:footnoteReference w:id="17"/>
      </w:r>
      <w:r w:rsidRPr="003B1B8F">
        <w:rPr>
          <w:sz w:val="22"/>
          <w:szCs w:val="22"/>
        </w:rPr>
        <w:t xml:space="preserve">  In order to achieve this, significant stakeholder involvement is necessary and must be encouraged.</w:t>
      </w:r>
    </w:p>
    <w:p w14:paraId="530D9FAE" w14:textId="77777777" w:rsidR="003B1B8F" w:rsidRPr="003B1B8F" w:rsidRDefault="003B1B8F" w:rsidP="003B1B8F">
      <w:pPr>
        <w:jc w:val="both"/>
        <w:rPr>
          <w:sz w:val="22"/>
          <w:szCs w:val="22"/>
        </w:rPr>
      </w:pPr>
    </w:p>
    <w:p w14:paraId="4CB3B585" w14:textId="77777777" w:rsidR="003B1B8F" w:rsidRPr="003B1B8F" w:rsidRDefault="003B1B8F" w:rsidP="003B1B8F">
      <w:pPr>
        <w:jc w:val="both"/>
        <w:rPr>
          <w:sz w:val="22"/>
          <w:szCs w:val="22"/>
        </w:rPr>
      </w:pPr>
      <w:r w:rsidRPr="003B1B8F">
        <w:rPr>
          <w:sz w:val="22"/>
          <w:szCs w:val="22"/>
        </w:rPr>
        <w:t>Likewise, the following strategies are proposed to curtail corruption in Philippine REDD-plus projects</w:t>
      </w:r>
      <w:r w:rsidRPr="003B1B8F">
        <w:rPr>
          <w:rStyle w:val="FootnoteReference"/>
          <w:sz w:val="22"/>
          <w:szCs w:val="22"/>
        </w:rPr>
        <w:footnoteReference w:id="18"/>
      </w:r>
      <w:r w:rsidRPr="003B1B8F">
        <w:rPr>
          <w:sz w:val="22"/>
          <w:szCs w:val="22"/>
        </w:rPr>
        <w:t>:</w:t>
      </w:r>
    </w:p>
    <w:p w14:paraId="25478AF5" w14:textId="77777777" w:rsidR="003B1B8F" w:rsidRPr="003B1B8F" w:rsidRDefault="003B1B8F" w:rsidP="003B1B8F">
      <w:pPr>
        <w:jc w:val="both"/>
        <w:rPr>
          <w:sz w:val="22"/>
          <w:szCs w:val="22"/>
        </w:rPr>
      </w:pPr>
    </w:p>
    <w:p w14:paraId="44AA9219" w14:textId="77777777" w:rsidR="003B1B8F" w:rsidRPr="003B1B8F" w:rsidRDefault="003B1B8F" w:rsidP="003B1B8F">
      <w:pPr>
        <w:pStyle w:val="ListParagraph"/>
        <w:numPr>
          <w:ilvl w:val="0"/>
          <w:numId w:val="1"/>
        </w:numPr>
        <w:jc w:val="both"/>
        <w:rPr>
          <w:sz w:val="22"/>
          <w:szCs w:val="22"/>
        </w:rPr>
      </w:pPr>
      <w:r w:rsidRPr="003B1B8F">
        <w:rPr>
          <w:sz w:val="22"/>
          <w:szCs w:val="22"/>
        </w:rPr>
        <w:t>Establish financial review procedures for REDD-plus resources;</w:t>
      </w:r>
    </w:p>
    <w:p w14:paraId="5EB3B2A8" w14:textId="77777777" w:rsidR="003B1B8F" w:rsidRPr="003B1B8F" w:rsidRDefault="003B1B8F" w:rsidP="003B1B8F">
      <w:pPr>
        <w:pStyle w:val="ListParagraph"/>
        <w:numPr>
          <w:ilvl w:val="0"/>
          <w:numId w:val="1"/>
        </w:numPr>
        <w:jc w:val="both"/>
        <w:rPr>
          <w:sz w:val="22"/>
          <w:szCs w:val="22"/>
        </w:rPr>
      </w:pPr>
      <w:r w:rsidRPr="003B1B8F">
        <w:rPr>
          <w:sz w:val="22"/>
          <w:szCs w:val="22"/>
        </w:rPr>
        <w:t>Establish review of policies and transaction processes;</w:t>
      </w:r>
    </w:p>
    <w:p w14:paraId="2ED9AE40" w14:textId="77777777" w:rsidR="003B1B8F" w:rsidRPr="003B1B8F" w:rsidRDefault="003B1B8F" w:rsidP="003B1B8F">
      <w:pPr>
        <w:pStyle w:val="ListParagraph"/>
        <w:numPr>
          <w:ilvl w:val="0"/>
          <w:numId w:val="1"/>
        </w:numPr>
        <w:jc w:val="both"/>
        <w:rPr>
          <w:sz w:val="22"/>
          <w:szCs w:val="22"/>
        </w:rPr>
      </w:pPr>
      <w:r w:rsidRPr="003B1B8F">
        <w:rPr>
          <w:sz w:val="22"/>
          <w:szCs w:val="22"/>
        </w:rPr>
        <w:t>Establish national and sub-national REDD-plus coordinating agencies and clear fund management procedures and explore alternative fund management arrangements that link local actors directly to marketplaces;</w:t>
      </w:r>
    </w:p>
    <w:p w14:paraId="6FFE9135" w14:textId="77777777" w:rsidR="003B1B8F" w:rsidRPr="003B1B8F" w:rsidRDefault="003B1B8F" w:rsidP="003B1B8F">
      <w:pPr>
        <w:pStyle w:val="ListParagraph"/>
        <w:numPr>
          <w:ilvl w:val="0"/>
          <w:numId w:val="1"/>
        </w:numPr>
        <w:jc w:val="both"/>
        <w:rPr>
          <w:sz w:val="22"/>
          <w:szCs w:val="22"/>
        </w:rPr>
      </w:pPr>
      <w:r w:rsidRPr="003B1B8F">
        <w:rPr>
          <w:sz w:val="22"/>
          <w:szCs w:val="22"/>
        </w:rPr>
        <w:t>Strengthen linkages and coordination among key institutions responsible for national-level REDD-plus;</w:t>
      </w:r>
    </w:p>
    <w:p w14:paraId="141594CB" w14:textId="77777777" w:rsidR="003B1B8F" w:rsidRPr="003B1B8F" w:rsidRDefault="003B1B8F" w:rsidP="003B1B8F">
      <w:pPr>
        <w:pStyle w:val="ListParagraph"/>
        <w:numPr>
          <w:ilvl w:val="0"/>
          <w:numId w:val="1"/>
        </w:numPr>
        <w:jc w:val="both"/>
        <w:rPr>
          <w:sz w:val="22"/>
          <w:szCs w:val="22"/>
        </w:rPr>
      </w:pPr>
      <w:r w:rsidRPr="003B1B8F">
        <w:rPr>
          <w:sz w:val="22"/>
          <w:szCs w:val="22"/>
        </w:rPr>
        <w:t>Establish 3</w:t>
      </w:r>
      <w:r w:rsidRPr="003B1B8F">
        <w:rPr>
          <w:sz w:val="22"/>
          <w:szCs w:val="22"/>
          <w:vertAlign w:val="superscript"/>
        </w:rPr>
        <w:t>rd</w:t>
      </w:r>
      <w:r w:rsidRPr="003B1B8F">
        <w:rPr>
          <w:sz w:val="22"/>
          <w:szCs w:val="22"/>
        </w:rPr>
        <w:t xml:space="preserve"> party verifying teams; and</w:t>
      </w:r>
    </w:p>
    <w:p w14:paraId="1AF9F103" w14:textId="77777777" w:rsidR="003B1B8F" w:rsidRPr="003B1B8F" w:rsidRDefault="003B1B8F" w:rsidP="003B1B8F">
      <w:pPr>
        <w:pStyle w:val="ListParagraph"/>
        <w:numPr>
          <w:ilvl w:val="0"/>
          <w:numId w:val="1"/>
        </w:numPr>
        <w:jc w:val="both"/>
        <w:rPr>
          <w:sz w:val="22"/>
          <w:szCs w:val="22"/>
        </w:rPr>
      </w:pPr>
      <w:r w:rsidRPr="003B1B8F">
        <w:rPr>
          <w:sz w:val="22"/>
          <w:szCs w:val="22"/>
        </w:rPr>
        <w:t>Create a national REDD-plus policy advocacy community to engage government.</w:t>
      </w:r>
    </w:p>
    <w:p w14:paraId="019FBB96" w14:textId="77777777" w:rsidR="008A3C1E" w:rsidRDefault="008A3C1E">
      <w:pPr>
        <w:rPr>
          <w:sz w:val="22"/>
          <w:szCs w:val="22"/>
        </w:rPr>
      </w:pPr>
    </w:p>
    <w:p w14:paraId="67EC2582" w14:textId="77777777" w:rsidR="00792318" w:rsidRDefault="00792318">
      <w:pPr>
        <w:rPr>
          <w:b/>
          <w:i/>
          <w:sz w:val="22"/>
          <w:szCs w:val="22"/>
        </w:rPr>
      </w:pPr>
      <w:r>
        <w:rPr>
          <w:b/>
          <w:i/>
          <w:sz w:val="22"/>
          <w:szCs w:val="22"/>
        </w:rPr>
        <w:t>Corruption Risk Assessment Project</w:t>
      </w:r>
    </w:p>
    <w:p w14:paraId="6967D905" w14:textId="77777777" w:rsidR="00792318" w:rsidRDefault="00792318">
      <w:pPr>
        <w:rPr>
          <w:b/>
          <w:i/>
          <w:sz w:val="22"/>
          <w:szCs w:val="22"/>
        </w:rPr>
      </w:pPr>
    </w:p>
    <w:p w14:paraId="4FFD9697" w14:textId="77777777" w:rsidR="00570399" w:rsidRDefault="00CC4DBE" w:rsidP="00CC4DBE">
      <w:pPr>
        <w:jc w:val="both"/>
        <w:rPr>
          <w:sz w:val="22"/>
          <w:szCs w:val="22"/>
        </w:rPr>
      </w:pPr>
      <w:r>
        <w:rPr>
          <w:sz w:val="22"/>
          <w:szCs w:val="22"/>
        </w:rPr>
        <w:t>Under the Terms of Reference (TOR) of this</w:t>
      </w:r>
      <w:r w:rsidR="00570399">
        <w:rPr>
          <w:sz w:val="22"/>
          <w:szCs w:val="22"/>
        </w:rPr>
        <w:t xml:space="preserve"> project, the </w:t>
      </w:r>
      <w:proofErr w:type="spellStart"/>
      <w:r w:rsidR="00570399">
        <w:rPr>
          <w:sz w:val="22"/>
          <w:szCs w:val="22"/>
        </w:rPr>
        <w:t>Atene</w:t>
      </w:r>
      <w:r>
        <w:rPr>
          <w:sz w:val="22"/>
          <w:szCs w:val="22"/>
        </w:rPr>
        <w:t>o</w:t>
      </w:r>
      <w:proofErr w:type="spellEnd"/>
      <w:r>
        <w:rPr>
          <w:sz w:val="22"/>
          <w:szCs w:val="22"/>
        </w:rPr>
        <w:t xml:space="preserve"> School of Government</w:t>
      </w:r>
      <w:r w:rsidR="006B4CD2">
        <w:rPr>
          <w:sz w:val="22"/>
          <w:szCs w:val="22"/>
        </w:rPr>
        <w:t xml:space="preserve"> (</w:t>
      </w:r>
      <w:proofErr w:type="spellStart"/>
      <w:r w:rsidR="006B4CD2">
        <w:rPr>
          <w:sz w:val="22"/>
          <w:szCs w:val="22"/>
        </w:rPr>
        <w:t>ASoG</w:t>
      </w:r>
      <w:proofErr w:type="spellEnd"/>
      <w:r w:rsidR="006B4CD2">
        <w:rPr>
          <w:sz w:val="22"/>
          <w:szCs w:val="22"/>
        </w:rPr>
        <w:t>)</w:t>
      </w:r>
      <w:r>
        <w:rPr>
          <w:sz w:val="22"/>
          <w:szCs w:val="22"/>
        </w:rPr>
        <w:t xml:space="preserve"> has two</w:t>
      </w:r>
      <w:r w:rsidR="00570399">
        <w:rPr>
          <w:sz w:val="22"/>
          <w:szCs w:val="22"/>
        </w:rPr>
        <w:t xml:space="preserve"> main outputs, namely:</w:t>
      </w:r>
    </w:p>
    <w:p w14:paraId="4E870FC6" w14:textId="77777777" w:rsidR="00570399" w:rsidRDefault="00570399" w:rsidP="00570399">
      <w:pPr>
        <w:rPr>
          <w:sz w:val="22"/>
          <w:szCs w:val="22"/>
        </w:rPr>
      </w:pPr>
    </w:p>
    <w:p w14:paraId="2E74EE81" w14:textId="77777777" w:rsidR="00CC4DBE" w:rsidRDefault="00570399" w:rsidP="002B50C5">
      <w:pPr>
        <w:pStyle w:val="ListParagraph"/>
        <w:numPr>
          <w:ilvl w:val="0"/>
          <w:numId w:val="13"/>
        </w:numPr>
        <w:rPr>
          <w:sz w:val="22"/>
          <w:szCs w:val="22"/>
        </w:rPr>
      </w:pPr>
      <w:r>
        <w:rPr>
          <w:sz w:val="22"/>
          <w:szCs w:val="22"/>
        </w:rPr>
        <w:t xml:space="preserve">A </w:t>
      </w:r>
      <w:r w:rsidR="002B50C5">
        <w:rPr>
          <w:sz w:val="22"/>
          <w:szCs w:val="22"/>
        </w:rPr>
        <w:t>corruption risk assessment tool; and</w:t>
      </w:r>
    </w:p>
    <w:p w14:paraId="56EEA0F4" w14:textId="77777777" w:rsidR="00CC4DBE" w:rsidRDefault="009A56BA" w:rsidP="00CC4DBE">
      <w:pPr>
        <w:pStyle w:val="ListParagraph"/>
        <w:numPr>
          <w:ilvl w:val="0"/>
          <w:numId w:val="13"/>
        </w:numPr>
        <w:rPr>
          <w:sz w:val="22"/>
          <w:szCs w:val="22"/>
        </w:rPr>
      </w:pPr>
      <w:r>
        <w:rPr>
          <w:sz w:val="22"/>
          <w:szCs w:val="22"/>
        </w:rPr>
        <w:t>A final report, which includes</w:t>
      </w:r>
      <w:r w:rsidR="00CC4DBE">
        <w:rPr>
          <w:sz w:val="22"/>
          <w:szCs w:val="22"/>
        </w:rPr>
        <w:t>:</w:t>
      </w:r>
    </w:p>
    <w:p w14:paraId="1BA1A588" w14:textId="77777777" w:rsidR="00CC4DBE" w:rsidRDefault="00CC4DBE" w:rsidP="00CC4DBE">
      <w:pPr>
        <w:pStyle w:val="ListParagraph"/>
        <w:numPr>
          <w:ilvl w:val="1"/>
          <w:numId w:val="13"/>
        </w:numPr>
        <w:rPr>
          <w:sz w:val="22"/>
          <w:szCs w:val="22"/>
        </w:rPr>
      </w:pPr>
      <w:r>
        <w:rPr>
          <w:sz w:val="22"/>
          <w:szCs w:val="22"/>
        </w:rPr>
        <w:t>A prioritized list of corruption risks in REDD+ in the Philippines;</w:t>
      </w:r>
    </w:p>
    <w:p w14:paraId="235813AC" w14:textId="77777777" w:rsidR="00CC4DBE" w:rsidRDefault="00CC4DBE" w:rsidP="00CC4DBE">
      <w:pPr>
        <w:pStyle w:val="ListParagraph"/>
        <w:numPr>
          <w:ilvl w:val="1"/>
          <w:numId w:val="13"/>
        </w:numPr>
        <w:rPr>
          <w:sz w:val="22"/>
          <w:szCs w:val="22"/>
        </w:rPr>
      </w:pPr>
      <w:r>
        <w:rPr>
          <w:sz w:val="22"/>
          <w:szCs w:val="22"/>
        </w:rPr>
        <w:t>Proposed measures to mitigate the risks that have been identified as most likely and most detrimental in the short, medium and long term;</w:t>
      </w:r>
    </w:p>
    <w:p w14:paraId="04F768FB" w14:textId="77777777" w:rsidR="00CC4DBE" w:rsidRDefault="00CC4DBE" w:rsidP="00CC4DBE">
      <w:pPr>
        <w:pStyle w:val="ListParagraph"/>
        <w:numPr>
          <w:ilvl w:val="1"/>
          <w:numId w:val="13"/>
        </w:numPr>
        <w:rPr>
          <w:sz w:val="22"/>
          <w:szCs w:val="22"/>
        </w:rPr>
      </w:pPr>
      <w:r>
        <w:rPr>
          <w:sz w:val="22"/>
          <w:szCs w:val="22"/>
        </w:rPr>
        <w:t>A preliminary budget and identified responsibilities for the implementation of those measures; and</w:t>
      </w:r>
    </w:p>
    <w:p w14:paraId="22832134" w14:textId="77777777" w:rsidR="00CC4DBE" w:rsidRDefault="00CC4DBE" w:rsidP="00CC4DBE">
      <w:pPr>
        <w:pStyle w:val="ListParagraph"/>
        <w:numPr>
          <w:ilvl w:val="1"/>
          <w:numId w:val="13"/>
        </w:numPr>
        <w:rPr>
          <w:sz w:val="22"/>
          <w:szCs w:val="22"/>
        </w:rPr>
      </w:pPr>
      <w:r>
        <w:rPr>
          <w:sz w:val="22"/>
          <w:szCs w:val="22"/>
        </w:rPr>
        <w:t>Lessons that may be applicable in other countries.</w:t>
      </w:r>
    </w:p>
    <w:p w14:paraId="1B9D8E53" w14:textId="77777777" w:rsidR="00CC4DBE" w:rsidRDefault="00CC4DBE" w:rsidP="00CC4DBE">
      <w:pPr>
        <w:rPr>
          <w:sz w:val="22"/>
          <w:szCs w:val="22"/>
        </w:rPr>
      </w:pPr>
    </w:p>
    <w:p w14:paraId="0669D61B" w14:textId="77777777" w:rsidR="00907231" w:rsidRDefault="002750E8" w:rsidP="003C11C9">
      <w:pPr>
        <w:jc w:val="both"/>
        <w:rPr>
          <w:sz w:val="22"/>
          <w:szCs w:val="22"/>
        </w:rPr>
      </w:pPr>
      <w:r>
        <w:rPr>
          <w:sz w:val="22"/>
          <w:szCs w:val="22"/>
        </w:rPr>
        <w:t xml:space="preserve">In order to </w:t>
      </w:r>
      <w:r w:rsidR="003C11C9">
        <w:rPr>
          <w:sz w:val="22"/>
          <w:szCs w:val="22"/>
        </w:rPr>
        <w:t>produce complete, accurate and reliable</w:t>
      </w:r>
      <w:r w:rsidR="00450D61">
        <w:rPr>
          <w:sz w:val="22"/>
          <w:szCs w:val="22"/>
        </w:rPr>
        <w:t xml:space="preserve"> outputs, </w:t>
      </w:r>
      <w:r w:rsidR="003C11C9">
        <w:rPr>
          <w:sz w:val="22"/>
          <w:szCs w:val="22"/>
        </w:rPr>
        <w:t xml:space="preserve">a contextualized methodology has been prepared by </w:t>
      </w:r>
      <w:proofErr w:type="spellStart"/>
      <w:r w:rsidR="003C11C9">
        <w:rPr>
          <w:sz w:val="22"/>
          <w:szCs w:val="22"/>
        </w:rPr>
        <w:t>ASoG</w:t>
      </w:r>
      <w:proofErr w:type="spellEnd"/>
      <w:r w:rsidR="003C11C9">
        <w:rPr>
          <w:sz w:val="22"/>
          <w:szCs w:val="22"/>
        </w:rPr>
        <w:t xml:space="preserve">.  </w:t>
      </w:r>
      <w:r w:rsidR="00493C34">
        <w:rPr>
          <w:sz w:val="22"/>
          <w:szCs w:val="22"/>
        </w:rPr>
        <w:t xml:space="preserve">Divided into four main stages or “steps,” this methodology begins with a </w:t>
      </w:r>
      <w:r w:rsidR="00493C34" w:rsidRPr="00493C34">
        <w:rPr>
          <w:b/>
          <w:sz w:val="22"/>
          <w:szCs w:val="22"/>
        </w:rPr>
        <w:t>general stocktaking of the Philippine forestry sector</w:t>
      </w:r>
      <w:r w:rsidR="00493C34">
        <w:rPr>
          <w:sz w:val="22"/>
          <w:szCs w:val="22"/>
        </w:rPr>
        <w:t xml:space="preserve">.  Given that REDD in the Philippines is still </w:t>
      </w:r>
      <w:r w:rsidR="00826945">
        <w:rPr>
          <w:sz w:val="22"/>
          <w:szCs w:val="22"/>
        </w:rPr>
        <w:t>in its early stages, it is important to first establish the current playing field on forestry-</w:t>
      </w:r>
      <w:r w:rsidR="00271678">
        <w:rPr>
          <w:sz w:val="22"/>
          <w:szCs w:val="22"/>
        </w:rPr>
        <w:t>related issues.  This will be done</w:t>
      </w:r>
      <w:r w:rsidR="00FC3715">
        <w:rPr>
          <w:sz w:val="22"/>
          <w:szCs w:val="22"/>
        </w:rPr>
        <w:t xml:space="preserve"> by taking a look at, among others, t</w:t>
      </w:r>
      <w:r w:rsidR="00B56E2C">
        <w:rPr>
          <w:sz w:val="22"/>
          <w:szCs w:val="22"/>
        </w:rPr>
        <w:t>he current tools beings used</w:t>
      </w:r>
      <w:r w:rsidR="00FC3715">
        <w:rPr>
          <w:sz w:val="22"/>
          <w:szCs w:val="22"/>
        </w:rPr>
        <w:t xml:space="preserve"> to assess </w:t>
      </w:r>
      <w:r w:rsidR="00FC3715">
        <w:rPr>
          <w:sz w:val="22"/>
          <w:szCs w:val="22"/>
        </w:rPr>
        <w:lastRenderedPageBreak/>
        <w:t xml:space="preserve">risk, relevant judicial cases, policies, laws, incidents, anti-corruption initiatives and task forces </w:t>
      </w:r>
      <w:r w:rsidR="00271678">
        <w:rPr>
          <w:sz w:val="22"/>
          <w:szCs w:val="22"/>
        </w:rPr>
        <w:t xml:space="preserve">in </w:t>
      </w:r>
      <w:r w:rsidR="006B1425">
        <w:rPr>
          <w:sz w:val="22"/>
          <w:szCs w:val="22"/>
        </w:rPr>
        <w:t>the national forestry sector, through li</w:t>
      </w:r>
      <w:r w:rsidR="00B56E2C">
        <w:rPr>
          <w:sz w:val="22"/>
          <w:szCs w:val="22"/>
        </w:rPr>
        <w:t>t</w:t>
      </w:r>
      <w:r w:rsidR="003550E8">
        <w:rPr>
          <w:sz w:val="22"/>
          <w:szCs w:val="22"/>
        </w:rPr>
        <w:t>erature reviews, round table discussions,</w:t>
      </w:r>
      <w:r w:rsidR="00B56E2C">
        <w:rPr>
          <w:sz w:val="22"/>
          <w:szCs w:val="22"/>
        </w:rPr>
        <w:t xml:space="preserve"> focus group discussions, and key informant interviews</w:t>
      </w:r>
      <w:r w:rsidR="006B1425">
        <w:rPr>
          <w:sz w:val="22"/>
          <w:szCs w:val="22"/>
        </w:rPr>
        <w:t>.  A nation</w:t>
      </w:r>
      <w:r w:rsidR="00C31540">
        <w:rPr>
          <w:sz w:val="22"/>
          <w:szCs w:val="22"/>
        </w:rPr>
        <w:t xml:space="preserve">al workshop shall </w:t>
      </w:r>
      <w:r w:rsidR="005F5C5B">
        <w:rPr>
          <w:sz w:val="22"/>
          <w:szCs w:val="22"/>
        </w:rPr>
        <w:t>be held</w:t>
      </w:r>
      <w:r w:rsidR="00C31540">
        <w:rPr>
          <w:sz w:val="22"/>
          <w:szCs w:val="22"/>
        </w:rPr>
        <w:t xml:space="preserve"> on the 15</w:t>
      </w:r>
      <w:r w:rsidR="00C31540" w:rsidRPr="00C31540">
        <w:rPr>
          <w:sz w:val="22"/>
          <w:szCs w:val="22"/>
          <w:vertAlign w:val="superscript"/>
        </w:rPr>
        <w:t>th</w:t>
      </w:r>
      <w:r w:rsidR="00C31540">
        <w:rPr>
          <w:sz w:val="22"/>
          <w:szCs w:val="22"/>
        </w:rPr>
        <w:t xml:space="preserve"> and 16</w:t>
      </w:r>
      <w:r w:rsidR="00C31540" w:rsidRPr="00C31540">
        <w:rPr>
          <w:sz w:val="22"/>
          <w:szCs w:val="22"/>
          <w:vertAlign w:val="superscript"/>
        </w:rPr>
        <w:t>th</w:t>
      </w:r>
      <w:r w:rsidR="00C31540">
        <w:rPr>
          <w:sz w:val="22"/>
          <w:szCs w:val="22"/>
        </w:rPr>
        <w:t xml:space="preserve"> f October 2012,</w:t>
      </w:r>
      <w:r w:rsidR="005F5C5B">
        <w:rPr>
          <w:sz w:val="22"/>
          <w:szCs w:val="22"/>
        </w:rPr>
        <w:t xml:space="preserve"> to get input on the metho</w:t>
      </w:r>
      <w:r w:rsidR="00C31540">
        <w:rPr>
          <w:sz w:val="22"/>
          <w:szCs w:val="22"/>
        </w:rPr>
        <w:t>dology and initial findings, as well as to</w:t>
      </w:r>
      <w:r w:rsidR="005F5C5B">
        <w:rPr>
          <w:sz w:val="22"/>
          <w:szCs w:val="22"/>
        </w:rPr>
        <w:t xml:space="preserve"> gather more data for stocktaking.</w:t>
      </w:r>
    </w:p>
    <w:p w14:paraId="25477605" w14:textId="77777777" w:rsidR="005C50F0" w:rsidRDefault="005C50F0" w:rsidP="003C11C9">
      <w:pPr>
        <w:jc w:val="both"/>
        <w:rPr>
          <w:sz w:val="22"/>
          <w:szCs w:val="22"/>
        </w:rPr>
      </w:pPr>
    </w:p>
    <w:p w14:paraId="418757BC" w14:textId="77777777" w:rsidR="005C50F0" w:rsidRDefault="00B76415" w:rsidP="003C11C9">
      <w:pPr>
        <w:jc w:val="both"/>
        <w:rPr>
          <w:sz w:val="22"/>
          <w:szCs w:val="22"/>
        </w:rPr>
      </w:pPr>
      <w:r>
        <w:rPr>
          <w:sz w:val="22"/>
          <w:szCs w:val="22"/>
        </w:rPr>
        <w:t xml:space="preserve">During </w:t>
      </w:r>
      <w:r w:rsidR="0075275B">
        <w:rPr>
          <w:sz w:val="22"/>
          <w:szCs w:val="22"/>
        </w:rPr>
        <w:t>this first step, key means, motives and opportunities are to be</w:t>
      </w:r>
      <w:r w:rsidR="000648C9">
        <w:rPr>
          <w:sz w:val="22"/>
          <w:szCs w:val="22"/>
        </w:rPr>
        <w:t xml:space="preserve"> identified </w:t>
      </w:r>
      <w:r>
        <w:rPr>
          <w:sz w:val="22"/>
          <w:szCs w:val="22"/>
        </w:rPr>
        <w:t>by</w:t>
      </w:r>
      <w:r w:rsidR="000648C9">
        <w:rPr>
          <w:sz w:val="22"/>
          <w:szCs w:val="22"/>
        </w:rPr>
        <w:t xml:space="preserve"> </w:t>
      </w:r>
      <w:r>
        <w:rPr>
          <w:sz w:val="22"/>
          <w:szCs w:val="22"/>
        </w:rPr>
        <w:t>ascertaining existing conditions that make corruption more likely to occur, the motivations or drivers behind such corruption, and the corruption models (“modus operandi”) that thrive in the field, regardless of REDD.</w:t>
      </w:r>
      <w:r w:rsidR="00E62BD1">
        <w:rPr>
          <w:sz w:val="22"/>
          <w:szCs w:val="22"/>
        </w:rPr>
        <w:t xml:space="preserve">  It must be emphasized that names/identities of informants will not be disclosed unless given permission to do so.  </w:t>
      </w:r>
    </w:p>
    <w:p w14:paraId="003DB0CD" w14:textId="77777777" w:rsidR="0048747D" w:rsidRDefault="0048747D" w:rsidP="003C11C9">
      <w:pPr>
        <w:jc w:val="both"/>
        <w:rPr>
          <w:sz w:val="22"/>
          <w:szCs w:val="22"/>
        </w:rPr>
      </w:pPr>
    </w:p>
    <w:p w14:paraId="59B4525B" w14:textId="0B0D03C3" w:rsidR="0048747D" w:rsidRDefault="0048747D" w:rsidP="003C11C9">
      <w:pPr>
        <w:jc w:val="both"/>
        <w:rPr>
          <w:sz w:val="22"/>
          <w:szCs w:val="22"/>
        </w:rPr>
      </w:pPr>
      <w:r>
        <w:rPr>
          <w:sz w:val="22"/>
          <w:szCs w:val="22"/>
        </w:rPr>
        <w:t xml:space="preserve">A </w:t>
      </w:r>
      <w:r>
        <w:rPr>
          <w:b/>
          <w:sz w:val="22"/>
          <w:szCs w:val="22"/>
        </w:rPr>
        <w:t>policy and institutional analysis</w:t>
      </w:r>
      <w:r w:rsidR="0011401C">
        <w:rPr>
          <w:sz w:val="22"/>
          <w:szCs w:val="22"/>
        </w:rPr>
        <w:t xml:space="preserve"> will take</w:t>
      </w:r>
      <w:r w:rsidR="00B813BA">
        <w:rPr>
          <w:sz w:val="22"/>
          <w:szCs w:val="22"/>
        </w:rPr>
        <w:t xml:space="preserve"> place during step two, wherein the data gathered from the stocktaking exercises shall be analyzed and clustered based on</w:t>
      </w:r>
      <w:r w:rsidR="0011401C">
        <w:rPr>
          <w:sz w:val="22"/>
          <w:szCs w:val="22"/>
        </w:rPr>
        <w:t xml:space="preserve"> underlying trends and policy</w:t>
      </w:r>
      <w:r w:rsidR="00B813BA">
        <w:rPr>
          <w:sz w:val="22"/>
          <w:szCs w:val="22"/>
        </w:rPr>
        <w:t xml:space="preserve"> or institutional </w:t>
      </w:r>
      <w:r w:rsidR="0011401C">
        <w:rPr>
          <w:sz w:val="22"/>
          <w:szCs w:val="22"/>
        </w:rPr>
        <w:t>implications</w:t>
      </w:r>
      <w:r w:rsidR="005B0DD5">
        <w:rPr>
          <w:sz w:val="22"/>
          <w:szCs w:val="22"/>
        </w:rPr>
        <w:t xml:space="preserve"> through expert group discussions and consultations</w:t>
      </w:r>
      <w:r w:rsidR="0011401C">
        <w:rPr>
          <w:sz w:val="22"/>
          <w:szCs w:val="22"/>
        </w:rPr>
        <w:t xml:space="preserve">.  </w:t>
      </w:r>
      <w:r w:rsidR="001F0ACA">
        <w:rPr>
          <w:sz w:val="22"/>
          <w:szCs w:val="22"/>
        </w:rPr>
        <w:t>The result</w:t>
      </w:r>
      <w:r w:rsidR="002F2196">
        <w:rPr>
          <w:sz w:val="22"/>
          <w:szCs w:val="22"/>
        </w:rPr>
        <w:t xml:space="preserve"> of this analysis shall undergo validation during the workshop on October 2</w:t>
      </w:r>
      <w:r w:rsidR="00023B12">
        <w:rPr>
          <w:sz w:val="22"/>
          <w:szCs w:val="22"/>
        </w:rPr>
        <w:t>0</w:t>
      </w:r>
      <w:r w:rsidR="002F2196">
        <w:rPr>
          <w:sz w:val="22"/>
          <w:szCs w:val="22"/>
        </w:rPr>
        <w:t>, 2012, which has been dovetailed to the</w:t>
      </w:r>
      <w:r w:rsidR="00AF1A38">
        <w:rPr>
          <w:sz w:val="22"/>
          <w:szCs w:val="22"/>
        </w:rPr>
        <w:t xml:space="preserve"> October </w:t>
      </w:r>
      <w:r w:rsidR="00023B12">
        <w:rPr>
          <w:sz w:val="22"/>
          <w:szCs w:val="22"/>
        </w:rPr>
        <w:t>17-19</w:t>
      </w:r>
      <w:r w:rsidR="002F2196">
        <w:rPr>
          <w:sz w:val="22"/>
          <w:szCs w:val="22"/>
        </w:rPr>
        <w:t xml:space="preserve"> REDD 101 workshop </w:t>
      </w:r>
      <w:r w:rsidR="00023B12">
        <w:rPr>
          <w:sz w:val="22"/>
          <w:szCs w:val="22"/>
        </w:rPr>
        <w:t>for</w:t>
      </w:r>
      <w:r w:rsidR="00AF1A38">
        <w:rPr>
          <w:sz w:val="22"/>
          <w:szCs w:val="22"/>
        </w:rPr>
        <w:t xml:space="preserve"> the</w:t>
      </w:r>
      <w:r w:rsidR="00023B12">
        <w:rPr>
          <w:sz w:val="22"/>
          <w:szCs w:val="22"/>
        </w:rPr>
        <w:t xml:space="preserve"> </w:t>
      </w:r>
      <w:proofErr w:type="spellStart"/>
      <w:r w:rsidR="00AF1A38">
        <w:rPr>
          <w:sz w:val="22"/>
          <w:szCs w:val="22"/>
        </w:rPr>
        <w:t>Visayas</w:t>
      </w:r>
      <w:proofErr w:type="spellEnd"/>
      <w:r w:rsidR="00AF1A38">
        <w:rPr>
          <w:sz w:val="22"/>
          <w:szCs w:val="22"/>
        </w:rPr>
        <w:t xml:space="preserve"> </w:t>
      </w:r>
      <w:r w:rsidR="00023B12">
        <w:rPr>
          <w:sz w:val="22"/>
          <w:szCs w:val="22"/>
        </w:rPr>
        <w:t>and</w:t>
      </w:r>
      <w:r w:rsidR="00AF1A38">
        <w:rPr>
          <w:sz w:val="22"/>
          <w:szCs w:val="22"/>
        </w:rPr>
        <w:t xml:space="preserve"> Mindanao region</w:t>
      </w:r>
      <w:r w:rsidR="00023B12">
        <w:rPr>
          <w:sz w:val="22"/>
          <w:szCs w:val="22"/>
        </w:rPr>
        <w:t>s</w:t>
      </w:r>
      <w:r w:rsidR="00AF1A38">
        <w:rPr>
          <w:sz w:val="22"/>
          <w:szCs w:val="22"/>
        </w:rPr>
        <w:t>.</w:t>
      </w:r>
    </w:p>
    <w:p w14:paraId="75C85B80" w14:textId="77777777" w:rsidR="00486842" w:rsidRDefault="00486842" w:rsidP="003C11C9">
      <w:pPr>
        <w:jc w:val="both"/>
        <w:rPr>
          <w:sz w:val="22"/>
          <w:szCs w:val="22"/>
        </w:rPr>
      </w:pPr>
    </w:p>
    <w:p w14:paraId="226B420D" w14:textId="77777777" w:rsidR="00486842" w:rsidRDefault="00486842" w:rsidP="003C11C9">
      <w:pPr>
        <w:jc w:val="both"/>
        <w:rPr>
          <w:sz w:val="22"/>
          <w:szCs w:val="22"/>
        </w:rPr>
      </w:pPr>
      <w:r>
        <w:rPr>
          <w:sz w:val="22"/>
          <w:szCs w:val="22"/>
        </w:rPr>
        <w:t xml:space="preserve">Step three entails a </w:t>
      </w:r>
      <w:r w:rsidR="00B66E5D">
        <w:rPr>
          <w:b/>
          <w:sz w:val="22"/>
          <w:szCs w:val="22"/>
        </w:rPr>
        <w:t>corruption risk analysis</w:t>
      </w:r>
      <w:r w:rsidR="00B66E5D">
        <w:rPr>
          <w:sz w:val="22"/>
          <w:szCs w:val="22"/>
        </w:rPr>
        <w:t xml:space="preserve"> </w:t>
      </w:r>
      <w:r w:rsidR="00E500DB">
        <w:rPr>
          <w:sz w:val="22"/>
          <w:szCs w:val="22"/>
        </w:rPr>
        <w:t xml:space="preserve">through expert group discussions and consultations.  </w:t>
      </w:r>
      <w:r w:rsidR="00741850">
        <w:rPr>
          <w:sz w:val="22"/>
          <w:szCs w:val="22"/>
        </w:rPr>
        <w:t>During this step, risk criteria for REDD-Plus</w:t>
      </w:r>
      <w:r w:rsidR="002C0E4E">
        <w:rPr>
          <w:sz w:val="22"/>
          <w:szCs w:val="22"/>
        </w:rPr>
        <w:t>,</w:t>
      </w:r>
      <w:r w:rsidR="00741850">
        <w:rPr>
          <w:sz w:val="22"/>
          <w:szCs w:val="22"/>
        </w:rPr>
        <w:t xml:space="preserve"> </w:t>
      </w:r>
      <w:r w:rsidR="002C0E4E">
        <w:rPr>
          <w:sz w:val="22"/>
          <w:szCs w:val="22"/>
        </w:rPr>
        <w:t>as well as a tool to assess the impact and likelihood of corruption on the basis of such risk criteria, shall be developed in order to determine prioritization.  Measures to address corruption risks shall likewise be discussed.</w:t>
      </w:r>
      <w:r w:rsidR="00942132">
        <w:rPr>
          <w:sz w:val="22"/>
          <w:szCs w:val="22"/>
        </w:rPr>
        <w:t xml:space="preserve">  “Polling” shall take place during the second subnational workshop in November, in order to take into account perspectives and other input from IP and local communities.</w:t>
      </w:r>
    </w:p>
    <w:p w14:paraId="07D1ACA4" w14:textId="77777777" w:rsidR="002C0E4E" w:rsidRDefault="002C0E4E" w:rsidP="003C11C9">
      <w:pPr>
        <w:jc w:val="both"/>
        <w:rPr>
          <w:sz w:val="22"/>
          <w:szCs w:val="22"/>
        </w:rPr>
      </w:pPr>
    </w:p>
    <w:p w14:paraId="11D8C0BC" w14:textId="77777777" w:rsidR="002C0E4E" w:rsidRDefault="00C64460" w:rsidP="003C11C9">
      <w:pPr>
        <w:jc w:val="both"/>
        <w:rPr>
          <w:sz w:val="22"/>
          <w:szCs w:val="22"/>
        </w:rPr>
      </w:pPr>
      <w:r>
        <w:rPr>
          <w:sz w:val="22"/>
          <w:szCs w:val="22"/>
        </w:rPr>
        <w:t xml:space="preserve">The tool developed in step three shall be tested </w:t>
      </w:r>
      <w:r w:rsidR="00AF7B83">
        <w:rPr>
          <w:sz w:val="22"/>
          <w:szCs w:val="22"/>
        </w:rPr>
        <w:t>during the second subnational workshop in November, which shall be held in the Sierra Madre Moun</w:t>
      </w:r>
      <w:r w:rsidR="0083131A">
        <w:rPr>
          <w:sz w:val="22"/>
          <w:szCs w:val="22"/>
        </w:rPr>
        <w:t>tain Range area.   It shall likewise</w:t>
      </w:r>
      <w:r w:rsidR="00AF7B83">
        <w:rPr>
          <w:sz w:val="22"/>
          <w:szCs w:val="22"/>
        </w:rPr>
        <w:t xml:space="preserve"> be tested during the final national wo</w:t>
      </w:r>
      <w:r w:rsidR="00041B8C">
        <w:rPr>
          <w:sz w:val="22"/>
          <w:szCs w:val="22"/>
        </w:rPr>
        <w:t xml:space="preserve">rkshop in January 2013, where </w:t>
      </w:r>
      <w:r w:rsidR="00AF7B83">
        <w:rPr>
          <w:sz w:val="22"/>
          <w:szCs w:val="22"/>
        </w:rPr>
        <w:t xml:space="preserve">all the results </w:t>
      </w:r>
      <w:r w:rsidR="00041B8C">
        <w:rPr>
          <w:sz w:val="22"/>
          <w:szCs w:val="22"/>
        </w:rPr>
        <w:t>of the analysis conducted in</w:t>
      </w:r>
      <w:r w:rsidR="00AF7B83">
        <w:rPr>
          <w:sz w:val="22"/>
          <w:szCs w:val="22"/>
        </w:rPr>
        <w:t xml:space="preserve"> step three</w:t>
      </w:r>
      <w:r w:rsidR="0083131A">
        <w:rPr>
          <w:sz w:val="22"/>
          <w:szCs w:val="22"/>
        </w:rPr>
        <w:t>, as well as the results of consultations done in step four,</w:t>
      </w:r>
      <w:r w:rsidR="00AF7B83">
        <w:rPr>
          <w:sz w:val="22"/>
          <w:szCs w:val="22"/>
        </w:rPr>
        <w:t xml:space="preserve"> will be verified.</w:t>
      </w:r>
      <w:r w:rsidR="00041B8C">
        <w:rPr>
          <w:sz w:val="22"/>
          <w:szCs w:val="22"/>
        </w:rPr>
        <w:t xml:space="preserve">  </w:t>
      </w:r>
    </w:p>
    <w:p w14:paraId="4366A5C4" w14:textId="77777777" w:rsidR="00041B8C" w:rsidRDefault="00041B8C" w:rsidP="003C11C9">
      <w:pPr>
        <w:jc w:val="both"/>
        <w:rPr>
          <w:sz w:val="22"/>
          <w:szCs w:val="22"/>
        </w:rPr>
      </w:pPr>
    </w:p>
    <w:p w14:paraId="53F23641" w14:textId="77777777" w:rsidR="00041B8C" w:rsidRPr="001E432F" w:rsidRDefault="00041B8C" w:rsidP="003C11C9">
      <w:pPr>
        <w:jc w:val="both"/>
        <w:rPr>
          <w:sz w:val="22"/>
          <w:szCs w:val="22"/>
        </w:rPr>
      </w:pPr>
      <w:r>
        <w:rPr>
          <w:b/>
          <w:sz w:val="22"/>
          <w:szCs w:val="22"/>
        </w:rPr>
        <w:t>Recommendations</w:t>
      </w:r>
      <w:r>
        <w:rPr>
          <w:sz w:val="22"/>
          <w:szCs w:val="22"/>
        </w:rPr>
        <w:t xml:space="preserve"> in the form of a proposed budget, proposed measures, identified responsibilities for implementation and lessons that may be applicable in other countries shall be </w:t>
      </w:r>
      <w:r w:rsidR="001E432F">
        <w:rPr>
          <w:sz w:val="22"/>
          <w:szCs w:val="22"/>
        </w:rPr>
        <w:t xml:space="preserve">conceptualized in step four.  Although not required under the TOR, </w:t>
      </w:r>
      <w:r w:rsidR="001E432F">
        <w:rPr>
          <w:b/>
          <w:sz w:val="22"/>
          <w:szCs w:val="22"/>
        </w:rPr>
        <w:t xml:space="preserve">refinements to the national REDD strategy </w:t>
      </w:r>
      <w:r w:rsidR="00D02ECE">
        <w:rPr>
          <w:sz w:val="22"/>
          <w:szCs w:val="22"/>
        </w:rPr>
        <w:t>may</w:t>
      </w:r>
      <w:r w:rsidR="001E432F">
        <w:rPr>
          <w:sz w:val="22"/>
          <w:szCs w:val="22"/>
        </w:rPr>
        <w:t xml:space="preserve"> also be</w:t>
      </w:r>
      <w:r w:rsidR="005446A1">
        <w:rPr>
          <w:sz w:val="22"/>
          <w:szCs w:val="22"/>
        </w:rPr>
        <w:t xml:space="preserve"> considered</w:t>
      </w:r>
      <w:r w:rsidR="00D02ECE">
        <w:rPr>
          <w:sz w:val="22"/>
          <w:szCs w:val="22"/>
        </w:rPr>
        <w:t>,</w:t>
      </w:r>
      <w:r w:rsidR="005446A1">
        <w:rPr>
          <w:sz w:val="22"/>
          <w:szCs w:val="22"/>
        </w:rPr>
        <w:t xml:space="preserve"> should time permit.</w:t>
      </w:r>
    </w:p>
    <w:p w14:paraId="0E184497" w14:textId="77777777" w:rsidR="00B324DB" w:rsidRDefault="00B324DB" w:rsidP="00CC4DBE">
      <w:pPr>
        <w:rPr>
          <w:sz w:val="22"/>
          <w:szCs w:val="22"/>
        </w:rPr>
      </w:pPr>
    </w:p>
    <w:p w14:paraId="540C1AB0" w14:textId="77777777" w:rsidR="004017C8" w:rsidRPr="004017C8" w:rsidRDefault="004017C8" w:rsidP="00CC4DBE">
      <w:pPr>
        <w:rPr>
          <w:b/>
          <w:i/>
          <w:sz w:val="18"/>
          <w:szCs w:val="18"/>
        </w:rPr>
      </w:pPr>
      <w:r w:rsidRPr="004017C8">
        <w:rPr>
          <w:b/>
          <w:i/>
          <w:sz w:val="18"/>
          <w:szCs w:val="18"/>
        </w:rPr>
        <w:t>Table of steps involved in the CRA Project Process.</w:t>
      </w:r>
    </w:p>
    <w:tbl>
      <w:tblPr>
        <w:tblStyle w:val="LightList-Accent1"/>
        <w:tblW w:w="0" w:type="auto"/>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Look w:val="04A0" w:firstRow="1" w:lastRow="0" w:firstColumn="1" w:lastColumn="0" w:noHBand="0" w:noVBand="1"/>
      </w:tblPr>
      <w:tblGrid>
        <w:gridCol w:w="2563"/>
        <w:gridCol w:w="2130"/>
        <w:gridCol w:w="2312"/>
        <w:gridCol w:w="2571"/>
      </w:tblGrid>
      <w:tr w:rsidR="00B324DB" w:rsidRPr="00B324DB" w14:paraId="67CEF38E" w14:textId="77777777" w:rsidTr="00D14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shd w:val="solid" w:color="0F243E" w:themeColor="text2" w:themeShade="80" w:fill="auto"/>
          </w:tcPr>
          <w:p w14:paraId="6F68B6DD" w14:textId="77777777" w:rsidR="00B324DB" w:rsidRPr="00B324DB" w:rsidRDefault="00B324DB" w:rsidP="00D14EE8">
            <w:pPr>
              <w:jc w:val="center"/>
              <w:rPr>
                <w:sz w:val="20"/>
                <w:szCs w:val="20"/>
              </w:rPr>
            </w:pPr>
            <w:r w:rsidRPr="00B324DB">
              <w:rPr>
                <w:sz w:val="20"/>
                <w:szCs w:val="20"/>
              </w:rPr>
              <w:t>CRA Steps Involved</w:t>
            </w:r>
          </w:p>
        </w:tc>
        <w:tc>
          <w:tcPr>
            <w:tcW w:w="3294" w:type="dxa"/>
            <w:shd w:val="solid" w:color="0F243E" w:themeColor="text2" w:themeShade="80" w:fill="auto"/>
          </w:tcPr>
          <w:p w14:paraId="1F3C2FD4" w14:textId="77777777" w:rsidR="00B324DB" w:rsidRPr="00B324DB" w:rsidRDefault="00B324DB" w:rsidP="00D14EE8">
            <w:pPr>
              <w:jc w:val="center"/>
              <w:cnfStyle w:val="100000000000" w:firstRow="1" w:lastRow="0" w:firstColumn="0" w:lastColumn="0" w:oddVBand="0" w:evenVBand="0" w:oddHBand="0" w:evenHBand="0" w:firstRowFirstColumn="0" w:firstRowLastColumn="0" w:lastRowFirstColumn="0" w:lastRowLastColumn="0"/>
              <w:rPr>
                <w:sz w:val="20"/>
                <w:szCs w:val="20"/>
              </w:rPr>
            </w:pPr>
            <w:r w:rsidRPr="00B324DB">
              <w:rPr>
                <w:sz w:val="20"/>
                <w:szCs w:val="20"/>
              </w:rPr>
              <w:t>Time Frame</w:t>
            </w:r>
          </w:p>
        </w:tc>
        <w:tc>
          <w:tcPr>
            <w:tcW w:w="3294" w:type="dxa"/>
            <w:shd w:val="solid" w:color="0F243E" w:themeColor="text2" w:themeShade="80" w:fill="auto"/>
          </w:tcPr>
          <w:p w14:paraId="63038F16" w14:textId="77777777" w:rsidR="00B324DB" w:rsidRPr="00B324DB" w:rsidRDefault="00B324DB" w:rsidP="00D14EE8">
            <w:pPr>
              <w:jc w:val="center"/>
              <w:cnfStyle w:val="100000000000" w:firstRow="1" w:lastRow="0" w:firstColumn="0" w:lastColumn="0" w:oddVBand="0" w:evenVBand="0" w:oddHBand="0" w:evenHBand="0" w:firstRowFirstColumn="0" w:firstRowLastColumn="0" w:lastRowFirstColumn="0" w:lastRowLastColumn="0"/>
              <w:rPr>
                <w:sz w:val="20"/>
                <w:szCs w:val="20"/>
              </w:rPr>
            </w:pPr>
            <w:r w:rsidRPr="00B324DB">
              <w:rPr>
                <w:sz w:val="20"/>
                <w:szCs w:val="20"/>
              </w:rPr>
              <w:t>Output</w:t>
            </w:r>
          </w:p>
        </w:tc>
        <w:tc>
          <w:tcPr>
            <w:tcW w:w="3294" w:type="dxa"/>
            <w:shd w:val="solid" w:color="0F243E" w:themeColor="text2" w:themeShade="80" w:fill="auto"/>
          </w:tcPr>
          <w:p w14:paraId="1A952C3E" w14:textId="77777777" w:rsidR="00B324DB" w:rsidRPr="00B324DB" w:rsidRDefault="00B324DB" w:rsidP="00D14EE8">
            <w:pPr>
              <w:jc w:val="center"/>
              <w:cnfStyle w:val="100000000000" w:firstRow="1" w:lastRow="0" w:firstColumn="0" w:lastColumn="0" w:oddVBand="0" w:evenVBand="0" w:oddHBand="0" w:evenHBand="0" w:firstRowFirstColumn="0" w:firstRowLastColumn="0" w:lastRowFirstColumn="0" w:lastRowLastColumn="0"/>
              <w:rPr>
                <w:sz w:val="20"/>
                <w:szCs w:val="20"/>
              </w:rPr>
            </w:pPr>
            <w:r w:rsidRPr="00B324DB">
              <w:rPr>
                <w:sz w:val="20"/>
                <w:szCs w:val="20"/>
              </w:rPr>
              <w:t>Activities</w:t>
            </w:r>
          </w:p>
        </w:tc>
      </w:tr>
      <w:tr w:rsidR="00B324DB" w:rsidRPr="00B324DB" w14:paraId="0F92FC31" w14:textId="77777777" w:rsidTr="00D14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Borders>
              <w:top w:val="none" w:sz="0" w:space="0" w:color="auto"/>
              <w:left w:val="none" w:sz="0" w:space="0" w:color="auto"/>
              <w:bottom w:val="none" w:sz="0" w:space="0" w:color="auto"/>
            </w:tcBorders>
            <w:shd w:val="clear" w:color="auto" w:fill="auto"/>
          </w:tcPr>
          <w:p w14:paraId="09626ECC" w14:textId="77777777" w:rsidR="00B324DB" w:rsidRPr="00B324DB" w:rsidRDefault="00B324DB" w:rsidP="00D14EE8">
            <w:pPr>
              <w:rPr>
                <w:sz w:val="20"/>
                <w:szCs w:val="20"/>
              </w:rPr>
            </w:pPr>
            <w:r w:rsidRPr="00B324DB">
              <w:rPr>
                <w:sz w:val="20"/>
                <w:szCs w:val="20"/>
              </w:rPr>
              <w:t>Step 1:</w:t>
            </w:r>
          </w:p>
          <w:p w14:paraId="20414447" w14:textId="77777777" w:rsidR="00B324DB" w:rsidRPr="00B324DB" w:rsidRDefault="00B324DB" w:rsidP="00D14EE8">
            <w:pPr>
              <w:rPr>
                <w:sz w:val="20"/>
                <w:szCs w:val="20"/>
              </w:rPr>
            </w:pPr>
            <w:r w:rsidRPr="00B324DB">
              <w:rPr>
                <w:sz w:val="20"/>
                <w:szCs w:val="20"/>
              </w:rPr>
              <w:t>Stocktaking/Lit Review</w:t>
            </w:r>
          </w:p>
        </w:tc>
        <w:tc>
          <w:tcPr>
            <w:tcW w:w="3294" w:type="dxa"/>
            <w:tcBorders>
              <w:top w:val="none" w:sz="0" w:space="0" w:color="auto"/>
              <w:bottom w:val="none" w:sz="0" w:space="0" w:color="auto"/>
            </w:tcBorders>
            <w:shd w:val="clear" w:color="auto" w:fill="auto"/>
          </w:tcPr>
          <w:p w14:paraId="02E52C2B"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Sept. 19 to Oct. 17, 2012</w:t>
            </w:r>
          </w:p>
        </w:tc>
        <w:tc>
          <w:tcPr>
            <w:tcW w:w="3294" w:type="dxa"/>
            <w:tcBorders>
              <w:top w:val="none" w:sz="0" w:space="0" w:color="auto"/>
              <w:bottom w:val="none" w:sz="0" w:space="0" w:color="auto"/>
            </w:tcBorders>
            <w:shd w:val="clear" w:color="auto" w:fill="auto"/>
          </w:tcPr>
          <w:p w14:paraId="2CDC0EF7"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i/>
                <w:sz w:val="20"/>
                <w:szCs w:val="20"/>
              </w:rPr>
            </w:pPr>
            <w:r w:rsidRPr="00B324DB">
              <w:rPr>
                <w:i/>
                <w:sz w:val="20"/>
                <w:szCs w:val="20"/>
              </w:rPr>
              <w:t>September 25, 2012:</w:t>
            </w:r>
          </w:p>
          <w:p w14:paraId="1136ED0E"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Inception report with contextualized methodology</w:t>
            </w:r>
          </w:p>
          <w:p w14:paraId="0330FBF8"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p>
          <w:p w14:paraId="093F1052"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i/>
                <w:sz w:val="20"/>
                <w:szCs w:val="20"/>
              </w:rPr>
            </w:pPr>
            <w:r w:rsidRPr="00B324DB">
              <w:rPr>
                <w:i/>
                <w:sz w:val="20"/>
                <w:szCs w:val="20"/>
              </w:rPr>
              <w:t>October 14, 2012:</w:t>
            </w:r>
          </w:p>
          <w:p w14:paraId="5361C83F"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Briefer containing review of related literature and preliminary stocktaking</w:t>
            </w:r>
          </w:p>
        </w:tc>
        <w:tc>
          <w:tcPr>
            <w:tcW w:w="3294" w:type="dxa"/>
            <w:tcBorders>
              <w:top w:val="none" w:sz="0" w:space="0" w:color="auto"/>
              <w:bottom w:val="none" w:sz="0" w:space="0" w:color="auto"/>
              <w:right w:val="none" w:sz="0" w:space="0" w:color="auto"/>
            </w:tcBorders>
            <w:shd w:val="clear" w:color="auto" w:fill="auto"/>
          </w:tcPr>
          <w:p w14:paraId="694BFB08"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i/>
                <w:sz w:val="20"/>
                <w:szCs w:val="20"/>
              </w:rPr>
            </w:pPr>
            <w:r w:rsidRPr="00B324DB">
              <w:rPr>
                <w:i/>
                <w:sz w:val="20"/>
                <w:szCs w:val="20"/>
              </w:rPr>
              <w:t>Sept. 18 to Oct. 10, 2012:</w:t>
            </w:r>
          </w:p>
          <w:p w14:paraId="22EA50E1" w14:textId="77777777" w:rsidR="00B324DB" w:rsidRPr="00B324DB" w:rsidRDefault="00B324DB" w:rsidP="00B324DB">
            <w:pPr>
              <w:pStyle w:val="ListParagraph"/>
              <w:numPr>
                <w:ilvl w:val="0"/>
                <w:numId w:val="14"/>
              </w:numPr>
              <w:ind w:left="324" w:hanging="283"/>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Series of focus group/round table discussions (FGD/RTD) and key informant interviews (KII) with representatives of different sectors of society, such as the academe, government, and civil society organizations.</w:t>
            </w:r>
          </w:p>
          <w:p w14:paraId="122D7B97" w14:textId="77777777" w:rsidR="00B324DB" w:rsidRPr="00B324DB" w:rsidRDefault="00B324DB" w:rsidP="00B324DB">
            <w:pPr>
              <w:pStyle w:val="ListParagraph"/>
              <w:numPr>
                <w:ilvl w:val="0"/>
                <w:numId w:val="14"/>
              </w:numPr>
              <w:ind w:left="324" w:hanging="283"/>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Review of related literature</w:t>
            </w:r>
          </w:p>
          <w:p w14:paraId="75EB1E01"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p>
          <w:p w14:paraId="57EAF782"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i/>
                <w:sz w:val="20"/>
                <w:szCs w:val="20"/>
              </w:rPr>
              <w:t>October 15 to 16, 2012:</w:t>
            </w:r>
          </w:p>
          <w:p w14:paraId="6C262CD6"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 xml:space="preserve">National workshop </w:t>
            </w:r>
          </w:p>
        </w:tc>
      </w:tr>
      <w:tr w:rsidR="00B324DB" w:rsidRPr="00B324DB" w14:paraId="2B7C6469" w14:textId="77777777" w:rsidTr="00D14EE8">
        <w:tc>
          <w:tcPr>
            <w:cnfStyle w:val="001000000000" w:firstRow="0" w:lastRow="0" w:firstColumn="1" w:lastColumn="0" w:oddVBand="0" w:evenVBand="0" w:oddHBand="0" w:evenHBand="0" w:firstRowFirstColumn="0" w:firstRowLastColumn="0" w:lastRowFirstColumn="0" w:lastRowLastColumn="0"/>
            <w:tcW w:w="3294" w:type="dxa"/>
            <w:shd w:val="clear" w:color="auto" w:fill="auto"/>
          </w:tcPr>
          <w:p w14:paraId="14E18D64" w14:textId="77777777" w:rsidR="00B324DB" w:rsidRPr="00B324DB" w:rsidRDefault="00B324DB" w:rsidP="00D14EE8">
            <w:pPr>
              <w:rPr>
                <w:sz w:val="20"/>
                <w:szCs w:val="20"/>
              </w:rPr>
            </w:pPr>
            <w:r w:rsidRPr="00B324DB">
              <w:rPr>
                <w:sz w:val="20"/>
                <w:szCs w:val="20"/>
              </w:rPr>
              <w:lastRenderedPageBreak/>
              <w:t>Step 2:</w:t>
            </w:r>
          </w:p>
          <w:p w14:paraId="2BF9E18A" w14:textId="77777777" w:rsidR="00B324DB" w:rsidRPr="00B324DB" w:rsidRDefault="00B324DB" w:rsidP="00D14EE8">
            <w:pPr>
              <w:rPr>
                <w:sz w:val="20"/>
                <w:szCs w:val="20"/>
              </w:rPr>
            </w:pPr>
            <w:r w:rsidRPr="00B324DB">
              <w:rPr>
                <w:sz w:val="20"/>
                <w:szCs w:val="20"/>
              </w:rPr>
              <w:t>Policy and Institutional Analysis</w:t>
            </w:r>
          </w:p>
        </w:tc>
        <w:tc>
          <w:tcPr>
            <w:tcW w:w="3294" w:type="dxa"/>
            <w:shd w:val="clear" w:color="auto" w:fill="auto"/>
          </w:tcPr>
          <w:p w14:paraId="2C4E250E"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r w:rsidRPr="00B324DB">
              <w:rPr>
                <w:sz w:val="20"/>
                <w:szCs w:val="20"/>
              </w:rPr>
              <w:t>Oct. 17 to 27, 2012</w:t>
            </w:r>
          </w:p>
        </w:tc>
        <w:tc>
          <w:tcPr>
            <w:tcW w:w="3294" w:type="dxa"/>
            <w:shd w:val="clear" w:color="auto" w:fill="auto"/>
          </w:tcPr>
          <w:p w14:paraId="4CF04D39" w14:textId="38A48245"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i/>
                <w:sz w:val="20"/>
                <w:szCs w:val="20"/>
              </w:rPr>
            </w:pPr>
            <w:r w:rsidRPr="00B324DB">
              <w:rPr>
                <w:i/>
                <w:sz w:val="20"/>
                <w:szCs w:val="20"/>
              </w:rPr>
              <w:t xml:space="preserve">October </w:t>
            </w:r>
            <w:r w:rsidR="00023B12">
              <w:rPr>
                <w:i/>
                <w:sz w:val="20"/>
                <w:szCs w:val="20"/>
              </w:rPr>
              <w:t>17</w:t>
            </w:r>
            <w:r w:rsidRPr="00B324DB">
              <w:rPr>
                <w:i/>
                <w:sz w:val="20"/>
                <w:szCs w:val="20"/>
              </w:rPr>
              <w:t>, 2012:</w:t>
            </w:r>
          </w:p>
          <w:p w14:paraId="39CF53F5"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r w:rsidRPr="00B324DB">
              <w:rPr>
                <w:sz w:val="20"/>
                <w:szCs w:val="20"/>
              </w:rPr>
              <w:t>Synthesis of data accumulated from FGD/RTD, KII’s, lit review and national workshop</w:t>
            </w:r>
          </w:p>
          <w:p w14:paraId="61D4A615"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p>
          <w:p w14:paraId="35F469CB" w14:textId="4DDD6398"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i/>
                <w:sz w:val="20"/>
                <w:szCs w:val="20"/>
              </w:rPr>
            </w:pPr>
            <w:r w:rsidRPr="00B324DB">
              <w:rPr>
                <w:i/>
                <w:sz w:val="20"/>
                <w:szCs w:val="20"/>
              </w:rPr>
              <w:t>Octo</w:t>
            </w:r>
            <w:bookmarkStart w:id="0" w:name="_GoBack"/>
            <w:bookmarkEnd w:id="0"/>
            <w:r w:rsidRPr="00B324DB">
              <w:rPr>
                <w:i/>
                <w:sz w:val="20"/>
                <w:szCs w:val="20"/>
              </w:rPr>
              <w:t xml:space="preserve">ber </w:t>
            </w:r>
            <w:r w:rsidR="00023B12">
              <w:rPr>
                <w:i/>
                <w:sz w:val="20"/>
                <w:szCs w:val="20"/>
              </w:rPr>
              <w:t>19</w:t>
            </w:r>
            <w:r w:rsidRPr="00B324DB">
              <w:rPr>
                <w:i/>
                <w:sz w:val="20"/>
                <w:szCs w:val="20"/>
              </w:rPr>
              <w:t>, 2012:</w:t>
            </w:r>
          </w:p>
          <w:p w14:paraId="7C8B5561" w14:textId="4B5FB698" w:rsid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r w:rsidRPr="00B324DB">
              <w:rPr>
                <w:sz w:val="20"/>
                <w:szCs w:val="20"/>
              </w:rPr>
              <w:t>P</w:t>
            </w:r>
            <w:r w:rsidR="00023B12">
              <w:rPr>
                <w:sz w:val="20"/>
                <w:szCs w:val="20"/>
              </w:rPr>
              <w:t>reliminary p</w:t>
            </w:r>
            <w:r w:rsidRPr="00B324DB">
              <w:rPr>
                <w:sz w:val="20"/>
                <w:szCs w:val="20"/>
              </w:rPr>
              <w:t>olicy and institutional analysis</w:t>
            </w:r>
          </w:p>
          <w:p w14:paraId="085752C4" w14:textId="77777777" w:rsidR="00E83FD1" w:rsidRDefault="00E83FD1" w:rsidP="00D14EE8">
            <w:pPr>
              <w:cnfStyle w:val="000000000000" w:firstRow="0" w:lastRow="0" w:firstColumn="0" w:lastColumn="0" w:oddVBand="0" w:evenVBand="0" w:oddHBand="0" w:evenHBand="0" w:firstRowFirstColumn="0" w:firstRowLastColumn="0" w:lastRowFirstColumn="0" w:lastRowLastColumn="0"/>
              <w:rPr>
                <w:sz w:val="20"/>
                <w:szCs w:val="20"/>
              </w:rPr>
            </w:pPr>
          </w:p>
          <w:p w14:paraId="4C6B7092" w14:textId="77777777" w:rsidR="00023B12" w:rsidRPr="00917C65" w:rsidRDefault="00023B12" w:rsidP="00023B12">
            <w:pPr>
              <w:cnfStyle w:val="000000000000" w:firstRow="0" w:lastRow="0" w:firstColumn="0" w:lastColumn="0" w:oddVBand="0" w:evenVBand="0" w:oddHBand="0" w:evenHBand="0" w:firstRowFirstColumn="0" w:firstRowLastColumn="0" w:lastRowFirstColumn="0" w:lastRowLastColumn="0"/>
              <w:rPr>
                <w:i/>
                <w:sz w:val="20"/>
                <w:szCs w:val="20"/>
              </w:rPr>
            </w:pPr>
            <w:r w:rsidRPr="00917C65">
              <w:rPr>
                <w:i/>
                <w:sz w:val="20"/>
                <w:szCs w:val="20"/>
              </w:rPr>
              <w:t>October 27, 2012:</w:t>
            </w:r>
          </w:p>
          <w:p w14:paraId="190EEBAB" w14:textId="41428ADF" w:rsidR="00E83FD1" w:rsidRPr="00B324DB" w:rsidRDefault="00023B12" w:rsidP="00D14EE8">
            <w:pPr>
              <w:cnfStyle w:val="000000000000" w:firstRow="0" w:lastRow="0" w:firstColumn="0" w:lastColumn="0" w:oddVBand="0" w:evenVBand="0" w:oddHBand="0" w:evenHBand="0" w:firstRowFirstColumn="0" w:firstRowLastColumn="0" w:lastRowFirstColumn="0" w:lastRowLastColumn="0"/>
              <w:rPr>
                <w:sz w:val="20"/>
                <w:szCs w:val="20"/>
              </w:rPr>
            </w:pPr>
            <w:r w:rsidRPr="00917C65">
              <w:rPr>
                <w:sz w:val="20"/>
                <w:szCs w:val="20"/>
              </w:rPr>
              <w:t xml:space="preserve">Policy and institutional analysis, taking into account result of October 20 </w:t>
            </w:r>
            <w:proofErr w:type="gramStart"/>
            <w:r w:rsidRPr="00917C65">
              <w:rPr>
                <w:sz w:val="20"/>
                <w:szCs w:val="20"/>
              </w:rPr>
              <w:t>workshop</w:t>
            </w:r>
            <w:proofErr w:type="gramEnd"/>
            <w:r w:rsidRPr="00917C65">
              <w:rPr>
                <w:sz w:val="20"/>
                <w:szCs w:val="20"/>
              </w:rPr>
              <w:t>.</w:t>
            </w:r>
          </w:p>
        </w:tc>
        <w:tc>
          <w:tcPr>
            <w:tcW w:w="3294" w:type="dxa"/>
            <w:shd w:val="clear" w:color="auto" w:fill="auto"/>
          </w:tcPr>
          <w:p w14:paraId="6C73B704" w14:textId="2B2936E5"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i/>
                <w:sz w:val="20"/>
                <w:szCs w:val="20"/>
              </w:rPr>
            </w:pPr>
            <w:r w:rsidRPr="00B324DB">
              <w:rPr>
                <w:i/>
                <w:sz w:val="20"/>
                <w:szCs w:val="20"/>
              </w:rPr>
              <w:t xml:space="preserve">October 17 to </w:t>
            </w:r>
            <w:r w:rsidR="00023B12">
              <w:rPr>
                <w:i/>
                <w:sz w:val="20"/>
                <w:szCs w:val="20"/>
              </w:rPr>
              <w:t>27</w:t>
            </w:r>
            <w:r w:rsidRPr="00B324DB">
              <w:rPr>
                <w:i/>
                <w:sz w:val="20"/>
                <w:szCs w:val="20"/>
              </w:rPr>
              <w:t>:</w:t>
            </w:r>
          </w:p>
          <w:p w14:paraId="2E4101A0"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r w:rsidRPr="00B324DB">
              <w:rPr>
                <w:sz w:val="20"/>
                <w:szCs w:val="20"/>
              </w:rPr>
              <w:t>Analysis and clustering (with experts) of data gathered during stocktaking based on trends and relevant policies/institutions</w:t>
            </w:r>
          </w:p>
          <w:p w14:paraId="0EE823A1"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i/>
                <w:sz w:val="20"/>
                <w:szCs w:val="20"/>
              </w:rPr>
            </w:pPr>
          </w:p>
          <w:p w14:paraId="7AAB9C6B" w14:textId="778598B9"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i/>
                <w:sz w:val="20"/>
                <w:szCs w:val="20"/>
              </w:rPr>
            </w:pPr>
            <w:r w:rsidRPr="00B324DB">
              <w:rPr>
                <w:i/>
                <w:sz w:val="20"/>
                <w:szCs w:val="20"/>
              </w:rPr>
              <w:t>October 2</w:t>
            </w:r>
            <w:r w:rsidR="00023B12">
              <w:rPr>
                <w:i/>
                <w:sz w:val="20"/>
                <w:szCs w:val="20"/>
              </w:rPr>
              <w:t>0</w:t>
            </w:r>
            <w:r w:rsidRPr="00B324DB">
              <w:rPr>
                <w:i/>
                <w:sz w:val="20"/>
                <w:szCs w:val="20"/>
              </w:rPr>
              <w:t>, 2012:</w:t>
            </w:r>
          </w:p>
          <w:p w14:paraId="249CB945"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r w:rsidRPr="00B324DB">
              <w:rPr>
                <w:sz w:val="20"/>
                <w:szCs w:val="20"/>
              </w:rPr>
              <w:t>Subnational workshop to validate policy and institutional analysis</w:t>
            </w:r>
          </w:p>
        </w:tc>
      </w:tr>
      <w:tr w:rsidR="00B324DB" w:rsidRPr="00B324DB" w14:paraId="1F8F51DF" w14:textId="77777777" w:rsidTr="00D14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Borders>
              <w:top w:val="none" w:sz="0" w:space="0" w:color="auto"/>
              <w:left w:val="none" w:sz="0" w:space="0" w:color="auto"/>
              <w:bottom w:val="none" w:sz="0" w:space="0" w:color="auto"/>
            </w:tcBorders>
            <w:shd w:val="clear" w:color="auto" w:fill="auto"/>
          </w:tcPr>
          <w:p w14:paraId="5E24C98A" w14:textId="77777777" w:rsidR="00B324DB" w:rsidRPr="00B324DB" w:rsidRDefault="00B324DB" w:rsidP="00D14EE8">
            <w:pPr>
              <w:rPr>
                <w:sz w:val="20"/>
                <w:szCs w:val="20"/>
              </w:rPr>
            </w:pPr>
            <w:r w:rsidRPr="00B324DB">
              <w:rPr>
                <w:sz w:val="20"/>
                <w:szCs w:val="20"/>
              </w:rPr>
              <w:t>Step 3:</w:t>
            </w:r>
          </w:p>
          <w:p w14:paraId="44549238" w14:textId="77777777" w:rsidR="00B324DB" w:rsidRPr="00B324DB" w:rsidRDefault="00B324DB" w:rsidP="00D14EE8">
            <w:pPr>
              <w:rPr>
                <w:sz w:val="20"/>
                <w:szCs w:val="20"/>
              </w:rPr>
            </w:pPr>
            <w:r w:rsidRPr="00B324DB">
              <w:rPr>
                <w:sz w:val="20"/>
                <w:szCs w:val="20"/>
              </w:rPr>
              <w:t>Corruption Risk Analysis for REDD-Plus</w:t>
            </w:r>
          </w:p>
        </w:tc>
        <w:tc>
          <w:tcPr>
            <w:tcW w:w="3294" w:type="dxa"/>
            <w:tcBorders>
              <w:top w:val="none" w:sz="0" w:space="0" w:color="auto"/>
              <w:bottom w:val="none" w:sz="0" w:space="0" w:color="auto"/>
            </w:tcBorders>
            <w:shd w:val="clear" w:color="auto" w:fill="auto"/>
          </w:tcPr>
          <w:p w14:paraId="7B7A3513"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Oct. 28 to Nov. 20, 2012</w:t>
            </w:r>
          </w:p>
        </w:tc>
        <w:tc>
          <w:tcPr>
            <w:tcW w:w="3294" w:type="dxa"/>
            <w:tcBorders>
              <w:top w:val="none" w:sz="0" w:space="0" w:color="auto"/>
              <w:bottom w:val="none" w:sz="0" w:space="0" w:color="auto"/>
            </w:tcBorders>
            <w:shd w:val="clear" w:color="auto" w:fill="auto"/>
          </w:tcPr>
          <w:p w14:paraId="1A5305BA" w14:textId="77777777" w:rsidR="00E83FD1" w:rsidRDefault="00E83FD1" w:rsidP="00D14EE8">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CRA tool</w:t>
            </w:r>
          </w:p>
          <w:p w14:paraId="7E0F72BB" w14:textId="77777777" w:rsidR="00E83FD1" w:rsidRDefault="00E83FD1" w:rsidP="00D14EE8">
            <w:pPr>
              <w:cnfStyle w:val="000000100000" w:firstRow="0" w:lastRow="0" w:firstColumn="0" w:lastColumn="0" w:oddVBand="0" w:evenVBand="0" w:oddHBand="1" w:evenHBand="0" w:firstRowFirstColumn="0" w:firstRowLastColumn="0" w:lastRowFirstColumn="0" w:lastRowLastColumn="0"/>
              <w:rPr>
                <w:i/>
                <w:sz w:val="20"/>
                <w:szCs w:val="20"/>
              </w:rPr>
            </w:pPr>
          </w:p>
          <w:p w14:paraId="31B158AF"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i/>
                <w:sz w:val="20"/>
                <w:szCs w:val="20"/>
              </w:rPr>
            </w:pPr>
            <w:r w:rsidRPr="00B324DB">
              <w:rPr>
                <w:i/>
                <w:sz w:val="20"/>
                <w:szCs w:val="20"/>
              </w:rPr>
              <w:t>November 15, 2012:</w:t>
            </w:r>
          </w:p>
          <w:p w14:paraId="7BA40903" w14:textId="77777777" w:rsidR="00B324DB" w:rsidRDefault="00942132" w:rsidP="00D14EE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Draft of </w:t>
            </w:r>
            <w:r w:rsidR="00B324DB" w:rsidRPr="00B324DB">
              <w:rPr>
                <w:sz w:val="20"/>
                <w:szCs w:val="20"/>
              </w:rPr>
              <w:t>First Report</w:t>
            </w:r>
          </w:p>
          <w:p w14:paraId="5EFAB751" w14:textId="77777777" w:rsidR="00942132" w:rsidRDefault="00942132" w:rsidP="00D14EE8">
            <w:pPr>
              <w:cnfStyle w:val="000000100000" w:firstRow="0" w:lastRow="0" w:firstColumn="0" w:lastColumn="0" w:oddVBand="0" w:evenVBand="0" w:oddHBand="1" w:evenHBand="0" w:firstRowFirstColumn="0" w:firstRowLastColumn="0" w:lastRowFirstColumn="0" w:lastRowLastColumn="0"/>
              <w:rPr>
                <w:sz w:val="20"/>
                <w:szCs w:val="20"/>
              </w:rPr>
            </w:pPr>
          </w:p>
          <w:p w14:paraId="535788C0" w14:textId="77777777" w:rsidR="00942132" w:rsidRDefault="00942132" w:rsidP="00D14EE8">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November 25, 2012:</w:t>
            </w:r>
          </w:p>
          <w:p w14:paraId="6025FDEC" w14:textId="77777777" w:rsidR="00942132" w:rsidRPr="00942132" w:rsidRDefault="00942132" w:rsidP="00D14EE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First Report</w:t>
            </w:r>
          </w:p>
        </w:tc>
        <w:tc>
          <w:tcPr>
            <w:tcW w:w="3294" w:type="dxa"/>
            <w:tcBorders>
              <w:top w:val="none" w:sz="0" w:space="0" w:color="auto"/>
              <w:bottom w:val="none" w:sz="0" w:space="0" w:color="auto"/>
              <w:right w:val="none" w:sz="0" w:space="0" w:color="auto"/>
            </w:tcBorders>
            <w:shd w:val="clear" w:color="auto" w:fill="auto"/>
          </w:tcPr>
          <w:p w14:paraId="2C8B2E36"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i/>
                <w:sz w:val="20"/>
                <w:szCs w:val="20"/>
              </w:rPr>
            </w:pPr>
            <w:r w:rsidRPr="00B324DB">
              <w:rPr>
                <w:i/>
                <w:sz w:val="20"/>
                <w:szCs w:val="20"/>
              </w:rPr>
              <w:t>Oct. 28 to Nov. 20, 2012:</w:t>
            </w:r>
          </w:p>
          <w:p w14:paraId="7278A189"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Expert discussions and consultations to develop the following:</w:t>
            </w:r>
          </w:p>
          <w:p w14:paraId="18D9EF65" w14:textId="77777777" w:rsidR="00B324DB" w:rsidRPr="00B324DB" w:rsidRDefault="00B324DB" w:rsidP="00B324DB">
            <w:pPr>
              <w:pStyle w:val="ListParagraph"/>
              <w:numPr>
                <w:ilvl w:val="0"/>
                <w:numId w:val="15"/>
              </w:numPr>
              <w:ind w:left="324" w:hanging="283"/>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Risk criteria</w:t>
            </w:r>
          </w:p>
          <w:p w14:paraId="7BC1BB72" w14:textId="77777777" w:rsidR="00B324DB" w:rsidRPr="00B324DB" w:rsidRDefault="00B324DB" w:rsidP="00B324DB">
            <w:pPr>
              <w:pStyle w:val="ListParagraph"/>
              <w:numPr>
                <w:ilvl w:val="0"/>
                <w:numId w:val="15"/>
              </w:numPr>
              <w:ind w:left="324" w:hanging="283"/>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Tool to assess impact and likelihood based on the risk criteria developed</w:t>
            </w:r>
          </w:p>
          <w:p w14:paraId="524108BD" w14:textId="77777777" w:rsidR="00B324DB" w:rsidRPr="00B324DB" w:rsidRDefault="00B324DB" w:rsidP="00B324DB">
            <w:pPr>
              <w:pStyle w:val="ListParagraph"/>
              <w:numPr>
                <w:ilvl w:val="0"/>
                <w:numId w:val="15"/>
              </w:numPr>
              <w:ind w:left="324" w:hanging="283"/>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Prioritization of risks</w:t>
            </w:r>
          </w:p>
          <w:p w14:paraId="23F90C1C" w14:textId="77777777" w:rsidR="00B324DB" w:rsidRPr="00B324DB" w:rsidRDefault="00B324DB" w:rsidP="00B324DB">
            <w:pPr>
              <w:pStyle w:val="ListParagraph"/>
              <w:numPr>
                <w:ilvl w:val="0"/>
                <w:numId w:val="15"/>
              </w:numPr>
              <w:ind w:left="324" w:hanging="283"/>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Measures to address risks</w:t>
            </w:r>
          </w:p>
          <w:p w14:paraId="245252A9"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p>
          <w:p w14:paraId="0539D1A0"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i/>
                <w:sz w:val="20"/>
                <w:szCs w:val="20"/>
              </w:rPr>
            </w:pPr>
            <w:r w:rsidRPr="00B324DB">
              <w:rPr>
                <w:i/>
                <w:sz w:val="20"/>
                <w:szCs w:val="20"/>
              </w:rPr>
              <w:t>November 20, 2012:</w:t>
            </w:r>
          </w:p>
          <w:p w14:paraId="162B8B65"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Subnational workshop to test the developed CRA tool</w:t>
            </w:r>
          </w:p>
        </w:tc>
      </w:tr>
      <w:tr w:rsidR="00B324DB" w:rsidRPr="00B324DB" w14:paraId="2102A99C" w14:textId="77777777" w:rsidTr="00D14EE8">
        <w:tc>
          <w:tcPr>
            <w:cnfStyle w:val="001000000000" w:firstRow="0" w:lastRow="0" w:firstColumn="1" w:lastColumn="0" w:oddVBand="0" w:evenVBand="0" w:oddHBand="0" w:evenHBand="0" w:firstRowFirstColumn="0" w:firstRowLastColumn="0" w:lastRowFirstColumn="0" w:lastRowLastColumn="0"/>
            <w:tcW w:w="3294" w:type="dxa"/>
            <w:tcBorders>
              <w:bottom w:val="dashed" w:sz="4" w:space="0" w:color="auto"/>
            </w:tcBorders>
            <w:shd w:val="clear" w:color="auto" w:fill="auto"/>
          </w:tcPr>
          <w:p w14:paraId="5844A9FB" w14:textId="77777777" w:rsidR="00B324DB" w:rsidRPr="00B324DB" w:rsidRDefault="00B324DB" w:rsidP="00D14EE8">
            <w:pPr>
              <w:rPr>
                <w:sz w:val="20"/>
                <w:szCs w:val="20"/>
              </w:rPr>
            </w:pPr>
            <w:r w:rsidRPr="00B324DB">
              <w:rPr>
                <w:sz w:val="20"/>
                <w:szCs w:val="20"/>
              </w:rPr>
              <w:t>Step 4:</w:t>
            </w:r>
          </w:p>
          <w:p w14:paraId="5D39F772" w14:textId="77777777" w:rsidR="00B324DB" w:rsidRPr="00B324DB" w:rsidRDefault="00B324DB" w:rsidP="00D14EE8">
            <w:pPr>
              <w:rPr>
                <w:sz w:val="20"/>
                <w:szCs w:val="20"/>
              </w:rPr>
            </w:pPr>
            <w:r w:rsidRPr="00B324DB">
              <w:rPr>
                <w:sz w:val="20"/>
                <w:szCs w:val="20"/>
              </w:rPr>
              <w:t>Recommendations</w:t>
            </w:r>
          </w:p>
        </w:tc>
        <w:tc>
          <w:tcPr>
            <w:tcW w:w="3294" w:type="dxa"/>
            <w:tcBorders>
              <w:bottom w:val="dashed" w:sz="4" w:space="0" w:color="auto"/>
            </w:tcBorders>
            <w:shd w:val="clear" w:color="auto" w:fill="auto"/>
          </w:tcPr>
          <w:p w14:paraId="13D6B485"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r w:rsidRPr="00B324DB">
              <w:rPr>
                <w:sz w:val="20"/>
                <w:szCs w:val="20"/>
              </w:rPr>
              <w:t>Nov. 21, 2012 to Feb. 28, 2013</w:t>
            </w:r>
          </w:p>
        </w:tc>
        <w:tc>
          <w:tcPr>
            <w:tcW w:w="3294" w:type="dxa"/>
            <w:tcBorders>
              <w:bottom w:val="dashed" w:sz="4" w:space="0" w:color="auto"/>
            </w:tcBorders>
            <w:shd w:val="clear" w:color="auto" w:fill="auto"/>
          </w:tcPr>
          <w:p w14:paraId="2ED81F92"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i/>
                <w:sz w:val="20"/>
                <w:szCs w:val="20"/>
              </w:rPr>
            </w:pPr>
            <w:r w:rsidRPr="00B324DB">
              <w:rPr>
                <w:i/>
                <w:sz w:val="20"/>
                <w:szCs w:val="20"/>
              </w:rPr>
              <w:t>February 28, 2013:</w:t>
            </w:r>
          </w:p>
          <w:p w14:paraId="343FE1EE"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r w:rsidRPr="00B324DB">
              <w:rPr>
                <w:sz w:val="20"/>
                <w:szCs w:val="20"/>
              </w:rPr>
              <w:t>Final Report</w:t>
            </w:r>
          </w:p>
        </w:tc>
        <w:tc>
          <w:tcPr>
            <w:tcW w:w="3294" w:type="dxa"/>
            <w:tcBorders>
              <w:bottom w:val="dashed" w:sz="4" w:space="0" w:color="auto"/>
            </w:tcBorders>
            <w:shd w:val="clear" w:color="auto" w:fill="auto"/>
          </w:tcPr>
          <w:p w14:paraId="11CB42A7"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i/>
                <w:sz w:val="20"/>
                <w:szCs w:val="20"/>
              </w:rPr>
            </w:pPr>
            <w:r w:rsidRPr="00B324DB">
              <w:rPr>
                <w:i/>
                <w:sz w:val="20"/>
                <w:szCs w:val="20"/>
              </w:rPr>
              <w:t>Nov. 21, 2012 to Feb. 28, 2013:</w:t>
            </w:r>
          </w:p>
          <w:p w14:paraId="3DC8B651"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r w:rsidRPr="00B324DB">
              <w:rPr>
                <w:sz w:val="20"/>
                <w:szCs w:val="20"/>
              </w:rPr>
              <w:t>Expert discussions and consultations to develop a preliminary budget and identify responsibilities for the implementation of corruption risk mitigation measures, and to extract lessons that may be applicable in other countries</w:t>
            </w:r>
          </w:p>
          <w:p w14:paraId="58071D5D"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i/>
                <w:sz w:val="20"/>
                <w:szCs w:val="20"/>
              </w:rPr>
            </w:pPr>
          </w:p>
          <w:p w14:paraId="23FE4DC2"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i/>
                <w:sz w:val="20"/>
                <w:szCs w:val="20"/>
              </w:rPr>
            </w:pPr>
            <w:r w:rsidRPr="00B324DB">
              <w:rPr>
                <w:i/>
                <w:sz w:val="20"/>
                <w:szCs w:val="20"/>
              </w:rPr>
              <w:t>January 14, 2013:</w:t>
            </w:r>
          </w:p>
          <w:p w14:paraId="6DF9BE33"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r w:rsidRPr="00B324DB">
              <w:rPr>
                <w:sz w:val="20"/>
                <w:szCs w:val="20"/>
              </w:rPr>
              <w:t>National workshop to test and validate the developed CRA tool</w:t>
            </w:r>
          </w:p>
        </w:tc>
      </w:tr>
      <w:tr w:rsidR="00B324DB" w:rsidRPr="00B324DB" w14:paraId="46A88F5D" w14:textId="77777777" w:rsidTr="00D14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Borders>
              <w:top w:val="dashed" w:sz="4" w:space="0" w:color="auto"/>
              <w:left w:val="dashed" w:sz="4" w:space="0" w:color="auto"/>
              <w:bottom w:val="dashed" w:sz="4" w:space="0" w:color="auto"/>
              <w:right w:val="dashed" w:sz="4" w:space="0" w:color="auto"/>
            </w:tcBorders>
            <w:shd w:val="clear" w:color="auto" w:fill="auto"/>
          </w:tcPr>
          <w:p w14:paraId="7E317B8B" w14:textId="77777777" w:rsidR="00B324DB" w:rsidRPr="00B324DB" w:rsidRDefault="00B324DB" w:rsidP="00D14EE8">
            <w:pPr>
              <w:rPr>
                <w:sz w:val="20"/>
                <w:szCs w:val="20"/>
              </w:rPr>
            </w:pPr>
            <w:r w:rsidRPr="00B324DB">
              <w:rPr>
                <w:sz w:val="20"/>
                <w:szCs w:val="20"/>
              </w:rPr>
              <w:t>Step 5:</w:t>
            </w:r>
          </w:p>
          <w:p w14:paraId="4B5D7456" w14:textId="77777777" w:rsidR="00B324DB" w:rsidRPr="00B324DB" w:rsidRDefault="00B324DB" w:rsidP="00D14EE8">
            <w:pPr>
              <w:rPr>
                <w:sz w:val="20"/>
                <w:szCs w:val="20"/>
              </w:rPr>
            </w:pPr>
            <w:r w:rsidRPr="00B324DB">
              <w:rPr>
                <w:sz w:val="20"/>
                <w:szCs w:val="20"/>
              </w:rPr>
              <w:t xml:space="preserve">Refinements to National </w:t>
            </w:r>
            <w:r w:rsidRPr="00B324DB">
              <w:rPr>
                <w:sz w:val="20"/>
                <w:szCs w:val="20"/>
              </w:rPr>
              <w:lastRenderedPageBreak/>
              <w:t>REDD Strategy</w:t>
            </w:r>
          </w:p>
        </w:tc>
        <w:tc>
          <w:tcPr>
            <w:tcW w:w="3294" w:type="dxa"/>
            <w:tcBorders>
              <w:top w:val="dashed" w:sz="4" w:space="0" w:color="auto"/>
              <w:left w:val="dashed" w:sz="4" w:space="0" w:color="auto"/>
              <w:bottom w:val="dashed" w:sz="4" w:space="0" w:color="auto"/>
              <w:right w:val="dashed" w:sz="4" w:space="0" w:color="auto"/>
            </w:tcBorders>
            <w:shd w:val="clear" w:color="auto" w:fill="auto"/>
          </w:tcPr>
          <w:p w14:paraId="5B44F65C"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lastRenderedPageBreak/>
              <w:t>Time permitting</w:t>
            </w:r>
          </w:p>
        </w:tc>
        <w:tc>
          <w:tcPr>
            <w:tcW w:w="3294" w:type="dxa"/>
            <w:tcBorders>
              <w:top w:val="dashed" w:sz="4" w:space="0" w:color="auto"/>
              <w:left w:val="dashed" w:sz="4" w:space="0" w:color="auto"/>
              <w:bottom w:val="dashed" w:sz="4" w:space="0" w:color="auto"/>
              <w:right w:val="dashed" w:sz="4" w:space="0" w:color="auto"/>
            </w:tcBorders>
            <w:shd w:val="clear" w:color="auto" w:fill="auto"/>
          </w:tcPr>
          <w:p w14:paraId="7FAC0F92"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t>To be incorporated into the Final Report</w:t>
            </w:r>
          </w:p>
          <w:p w14:paraId="06DE4050"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p>
          <w:p w14:paraId="175602AC"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b/>
                <w:sz w:val="20"/>
                <w:szCs w:val="20"/>
              </w:rPr>
            </w:pPr>
            <w:r w:rsidRPr="00B324DB">
              <w:rPr>
                <w:b/>
                <w:sz w:val="20"/>
                <w:szCs w:val="20"/>
              </w:rPr>
              <w:t>NOTE:</w:t>
            </w:r>
          </w:p>
          <w:p w14:paraId="59B15082" w14:textId="77777777" w:rsidR="00B324DB" w:rsidRPr="00B324DB" w:rsidRDefault="00961BE4" w:rsidP="00961BE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This is not included within the </w:t>
            </w:r>
            <w:r w:rsidR="00B324DB" w:rsidRPr="00B324DB">
              <w:rPr>
                <w:sz w:val="20"/>
                <w:szCs w:val="20"/>
              </w:rPr>
              <w:t xml:space="preserve">Terms of Reference executed between the UN REDD Programme and the </w:t>
            </w:r>
            <w:proofErr w:type="spellStart"/>
            <w:r w:rsidR="00B324DB" w:rsidRPr="00B324DB">
              <w:rPr>
                <w:sz w:val="20"/>
                <w:szCs w:val="20"/>
              </w:rPr>
              <w:t>Ateneo</w:t>
            </w:r>
            <w:proofErr w:type="spellEnd"/>
            <w:r w:rsidR="00B324DB" w:rsidRPr="00B324DB">
              <w:rPr>
                <w:sz w:val="20"/>
                <w:szCs w:val="20"/>
              </w:rPr>
              <w:t xml:space="preserve"> School of Government.</w:t>
            </w:r>
          </w:p>
        </w:tc>
        <w:tc>
          <w:tcPr>
            <w:tcW w:w="3294" w:type="dxa"/>
            <w:tcBorders>
              <w:top w:val="dashed" w:sz="4" w:space="0" w:color="auto"/>
              <w:left w:val="dashed" w:sz="4" w:space="0" w:color="auto"/>
              <w:bottom w:val="dashed" w:sz="4" w:space="0" w:color="auto"/>
              <w:right w:val="dashed" w:sz="4" w:space="0" w:color="auto"/>
            </w:tcBorders>
            <w:shd w:val="clear" w:color="auto" w:fill="auto"/>
          </w:tcPr>
          <w:p w14:paraId="026A64C5" w14:textId="77777777" w:rsidR="00B324DB" w:rsidRPr="00B324DB" w:rsidRDefault="00B324DB" w:rsidP="00D14EE8">
            <w:pPr>
              <w:cnfStyle w:val="000000100000" w:firstRow="0" w:lastRow="0" w:firstColumn="0" w:lastColumn="0" w:oddVBand="0" w:evenVBand="0" w:oddHBand="1" w:evenHBand="0" w:firstRowFirstColumn="0" w:firstRowLastColumn="0" w:lastRowFirstColumn="0" w:lastRowLastColumn="0"/>
              <w:rPr>
                <w:sz w:val="20"/>
                <w:szCs w:val="20"/>
              </w:rPr>
            </w:pPr>
            <w:r w:rsidRPr="00B324DB">
              <w:rPr>
                <w:sz w:val="20"/>
                <w:szCs w:val="20"/>
              </w:rPr>
              <w:lastRenderedPageBreak/>
              <w:t xml:space="preserve">Analysis of current REDD strategy in relation to the </w:t>
            </w:r>
            <w:r w:rsidRPr="00B324DB">
              <w:rPr>
                <w:sz w:val="20"/>
                <w:szCs w:val="20"/>
              </w:rPr>
              <w:lastRenderedPageBreak/>
              <w:t>results of the corruption risk assessment</w:t>
            </w:r>
          </w:p>
        </w:tc>
      </w:tr>
      <w:tr w:rsidR="00B324DB" w:rsidRPr="00B324DB" w14:paraId="705AE489" w14:textId="77777777" w:rsidTr="00D14EE8">
        <w:tc>
          <w:tcPr>
            <w:cnfStyle w:val="001000000000" w:firstRow="0" w:lastRow="0" w:firstColumn="1" w:lastColumn="0" w:oddVBand="0" w:evenVBand="0" w:oddHBand="0" w:evenHBand="0" w:firstRowFirstColumn="0" w:firstRowLastColumn="0" w:lastRowFirstColumn="0" w:lastRowLastColumn="0"/>
            <w:tcW w:w="3294" w:type="dxa"/>
            <w:tcBorders>
              <w:top w:val="dashed" w:sz="4" w:space="0" w:color="auto"/>
            </w:tcBorders>
            <w:shd w:val="solid" w:color="0F243E" w:themeColor="text2" w:themeShade="80" w:fill="auto"/>
          </w:tcPr>
          <w:p w14:paraId="4B90CCA9" w14:textId="77777777" w:rsidR="00B324DB" w:rsidRPr="00B324DB" w:rsidRDefault="00B324DB" w:rsidP="00D14EE8">
            <w:pPr>
              <w:rPr>
                <w:sz w:val="20"/>
                <w:szCs w:val="20"/>
              </w:rPr>
            </w:pPr>
          </w:p>
        </w:tc>
        <w:tc>
          <w:tcPr>
            <w:tcW w:w="3294" w:type="dxa"/>
            <w:tcBorders>
              <w:top w:val="dashed" w:sz="4" w:space="0" w:color="auto"/>
            </w:tcBorders>
            <w:shd w:val="solid" w:color="0F243E" w:themeColor="text2" w:themeShade="80" w:fill="auto"/>
          </w:tcPr>
          <w:p w14:paraId="0D085321"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p>
        </w:tc>
        <w:tc>
          <w:tcPr>
            <w:tcW w:w="3294" w:type="dxa"/>
            <w:tcBorders>
              <w:top w:val="dashed" w:sz="4" w:space="0" w:color="auto"/>
            </w:tcBorders>
            <w:shd w:val="solid" w:color="0F243E" w:themeColor="text2" w:themeShade="80" w:fill="auto"/>
          </w:tcPr>
          <w:p w14:paraId="1369C367"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p>
        </w:tc>
        <w:tc>
          <w:tcPr>
            <w:tcW w:w="3294" w:type="dxa"/>
            <w:tcBorders>
              <w:top w:val="dashed" w:sz="4" w:space="0" w:color="auto"/>
            </w:tcBorders>
            <w:shd w:val="solid" w:color="0F243E" w:themeColor="text2" w:themeShade="80" w:fill="auto"/>
          </w:tcPr>
          <w:p w14:paraId="5B79F28D" w14:textId="77777777" w:rsidR="00B324DB" w:rsidRPr="00B324DB" w:rsidRDefault="00B324DB" w:rsidP="00D14EE8">
            <w:pPr>
              <w:cnfStyle w:val="000000000000" w:firstRow="0" w:lastRow="0" w:firstColumn="0" w:lastColumn="0" w:oddVBand="0" w:evenVBand="0" w:oddHBand="0" w:evenHBand="0" w:firstRowFirstColumn="0" w:firstRowLastColumn="0" w:lastRowFirstColumn="0" w:lastRowLastColumn="0"/>
              <w:rPr>
                <w:sz w:val="20"/>
                <w:szCs w:val="20"/>
              </w:rPr>
            </w:pPr>
          </w:p>
        </w:tc>
      </w:tr>
    </w:tbl>
    <w:p w14:paraId="69FE4963" w14:textId="77777777" w:rsidR="00B324DB" w:rsidRPr="00CC4DBE" w:rsidRDefault="00B324DB" w:rsidP="00CC4DBE">
      <w:pPr>
        <w:rPr>
          <w:sz w:val="22"/>
          <w:szCs w:val="22"/>
        </w:rPr>
      </w:pPr>
    </w:p>
    <w:sectPr w:rsidR="00B324DB" w:rsidRPr="00CC4DBE" w:rsidSect="003B1B8F">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31912" w14:textId="77777777" w:rsidR="001E432F" w:rsidRDefault="001E432F" w:rsidP="003B1B8F">
      <w:r>
        <w:separator/>
      </w:r>
    </w:p>
  </w:endnote>
  <w:endnote w:type="continuationSeparator" w:id="0">
    <w:p w14:paraId="0180703A" w14:textId="77777777" w:rsidR="001E432F" w:rsidRDefault="001E432F" w:rsidP="003B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4461" w14:textId="77777777" w:rsidR="001E432F" w:rsidRDefault="00BD0AC3" w:rsidP="00570399">
    <w:pPr>
      <w:pStyle w:val="Footer"/>
      <w:framePr w:wrap="around" w:vAnchor="text" w:hAnchor="margin" w:xAlign="right" w:y="1"/>
      <w:rPr>
        <w:rStyle w:val="PageNumber"/>
      </w:rPr>
    </w:pPr>
    <w:r>
      <w:rPr>
        <w:rStyle w:val="PageNumber"/>
      </w:rPr>
      <w:fldChar w:fldCharType="begin"/>
    </w:r>
    <w:r w:rsidR="001E432F">
      <w:rPr>
        <w:rStyle w:val="PageNumber"/>
      </w:rPr>
      <w:instrText xml:space="preserve">PAGE  </w:instrText>
    </w:r>
    <w:r>
      <w:rPr>
        <w:rStyle w:val="PageNumber"/>
      </w:rPr>
      <w:fldChar w:fldCharType="end"/>
    </w:r>
  </w:p>
  <w:p w14:paraId="522CF7FB" w14:textId="77777777" w:rsidR="001E432F" w:rsidRDefault="00BD0AC3" w:rsidP="00FE6AD2">
    <w:pPr>
      <w:pStyle w:val="Footer"/>
      <w:framePr w:wrap="around" w:vAnchor="text" w:hAnchor="margin" w:y="1"/>
      <w:ind w:right="360"/>
      <w:rPr>
        <w:rStyle w:val="PageNumber"/>
      </w:rPr>
    </w:pPr>
    <w:r>
      <w:rPr>
        <w:rStyle w:val="PageNumber"/>
      </w:rPr>
      <w:fldChar w:fldCharType="begin"/>
    </w:r>
    <w:r w:rsidR="001E432F">
      <w:rPr>
        <w:rStyle w:val="PageNumber"/>
      </w:rPr>
      <w:instrText xml:space="preserve">PAGE  </w:instrText>
    </w:r>
    <w:r>
      <w:rPr>
        <w:rStyle w:val="PageNumber"/>
      </w:rPr>
      <w:fldChar w:fldCharType="end"/>
    </w:r>
  </w:p>
  <w:p w14:paraId="2232419C" w14:textId="77777777" w:rsidR="001E432F" w:rsidRDefault="001E432F" w:rsidP="00FE6AD2">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C4AD8" w14:textId="77777777" w:rsidR="008472FB" w:rsidRPr="008472FB" w:rsidRDefault="008472FB" w:rsidP="008472FB">
    <w:pPr>
      <w:pStyle w:val="Footer"/>
      <w:jc w:val="right"/>
      <w:rPr>
        <w:sz w:val="20"/>
        <w:szCs w:val="20"/>
      </w:rPr>
    </w:pPr>
    <w:r w:rsidRPr="008472FB">
      <w:rPr>
        <w:rFonts w:cs="Times New Roman"/>
        <w:sz w:val="20"/>
        <w:szCs w:val="20"/>
      </w:rPr>
      <w:t xml:space="preserve">Page </w:t>
    </w:r>
    <w:r w:rsidR="00BD0AC3" w:rsidRPr="008472FB">
      <w:rPr>
        <w:rFonts w:cs="Times New Roman"/>
        <w:sz w:val="20"/>
        <w:szCs w:val="20"/>
      </w:rPr>
      <w:fldChar w:fldCharType="begin"/>
    </w:r>
    <w:r w:rsidRPr="008472FB">
      <w:rPr>
        <w:rFonts w:cs="Times New Roman"/>
        <w:sz w:val="20"/>
        <w:szCs w:val="20"/>
      </w:rPr>
      <w:instrText xml:space="preserve"> PAGE </w:instrText>
    </w:r>
    <w:r w:rsidR="00BD0AC3" w:rsidRPr="008472FB">
      <w:rPr>
        <w:rFonts w:cs="Times New Roman"/>
        <w:sz w:val="20"/>
        <w:szCs w:val="20"/>
      </w:rPr>
      <w:fldChar w:fldCharType="separate"/>
    </w:r>
    <w:r w:rsidR="00917C65">
      <w:rPr>
        <w:rFonts w:cs="Times New Roman"/>
        <w:noProof/>
        <w:sz w:val="20"/>
        <w:szCs w:val="20"/>
      </w:rPr>
      <w:t>7</w:t>
    </w:r>
    <w:r w:rsidR="00BD0AC3" w:rsidRPr="008472FB">
      <w:rPr>
        <w:rFonts w:cs="Times New Roman"/>
        <w:sz w:val="20"/>
        <w:szCs w:val="20"/>
      </w:rPr>
      <w:fldChar w:fldCharType="end"/>
    </w:r>
    <w:r w:rsidRPr="008472FB">
      <w:rPr>
        <w:rFonts w:cs="Times New Roman"/>
        <w:sz w:val="20"/>
        <w:szCs w:val="20"/>
      </w:rPr>
      <w:t xml:space="preserve"> of </w:t>
    </w:r>
    <w:r w:rsidR="00BD0AC3" w:rsidRPr="008472FB">
      <w:rPr>
        <w:rFonts w:cs="Times New Roman"/>
        <w:sz w:val="20"/>
        <w:szCs w:val="20"/>
      </w:rPr>
      <w:fldChar w:fldCharType="begin"/>
    </w:r>
    <w:r w:rsidRPr="008472FB">
      <w:rPr>
        <w:rFonts w:cs="Times New Roman"/>
        <w:sz w:val="20"/>
        <w:szCs w:val="20"/>
      </w:rPr>
      <w:instrText xml:space="preserve"> NUMPAGES </w:instrText>
    </w:r>
    <w:r w:rsidR="00BD0AC3" w:rsidRPr="008472FB">
      <w:rPr>
        <w:rFonts w:cs="Times New Roman"/>
        <w:sz w:val="20"/>
        <w:szCs w:val="20"/>
      </w:rPr>
      <w:fldChar w:fldCharType="separate"/>
    </w:r>
    <w:r w:rsidR="00917C65">
      <w:rPr>
        <w:rFonts w:cs="Times New Roman"/>
        <w:noProof/>
        <w:sz w:val="20"/>
        <w:szCs w:val="20"/>
      </w:rPr>
      <w:t>8</w:t>
    </w:r>
    <w:r w:rsidR="00BD0AC3" w:rsidRPr="008472FB">
      <w:rPr>
        <w:rFonts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4B8BE" w14:textId="77777777" w:rsidR="001E432F" w:rsidRDefault="001E432F" w:rsidP="003B1B8F">
      <w:r>
        <w:separator/>
      </w:r>
    </w:p>
  </w:footnote>
  <w:footnote w:type="continuationSeparator" w:id="0">
    <w:p w14:paraId="3AAD1F64" w14:textId="77777777" w:rsidR="001E432F" w:rsidRDefault="001E432F" w:rsidP="003B1B8F">
      <w:r>
        <w:continuationSeparator/>
      </w:r>
    </w:p>
  </w:footnote>
  <w:footnote w:id="1">
    <w:p w14:paraId="2A0172FE" w14:textId="77777777" w:rsidR="001E432F" w:rsidRPr="006D1B03" w:rsidRDefault="001E432F" w:rsidP="003B1B8F">
      <w:pPr>
        <w:pStyle w:val="FootnoteText"/>
        <w:jc w:val="both"/>
        <w:rPr>
          <w:sz w:val="20"/>
          <w:szCs w:val="20"/>
        </w:rPr>
      </w:pPr>
      <w:r w:rsidRPr="006D1B03">
        <w:rPr>
          <w:rStyle w:val="FootnoteReference"/>
          <w:sz w:val="20"/>
          <w:szCs w:val="20"/>
        </w:rPr>
        <w:footnoteRef/>
      </w:r>
      <w:r w:rsidRPr="006D1B03">
        <w:rPr>
          <w:sz w:val="20"/>
          <w:szCs w:val="20"/>
        </w:rPr>
        <w:t xml:space="preserve"> Bofin, P. et al, </w:t>
      </w:r>
      <w:r w:rsidRPr="006D1B03">
        <w:rPr>
          <w:i/>
          <w:sz w:val="20"/>
          <w:szCs w:val="20"/>
        </w:rPr>
        <w:t>Addressing Governance and Corruption Challenges in Schemes for REDD</w:t>
      </w:r>
      <w:r w:rsidRPr="006D1B03">
        <w:rPr>
          <w:sz w:val="20"/>
          <w:szCs w:val="20"/>
        </w:rPr>
        <w:t xml:space="preserve">, U4 Anti-Corruption Resource Center U4 Issue 2011:1 (February 2011), p. 10, available at </w:t>
      </w:r>
      <w:hyperlink r:id="rId1" w:history="1">
        <w:r w:rsidRPr="006D1B03">
          <w:rPr>
            <w:rStyle w:val="Hyperlink"/>
            <w:sz w:val="20"/>
            <w:szCs w:val="20"/>
          </w:rPr>
          <w:t>http://www.u4.no/publications/redd-integrity-addressing-governance-and-corruption-challenges-in-schemes-for-reducing-emissions-from-deforestation-and-forest-degradation-redd/</w:t>
        </w:r>
      </w:hyperlink>
      <w:r w:rsidRPr="006D1B03">
        <w:rPr>
          <w:sz w:val="20"/>
          <w:szCs w:val="20"/>
        </w:rPr>
        <w:t>, accessed 11 September 2012</w:t>
      </w:r>
    </w:p>
  </w:footnote>
  <w:footnote w:id="2">
    <w:p w14:paraId="14A53B3D" w14:textId="77777777" w:rsidR="001E432F" w:rsidRPr="00F70700" w:rsidRDefault="001E432F" w:rsidP="003B1B8F">
      <w:pPr>
        <w:pStyle w:val="FootnoteText"/>
        <w:jc w:val="both"/>
        <w:rPr>
          <w:sz w:val="20"/>
          <w:szCs w:val="20"/>
        </w:rPr>
      </w:pPr>
      <w:r w:rsidRPr="00F70700">
        <w:rPr>
          <w:rStyle w:val="FootnoteReference"/>
          <w:sz w:val="20"/>
          <w:szCs w:val="20"/>
        </w:rPr>
        <w:footnoteRef/>
      </w:r>
      <w:r w:rsidRPr="00F70700">
        <w:rPr>
          <w:sz w:val="20"/>
          <w:szCs w:val="20"/>
        </w:rPr>
        <w:t xml:space="preserve"> Blundell, A. and Harwell E., </w:t>
      </w:r>
      <w:r w:rsidRPr="00F70700">
        <w:rPr>
          <w:i/>
          <w:sz w:val="20"/>
          <w:szCs w:val="20"/>
        </w:rPr>
        <w:t>Manual: An Analysis of Corruption in the Forestry Sector</w:t>
      </w:r>
      <w:r w:rsidRPr="00F70700">
        <w:rPr>
          <w:sz w:val="20"/>
          <w:szCs w:val="20"/>
        </w:rPr>
        <w:t xml:space="preserve">, Transparency International (October 2009) available at </w:t>
      </w:r>
      <w:r>
        <w:rPr>
          <w:sz w:val="20"/>
          <w:szCs w:val="20"/>
        </w:rPr>
        <w:t>http://</w:t>
      </w:r>
      <w:hyperlink r:id="rId2" w:history="1">
        <w:r w:rsidRPr="00F70700">
          <w:rPr>
            <w:rStyle w:val="Hyperlink"/>
            <w:sz w:val="20"/>
            <w:szCs w:val="20"/>
          </w:rPr>
          <w:t>www.illegal-logging.info/uploads/Forestsectorcorruptiontoolsnov09FINAL.pdf</w:t>
        </w:r>
      </w:hyperlink>
      <w:r w:rsidRPr="00F70700">
        <w:rPr>
          <w:sz w:val="20"/>
          <w:szCs w:val="20"/>
        </w:rPr>
        <w:t>, accessed 11 September 2012</w:t>
      </w:r>
    </w:p>
  </w:footnote>
  <w:footnote w:id="3">
    <w:p w14:paraId="21DE5925" w14:textId="77777777" w:rsidR="001E432F" w:rsidRPr="00C6508D" w:rsidRDefault="001E432F" w:rsidP="003B1B8F">
      <w:pPr>
        <w:pStyle w:val="FootnoteText"/>
        <w:rPr>
          <w:sz w:val="20"/>
          <w:szCs w:val="20"/>
        </w:rPr>
      </w:pPr>
      <w:r>
        <w:rPr>
          <w:rStyle w:val="FootnoteReference"/>
        </w:rPr>
        <w:footnoteRef/>
      </w:r>
      <w:r>
        <w:t xml:space="preserve"> </w:t>
      </w:r>
      <w:r w:rsidRPr="00C6508D">
        <w:rPr>
          <w:sz w:val="20"/>
          <w:szCs w:val="20"/>
        </w:rPr>
        <w:t xml:space="preserve">Thorpe, A. and Ogle, L., </w:t>
      </w:r>
      <w:r w:rsidRPr="00C6508D">
        <w:rPr>
          <w:i/>
          <w:sz w:val="20"/>
          <w:szCs w:val="20"/>
        </w:rPr>
        <w:t xml:space="preserve">Staying On Track: Tackling Corruption Risks in Climate Change, </w:t>
      </w:r>
      <w:r w:rsidRPr="00C6508D">
        <w:rPr>
          <w:sz w:val="20"/>
          <w:szCs w:val="20"/>
        </w:rPr>
        <w:t xml:space="preserve">United Nations Development Programme (January 2011), p. 32, available at </w:t>
      </w:r>
      <w:hyperlink r:id="rId3" w:history="1">
        <w:r w:rsidRPr="00C6508D">
          <w:rPr>
            <w:rStyle w:val="Hyperlink"/>
            <w:sz w:val="20"/>
            <w:szCs w:val="20"/>
          </w:rPr>
          <w:t>http://www.undp.org/content/undp/en/home/librarypage/democratic-governance/anti-corruption/staying-on-track--tackling-corruption-risks-in-climate-change.html</w:t>
        </w:r>
      </w:hyperlink>
      <w:r w:rsidRPr="00C6508D">
        <w:rPr>
          <w:sz w:val="20"/>
          <w:szCs w:val="20"/>
        </w:rPr>
        <w:t>, accessed 11 September 2012.</w:t>
      </w:r>
    </w:p>
  </w:footnote>
  <w:footnote w:id="4">
    <w:p w14:paraId="6A0EACF1" w14:textId="77777777" w:rsidR="001E432F" w:rsidRPr="00C6508D" w:rsidRDefault="001E432F" w:rsidP="003B1B8F">
      <w:pPr>
        <w:pStyle w:val="FootnoteText"/>
        <w:rPr>
          <w:sz w:val="20"/>
          <w:szCs w:val="20"/>
        </w:rPr>
      </w:pPr>
      <w:r w:rsidRPr="00C6508D">
        <w:rPr>
          <w:rStyle w:val="FootnoteReference"/>
          <w:sz w:val="20"/>
          <w:szCs w:val="20"/>
        </w:rPr>
        <w:footnoteRef/>
      </w:r>
      <w:r w:rsidRPr="00C6508D">
        <w:rPr>
          <w:sz w:val="20"/>
          <w:szCs w:val="20"/>
        </w:rPr>
        <w:t xml:space="preserve"> Ibid.</w:t>
      </w:r>
    </w:p>
  </w:footnote>
  <w:footnote w:id="5">
    <w:p w14:paraId="500D84D9" w14:textId="77777777" w:rsidR="001E432F" w:rsidRPr="00C6508D" w:rsidRDefault="001E432F" w:rsidP="003B1B8F">
      <w:pPr>
        <w:pStyle w:val="FootnoteText"/>
        <w:rPr>
          <w:sz w:val="20"/>
          <w:szCs w:val="20"/>
        </w:rPr>
      </w:pPr>
      <w:r w:rsidRPr="00C6508D">
        <w:rPr>
          <w:rStyle w:val="FootnoteReference"/>
          <w:sz w:val="20"/>
          <w:szCs w:val="20"/>
        </w:rPr>
        <w:footnoteRef/>
      </w:r>
      <w:r>
        <w:rPr>
          <w:sz w:val="20"/>
          <w:szCs w:val="20"/>
        </w:rPr>
        <w:t xml:space="preserve"> Thorpe and Ogle, </w:t>
      </w:r>
      <w:r w:rsidRPr="00C6508D">
        <w:rPr>
          <w:sz w:val="20"/>
          <w:szCs w:val="20"/>
        </w:rPr>
        <w:t>33-36</w:t>
      </w:r>
    </w:p>
  </w:footnote>
  <w:footnote w:id="6">
    <w:p w14:paraId="31AE56DE" w14:textId="77777777" w:rsidR="001E432F" w:rsidRPr="006D1B03" w:rsidRDefault="001E432F" w:rsidP="003B1B8F">
      <w:pPr>
        <w:pStyle w:val="FootnoteText"/>
        <w:rPr>
          <w:sz w:val="20"/>
          <w:szCs w:val="20"/>
        </w:rPr>
      </w:pPr>
      <w:r w:rsidRPr="006D1B03">
        <w:rPr>
          <w:rStyle w:val="FootnoteReference"/>
          <w:sz w:val="20"/>
          <w:szCs w:val="20"/>
        </w:rPr>
        <w:footnoteRef/>
      </w:r>
      <w:r w:rsidRPr="006D1B03">
        <w:rPr>
          <w:sz w:val="20"/>
          <w:szCs w:val="20"/>
        </w:rPr>
        <w:t xml:space="preserve"> Bofin, P. et al, 13</w:t>
      </w:r>
    </w:p>
  </w:footnote>
  <w:footnote w:id="7">
    <w:p w14:paraId="08475AEB" w14:textId="77777777" w:rsidR="001E432F" w:rsidRPr="00F70700" w:rsidRDefault="001E432F" w:rsidP="003B1B8F">
      <w:pPr>
        <w:pStyle w:val="FootnoteText"/>
        <w:jc w:val="both"/>
        <w:rPr>
          <w:sz w:val="20"/>
          <w:szCs w:val="20"/>
        </w:rPr>
      </w:pPr>
      <w:r w:rsidRPr="00F70700">
        <w:rPr>
          <w:rStyle w:val="FootnoteReference"/>
          <w:sz w:val="20"/>
          <w:szCs w:val="20"/>
        </w:rPr>
        <w:footnoteRef/>
      </w:r>
      <w:r w:rsidRPr="00F70700">
        <w:rPr>
          <w:sz w:val="20"/>
          <w:szCs w:val="20"/>
        </w:rPr>
        <w:t xml:space="preserve"> </w:t>
      </w:r>
      <w:proofErr w:type="spellStart"/>
      <w:r w:rsidRPr="00F70700">
        <w:rPr>
          <w:sz w:val="20"/>
          <w:szCs w:val="20"/>
        </w:rPr>
        <w:t>Taconi</w:t>
      </w:r>
      <w:proofErr w:type="spellEnd"/>
      <w:r w:rsidRPr="00F70700">
        <w:rPr>
          <w:sz w:val="20"/>
          <w:szCs w:val="20"/>
        </w:rPr>
        <w:t xml:space="preserve"> et al (2009) and Brown (2010)</w:t>
      </w:r>
      <w:r>
        <w:rPr>
          <w:sz w:val="20"/>
          <w:szCs w:val="20"/>
        </w:rPr>
        <w:t xml:space="preserve"> cited in Bofin, P. et al</w:t>
      </w:r>
      <w:r w:rsidRPr="00F70700">
        <w:rPr>
          <w:sz w:val="20"/>
          <w:szCs w:val="20"/>
        </w:rPr>
        <w:t>,</w:t>
      </w:r>
      <w:r>
        <w:rPr>
          <w:sz w:val="20"/>
          <w:szCs w:val="20"/>
        </w:rPr>
        <w:t xml:space="preserve"> 12</w:t>
      </w:r>
    </w:p>
  </w:footnote>
  <w:footnote w:id="8">
    <w:p w14:paraId="34779BCD" w14:textId="77777777" w:rsidR="001E432F" w:rsidRPr="00F70700" w:rsidRDefault="001E432F" w:rsidP="003B1B8F">
      <w:pPr>
        <w:pStyle w:val="FootnoteText"/>
        <w:jc w:val="both"/>
        <w:rPr>
          <w:sz w:val="20"/>
          <w:szCs w:val="20"/>
        </w:rPr>
      </w:pPr>
      <w:r w:rsidRPr="00F70700">
        <w:rPr>
          <w:rStyle w:val="FootnoteReference"/>
          <w:sz w:val="20"/>
          <w:szCs w:val="20"/>
        </w:rPr>
        <w:footnoteRef/>
      </w:r>
      <w:r w:rsidRPr="00F70700">
        <w:rPr>
          <w:sz w:val="20"/>
          <w:szCs w:val="20"/>
        </w:rPr>
        <w:t xml:space="preserve"> </w:t>
      </w:r>
      <w:r>
        <w:rPr>
          <w:sz w:val="20"/>
          <w:szCs w:val="20"/>
        </w:rPr>
        <w:t>Bofin et al, 5</w:t>
      </w:r>
    </w:p>
  </w:footnote>
  <w:footnote w:id="9">
    <w:p w14:paraId="6BA0C450" w14:textId="77777777" w:rsidR="001E432F" w:rsidRPr="00FF3A90" w:rsidRDefault="001E432F" w:rsidP="003B1B8F">
      <w:pPr>
        <w:pStyle w:val="FootnoteText"/>
        <w:rPr>
          <w:sz w:val="20"/>
          <w:szCs w:val="20"/>
        </w:rPr>
      </w:pPr>
      <w:r w:rsidRPr="00FF3A90">
        <w:rPr>
          <w:rStyle w:val="FootnoteReference"/>
          <w:sz w:val="20"/>
          <w:szCs w:val="20"/>
        </w:rPr>
        <w:footnoteRef/>
      </w:r>
      <w:r w:rsidRPr="00FF3A90">
        <w:rPr>
          <w:sz w:val="20"/>
          <w:szCs w:val="20"/>
        </w:rPr>
        <w:t xml:space="preserve"> </w:t>
      </w:r>
      <w:proofErr w:type="spellStart"/>
      <w:r w:rsidRPr="00F70700">
        <w:rPr>
          <w:sz w:val="20"/>
          <w:szCs w:val="20"/>
        </w:rPr>
        <w:t>Taconi</w:t>
      </w:r>
      <w:proofErr w:type="spellEnd"/>
      <w:r w:rsidRPr="00F70700">
        <w:rPr>
          <w:sz w:val="20"/>
          <w:szCs w:val="20"/>
        </w:rPr>
        <w:t xml:space="preserve"> et al (2009) and Brown (2010)</w:t>
      </w:r>
      <w:r>
        <w:rPr>
          <w:sz w:val="20"/>
          <w:szCs w:val="20"/>
        </w:rPr>
        <w:t xml:space="preserve"> cited in Bofin et al, 14</w:t>
      </w:r>
    </w:p>
  </w:footnote>
  <w:footnote w:id="10">
    <w:p w14:paraId="11981DC9" w14:textId="77777777" w:rsidR="001E432F" w:rsidRPr="00F70700" w:rsidRDefault="001E432F" w:rsidP="003B1B8F">
      <w:pPr>
        <w:pStyle w:val="FootnoteText"/>
        <w:jc w:val="both"/>
        <w:rPr>
          <w:i/>
          <w:sz w:val="20"/>
          <w:szCs w:val="20"/>
        </w:rPr>
      </w:pPr>
      <w:r w:rsidRPr="00F70700">
        <w:rPr>
          <w:rStyle w:val="FootnoteReference"/>
          <w:sz w:val="20"/>
          <w:szCs w:val="20"/>
        </w:rPr>
        <w:footnoteRef/>
      </w:r>
      <w:r w:rsidRPr="00F70700">
        <w:rPr>
          <w:sz w:val="20"/>
          <w:szCs w:val="20"/>
        </w:rPr>
        <w:t xml:space="preserve"> </w:t>
      </w:r>
      <w:proofErr w:type="spellStart"/>
      <w:r w:rsidRPr="00F70700">
        <w:rPr>
          <w:sz w:val="20"/>
          <w:szCs w:val="20"/>
        </w:rPr>
        <w:t>Quimson</w:t>
      </w:r>
      <w:proofErr w:type="spellEnd"/>
      <w:r w:rsidRPr="00F70700">
        <w:rPr>
          <w:sz w:val="20"/>
          <w:szCs w:val="20"/>
        </w:rPr>
        <w:t xml:space="preserve">, G. </w:t>
      </w:r>
      <w:r w:rsidRPr="00F70700">
        <w:rPr>
          <w:i/>
          <w:sz w:val="20"/>
          <w:szCs w:val="20"/>
        </w:rPr>
        <w:t>National Integrity Systems Transparency International Country Study Report of the Philippines</w:t>
      </w:r>
      <w:r w:rsidRPr="00F70700">
        <w:rPr>
          <w:sz w:val="20"/>
          <w:szCs w:val="20"/>
        </w:rPr>
        <w:t xml:space="preserve">, Transparency International (2006) available at </w:t>
      </w:r>
      <w:hyperlink r:id="rId4" w:history="1">
        <w:r w:rsidRPr="00BF7085">
          <w:rPr>
            <w:rStyle w:val="Hyperlink"/>
            <w:color w:val="0000FF"/>
            <w:sz w:val="20"/>
            <w:szCs w:val="20"/>
          </w:rPr>
          <w:t>http://info.worldbank.org/etools/ANTIC/docs/Resources/Country%20Profiles/Philippines/TransparencyInternationa_NIS_philippines.pdf</w:t>
        </w:r>
      </w:hyperlink>
      <w:r w:rsidRPr="00BF7085">
        <w:rPr>
          <w:color w:val="0000FF"/>
          <w:sz w:val="20"/>
          <w:szCs w:val="20"/>
        </w:rPr>
        <w:t>,</w:t>
      </w:r>
      <w:r w:rsidRPr="00F70700">
        <w:rPr>
          <w:sz w:val="20"/>
          <w:szCs w:val="20"/>
        </w:rPr>
        <w:t xml:space="preserve"> accessed 11 September 2012</w:t>
      </w:r>
      <w:r w:rsidRPr="00F70700">
        <w:rPr>
          <w:i/>
          <w:sz w:val="20"/>
          <w:szCs w:val="20"/>
        </w:rPr>
        <w:t xml:space="preserve"> </w:t>
      </w:r>
    </w:p>
  </w:footnote>
  <w:footnote w:id="11">
    <w:p w14:paraId="13BB7114" w14:textId="77777777" w:rsidR="001E432F" w:rsidRPr="005A4866" w:rsidRDefault="001E432F" w:rsidP="003B1B8F">
      <w:pPr>
        <w:pStyle w:val="FootnoteText"/>
        <w:jc w:val="both"/>
        <w:rPr>
          <w:sz w:val="20"/>
          <w:szCs w:val="20"/>
        </w:rPr>
      </w:pPr>
      <w:r w:rsidRPr="00F70700">
        <w:rPr>
          <w:rStyle w:val="FootnoteReference"/>
          <w:sz w:val="20"/>
          <w:szCs w:val="20"/>
        </w:rPr>
        <w:footnoteRef/>
      </w:r>
      <w:r w:rsidRPr="00F70700">
        <w:rPr>
          <w:sz w:val="20"/>
          <w:szCs w:val="20"/>
        </w:rPr>
        <w:t xml:space="preserve"> </w:t>
      </w:r>
      <w:r>
        <w:rPr>
          <w:sz w:val="20"/>
          <w:szCs w:val="20"/>
        </w:rPr>
        <w:t>Mayo-</w:t>
      </w:r>
      <w:proofErr w:type="spellStart"/>
      <w:r>
        <w:rPr>
          <w:sz w:val="20"/>
          <w:szCs w:val="20"/>
        </w:rPr>
        <w:t>Anda</w:t>
      </w:r>
      <w:proofErr w:type="spellEnd"/>
      <w:r>
        <w:rPr>
          <w:sz w:val="20"/>
          <w:szCs w:val="20"/>
        </w:rPr>
        <w:t xml:space="preserve">, G. </w:t>
      </w:r>
      <w:r>
        <w:rPr>
          <w:i/>
          <w:sz w:val="20"/>
          <w:szCs w:val="20"/>
        </w:rPr>
        <w:t xml:space="preserve">Tackling Corruption for Governing REDD in the Philippines, </w:t>
      </w:r>
      <w:r>
        <w:rPr>
          <w:sz w:val="20"/>
          <w:szCs w:val="20"/>
        </w:rPr>
        <w:t xml:space="preserve">U4 Anti-Corruption Resource Center U4 Issue 2011:4 (May 2011), p. 8, available at </w:t>
      </w:r>
      <w:hyperlink r:id="rId5" w:history="1">
        <w:r w:rsidRPr="006B5E35">
          <w:rPr>
            <w:rStyle w:val="Hyperlink"/>
            <w:sz w:val="20"/>
            <w:szCs w:val="20"/>
          </w:rPr>
          <w:t>http://www.u4.no/publications/tackling-corruption-for-governing-redd-in-the-philippines/</w:t>
        </w:r>
      </w:hyperlink>
      <w:r>
        <w:rPr>
          <w:sz w:val="20"/>
          <w:szCs w:val="20"/>
        </w:rPr>
        <w:t>, accessed 11 September 2012</w:t>
      </w:r>
    </w:p>
  </w:footnote>
  <w:footnote w:id="12">
    <w:p w14:paraId="18EDC391" w14:textId="77777777" w:rsidR="001E432F" w:rsidRPr="00F70700" w:rsidRDefault="001E432F" w:rsidP="003B1B8F">
      <w:pPr>
        <w:pStyle w:val="FootnoteText"/>
        <w:jc w:val="both"/>
        <w:rPr>
          <w:sz w:val="20"/>
          <w:szCs w:val="20"/>
        </w:rPr>
      </w:pPr>
      <w:r w:rsidRPr="00F70700">
        <w:rPr>
          <w:rStyle w:val="FootnoteReference"/>
          <w:sz w:val="20"/>
          <w:szCs w:val="20"/>
        </w:rPr>
        <w:footnoteRef/>
      </w:r>
      <w:r w:rsidRPr="00F70700">
        <w:rPr>
          <w:sz w:val="20"/>
          <w:szCs w:val="20"/>
        </w:rPr>
        <w:t xml:space="preserve"> </w:t>
      </w:r>
      <w:proofErr w:type="spellStart"/>
      <w:r>
        <w:rPr>
          <w:sz w:val="20"/>
          <w:szCs w:val="20"/>
        </w:rPr>
        <w:t>Moratalla</w:t>
      </w:r>
      <w:proofErr w:type="spellEnd"/>
      <w:r>
        <w:rPr>
          <w:sz w:val="20"/>
          <w:szCs w:val="20"/>
        </w:rPr>
        <w:t>, N. (1999) cited in Mayo-</w:t>
      </w:r>
      <w:proofErr w:type="spellStart"/>
      <w:r>
        <w:rPr>
          <w:sz w:val="20"/>
          <w:szCs w:val="20"/>
        </w:rPr>
        <w:t>Anda</w:t>
      </w:r>
      <w:proofErr w:type="spellEnd"/>
      <w:r>
        <w:rPr>
          <w:sz w:val="20"/>
          <w:szCs w:val="20"/>
        </w:rPr>
        <w:t xml:space="preserve">, 8 </w:t>
      </w:r>
    </w:p>
  </w:footnote>
  <w:footnote w:id="13">
    <w:p w14:paraId="74744719" w14:textId="77777777" w:rsidR="001E432F" w:rsidRPr="00F70700" w:rsidRDefault="001E432F" w:rsidP="003B1B8F">
      <w:pPr>
        <w:pStyle w:val="FootnoteText"/>
        <w:rPr>
          <w:sz w:val="20"/>
          <w:szCs w:val="20"/>
        </w:rPr>
      </w:pPr>
      <w:r w:rsidRPr="00F70700">
        <w:rPr>
          <w:rStyle w:val="FootnoteReference"/>
          <w:sz w:val="20"/>
          <w:szCs w:val="20"/>
        </w:rPr>
        <w:footnoteRef/>
      </w:r>
      <w:r w:rsidRPr="00F70700">
        <w:rPr>
          <w:sz w:val="20"/>
          <w:szCs w:val="20"/>
        </w:rPr>
        <w:t xml:space="preserve"> </w:t>
      </w:r>
      <w:r>
        <w:rPr>
          <w:sz w:val="20"/>
          <w:szCs w:val="20"/>
        </w:rPr>
        <w:t>Mayo-</w:t>
      </w:r>
      <w:proofErr w:type="spellStart"/>
      <w:r>
        <w:rPr>
          <w:sz w:val="20"/>
          <w:szCs w:val="20"/>
        </w:rPr>
        <w:t>Anda</w:t>
      </w:r>
      <w:proofErr w:type="spellEnd"/>
      <w:r>
        <w:rPr>
          <w:sz w:val="20"/>
          <w:szCs w:val="20"/>
        </w:rPr>
        <w:t>, 9, 11</w:t>
      </w:r>
    </w:p>
  </w:footnote>
  <w:footnote w:id="14">
    <w:p w14:paraId="2BD8777B" w14:textId="77777777" w:rsidR="001E432F" w:rsidRPr="003E6C34" w:rsidRDefault="001E432F" w:rsidP="003B1B8F">
      <w:pPr>
        <w:pStyle w:val="FootnoteText"/>
        <w:jc w:val="both"/>
        <w:rPr>
          <w:sz w:val="20"/>
          <w:szCs w:val="20"/>
        </w:rPr>
      </w:pPr>
      <w:r w:rsidRPr="00F70700">
        <w:rPr>
          <w:rStyle w:val="FootnoteReference"/>
          <w:sz w:val="20"/>
          <w:szCs w:val="20"/>
        </w:rPr>
        <w:footnoteRef/>
      </w:r>
      <w:r w:rsidRPr="00F70700">
        <w:rPr>
          <w:sz w:val="20"/>
          <w:szCs w:val="20"/>
        </w:rPr>
        <w:t xml:space="preserve"> </w:t>
      </w:r>
      <w:r>
        <w:rPr>
          <w:sz w:val="20"/>
          <w:szCs w:val="20"/>
        </w:rPr>
        <w:t xml:space="preserve">Philippine National REDD-Plus Strategy Team, </w:t>
      </w:r>
      <w:r>
        <w:rPr>
          <w:i/>
          <w:sz w:val="20"/>
          <w:szCs w:val="20"/>
        </w:rPr>
        <w:t xml:space="preserve">Philippine National REDD-Plus Strategy </w:t>
      </w:r>
      <w:r>
        <w:rPr>
          <w:sz w:val="20"/>
          <w:szCs w:val="20"/>
        </w:rPr>
        <w:t>(2010), p. 20</w:t>
      </w:r>
    </w:p>
  </w:footnote>
  <w:footnote w:id="15">
    <w:p w14:paraId="2A6C64A7" w14:textId="77777777" w:rsidR="001E432F" w:rsidRPr="00C6508D" w:rsidRDefault="001E432F" w:rsidP="003B1B8F">
      <w:pPr>
        <w:pStyle w:val="FootnoteText"/>
        <w:rPr>
          <w:sz w:val="20"/>
          <w:szCs w:val="20"/>
        </w:rPr>
      </w:pPr>
      <w:r w:rsidRPr="00C6508D">
        <w:rPr>
          <w:rStyle w:val="FootnoteReference"/>
          <w:sz w:val="20"/>
          <w:szCs w:val="20"/>
        </w:rPr>
        <w:footnoteRef/>
      </w:r>
      <w:r w:rsidRPr="00C6508D">
        <w:rPr>
          <w:sz w:val="20"/>
          <w:szCs w:val="20"/>
        </w:rPr>
        <w:t xml:space="preserve"> Thorpe and Ogle, 37-38</w:t>
      </w:r>
    </w:p>
  </w:footnote>
  <w:footnote w:id="16">
    <w:p w14:paraId="1B5E32A3" w14:textId="77777777" w:rsidR="001E432F" w:rsidRDefault="001E432F" w:rsidP="003B1B8F">
      <w:pPr>
        <w:pStyle w:val="FootnoteText"/>
      </w:pPr>
      <w:r w:rsidRPr="006D2FB8">
        <w:rPr>
          <w:rStyle w:val="FootnoteReference"/>
          <w:sz w:val="20"/>
          <w:szCs w:val="20"/>
        </w:rPr>
        <w:footnoteRef/>
      </w:r>
      <w:r w:rsidRPr="006D2FB8">
        <w:rPr>
          <w:sz w:val="20"/>
          <w:szCs w:val="20"/>
        </w:rPr>
        <w:t xml:space="preserve"> Philippine</w:t>
      </w:r>
      <w:r>
        <w:rPr>
          <w:sz w:val="20"/>
          <w:szCs w:val="20"/>
        </w:rPr>
        <w:t xml:space="preserve"> National REDD-Plus Strategy Team, 6</w:t>
      </w:r>
    </w:p>
  </w:footnote>
  <w:footnote w:id="17">
    <w:p w14:paraId="07C95423" w14:textId="77777777" w:rsidR="001E432F" w:rsidRPr="00FB7EB1" w:rsidRDefault="001E432F" w:rsidP="003B1B8F">
      <w:pPr>
        <w:pStyle w:val="FootnoteText"/>
        <w:rPr>
          <w:sz w:val="20"/>
          <w:szCs w:val="20"/>
        </w:rPr>
      </w:pPr>
      <w:r w:rsidRPr="00FB7EB1">
        <w:rPr>
          <w:rStyle w:val="FootnoteReference"/>
          <w:sz w:val="20"/>
          <w:szCs w:val="20"/>
        </w:rPr>
        <w:footnoteRef/>
      </w:r>
      <w:r w:rsidRPr="00FB7EB1">
        <w:rPr>
          <w:sz w:val="20"/>
          <w:szCs w:val="20"/>
        </w:rPr>
        <w:t xml:space="preserve"> Ibid.</w:t>
      </w:r>
    </w:p>
  </w:footnote>
  <w:footnote w:id="18">
    <w:p w14:paraId="51AD69AD" w14:textId="77777777" w:rsidR="001E432F" w:rsidRPr="003E6C34" w:rsidRDefault="001E432F" w:rsidP="003B1B8F">
      <w:pPr>
        <w:pStyle w:val="FootnoteText"/>
        <w:jc w:val="both"/>
        <w:rPr>
          <w:sz w:val="20"/>
          <w:szCs w:val="20"/>
        </w:rPr>
      </w:pPr>
      <w:r w:rsidRPr="003E6C34">
        <w:rPr>
          <w:rStyle w:val="FootnoteReference"/>
          <w:sz w:val="20"/>
          <w:szCs w:val="20"/>
        </w:rPr>
        <w:footnoteRef/>
      </w:r>
      <w:r>
        <w:rPr>
          <w:sz w:val="20"/>
          <w:szCs w:val="20"/>
        </w:rPr>
        <w:t xml:space="preserve"> Philippine National REDD-Plus Strategy Team, 20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08C"/>
    <w:multiLevelType w:val="hybridMultilevel"/>
    <w:tmpl w:val="80F2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E4158"/>
    <w:multiLevelType w:val="hybridMultilevel"/>
    <w:tmpl w:val="2F52B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940CA"/>
    <w:multiLevelType w:val="hybridMultilevel"/>
    <w:tmpl w:val="7F987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9626F"/>
    <w:multiLevelType w:val="hybridMultilevel"/>
    <w:tmpl w:val="62EA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962F6"/>
    <w:multiLevelType w:val="hybridMultilevel"/>
    <w:tmpl w:val="8CD2D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2695C"/>
    <w:multiLevelType w:val="hybridMultilevel"/>
    <w:tmpl w:val="9CD6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A6694"/>
    <w:multiLevelType w:val="hybridMultilevel"/>
    <w:tmpl w:val="1332C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F42992"/>
    <w:multiLevelType w:val="hybridMultilevel"/>
    <w:tmpl w:val="249CC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25F2B"/>
    <w:multiLevelType w:val="hybridMultilevel"/>
    <w:tmpl w:val="9690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BC53F8"/>
    <w:multiLevelType w:val="hybridMultilevel"/>
    <w:tmpl w:val="5718A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B31EB2"/>
    <w:multiLevelType w:val="hybridMultilevel"/>
    <w:tmpl w:val="B56094A0"/>
    <w:lvl w:ilvl="0" w:tplc="61603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545B8E"/>
    <w:multiLevelType w:val="hybridMultilevel"/>
    <w:tmpl w:val="36328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D1552"/>
    <w:multiLevelType w:val="hybridMultilevel"/>
    <w:tmpl w:val="5ADAF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1A7740"/>
    <w:multiLevelType w:val="hybridMultilevel"/>
    <w:tmpl w:val="3670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11083"/>
    <w:multiLevelType w:val="hybridMultilevel"/>
    <w:tmpl w:val="2A8A52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6"/>
  </w:num>
  <w:num w:numId="4">
    <w:abstractNumId w:val="9"/>
  </w:num>
  <w:num w:numId="5">
    <w:abstractNumId w:val="12"/>
  </w:num>
  <w:num w:numId="6">
    <w:abstractNumId w:val="7"/>
  </w:num>
  <w:num w:numId="7">
    <w:abstractNumId w:val="0"/>
  </w:num>
  <w:num w:numId="8">
    <w:abstractNumId w:val="13"/>
  </w:num>
  <w:num w:numId="9">
    <w:abstractNumId w:val="5"/>
  </w:num>
  <w:num w:numId="10">
    <w:abstractNumId w:val="8"/>
  </w:num>
  <w:num w:numId="11">
    <w:abstractNumId w:val="3"/>
  </w:num>
  <w:num w:numId="12">
    <w:abstractNumId w:val="1"/>
  </w:num>
  <w:num w:numId="13">
    <w:abstractNumId w:val="1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DB"/>
    <w:rsid w:val="000170C2"/>
    <w:rsid w:val="00023B12"/>
    <w:rsid w:val="00041B8C"/>
    <w:rsid w:val="000648C9"/>
    <w:rsid w:val="0011401C"/>
    <w:rsid w:val="00182D4F"/>
    <w:rsid w:val="001E432F"/>
    <w:rsid w:val="001F0ACA"/>
    <w:rsid w:val="00222A4C"/>
    <w:rsid w:val="00271678"/>
    <w:rsid w:val="002750E8"/>
    <w:rsid w:val="002B50C5"/>
    <w:rsid w:val="002C0E4E"/>
    <w:rsid w:val="002E3EB8"/>
    <w:rsid w:val="002F2196"/>
    <w:rsid w:val="00317691"/>
    <w:rsid w:val="003550E8"/>
    <w:rsid w:val="003B1B8F"/>
    <w:rsid w:val="003C11C9"/>
    <w:rsid w:val="003F14E0"/>
    <w:rsid w:val="004017C8"/>
    <w:rsid w:val="00450D61"/>
    <w:rsid w:val="0045117F"/>
    <w:rsid w:val="00486842"/>
    <w:rsid w:val="0048747D"/>
    <w:rsid w:val="00493C34"/>
    <w:rsid w:val="004D61FB"/>
    <w:rsid w:val="005446A1"/>
    <w:rsid w:val="00570399"/>
    <w:rsid w:val="0059250E"/>
    <w:rsid w:val="005B0DD5"/>
    <w:rsid w:val="005C50F0"/>
    <w:rsid w:val="005F5C5B"/>
    <w:rsid w:val="00640B25"/>
    <w:rsid w:val="00650DFF"/>
    <w:rsid w:val="006B1425"/>
    <w:rsid w:val="006B1594"/>
    <w:rsid w:val="006B4CD2"/>
    <w:rsid w:val="006D1F47"/>
    <w:rsid w:val="006E3D07"/>
    <w:rsid w:val="00741850"/>
    <w:rsid w:val="0075275B"/>
    <w:rsid w:val="00792318"/>
    <w:rsid w:val="00826945"/>
    <w:rsid w:val="0083131A"/>
    <w:rsid w:val="0084107D"/>
    <w:rsid w:val="008472FB"/>
    <w:rsid w:val="008A3C1E"/>
    <w:rsid w:val="00907231"/>
    <w:rsid w:val="00917C65"/>
    <w:rsid w:val="00942132"/>
    <w:rsid w:val="00961BE4"/>
    <w:rsid w:val="009A56BA"/>
    <w:rsid w:val="00A077B2"/>
    <w:rsid w:val="00A67997"/>
    <w:rsid w:val="00AD7E7D"/>
    <w:rsid w:val="00AF1A38"/>
    <w:rsid w:val="00AF7B83"/>
    <w:rsid w:val="00B324DB"/>
    <w:rsid w:val="00B56E2C"/>
    <w:rsid w:val="00B6125C"/>
    <w:rsid w:val="00B66E5D"/>
    <w:rsid w:val="00B76415"/>
    <w:rsid w:val="00B813BA"/>
    <w:rsid w:val="00B85FEA"/>
    <w:rsid w:val="00BD0AC3"/>
    <w:rsid w:val="00C31540"/>
    <w:rsid w:val="00C64460"/>
    <w:rsid w:val="00CC4DBE"/>
    <w:rsid w:val="00CD3D8C"/>
    <w:rsid w:val="00D02ECE"/>
    <w:rsid w:val="00D14EE8"/>
    <w:rsid w:val="00E00DDB"/>
    <w:rsid w:val="00E33C7E"/>
    <w:rsid w:val="00E500DB"/>
    <w:rsid w:val="00E62BD1"/>
    <w:rsid w:val="00E83FD1"/>
    <w:rsid w:val="00EC4E59"/>
    <w:rsid w:val="00F33B27"/>
    <w:rsid w:val="00F96A85"/>
    <w:rsid w:val="00FB6A1C"/>
    <w:rsid w:val="00FC3715"/>
    <w:rsid w:val="00FE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8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1B8F"/>
  </w:style>
  <w:style w:type="character" w:customStyle="1" w:styleId="FootnoteTextChar">
    <w:name w:val="Footnote Text Char"/>
    <w:basedOn w:val="DefaultParagraphFont"/>
    <w:link w:val="FootnoteText"/>
    <w:uiPriority w:val="99"/>
    <w:rsid w:val="003B1B8F"/>
  </w:style>
  <w:style w:type="character" w:styleId="FootnoteReference">
    <w:name w:val="footnote reference"/>
    <w:basedOn w:val="DefaultParagraphFont"/>
    <w:uiPriority w:val="99"/>
    <w:unhideWhenUsed/>
    <w:rsid w:val="003B1B8F"/>
    <w:rPr>
      <w:vertAlign w:val="superscript"/>
    </w:rPr>
  </w:style>
  <w:style w:type="paragraph" w:styleId="ListParagraph">
    <w:name w:val="List Paragraph"/>
    <w:basedOn w:val="Normal"/>
    <w:uiPriority w:val="34"/>
    <w:qFormat/>
    <w:rsid w:val="003B1B8F"/>
    <w:pPr>
      <w:ind w:left="720"/>
      <w:contextualSpacing/>
    </w:pPr>
  </w:style>
  <w:style w:type="table" w:styleId="TableGrid">
    <w:name w:val="Table Grid"/>
    <w:basedOn w:val="TableNormal"/>
    <w:uiPriority w:val="59"/>
    <w:rsid w:val="003B1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1B8F"/>
    <w:rPr>
      <w:color w:val="0000FF" w:themeColor="hyperlink"/>
      <w:u w:val="single"/>
    </w:rPr>
  </w:style>
  <w:style w:type="paragraph" w:styleId="BalloonText">
    <w:name w:val="Balloon Text"/>
    <w:basedOn w:val="Normal"/>
    <w:link w:val="BalloonTextChar"/>
    <w:uiPriority w:val="99"/>
    <w:semiHidden/>
    <w:unhideWhenUsed/>
    <w:rsid w:val="00A679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997"/>
    <w:rPr>
      <w:rFonts w:ascii="Lucida Grande" w:hAnsi="Lucida Grande" w:cs="Lucida Grande"/>
      <w:sz w:val="18"/>
      <w:szCs w:val="18"/>
    </w:rPr>
  </w:style>
  <w:style w:type="paragraph" w:styleId="Header">
    <w:name w:val="header"/>
    <w:basedOn w:val="Normal"/>
    <w:link w:val="HeaderChar"/>
    <w:uiPriority w:val="99"/>
    <w:unhideWhenUsed/>
    <w:rsid w:val="00FE6AD2"/>
    <w:pPr>
      <w:tabs>
        <w:tab w:val="center" w:pos="4320"/>
        <w:tab w:val="right" w:pos="8640"/>
      </w:tabs>
    </w:pPr>
  </w:style>
  <w:style w:type="character" w:customStyle="1" w:styleId="HeaderChar">
    <w:name w:val="Header Char"/>
    <w:basedOn w:val="DefaultParagraphFont"/>
    <w:link w:val="Header"/>
    <w:uiPriority w:val="99"/>
    <w:rsid w:val="00FE6AD2"/>
  </w:style>
  <w:style w:type="paragraph" w:styleId="Footer">
    <w:name w:val="footer"/>
    <w:basedOn w:val="Normal"/>
    <w:link w:val="FooterChar"/>
    <w:uiPriority w:val="99"/>
    <w:unhideWhenUsed/>
    <w:rsid w:val="00FE6AD2"/>
    <w:pPr>
      <w:tabs>
        <w:tab w:val="center" w:pos="4320"/>
        <w:tab w:val="right" w:pos="8640"/>
      </w:tabs>
    </w:pPr>
  </w:style>
  <w:style w:type="character" w:customStyle="1" w:styleId="FooterChar">
    <w:name w:val="Footer Char"/>
    <w:basedOn w:val="DefaultParagraphFont"/>
    <w:link w:val="Footer"/>
    <w:uiPriority w:val="99"/>
    <w:rsid w:val="00FE6AD2"/>
  </w:style>
  <w:style w:type="character" w:styleId="PageNumber">
    <w:name w:val="page number"/>
    <w:basedOn w:val="DefaultParagraphFont"/>
    <w:uiPriority w:val="99"/>
    <w:semiHidden/>
    <w:unhideWhenUsed/>
    <w:rsid w:val="00FE6AD2"/>
  </w:style>
  <w:style w:type="table" w:styleId="LightList-Accent1">
    <w:name w:val="Light List Accent 1"/>
    <w:basedOn w:val="TableNormal"/>
    <w:uiPriority w:val="61"/>
    <w:rsid w:val="00B324D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83FD1"/>
    <w:rPr>
      <w:sz w:val="16"/>
      <w:szCs w:val="16"/>
    </w:rPr>
  </w:style>
  <w:style w:type="paragraph" w:styleId="CommentText">
    <w:name w:val="annotation text"/>
    <w:basedOn w:val="Normal"/>
    <w:link w:val="CommentTextChar"/>
    <w:uiPriority w:val="99"/>
    <w:semiHidden/>
    <w:unhideWhenUsed/>
    <w:rsid w:val="00E83FD1"/>
    <w:rPr>
      <w:sz w:val="20"/>
      <w:szCs w:val="20"/>
    </w:rPr>
  </w:style>
  <w:style w:type="character" w:customStyle="1" w:styleId="CommentTextChar">
    <w:name w:val="Comment Text Char"/>
    <w:basedOn w:val="DefaultParagraphFont"/>
    <w:link w:val="CommentText"/>
    <w:uiPriority w:val="99"/>
    <w:semiHidden/>
    <w:rsid w:val="00E83FD1"/>
    <w:rPr>
      <w:sz w:val="20"/>
      <w:szCs w:val="20"/>
    </w:rPr>
  </w:style>
  <w:style w:type="paragraph" w:styleId="CommentSubject">
    <w:name w:val="annotation subject"/>
    <w:basedOn w:val="CommentText"/>
    <w:next w:val="CommentText"/>
    <w:link w:val="CommentSubjectChar"/>
    <w:uiPriority w:val="99"/>
    <w:semiHidden/>
    <w:unhideWhenUsed/>
    <w:rsid w:val="00E83FD1"/>
    <w:rPr>
      <w:b/>
      <w:bCs/>
    </w:rPr>
  </w:style>
  <w:style w:type="character" w:customStyle="1" w:styleId="CommentSubjectChar">
    <w:name w:val="Comment Subject Char"/>
    <w:basedOn w:val="CommentTextChar"/>
    <w:link w:val="CommentSubject"/>
    <w:uiPriority w:val="99"/>
    <w:semiHidden/>
    <w:rsid w:val="00E83FD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1B8F"/>
  </w:style>
  <w:style w:type="character" w:customStyle="1" w:styleId="FootnoteTextChar">
    <w:name w:val="Footnote Text Char"/>
    <w:basedOn w:val="DefaultParagraphFont"/>
    <w:link w:val="FootnoteText"/>
    <w:uiPriority w:val="99"/>
    <w:rsid w:val="003B1B8F"/>
  </w:style>
  <w:style w:type="character" w:styleId="FootnoteReference">
    <w:name w:val="footnote reference"/>
    <w:basedOn w:val="DefaultParagraphFont"/>
    <w:uiPriority w:val="99"/>
    <w:unhideWhenUsed/>
    <w:rsid w:val="003B1B8F"/>
    <w:rPr>
      <w:vertAlign w:val="superscript"/>
    </w:rPr>
  </w:style>
  <w:style w:type="paragraph" w:styleId="ListParagraph">
    <w:name w:val="List Paragraph"/>
    <w:basedOn w:val="Normal"/>
    <w:uiPriority w:val="34"/>
    <w:qFormat/>
    <w:rsid w:val="003B1B8F"/>
    <w:pPr>
      <w:ind w:left="720"/>
      <w:contextualSpacing/>
    </w:pPr>
  </w:style>
  <w:style w:type="table" w:styleId="TableGrid">
    <w:name w:val="Table Grid"/>
    <w:basedOn w:val="TableNormal"/>
    <w:uiPriority w:val="59"/>
    <w:rsid w:val="003B1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1B8F"/>
    <w:rPr>
      <w:color w:val="0000FF" w:themeColor="hyperlink"/>
      <w:u w:val="single"/>
    </w:rPr>
  </w:style>
  <w:style w:type="paragraph" w:styleId="BalloonText">
    <w:name w:val="Balloon Text"/>
    <w:basedOn w:val="Normal"/>
    <w:link w:val="BalloonTextChar"/>
    <w:uiPriority w:val="99"/>
    <w:semiHidden/>
    <w:unhideWhenUsed/>
    <w:rsid w:val="00A679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997"/>
    <w:rPr>
      <w:rFonts w:ascii="Lucida Grande" w:hAnsi="Lucida Grande" w:cs="Lucida Grande"/>
      <w:sz w:val="18"/>
      <w:szCs w:val="18"/>
    </w:rPr>
  </w:style>
  <w:style w:type="paragraph" w:styleId="Header">
    <w:name w:val="header"/>
    <w:basedOn w:val="Normal"/>
    <w:link w:val="HeaderChar"/>
    <w:uiPriority w:val="99"/>
    <w:unhideWhenUsed/>
    <w:rsid w:val="00FE6AD2"/>
    <w:pPr>
      <w:tabs>
        <w:tab w:val="center" w:pos="4320"/>
        <w:tab w:val="right" w:pos="8640"/>
      </w:tabs>
    </w:pPr>
  </w:style>
  <w:style w:type="character" w:customStyle="1" w:styleId="HeaderChar">
    <w:name w:val="Header Char"/>
    <w:basedOn w:val="DefaultParagraphFont"/>
    <w:link w:val="Header"/>
    <w:uiPriority w:val="99"/>
    <w:rsid w:val="00FE6AD2"/>
  </w:style>
  <w:style w:type="paragraph" w:styleId="Footer">
    <w:name w:val="footer"/>
    <w:basedOn w:val="Normal"/>
    <w:link w:val="FooterChar"/>
    <w:uiPriority w:val="99"/>
    <w:unhideWhenUsed/>
    <w:rsid w:val="00FE6AD2"/>
    <w:pPr>
      <w:tabs>
        <w:tab w:val="center" w:pos="4320"/>
        <w:tab w:val="right" w:pos="8640"/>
      </w:tabs>
    </w:pPr>
  </w:style>
  <w:style w:type="character" w:customStyle="1" w:styleId="FooterChar">
    <w:name w:val="Footer Char"/>
    <w:basedOn w:val="DefaultParagraphFont"/>
    <w:link w:val="Footer"/>
    <w:uiPriority w:val="99"/>
    <w:rsid w:val="00FE6AD2"/>
  </w:style>
  <w:style w:type="character" w:styleId="PageNumber">
    <w:name w:val="page number"/>
    <w:basedOn w:val="DefaultParagraphFont"/>
    <w:uiPriority w:val="99"/>
    <w:semiHidden/>
    <w:unhideWhenUsed/>
    <w:rsid w:val="00FE6AD2"/>
  </w:style>
  <w:style w:type="table" w:styleId="LightList-Accent1">
    <w:name w:val="Light List Accent 1"/>
    <w:basedOn w:val="TableNormal"/>
    <w:uiPriority w:val="61"/>
    <w:rsid w:val="00B324D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83FD1"/>
    <w:rPr>
      <w:sz w:val="16"/>
      <w:szCs w:val="16"/>
    </w:rPr>
  </w:style>
  <w:style w:type="paragraph" w:styleId="CommentText">
    <w:name w:val="annotation text"/>
    <w:basedOn w:val="Normal"/>
    <w:link w:val="CommentTextChar"/>
    <w:uiPriority w:val="99"/>
    <w:semiHidden/>
    <w:unhideWhenUsed/>
    <w:rsid w:val="00E83FD1"/>
    <w:rPr>
      <w:sz w:val="20"/>
      <w:szCs w:val="20"/>
    </w:rPr>
  </w:style>
  <w:style w:type="character" w:customStyle="1" w:styleId="CommentTextChar">
    <w:name w:val="Comment Text Char"/>
    <w:basedOn w:val="DefaultParagraphFont"/>
    <w:link w:val="CommentText"/>
    <w:uiPriority w:val="99"/>
    <w:semiHidden/>
    <w:rsid w:val="00E83FD1"/>
    <w:rPr>
      <w:sz w:val="20"/>
      <w:szCs w:val="20"/>
    </w:rPr>
  </w:style>
  <w:style w:type="paragraph" w:styleId="CommentSubject">
    <w:name w:val="annotation subject"/>
    <w:basedOn w:val="CommentText"/>
    <w:next w:val="CommentText"/>
    <w:link w:val="CommentSubjectChar"/>
    <w:uiPriority w:val="99"/>
    <w:semiHidden/>
    <w:unhideWhenUsed/>
    <w:rsid w:val="00E83FD1"/>
    <w:rPr>
      <w:b/>
      <w:bCs/>
    </w:rPr>
  </w:style>
  <w:style w:type="character" w:customStyle="1" w:styleId="CommentSubjectChar">
    <w:name w:val="Comment Subject Char"/>
    <w:basedOn w:val="CommentTextChar"/>
    <w:link w:val="CommentSubject"/>
    <w:uiPriority w:val="99"/>
    <w:semiHidden/>
    <w:rsid w:val="00E83F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undp.org/content/undp/en/home/librarypage/democratic-governance/anti-corruption/staying-on-track--tackling-corruption-risks-in-climate-change.html" TargetMode="External"/><Relationship Id="rId4" Type="http://schemas.openxmlformats.org/officeDocument/2006/relationships/hyperlink" Target="http://info.worldbank.org/etools/ANTIC/docs/Resources/Country%20Profiles/Philippines/TransparencyInternationa_NIS_philippines.pdf" TargetMode="External"/><Relationship Id="rId5" Type="http://schemas.openxmlformats.org/officeDocument/2006/relationships/hyperlink" Target="http://www.u4.no/publications/tackling-corruption-for-governing-redd-in-the-philippines/" TargetMode="External"/><Relationship Id="rId1" Type="http://schemas.openxmlformats.org/officeDocument/2006/relationships/hyperlink" Target="http://www.u4.no/publications/redd-integrity-addressing-governance-and-corruption-challenges-in-schemes-for-reducing-emissions-from-deforestation-and-forest-degradation-redd/" TargetMode="External"/><Relationship Id="rId2" Type="http://schemas.openxmlformats.org/officeDocument/2006/relationships/hyperlink" Target="http://www.illegal-logging.info/uploads/Forestsectorcorruptiontoolsnov09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D54C-1F88-4A4A-B651-FE49A813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2603</Words>
  <Characters>14840</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Inception Report with Contextualized Methodology</vt:lpstr>
    </vt:vector>
  </TitlesOfParts>
  <Company>UNDP</Company>
  <LinksUpToDate>false</LinksUpToDate>
  <CharactersWithSpaces>17409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Inception Report with Contextualized Methodology</dc:title>
  <dc:creator>Niner Guiao</dc:creator>
  <cp:lastModifiedBy>Niner Guiao</cp:lastModifiedBy>
  <cp:revision>6</cp:revision>
  <dcterms:created xsi:type="dcterms:W3CDTF">2012-09-28T04:47:00Z</dcterms:created>
  <dcterms:modified xsi:type="dcterms:W3CDTF">2012-09-28T05:05:00Z</dcterms:modified>
</cp:coreProperties>
</file>