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F17" w:rsidRDefault="008C7035" w:rsidP="0007322A">
      <w:pPr>
        <w:rPr>
          <w:b/>
        </w:rPr>
      </w:pPr>
      <w:r>
        <w:rPr>
          <w:rFonts w:ascii="Tahoma" w:hAnsi="Tahoma"/>
          <w:noProof/>
          <w:lang w:val="en-US"/>
        </w:rPr>
        <w:drawing>
          <wp:anchor distT="0" distB="0" distL="114300" distR="114300" simplePos="0" relativeHeight="251661824" behindDoc="1" locked="0" layoutInCell="1" allowOverlap="1">
            <wp:simplePos x="0" y="0"/>
            <wp:positionH relativeFrom="column">
              <wp:posOffset>-847725</wp:posOffset>
            </wp:positionH>
            <wp:positionV relativeFrom="line">
              <wp:posOffset>-411480</wp:posOffset>
            </wp:positionV>
            <wp:extent cx="1620520" cy="1450340"/>
            <wp:effectExtent l="19050" t="0" r="0" b="0"/>
            <wp:wrapTight wrapText="bothSides">
              <wp:wrapPolygon edited="0">
                <wp:start x="-254" y="0"/>
                <wp:lineTo x="-254" y="21278"/>
                <wp:lineTo x="21583" y="21278"/>
                <wp:lineTo x="21583" y="0"/>
                <wp:lineTo x="-254" y="0"/>
              </wp:wrapPolygon>
            </wp:wrapTight>
            <wp:docPr id="4" name="Picture 3" descr="ATT1021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1021834.jpg"/>
                    <pic:cNvPicPr/>
                  </pic:nvPicPr>
                  <pic:blipFill>
                    <a:blip r:embed="rId8"/>
                    <a:srcRect t="3846"/>
                    <a:stretch>
                      <a:fillRect/>
                    </a:stretch>
                  </pic:blipFill>
                  <pic:spPr>
                    <a:xfrm>
                      <a:off x="0" y="0"/>
                      <a:ext cx="1620520" cy="1450340"/>
                    </a:xfrm>
                    <a:prstGeom prst="rect">
                      <a:avLst/>
                    </a:prstGeom>
                  </pic:spPr>
                </pic:pic>
              </a:graphicData>
            </a:graphic>
          </wp:anchor>
        </w:drawing>
      </w:r>
      <w:r w:rsidR="00B86F17">
        <w:rPr>
          <w:rFonts w:ascii="Tahoma" w:hAnsi="Tahoma"/>
          <w:noProof/>
          <w:lang w:val="en-US"/>
        </w:rPr>
        <w:drawing>
          <wp:anchor distT="0" distB="0" distL="114300" distR="114300" simplePos="0" relativeHeight="251654656" behindDoc="1" locked="0" layoutInCell="1" allowOverlap="1">
            <wp:simplePos x="0" y="0"/>
            <wp:positionH relativeFrom="column">
              <wp:posOffset>4892675</wp:posOffset>
            </wp:positionH>
            <wp:positionV relativeFrom="paragraph">
              <wp:posOffset>-310515</wp:posOffset>
            </wp:positionV>
            <wp:extent cx="617220" cy="1322070"/>
            <wp:effectExtent l="19050" t="0" r="0" b="0"/>
            <wp:wrapTight wrapText="bothSides">
              <wp:wrapPolygon edited="0">
                <wp:start x="-667" y="0"/>
                <wp:lineTo x="-667" y="21164"/>
                <wp:lineTo x="21333" y="21164"/>
                <wp:lineTo x="21333" y="0"/>
                <wp:lineTo x="-667" y="0"/>
              </wp:wrapPolygon>
            </wp:wrapTight>
            <wp:docPr id="1" name="Picture 1" descr="und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
                    <pic:cNvPicPr>
                      <a:picLocks noChangeAspect="1" noChangeArrowheads="1"/>
                    </pic:cNvPicPr>
                  </pic:nvPicPr>
                  <pic:blipFill>
                    <a:blip r:embed="rId9" cstate="print"/>
                    <a:srcRect/>
                    <a:stretch>
                      <a:fillRect/>
                    </a:stretch>
                  </pic:blipFill>
                  <pic:spPr bwMode="auto">
                    <a:xfrm>
                      <a:off x="0" y="0"/>
                      <a:ext cx="617220" cy="1322070"/>
                    </a:xfrm>
                    <a:prstGeom prst="rect">
                      <a:avLst/>
                    </a:prstGeom>
                    <a:noFill/>
                    <a:ln w="9525">
                      <a:noFill/>
                      <a:miter lim="800000"/>
                      <a:headEnd/>
                      <a:tailEnd/>
                    </a:ln>
                  </pic:spPr>
                </pic:pic>
              </a:graphicData>
            </a:graphic>
          </wp:anchor>
        </w:drawing>
      </w:r>
    </w:p>
    <w:p w:rsidR="00B86F17" w:rsidRDefault="00B86F17">
      <w:pPr>
        <w:rPr>
          <w:b/>
        </w:rPr>
      </w:pPr>
    </w:p>
    <w:p w:rsidR="00B86F17" w:rsidRDefault="00B86F17">
      <w:pPr>
        <w:rPr>
          <w:b/>
        </w:rPr>
      </w:pPr>
    </w:p>
    <w:p w:rsidR="00B86F17" w:rsidRDefault="00B86F17">
      <w:pPr>
        <w:rPr>
          <w:b/>
        </w:rPr>
      </w:pPr>
    </w:p>
    <w:p w:rsidR="00B86F17" w:rsidRDefault="00B86F17">
      <w:pPr>
        <w:rPr>
          <w:b/>
        </w:rPr>
      </w:pPr>
    </w:p>
    <w:p w:rsidR="00B86F17" w:rsidRDefault="00B86F17">
      <w:pPr>
        <w:rPr>
          <w:b/>
        </w:rPr>
      </w:pPr>
    </w:p>
    <w:p w:rsidR="00B86F17" w:rsidRDefault="00B86F17">
      <w:pPr>
        <w:rPr>
          <w:b/>
        </w:rPr>
      </w:pPr>
    </w:p>
    <w:p w:rsidR="003636B0" w:rsidRDefault="003636B0">
      <w:pPr>
        <w:rPr>
          <w:b/>
        </w:rPr>
      </w:pPr>
    </w:p>
    <w:p w:rsidR="00B86F17" w:rsidRPr="003636B0" w:rsidRDefault="005F5E34" w:rsidP="0045529B">
      <w:pPr>
        <w:spacing w:after="0"/>
        <w:jc w:val="right"/>
        <w:rPr>
          <w:rFonts w:ascii="Tahoma" w:hAnsi="Tahoma" w:cs="Tahoma"/>
          <w:b/>
          <w:sz w:val="40"/>
          <w:szCs w:val="40"/>
        </w:rPr>
      </w:pPr>
      <w:r>
        <w:rPr>
          <w:rFonts w:ascii="Tahoma" w:hAnsi="Tahoma" w:cs="Tahoma"/>
          <w:b/>
          <w:sz w:val="40"/>
          <w:szCs w:val="40"/>
        </w:rPr>
        <w:t>Participatory</w:t>
      </w:r>
      <w:r w:rsidR="00B86F17" w:rsidRPr="003636B0">
        <w:rPr>
          <w:rFonts w:ascii="Tahoma" w:hAnsi="Tahoma" w:cs="Tahoma"/>
          <w:b/>
          <w:sz w:val="40"/>
          <w:szCs w:val="40"/>
        </w:rPr>
        <w:t xml:space="preserve"> Governance Assessments for REDD+ </w:t>
      </w:r>
    </w:p>
    <w:p w:rsidR="00B86F17" w:rsidRPr="003636B0" w:rsidRDefault="003636B0" w:rsidP="003636B0">
      <w:pPr>
        <w:spacing w:before="120" w:after="0"/>
        <w:jc w:val="right"/>
        <w:rPr>
          <w:rFonts w:ascii="Tahoma" w:hAnsi="Tahoma" w:cs="Tahoma"/>
          <w:b/>
          <w:sz w:val="32"/>
          <w:szCs w:val="32"/>
        </w:rPr>
      </w:pPr>
      <w:r w:rsidRPr="003636B0">
        <w:rPr>
          <w:rFonts w:ascii="Tahoma" w:hAnsi="Tahoma" w:cs="Tahoma"/>
          <w:b/>
          <w:sz w:val="32"/>
          <w:szCs w:val="32"/>
        </w:rPr>
        <w:t>Why citizens, national ownership and accountability matter</w:t>
      </w:r>
    </w:p>
    <w:p w:rsidR="0045529B" w:rsidRDefault="0045529B" w:rsidP="00B86F17">
      <w:pPr>
        <w:spacing w:after="0"/>
        <w:jc w:val="right"/>
        <w:rPr>
          <w:rFonts w:ascii="Tahoma" w:hAnsi="Tahoma" w:cs="Tahoma"/>
          <w:b/>
          <w:sz w:val="40"/>
          <w:szCs w:val="32"/>
        </w:rPr>
      </w:pPr>
    </w:p>
    <w:p w:rsidR="003636B0" w:rsidRPr="0045529B" w:rsidRDefault="003636B0" w:rsidP="00B86F17">
      <w:pPr>
        <w:spacing w:after="0"/>
        <w:jc w:val="right"/>
        <w:rPr>
          <w:rFonts w:ascii="Tahoma" w:hAnsi="Tahoma" w:cs="Tahoma"/>
          <w:b/>
          <w:sz w:val="40"/>
          <w:szCs w:val="32"/>
        </w:rPr>
      </w:pPr>
    </w:p>
    <w:p w:rsidR="00B86F17" w:rsidRPr="004C27BF" w:rsidRDefault="003636B0" w:rsidP="00B86F17">
      <w:pPr>
        <w:spacing w:after="0"/>
        <w:jc w:val="right"/>
        <w:rPr>
          <w:rFonts w:ascii="Tahoma" w:hAnsi="Tahoma" w:cs="Tahoma"/>
          <w:b/>
          <w:color w:val="1F497D" w:themeColor="text2"/>
          <w:sz w:val="36"/>
          <w:szCs w:val="36"/>
        </w:rPr>
      </w:pPr>
      <w:r w:rsidRPr="004C27BF">
        <w:rPr>
          <w:rFonts w:ascii="Tahoma" w:hAnsi="Tahoma" w:cs="Tahoma"/>
          <w:b/>
          <w:color w:val="1F497D" w:themeColor="text2"/>
          <w:sz w:val="36"/>
          <w:szCs w:val="36"/>
        </w:rPr>
        <w:t xml:space="preserve">A </w:t>
      </w:r>
      <w:r w:rsidR="00B86F17" w:rsidRPr="004C27BF">
        <w:rPr>
          <w:rFonts w:ascii="Tahoma" w:hAnsi="Tahoma" w:cs="Tahoma"/>
          <w:b/>
          <w:color w:val="1F497D" w:themeColor="text2"/>
          <w:sz w:val="36"/>
          <w:szCs w:val="36"/>
        </w:rPr>
        <w:t>Discussion Note</w:t>
      </w:r>
    </w:p>
    <w:p w:rsidR="00B86F17" w:rsidRPr="0045529B" w:rsidRDefault="00B86F17" w:rsidP="00B86F17">
      <w:pPr>
        <w:spacing w:after="0"/>
        <w:jc w:val="right"/>
        <w:rPr>
          <w:rFonts w:ascii="Tahoma" w:hAnsi="Tahoma" w:cs="Tahoma"/>
          <w:b/>
          <w:sz w:val="40"/>
          <w:szCs w:val="32"/>
        </w:rPr>
      </w:pPr>
    </w:p>
    <w:p w:rsidR="00B86F17" w:rsidRDefault="00B86F17" w:rsidP="00B86F17">
      <w:pPr>
        <w:spacing w:after="0"/>
        <w:jc w:val="right"/>
        <w:rPr>
          <w:rFonts w:ascii="Tahoma" w:hAnsi="Tahoma" w:cs="Tahoma"/>
          <w:sz w:val="40"/>
          <w:szCs w:val="32"/>
        </w:rPr>
      </w:pPr>
    </w:p>
    <w:p w:rsidR="0045529B" w:rsidRPr="000038CB" w:rsidRDefault="0045529B" w:rsidP="00B86F17">
      <w:pPr>
        <w:spacing w:after="0"/>
        <w:jc w:val="right"/>
        <w:rPr>
          <w:rFonts w:ascii="Tahoma" w:hAnsi="Tahoma" w:cs="Tahoma"/>
          <w:sz w:val="40"/>
          <w:szCs w:val="32"/>
        </w:rPr>
      </w:pPr>
    </w:p>
    <w:p w:rsidR="00B86F17" w:rsidRPr="000038CB" w:rsidRDefault="00B86F17" w:rsidP="00B86F17">
      <w:pPr>
        <w:spacing w:after="0"/>
        <w:jc w:val="right"/>
        <w:rPr>
          <w:rFonts w:ascii="Tahoma" w:hAnsi="Tahoma" w:cs="Tahoma"/>
          <w:sz w:val="40"/>
          <w:szCs w:val="32"/>
        </w:rPr>
      </w:pPr>
    </w:p>
    <w:p w:rsidR="00B86F17" w:rsidRPr="000038CB" w:rsidRDefault="00B86F17" w:rsidP="00B86F17">
      <w:pPr>
        <w:spacing w:after="0"/>
        <w:jc w:val="right"/>
        <w:rPr>
          <w:rFonts w:ascii="Tahoma" w:hAnsi="Tahoma" w:cs="Tahoma"/>
        </w:rPr>
      </w:pPr>
    </w:p>
    <w:p w:rsidR="00B86F17" w:rsidRPr="000038CB" w:rsidRDefault="00B86F17" w:rsidP="00B86F17">
      <w:pPr>
        <w:jc w:val="right"/>
        <w:rPr>
          <w:rFonts w:ascii="Tahoma" w:hAnsi="Tahoma"/>
        </w:rPr>
      </w:pPr>
    </w:p>
    <w:p w:rsidR="00B86F17" w:rsidRPr="000038CB" w:rsidRDefault="00B86F17" w:rsidP="00B86F17">
      <w:pPr>
        <w:jc w:val="right"/>
        <w:rPr>
          <w:rFonts w:ascii="Tahoma" w:hAnsi="Tahoma"/>
        </w:rPr>
      </w:pPr>
    </w:p>
    <w:p w:rsidR="00B86F17" w:rsidRPr="000038CB" w:rsidRDefault="00B86F17" w:rsidP="00B86F17">
      <w:pPr>
        <w:jc w:val="right"/>
        <w:rPr>
          <w:rFonts w:ascii="Tahoma" w:hAnsi="Tahoma"/>
        </w:rPr>
      </w:pPr>
    </w:p>
    <w:p w:rsidR="00B86F17" w:rsidRPr="000038CB" w:rsidRDefault="00B86F17" w:rsidP="00B86F17">
      <w:pPr>
        <w:jc w:val="right"/>
        <w:rPr>
          <w:rFonts w:ascii="Tahoma" w:hAnsi="Tahoma"/>
        </w:rPr>
      </w:pPr>
    </w:p>
    <w:p w:rsidR="0045529B" w:rsidRPr="0045529B" w:rsidRDefault="00232F65" w:rsidP="00B86F17">
      <w:pPr>
        <w:spacing w:after="0"/>
        <w:jc w:val="right"/>
        <w:rPr>
          <w:rFonts w:ascii="Tahoma" w:hAnsi="Tahoma" w:cs="Tahoma"/>
          <w:b/>
          <w:sz w:val="24"/>
          <w:szCs w:val="24"/>
        </w:rPr>
      </w:pPr>
      <w:r>
        <w:rPr>
          <w:rFonts w:ascii="Tahoma" w:hAnsi="Tahoma" w:cs="Tahoma"/>
          <w:b/>
          <w:sz w:val="24"/>
          <w:szCs w:val="24"/>
        </w:rPr>
        <w:t xml:space="preserve">November </w:t>
      </w:r>
      <w:r w:rsidR="0045529B" w:rsidRPr="0045529B">
        <w:rPr>
          <w:rFonts w:ascii="Tahoma" w:hAnsi="Tahoma" w:cs="Tahoma"/>
          <w:b/>
          <w:sz w:val="24"/>
          <w:szCs w:val="24"/>
        </w:rPr>
        <w:t>2010</w:t>
      </w:r>
    </w:p>
    <w:p w:rsidR="003636B0" w:rsidRDefault="003636B0" w:rsidP="0045529B">
      <w:pPr>
        <w:spacing w:after="0"/>
        <w:jc w:val="right"/>
        <w:rPr>
          <w:rFonts w:ascii="Tahoma" w:hAnsi="Tahoma" w:cs="Tahoma"/>
          <w:i/>
          <w:sz w:val="24"/>
          <w:szCs w:val="24"/>
        </w:rPr>
      </w:pPr>
    </w:p>
    <w:p w:rsidR="00A875C0" w:rsidRPr="004C27BF" w:rsidRDefault="0045529B" w:rsidP="0045529B">
      <w:pPr>
        <w:spacing w:after="0"/>
        <w:jc w:val="right"/>
        <w:rPr>
          <w:rFonts w:ascii="Tahoma" w:hAnsi="Tahoma" w:cs="Tahoma"/>
          <w:color w:val="1F497D" w:themeColor="text2"/>
          <w:sz w:val="24"/>
          <w:szCs w:val="24"/>
        </w:rPr>
      </w:pPr>
      <w:r w:rsidRPr="004C27BF">
        <w:rPr>
          <w:rFonts w:ascii="Tahoma" w:hAnsi="Tahoma" w:cs="Tahoma"/>
          <w:color w:val="1F497D" w:themeColor="text2"/>
          <w:sz w:val="24"/>
          <w:szCs w:val="24"/>
        </w:rPr>
        <w:t>Global Programme on Democratic Governance Assessments</w:t>
      </w:r>
    </w:p>
    <w:p w:rsidR="003636B0" w:rsidRPr="004C27BF" w:rsidRDefault="003636B0" w:rsidP="0045529B">
      <w:pPr>
        <w:spacing w:after="0"/>
        <w:jc w:val="right"/>
        <w:rPr>
          <w:rFonts w:ascii="Tahoma" w:hAnsi="Tahoma" w:cs="Tahoma"/>
          <w:color w:val="1F497D" w:themeColor="text2"/>
          <w:sz w:val="24"/>
          <w:szCs w:val="24"/>
        </w:rPr>
      </w:pPr>
      <w:r w:rsidRPr="004C27BF">
        <w:rPr>
          <w:rFonts w:ascii="Tahoma" w:hAnsi="Tahoma" w:cs="Tahoma"/>
          <w:color w:val="1F497D" w:themeColor="text2"/>
          <w:sz w:val="24"/>
          <w:szCs w:val="24"/>
        </w:rPr>
        <w:t>Oslo Governance Centre</w:t>
      </w:r>
      <w:r w:rsidR="0007322A">
        <w:rPr>
          <w:rFonts w:ascii="Tahoma" w:hAnsi="Tahoma" w:cs="Tahoma"/>
          <w:color w:val="1F497D" w:themeColor="text2"/>
          <w:sz w:val="24"/>
          <w:szCs w:val="24"/>
        </w:rPr>
        <w:t>, UNDP</w:t>
      </w:r>
    </w:p>
    <w:p w:rsidR="0007322A" w:rsidRDefault="0007322A" w:rsidP="0045529B">
      <w:pPr>
        <w:spacing w:after="0"/>
        <w:jc w:val="right"/>
        <w:rPr>
          <w:rFonts w:ascii="Tahoma" w:hAnsi="Tahoma" w:cs="Tahoma"/>
          <w:color w:val="1F497D" w:themeColor="text2"/>
          <w:sz w:val="24"/>
          <w:szCs w:val="24"/>
        </w:rPr>
      </w:pPr>
    </w:p>
    <w:p w:rsidR="00B86F17" w:rsidRPr="004C27BF" w:rsidRDefault="0007322A" w:rsidP="0045529B">
      <w:pPr>
        <w:spacing w:after="0"/>
        <w:jc w:val="right"/>
        <w:rPr>
          <w:rFonts w:ascii="Tahoma" w:hAnsi="Tahoma" w:cs="Tahoma"/>
          <w:color w:val="1F497D" w:themeColor="text2"/>
          <w:sz w:val="24"/>
          <w:szCs w:val="24"/>
        </w:rPr>
      </w:pPr>
      <w:r>
        <w:rPr>
          <w:rFonts w:ascii="Tahoma" w:hAnsi="Tahoma" w:cs="Tahoma"/>
          <w:color w:val="1F497D" w:themeColor="text2"/>
          <w:sz w:val="24"/>
          <w:szCs w:val="24"/>
        </w:rPr>
        <w:t xml:space="preserve">UN-REDD Programme </w:t>
      </w:r>
    </w:p>
    <w:p w:rsidR="00B86F17" w:rsidRPr="003636B0" w:rsidRDefault="00B86F17" w:rsidP="00B86F17">
      <w:pPr>
        <w:spacing w:after="0"/>
        <w:jc w:val="right"/>
        <w:rPr>
          <w:rFonts w:ascii="Tahoma" w:hAnsi="Tahoma" w:cs="Tahoma"/>
          <w:sz w:val="24"/>
          <w:szCs w:val="32"/>
        </w:rPr>
        <w:sectPr w:rsidR="00B86F17" w:rsidRPr="003636B0" w:rsidSect="00613B57">
          <w:headerReference w:type="even" r:id="rId10"/>
          <w:headerReference w:type="default" r:id="rId11"/>
          <w:footerReference w:type="even" r:id="rId12"/>
          <w:footerReference w:type="default" r:id="rId13"/>
          <w:headerReference w:type="first" r:id="rId14"/>
          <w:footerReference w:type="first" r:id="rId15"/>
          <w:pgSz w:w="11899" w:h="16838"/>
          <w:pgMar w:top="1134" w:right="1701" w:bottom="1134" w:left="2268" w:header="709" w:footer="709" w:gutter="0"/>
          <w:pgNumType w:start="1"/>
          <w:cols w:sep="1" w:space="709"/>
          <w:titlePg/>
          <w:docGrid w:linePitch="360"/>
        </w:sectPr>
      </w:pPr>
    </w:p>
    <w:p w:rsidR="00810C50" w:rsidRDefault="009414BE" w:rsidP="00810C50">
      <w:pPr>
        <w:spacing w:after="0"/>
        <w:rPr>
          <w:rFonts w:ascii="Tahoma" w:hAnsi="Tahoma" w:cs="Tahoma"/>
          <w:b/>
          <w:sz w:val="24"/>
          <w:szCs w:val="32"/>
        </w:rPr>
      </w:pPr>
      <w:r>
        <w:rPr>
          <w:rFonts w:ascii="Tahoma" w:hAnsi="Tahoma" w:cs="Tahoma"/>
          <w:b/>
          <w:noProof/>
          <w:sz w:val="24"/>
          <w:szCs w:val="32"/>
          <w:lang w:val="en-US"/>
        </w:rPr>
        <w:lastRenderedPageBreak/>
        <w:pict>
          <v:shapetype id="_x0000_t202" coordsize="21600,21600" o:spt="202" path="m,l,21600r21600,l21600,xe">
            <v:stroke joinstyle="miter"/>
            <v:path gradientshapeok="t" o:connecttype="rect"/>
          </v:shapetype>
          <v:shape id="_x0000_s1028" type="#_x0000_t202" style="position:absolute;margin-left:-5.7pt;margin-top:8.9pt;width:460.85pt;height:57.85pt;z-index:251657728" fillcolor="#d5d5ff" stroked="f">
            <v:textbox style="mso-next-textbox:#_x0000_s1028">
              <w:txbxContent>
                <w:p w:rsidR="00757780" w:rsidRPr="000038CB" w:rsidRDefault="00757780" w:rsidP="00001E40">
                  <w:pPr>
                    <w:spacing w:after="0"/>
                    <w:rPr>
                      <w:rFonts w:ascii="Tahoma" w:hAnsi="Tahoma" w:cs="Tahoma"/>
                      <w:b/>
                      <w:sz w:val="24"/>
                      <w:szCs w:val="32"/>
                    </w:rPr>
                  </w:pPr>
                  <w:r>
                    <w:rPr>
                      <w:rFonts w:ascii="Tahoma" w:hAnsi="Tahoma" w:cs="Tahoma"/>
                      <w:b/>
                      <w:sz w:val="24"/>
                      <w:szCs w:val="32"/>
                    </w:rPr>
                    <w:t xml:space="preserve">ACKNOWLEDGEMENTS </w:t>
                  </w:r>
                </w:p>
                <w:p w:rsidR="00757780" w:rsidRPr="00542437" w:rsidRDefault="00757780" w:rsidP="00001E40">
                  <w:pPr>
                    <w:spacing w:after="0"/>
                    <w:jc w:val="both"/>
                    <w:rPr>
                      <w:rFonts w:ascii="Tahoma" w:hAnsi="Tahoma" w:cs="Tahoma"/>
                      <w:sz w:val="20"/>
                      <w:szCs w:val="20"/>
                    </w:rPr>
                  </w:pPr>
                  <w:r w:rsidRPr="00542437">
                    <w:rPr>
                      <w:rFonts w:ascii="Tahoma" w:hAnsi="Tahoma" w:cs="Tahoma"/>
                      <w:sz w:val="20"/>
                      <w:szCs w:val="20"/>
                    </w:rPr>
                    <w:t>Th</w:t>
                  </w:r>
                  <w:r>
                    <w:rPr>
                      <w:rFonts w:ascii="Tahoma" w:hAnsi="Tahoma" w:cs="Tahoma"/>
                      <w:sz w:val="20"/>
                      <w:szCs w:val="20"/>
                    </w:rPr>
                    <w:t>is note was prepared by John Samuel, Joachim Nahem</w:t>
                  </w:r>
                  <w:r w:rsidR="0007322A">
                    <w:rPr>
                      <w:rFonts w:ascii="Tahoma" w:hAnsi="Tahoma" w:cs="Tahoma"/>
                      <w:sz w:val="20"/>
                      <w:szCs w:val="20"/>
                    </w:rPr>
                    <w:t>,</w:t>
                  </w:r>
                  <w:r>
                    <w:rPr>
                      <w:rFonts w:ascii="Tahoma" w:hAnsi="Tahoma" w:cs="Tahoma"/>
                      <w:sz w:val="20"/>
                      <w:szCs w:val="20"/>
                    </w:rPr>
                    <w:t xml:space="preserve"> Danae Issa</w:t>
                  </w:r>
                  <w:r w:rsidR="0007322A">
                    <w:rPr>
                      <w:rFonts w:ascii="Tahoma" w:hAnsi="Tahoma" w:cs="Tahoma"/>
                      <w:sz w:val="20"/>
                      <w:szCs w:val="20"/>
                    </w:rPr>
                    <w:t>, Estelle Fach and Tim Clairs</w:t>
                  </w:r>
                  <w:r>
                    <w:rPr>
                      <w:rFonts w:ascii="Tahoma" w:hAnsi="Tahoma" w:cs="Tahoma"/>
                      <w:sz w:val="20"/>
                      <w:szCs w:val="20"/>
                    </w:rPr>
                    <w:t xml:space="preserve">. </w:t>
                  </w:r>
                </w:p>
                <w:p w:rsidR="00757780" w:rsidRPr="001A3A48" w:rsidRDefault="00757780" w:rsidP="00001E40">
                  <w:pPr>
                    <w:spacing w:after="120" w:line="264" w:lineRule="auto"/>
                    <w:rPr>
                      <w:rFonts w:ascii="Tahoma" w:hAnsi="Tahoma" w:cs="Tahoma"/>
                      <w:sz w:val="16"/>
                      <w:szCs w:val="16"/>
                    </w:rPr>
                  </w:pPr>
                  <w:r w:rsidRPr="001A3A48">
                    <w:rPr>
                      <w:rFonts w:ascii="Tahoma" w:hAnsi="Tahoma" w:cs="Tahoma"/>
                      <w:sz w:val="16"/>
                      <w:szCs w:val="16"/>
                    </w:rPr>
                    <w:t xml:space="preserve"> </w:t>
                  </w:r>
                </w:p>
              </w:txbxContent>
            </v:textbox>
          </v:shape>
        </w:pict>
      </w: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7C58EE" w:rsidRDefault="007C58EE" w:rsidP="00810C50">
      <w:pPr>
        <w:spacing w:after="0"/>
        <w:rPr>
          <w:rFonts w:ascii="Tahoma" w:hAnsi="Tahoma" w:cs="Tahoma"/>
          <w:b/>
          <w:sz w:val="24"/>
          <w:szCs w:val="32"/>
        </w:rPr>
      </w:pPr>
    </w:p>
    <w:p w:rsidR="007C58EE" w:rsidRDefault="007C58EE" w:rsidP="00810C50">
      <w:pPr>
        <w:spacing w:after="0"/>
        <w:rPr>
          <w:rFonts w:ascii="Tahoma" w:hAnsi="Tahoma" w:cs="Tahoma"/>
          <w:b/>
          <w:sz w:val="24"/>
          <w:szCs w:val="32"/>
        </w:rPr>
      </w:pPr>
    </w:p>
    <w:p w:rsidR="007C58EE" w:rsidRDefault="007C58EE" w:rsidP="00810C50">
      <w:pPr>
        <w:spacing w:after="0"/>
        <w:rPr>
          <w:rFonts w:ascii="Tahoma" w:hAnsi="Tahoma" w:cs="Tahoma"/>
          <w:b/>
          <w:sz w:val="24"/>
          <w:szCs w:val="32"/>
        </w:rPr>
      </w:pPr>
    </w:p>
    <w:p w:rsidR="007C58EE" w:rsidRDefault="007C58EE" w:rsidP="00810C50">
      <w:pPr>
        <w:spacing w:after="0"/>
        <w:rPr>
          <w:rFonts w:ascii="Tahoma" w:hAnsi="Tahoma" w:cs="Tahoma"/>
          <w:b/>
          <w:sz w:val="24"/>
          <w:szCs w:val="32"/>
        </w:rPr>
      </w:pPr>
    </w:p>
    <w:p w:rsidR="007C58EE" w:rsidRDefault="007C58EE"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810C50" w:rsidRDefault="00810C50" w:rsidP="00810C50">
      <w:pPr>
        <w:spacing w:after="0"/>
        <w:rPr>
          <w:rFonts w:ascii="Tahoma" w:hAnsi="Tahoma" w:cs="Tahoma"/>
          <w:b/>
          <w:sz w:val="24"/>
          <w:szCs w:val="32"/>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FF5F77" w:rsidRDefault="00FF5F77">
      <w:pPr>
        <w:rPr>
          <w:rFonts w:ascii="Tahoma" w:hAnsi="Tahoma" w:cs="Tahoma"/>
          <w:b/>
          <w:color w:val="000000" w:themeColor="text1"/>
        </w:rPr>
      </w:pPr>
    </w:p>
    <w:p w:rsidR="00613B57" w:rsidRDefault="00613B57">
      <w:pPr>
        <w:rPr>
          <w:rFonts w:ascii="Tahoma" w:hAnsi="Tahoma" w:cs="Tahoma"/>
          <w:b/>
          <w:color w:val="1F497D" w:themeColor="text2"/>
          <w:sz w:val="40"/>
          <w:szCs w:val="40"/>
        </w:rPr>
      </w:pPr>
    </w:p>
    <w:p w:rsidR="00E26461" w:rsidRPr="00542437" w:rsidRDefault="00FF5F77">
      <w:pPr>
        <w:rPr>
          <w:rFonts w:ascii="Tahoma" w:hAnsi="Tahoma" w:cs="Tahoma"/>
          <w:b/>
          <w:color w:val="1F497D" w:themeColor="text2"/>
          <w:sz w:val="40"/>
          <w:szCs w:val="40"/>
        </w:rPr>
      </w:pPr>
      <w:r w:rsidRPr="00542437">
        <w:rPr>
          <w:rFonts w:ascii="Tahoma" w:hAnsi="Tahoma" w:cs="Tahoma"/>
          <w:b/>
          <w:color w:val="1F497D" w:themeColor="text2"/>
          <w:sz w:val="40"/>
          <w:szCs w:val="40"/>
        </w:rPr>
        <w:lastRenderedPageBreak/>
        <w:t>I</w:t>
      </w:r>
      <w:r w:rsidR="00E26461" w:rsidRPr="00542437">
        <w:rPr>
          <w:rFonts w:ascii="Tahoma" w:hAnsi="Tahoma" w:cs="Tahoma"/>
          <w:b/>
          <w:color w:val="1F497D" w:themeColor="text2"/>
          <w:sz w:val="40"/>
          <w:szCs w:val="40"/>
        </w:rPr>
        <w:t>ntroduction</w:t>
      </w:r>
    </w:p>
    <w:p w:rsidR="0007322A" w:rsidRDefault="0007322A" w:rsidP="00C57278">
      <w:pPr>
        <w:spacing w:after="120"/>
        <w:jc w:val="both"/>
      </w:pPr>
      <w:r>
        <w:rPr>
          <w:rFonts w:ascii="Calibri" w:eastAsia="Calibri" w:hAnsi="Calibri" w:cs="Calibri"/>
        </w:rPr>
        <w:t xml:space="preserve">Under the United Nations Framework Convention on Climate Change (UNFCCC) negotiations, progress has been made on the issue of reducing greenhouse gas emissions from deforestation and forest degradation in developing countries </w:t>
      </w:r>
      <w:r w:rsidRPr="00AD0E76">
        <w:rPr>
          <w:rFonts w:ascii="Calibri" w:hAnsi="Calibri"/>
        </w:rPr>
        <w:t xml:space="preserve">and </w:t>
      </w:r>
      <w:r w:rsidRPr="008C55AB">
        <w:rPr>
          <w:rFonts w:ascii="Calibri" w:hAnsi="Calibri"/>
        </w:rPr>
        <w:t>the role of conservation, sustainable management of forests and enhancement of forest carbon stocks</w:t>
      </w:r>
      <w:r w:rsidR="00C57278">
        <w:rPr>
          <w:rFonts w:ascii="Calibri" w:hAnsi="Calibri"/>
        </w:rPr>
        <w:t xml:space="preserve">, </w:t>
      </w:r>
      <w:r>
        <w:rPr>
          <w:rFonts w:ascii="Calibri" w:hAnsi="Calibri"/>
        </w:rPr>
        <w:t>referred to as “</w:t>
      </w:r>
      <w:r>
        <w:rPr>
          <w:rFonts w:ascii="Calibri" w:eastAsia="Calibri" w:hAnsi="Calibri" w:cs="Calibri"/>
        </w:rPr>
        <w:t>REDD</w:t>
      </w:r>
      <w:r w:rsidR="00F22CC8">
        <w:rPr>
          <w:rFonts w:ascii="Calibri" w:eastAsia="Calibri" w:hAnsi="Calibri" w:cs="Calibri"/>
        </w:rPr>
        <w:t>+</w:t>
      </w:r>
      <w:r>
        <w:rPr>
          <w:rFonts w:ascii="Calibri" w:eastAsia="Calibri" w:hAnsi="Calibri" w:cs="Calibri"/>
        </w:rPr>
        <w:t xml:space="preserve">”.  </w:t>
      </w:r>
    </w:p>
    <w:p w:rsidR="00B23BF9" w:rsidRDefault="0007322A" w:rsidP="00C57278">
      <w:pPr>
        <w:spacing w:after="120"/>
        <w:jc w:val="both"/>
      </w:pPr>
      <w:r>
        <w:rPr>
          <w:rFonts w:eastAsia="Calibri" w:cs="TTFFFFF900C08BE5C0t00"/>
          <w:color w:val="000000" w:themeColor="text1"/>
        </w:rPr>
        <w:t>P</w:t>
      </w:r>
      <w:r w:rsidRPr="00E65F96">
        <w:rPr>
          <w:rFonts w:eastAsia="Calibri" w:cs="TTFFFFF900C08BE5C0t00"/>
          <w:color w:val="000000" w:themeColor="text1"/>
        </w:rPr>
        <w:t xml:space="preserve">ayments </w:t>
      </w:r>
      <w:r w:rsidR="00F22CC8">
        <w:rPr>
          <w:rFonts w:eastAsia="Calibri" w:cs="TTFFFFF900C08BE5C0t00"/>
          <w:color w:val="000000" w:themeColor="text1"/>
        </w:rPr>
        <w:t xml:space="preserve">under a REDD+ mechanism </w:t>
      </w:r>
      <w:r w:rsidRPr="00E65F96">
        <w:rPr>
          <w:rFonts w:eastAsia="Calibri" w:cs="TTFFFFF900C08BE5C0t00"/>
          <w:color w:val="000000" w:themeColor="text1"/>
        </w:rPr>
        <w:t xml:space="preserve">for these emission mitigation measures will offer the first opportunity to launch countries onto low-carbon, climate-resilient development pathways.  </w:t>
      </w:r>
      <w:r w:rsidR="00F22CC8">
        <w:rPr>
          <w:rFonts w:eastAsia="Calibri" w:cs="TTFFFFF900C08BE5C0t00"/>
          <w:color w:val="000000" w:themeColor="text1"/>
        </w:rPr>
        <w:t>These p</w:t>
      </w:r>
      <w:r w:rsidRPr="00E65F96">
        <w:rPr>
          <w:rFonts w:eastAsia="Calibri" w:cs="TTFFFFF900C08BE5C0t00"/>
          <w:color w:val="000000" w:themeColor="text1"/>
        </w:rPr>
        <w:t>ayments can translate into incentives for changes in land use and better stewardship of forest resources. This, however, can only be achieved if the socio-economic drivers of deforestation and forest degradation are addressed and current forest resource users have suffic</w:t>
      </w:r>
      <w:r w:rsidR="00F22CC8">
        <w:rPr>
          <w:rFonts w:eastAsia="Calibri" w:cs="TTFFFFF900C08BE5C0t00"/>
          <w:color w:val="000000" w:themeColor="text1"/>
        </w:rPr>
        <w:t>ient confidence in the REDD+</w:t>
      </w:r>
      <w:r w:rsidRPr="00E65F96">
        <w:rPr>
          <w:rFonts w:eastAsia="Calibri" w:cs="TTFFFFF900C08BE5C0t00"/>
          <w:color w:val="000000" w:themeColor="text1"/>
        </w:rPr>
        <w:t xml:space="preserve"> mechanism to change the way they use forest resources.  This will not be easy, as current emission-intensive uses of forest resources are often an important source of foreign exchange, energy, food security, new settlements or employment.  In this context, </w:t>
      </w:r>
      <w:r w:rsidRPr="00B23BF9">
        <w:rPr>
          <w:rFonts w:eastAsia="Calibri" w:cs="TTFFFFF900C08BE5C0t00"/>
          <w:b/>
          <w:color w:val="000000" w:themeColor="text1"/>
        </w:rPr>
        <w:t>good and efficient governance</w:t>
      </w:r>
      <w:r w:rsidRPr="00E65F96">
        <w:rPr>
          <w:rFonts w:eastAsia="Calibri" w:cs="TTFFFFF900C08BE5C0t00"/>
          <w:color w:val="000000" w:themeColor="text1"/>
        </w:rPr>
        <w:t xml:space="preserve"> of forest resources and </w:t>
      </w:r>
      <w:r w:rsidR="00B23BF9">
        <w:rPr>
          <w:rFonts w:eastAsia="Calibri" w:cs="TTFFFFF900C08BE5C0t00"/>
          <w:color w:val="000000" w:themeColor="text1"/>
        </w:rPr>
        <w:t xml:space="preserve">of </w:t>
      </w:r>
      <w:r w:rsidRPr="00E65F96">
        <w:rPr>
          <w:rFonts w:eastAsia="Calibri" w:cs="TTFFFFF900C08BE5C0t00"/>
          <w:color w:val="000000" w:themeColor="text1"/>
        </w:rPr>
        <w:t>the distribution of benefits will be cen</w:t>
      </w:r>
      <w:r w:rsidR="00F22CC8">
        <w:rPr>
          <w:rFonts w:eastAsia="Calibri" w:cs="TTFFFFF900C08BE5C0t00"/>
          <w:color w:val="000000" w:themeColor="text1"/>
        </w:rPr>
        <w:t>tral to the success of REDD+</w:t>
      </w:r>
      <w:r w:rsidRPr="00E65F96">
        <w:rPr>
          <w:rFonts w:eastAsia="Calibri" w:cs="TTFFFFF900C08BE5C0t00"/>
          <w:color w:val="000000" w:themeColor="text1"/>
        </w:rPr>
        <w:t xml:space="preserve"> policies and measures.  Good governance will enable an environment conducive to the predictable and lasting delivery of emission r</w:t>
      </w:r>
      <w:r w:rsidR="00F22CC8">
        <w:rPr>
          <w:rFonts w:eastAsia="Calibri" w:cs="TTFFFFF900C08BE5C0t00"/>
          <w:color w:val="000000" w:themeColor="text1"/>
        </w:rPr>
        <w:t>eductions, ensure that REDD+</w:t>
      </w:r>
      <w:r w:rsidRPr="00E65F96">
        <w:rPr>
          <w:rFonts w:eastAsia="Calibri" w:cs="TTFFFFF900C08BE5C0t00"/>
          <w:color w:val="000000" w:themeColor="text1"/>
        </w:rPr>
        <w:t xml:space="preserve"> policies provide sufficient incentives and minimize negative social impacts, and promote structures of service delivery and payments geared towards sustainable development and poverty reduction outcomes.</w:t>
      </w:r>
      <w:r w:rsidR="00E26461">
        <w:t xml:space="preserve"> </w:t>
      </w:r>
    </w:p>
    <w:p w:rsidR="002D07A5" w:rsidRDefault="002D07A5" w:rsidP="00571CCE">
      <w:pPr>
        <w:spacing w:after="0"/>
        <w:jc w:val="both"/>
      </w:pPr>
    </w:p>
    <w:p w:rsidR="00B23BF9" w:rsidRDefault="00F22CC8" w:rsidP="00C57278">
      <w:pPr>
        <w:spacing w:after="120"/>
        <w:jc w:val="both"/>
        <w:rPr>
          <w:sz w:val="24"/>
          <w:szCs w:val="24"/>
        </w:rPr>
      </w:pPr>
      <w:r>
        <w:rPr>
          <w:rFonts w:eastAsia="Calibri" w:cs="TTFFFFF900C08BE5C0t00"/>
          <w:color w:val="000000" w:themeColor="text1"/>
        </w:rPr>
        <w:lastRenderedPageBreak/>
        <w:t>By contrast, i</w:t>
      </w:r>
      <w:r w:rsidR="00B23BF9" w:rsidRPr="00B23BF9">
        <w:rPr>
          <w:rFonts w:eastAsia="Calibri" w:cs="TTFFFFF900C08BE5C0t00"/>
          <w:color w:val="000000" w:themeColor="text1"/>
        </w:rPr>
        <w:t>f the allocation of carbon rights is opaque and uncertain, if the distribution of benefits is unpredictable, untimely or captured by a few, if lack of enforcement allows free riders to exploit the system, or if perceived or experience corruption is high, stakeholders will not take the risk of forgoing the income they derive from their current uses of forest resources.  Conversely, when the rights of forest dependent</w:t>
      </w:r>
      <w:r w:rsidR="00B23BF9" w:rsidRPr="00B23BF9">
        <w:rPr>
          <w:rFonts w:ascii="Calibri" w:eastAsia="Calibri" w:hAnsi="Calibri" w:cs="Calibri"/>
        </w:rPr>
        <w:t xml:space="preserve"> communities are violated or communities are marginalized, investors, weary of insecure business environments and unpredictable emission reductions, are deterred.</w:t>
      </w:r>
      <w:r w:rsidR="00B23BF9" w:rsidRPr="00C56388">
        <w:rPr>
          <w:sz w:val="24"/>
          <w:szCs w:val="24"/>
        </w:rPr>
        <w:t xml:space="preserve"> </w:t>
      </w:r>
      <w:r w:rsidR="00B23BF9">
        <w:rPr>
          <w:sz w:val="24"/>
          <w:szCs w:val="24"/>
        </w:rPr>
        <w:t xml:space="preserve"> </w:t>
      </w:r>
    </w:p>
    <w:p w:rsidR="00F22CC8" w:rsidRDefault="00F22CC8" w:rsidP="00C57278">
      <w:pPr>
        <w:spacing w:after="120"/>
        <w:jc w:val="both"/>
      </w:pPr>
      <w:r>
        <w:t xml:space="preserve">International discussions on a </w:t>
      </w:r>
      <w:r w:rsidR="00E26461">
        <w:t xml:space="preserve">REDD+ </w:t>
      </w:r>
      <w:r>
        <w:t xml:space="preserve">mechanism </w:t>
      </w:r>
      <w:r w:rsidR="004B4971">
        <w:t>ha</w:t>
      </w:r>
      <w:r>
        <w:t>ve</w:t>
      </w:r>
      <w:r w:rsidR="004B4971">
        <w:t xml:space="preserve"> gained </w:t>
      </w:r>
      <w:r w:rsidR="00E26461">
        <w:t>momentum</w:t>
      </w:r>
      <w:r>
        <w:t>, a</w:t>
      </w:r>
      <w:r w:rsidR="003E2113">
        <w:t>nd close to 5</w:t>
      </w:r>
      <w:r>
        <w:t xml:space="preserve"> </w:t>
      </w:r>
      <w:r w:rsidR="00E26461">
        <w:t xml:space="preserve">billion </w:t>
      </w:r>
      <w:r>
        <w:t xml:space="preserve">have already been pledged until </w:t>
      </w:r>
      <w:r w:rsidR="00E26461">
        <w:t xml:space="preserve">2012 </w:t>
      </w:r>
      <w:r w:rsidR="00571CCE">
        <w:t xml:space="preserve">for </w:t>
      </w:r>
      <w:r w:rsidR="00E26461">
        <w:t xml:space="preserve">REDD+ </w:t>
      </w:r>
      <w:r w:rsidR="00571CCE">
        <w:t>activities</w:t>
      </w:r>
      <w:r w:rsidR="00E26461">
        <w:t>.</w:t>
      </w:r>
      <w:r w:rsidR="00215270">
        <w:rPr>
          <w:rStyle w:val="EndnoteReference"/>
        </w:rPr>
        <w:endnoteReference w:id="2"/>
      </w:r>
      <w:r w:rsidR="00E26461">
        <w:t xml:space="preserve"> </w:t>
      </w:r>
      <w:r>
        <w:t>Meanwhile, bilateral and multilateral initiatives such as the UN-REDD Programme are working in place to support countries in building their capacity and be “REDD-ready”, including their governance systems for REDD+</w:t>
      </w:r>
      <w:r w:rsidR="005F5E34">
        <w:t>.</w:t>
      </w:r>
      <w:r>
        <w:t xml:space="preserve"> </w:t>
      </w:r>
    </w:p>
    <w:p w:rsidR="001445BE" w:rsidRDefault="001445BE" w:rsidP="00C57278">
      <w:pPr>
        <w:spacing w:after="120"/>
        <w:jc w:val="both"/>
      </w:pPr>
      <w:r>
        <w:t xml:space="preserve">UNDP </w:t>
      </w:r>
      <w:r w:rsidR="00F22CC8">
        <w:t xml:space="preserve">understands and promotes </w:t>
      </w:r>
      <w:r w:rsidR="00571CCE">
        <w:t>governance as “</w:t>
      </w:r>
      <w:r>
        <w:t>comprising the mechanism, process and institutions that d</w:t>
      </w:r>
      <w:r w:rsidR="00571CCE">
        <w:t>etermine how power is exercised</w:t>
      </w:r>
      <w:r>
        <w:t>, how decisions are made on issues of public concern and how citizens articulate their interests, exercise their legal rights, meet their obligation</w:t>
      </w:r>
      <w:r w:rsidR="00571CCE">
        <w:t xml:space="preserve"> and mediate their differences.”</w:t>
      </w:r>
      <w:r>
        <w:t xml:space="preserve"> </w:t>
      </w:r>
      <w:r w:rsidR="00B23BF9">
        <w:t xml:space="preserve">UNDP’s </w:t>
      </w:r>
      <w:r w:rsidR="00F22CC8">
        <w:t xml:space="preserve">democratic </w:t>
      </w:r>
      <w:r>
        <w:t xml:space="preserve">governance approach is based on </w:t>
      </w:r>
      <w:r w:rsidR="003258CA">
        <w:t>f</w:t>
      </w:r>
      <w:r w:rsidR="00571CCE">
        <w:t>ostering i</w:t>
      </w:r>
      <w:r>
        <w:t>nclusive participa</w:t>
      </w:r>
      <w:r w:rsidR="003258CA">
        <w:t>tion, s</w:t>
      </w:r>
      <w:r w:rsidR="00571CCE">
        <w:t>trengthening accountable and r</w:t>
      </w:r>
      <w:r>
        <w:t>esponsive gover</w:t>
      </w:r>
      <w:r w:rsidR="003258CA">
        <w:t>ning capacity and g</w:t>
      </w:r>
      <w:r w:rsidR="00571CCE">
        <w:t>rounding governance in international p</w:t>
      </w:r>
      <w:r>
        <w:t>rinciples.</w:t>
      </w:r>
    </w:p>
    <w:p w:rsidR="008D78C4" w:rsidRDefault="00B23BF9" w:rsidP="00C57278">
      <w:pPr>
        <w:spacing w:after="120"/>
        <w:jc w:val="both"/>
      </w:pPr>
      <w:r>
        <w:t>A</w:t>
      </w:r>
      <w:r w:rsidR="008D78C4">
        <w:t xml:space="preserve"> comprehensive governance and </w:t>
      </w:r>
      <w:r w:rsidR="00571CCE">
        <w:t xml:space="preserve">development approach </w:t>
      </w:r>
      <w:r w:rsidR="009C5ED4">
        <w:t xml:space="preserve">must </w:t>
      </w:r>
      <w:r w:rsidR="00F22CC8">
        <w:t>address</w:t>
      </w:r>
      <w:r>
        <w:t xml:space="preserve"> </w:t>
      </w:r>
      <w:r w:rsidR="008D78C4">
        <w:t xml:space="preserve">the </w:t>
      </w:r>
      <w:r>
        <w:t xml:space="preserve">drivers </w:t>
      </w:r>
      <w:r w:rsidR="00571CCE">
        <w:t xml:space="preserve">of deforestation and </w:t>
      </w:r>
      <w:r w:rsidR="0094114F">
        <w:t xml:space="preserve">forest </w:t>
      </w:r>
      <w:r w:rsidR="00571CCE">
        <w:t>d</w:t>
      </w:r>
      <w:r w:rsidR="008D78C4">
        <w:t>egradation</w:t>
      </w:r>
      <w:r w:rsidR="00F22CC8">
        <w:t>,</w:t>
      </w:r>
      <w:r>
        <w:t xml:space="preserve"> mitigates the risks associated to new REDD+ incentives</w:t>
      </w:r>
      <w:r w:rsidR="00F22CC8">
        <w:t xml:space="preserve"> and enhances livelihoods</w:t>
      </w:r>
      <w:r w:rsidR="008D78C4">
        <w:t>.</w:t>
      </w:r>
      <w:r w:rsidR="00F22CC8">
        <w:t xml:space="preserve"> This will not be easy, as REDD+ will take place in forest governance contexts that have often been characterized by </w:t>
      </w:r>
      <w:r w:rsidR="00DE4365">
        <w:t>i</w:t>
      </w:r>
      <w:r w:rsidR="008D78C4">
        <w:t xml:space="preserve">llegal </w:t>
      </w:r>
      <w:r w:rsidR="008D78C4">
        <w:lastRenderedPageBreak/>
        <w:t>logging,</w:t>
      </w:r>
      <w:r w:rsidR="00D56928">
        <w:t xml:space="preserve"> corruption,</w:t>
      </w:r>
      <w:r w:rsidR="008D78C4">
        <w:t xml:space="preserve"> corporate and elite capture of forest lands, mining, displacement of forest communities and undue exploitation of natural resources. </w:t>
      </w:r>
      <w:r w:rsidR="00D119CE">
        <w:t xml:space="preserve">In many countries </w:t>
      </w:r>
      <w:r w:rsidR="00E97994">
        <w:t xml:space="preserve">the lack of appropriate policies on forest management, </w:t>
      </w:r>
      <w:r w:rsidR="00D119CE">
        <w:t xml:space="preserve">weak law enforcement, ambiguous </w:t>
      </w:r>
      <w:r w:rsidR="00E97994">
        <w:t xml:space="preserve">land tenure </w:t>
      </w:r>
      <w:r w:rsidR="00D119CE">
        <w:t>as well as</w:t>
      </w:r>
      <w:r w:rsidR="00E97994">
        <w:t xml:space="preserve"> </w:t>
      </w:r>
      <w:r w:rsidR="00D119CE">
        <w:t>poor regulation on the</w:t>
      </w:r>
      <w:r w:rsidR="00E97994">
        <w:t xml:space="preserve"> use of forest </w:t>
      </w:r>
      <w:r>
        <w:t>have</w:t>
      </w:r>
      <w:r w:rsidR="00DE4365">
        <w:t xml:space="preserve"> </w:t>
      </w:r>
      <w:r w:rsidR="00E97994">
        <w:t>contribute</w:t>
      </w:r>
      <w:r>
        <w:t>d</w:t>
      </w:r>
      <w:r w:rsidR="00E97994">
        <w:t xml:space="preserve"> to deforestation and </w:t>
      </w:r>
      <w:r w:rsidR="00DE4365">
        <w:t xml:space="preserve">forest </w:t>
      </w:r>
      <w:r w:rsidR="00E97994">
        <w:t xml:space="preserve">degradation. </w:t>
      </w:r>
      <w:r w:rsidR="00D119CE">
        <w:t>The general absence of</w:t>
      </w:r>
      <w:r w:rsidR="00E97994">
        <w:t xml:space="preserve"> effective public accountability and </w:t>
      </w:r>
      <w:r w:rsidR="00D119CE">
        <w:t xml:space="preserve">subsequent rampant </w:t>
      </w:r>
      <w:r w:rsidR="00E97994">
        <w:t xml:space="preserve">corruption </w:t>
      </w:r>
      <w:r w:rsidR="00F22CC8">
        <w:t xml:space="preserve">has often </w:t>
      </w:r>
      <w:r w:rsidR="00D119CE" w:rsidRPr="00D119CE">
        <w:t>exacerbate</w:t>
      </w:r>
      <w:r w:rsidR="00F22CC8">
        <w:t>d</w:t>
      </w:r>
      <w:r w:rsidR="00E97994">
        <w:t xml:space="preserve"> the vulnerability of forests and </w:t>
      </w:r>
      <w:r w:rsidR="00D119CE">
        <w:t>their communities</w:t>
      </w:r>
      <w:r w:rsidR="00E97994">
        <w:t xml:space="preserve">. </w:t>
      </w:r>
    </w:p>
    <w:p w:rsidR="002D07A5" w:rsidRDefault="00F22CC8" w:rsidP="0094114F">
      <w:pPr>
        <w:jc w:val="both"/>
        <w:rPr>
          <w:rFonts w:ascii="Tahoma" w:hAnsi="Tahoma" w:cs="Tahoma"/>
          <w:b/>
          <w:color w:val="1F497D" w:themeColor="text2"/>
          <w:sz w:val="40"/>
          <w:szCs w:val="40"/>
        </w:rPr>
      </w:pPr>
      <w:r>
        <w:rPr>
          <w:rFonts w:ascii="Tahoma" w:hAnsi="Tahoma" w:cs="Tahoma"/>
          <w:b/>
          <w:color w:val="1F497D" w:themeColor="text2"/>
          <w:sz w:val="40"/>
          <w:szCs w:val="40"/>
        </w:rPr>
        <w:t xml:space="preserve">Understanding </w:t>
      </w:r>
      <w:r w:rsidR="003258CA">
        <w:rPr>
          <w:rFonts w:ascii="Tahoma" w:hAnsi="Tahoma" w:cs="Tahoma"/>
          <w:b/>
          <w:color w:val="1F497D" w:themeColor="text2"/>
          <w:sz w:val="40"/>
          <w:szCs w:val="40"/>
        </w:rPr>
        <w:t xml:space="preserve">the </w:t>
      </w:r>
      <w:r>
        <w:rPr>
          <w:rFonts w:ascii="Tahoma" w:hAnsi="Tahoma" w:cs="Tahoma"/>
          <w:b/>
          <w:color w:val="1F497D" w:themeColor="text2"/>
          <w:sz w:val="40"/>
          <w:szCs w:val="40"/>
        </w:rPr>
        <w:t xml:space="preserve">democratic </w:t>
      </w:r>
      <w:r w:rsidR="0094114F" w:rsidRPr="00542437">
        <w:rPr>
          <w:rFonts w:ascii="Tahoma" w:hAnsi="Tahoma" w:cs="Tahoma"/>
          <w:b/>
          <w:color w:val="1F497D" w:themeColor="text2"/>
          <w:sz w:val="40"/>
          <w:szCs w:val="40"/>
        </w:rPr>
        <w:t>governance a</w:t>
      </w:r>
      <w:r w:rsidR="0056723D" w:rsidRPr="00542437">
        <w:rPr>
          <w:rFonts w:ascii="Tahoma" w:hAnsi="Tahoma" w:cs="Tahoma"/>
          <w:b/>
          <w:color w:val="1F497D" w:themeColor="text2"/>
          <w:sz w:val="40"/>
          <w:szCs w:val="40"/>
        </w:rPr>
        <w:t xml:space="preserve">pproach to REDD+ </w:t>
      </w:r>
    </w:p>
    <w:p w:rsidR="00542437" w:rsidRDefault="000721C5" w:rsidP="0094114F">
      <w:pPr>
        <w:jc w:val="both"/>
      </w:pPr>
      <w:r>
        <w:t xml:space="preserve">It is widely </w:t>
      </w:r>
      <w:r w:rsidR="003365D6">
        <w:t>agree</w:t>
      </w:r>
      <w:r>
        <w:t>s</w:t>
      </w:r>
      <w:r w:rsidR="003365D6">
        <w:t xml:space="preserve"> that</w:t>
      </w:r>
      <w:r w:rsidR="009A7CA9">
        <w:t xml:space="preserve"> effective, accountable an</w:t>
      </w:r>
      <w:r>
        <w:t xml:space="preserve">d transparent </w:t>
      </w:r>
      <w:r w:rsidR="00E97994">
        <w:t xml:space="preserve">governance </w:t>
      </w:r>
      <w:r w:rsidR="003365D6">
        <w:t>is</w:t>
      </w:r>
      <w:r w:rsidR="00E97994">
        <w:t xml:space="preserve"> </w:t>
      </w:r>
      <w:r w:rsidR="003365D6">
        <w:t xml:space="preserve">an </w:t>
      </w:r>
      <w:r w:rsidR="00E97994">
        <w:t xml:space="preserve">important prerequisite for </w:t>
      </w:r>
      <w:r w:rsidR="003365D6">
        <w:t>a positive</w:t>
      </w:r>
      <w:r w:rsidR="0094114F">
        <w:t xml:space="preserve"> </w:t>
      </w:r>
      <w:r w:rsidR="00E97994">
        <w:t>REDD</w:t>
      </w:r>
      <w:r w:rsidR="00B23BF9">
        <w:t>+</w:t>
      </w:r>
      <w:r w:rsidR="003365D6">
        <w:t xml:space="preserve"> outcome</w:t>
      </w:r>
      <w:r w:rsidR="00E97994">
        <w:t>.</w:t>
      </w:r>
      <w:r w:rsidR="0014003E">
        <w:t xml:space="preserve"> </w:t>
      </w:r>
      <w:r>
        <w:t>T</w:t>
      </w:r>
      <w:r w:rsidR="003365D6">
        <w:t xml:space="preserve">o achieve this outcome it is essential to </w:t>
      </w:r>
      <w:r w:rsidR="00670474">
        <w:t>understand the following aspects of governance</w:t>
      </w:r>
      <w:r w:rsidR="00F22CC8">
        <w:t xml:space="preserve"> for REDD+</w:t>
      </w:r>
      <w:r w:rsidR="00670474">
        <w:t>:</w:t>
      </w:r>
      <w:r w:rsidR="003365D6">
        <w:t xml:space="preserve"> </w:t>
      </w:r>
    </w:p>
    <w:p w:rsidR="0000394E" w:rsidRPr="0000394E" w:rsidRDefault="009A7CA9" w:rsidP="009C5ED4">
      <w:pPr>
        <w:pStyle w:val="ListParagraph"/>
        <w:numPr>
          <w:ilvl w:val="0"/>
          <w:numId w:val="5"/>
        </w:numPr>
        <w:ind w:left="0"/>
        <w:contextualSpacing w:val="0"/>
        <w:jc w:val="both"/>
        <w:rPr>
          <w:b/>
        </w:rPr>
      </w:pPr>
      <w:r w:rsidRPr="00542437">
        <w:rPr>
          <w:b/>
          <w:color w:val="1F497D" w:themeColor="text2"/>
        </w:rPr>
        <w:t xml:space="preserve">Forest </w:t>
      </w:r>
      <w:r w:rsidR="00F22CC8">
        <w:rPr>
          <w:b/>
          <w:color w:val="1F497D" w:themeColor="text2"/>
        </w:rPr>
        <w:t>g</w:t>
      </w:r>
      <w:r w:rsidR="005140F0">
        <w:rPr>
          <w:b/>
          <w:color w:val="1F497D" w:themeColor="text2"/>
        </w:rPr>
        <w:t>overnance is a component</w:t>
      </w:r>
      <w:r w:rsidRPr="00542437">
        <w:rPr>
          <w:b/>
          <w:color w:val="1F497D" w:themeColor="text2"/>
        </w:rPr>
        <w:t xml:space="preserve"> of the larger governance framework of a country</w:t>
      </w:r>
      <w:r w:rsidRPr="00542437">
        <w:rPr>
          <w:color w:val="1F497D" w:themeColor="text2"/>
        </w:rPr>
        <w:t>.</w:t>
      </w:r>
      <w:r w:rsidR="005140F0">
        <w:rPr>
          <w:color w:val="1F497D" w:themeColor="text2"/>
        </w:rPr>
        <w:t xml:space="preserve"> </w:t>
      </w:r>
      <w:r w:rsidR="005140F0">
        <w:t>A</w:t>
      </w:r>
      <w:r>
        <w:t xml:space="preserve">n effective </w:t>
      </w:r>
      <w:r w:rsidR="00F22CC8">
        <w:t xml:space="preserve">governance for </w:t>
      </w:r>
      <w:r>
        <w:t xml:space="preserve">REDD+ </w:t>
      </w:r>
      <w:r w:rsidR="00F22CC8">
        <w:t xml:space="preserve">framework </w:t>
      </w:r>
      <w:r>
        <w:t>will have to address three key challenges</w:t>
      </w:r>
      <w:r w:rsidR="0094114F">
        <w:t>:</w:t>
      </w:r>
      <w:r>
        <w:t xml:space="preserve"> forest governance,</w:t>
      </w:r>
      <w:r w:rsidR="0094114F">
        <w:t xml:space="preserve"> the</w:t>
      </w:r>
      <w:r>
        <w:t xml:space="preserve"> governance system of the country and the iss</w:t>
      </w:r>
      <w:r w:rsidR="0094114F">
        <w:t xml:space="preserve">ues of poverty and livelihood. </w:t>
      </w:r>
      <w:r w:rsidR="0078704A">
        <w:t xml:space="preserve">The quality of governance for REDD+ in a country </w:t>
      </w:r>
      <w:r w:rsidR="00535256">
        <w:t>will depend</w:t>
      </w:r>
      <w:r w:rsidR="0078704A">
        <w:t xml:space="preserve"> on a robust legal and policy framework, the capacity of the institutional system to implement and enforce, the ability to raise and manage resources, transparent and accountable decision-making systems</w:t>
      </w:r>
      <w:r w:rsidR="001E7106">
        <w:rPr>
          <w:rStyle w:val="EndnoteReference"/>
        </w:rPr>
        <w:endnoteReference w:id="3"/>
      </w:r>
      <w:r w:rsidR="0078704A">
        <w:t>, and above all more empowered and educated citizens.</w:t>
      </w:r>
    </w:p>
    <w:p w:rsidR="00E97994" w:rsidRPr="0078704A" w:rsidRDefault="0014003E" w:rsidP="0078704A">
      <w:pPr>
        <w:pStyle w:val="ListParagraph"/>
        <w:numPr>
          <w:ilvl w:val="0"/>
          <w:numId w:val="5"/>
        </w:numPr>
        <w:ind w:left="0"/>
        <w:contextualSpacing w:val="0"/>
        <w:jc w:val="both"/>
        <w:rPr>
          <w:b/>
        </w:rPr>
      </w:pPr>
      <w:r w:rsidRPr="00F22CC8">
        <w:rPr>
          <w:b/>
          <w:color w:val="1F497D" w:themeColor="text2"/>
        </w:rPr>
        <w:lastRenderedPageBreak/>
        <w:t xml:space="preserve">Citizens and forest communities play a crucial role in </w:t>
      </w:r>
      <w:r w:rsidR="0094114F" w:rsidRPr="00F22CC8">
        <w:rPr>
          <w:b/>
          <w:color w:val="1F497D" w:themeColor="text2"/>
        </w:rPr>
        <w:t>strengthening f</w:t>
      </w:r>
      <w:r w:rsidR="00D72203" w:rsidRPr="00F22CC8">
        <w:rPr>
          <w:b/>
          <w:color w:val="1F497D" w:themeColor="text2"/>
        </w:rPr>
        <w:t>orest</w:t>
      </w:r>
      <w:r w:rsidR="00DB74E9" w:rsidRPr="00F22CC8">
        <w:rPr>
          <w:b/>
          <w:color w:val="1F497D" w:themeColor="text2"/>
        </w:rPr>
        <w:t xml:space="preserve"> g</w:t>
      </w:r>
      <w:r w:rsidRPr="00F22CC8">
        <w:rPr>
          <w:b/>
          <w:color w:val="1F497D" w:themeColor="text2"/>
        </w:rPr>
        <w:t xml:space="preserve">overnance </w:t>
      </w:r>
      <w:r w:rsidR="0094114F" w:rsidRPr="00F22CC8">
        <w:rPr>
          <w:b/>
          <w:color w:val="1F497D" w:themeColor="text2"/>
        </w:rPr>
        <w:t>a</w:t>
      </w:r>
      <w:r w:rsidRPr="00F22CC8">
        <w:rPr>
          <w:b/>
          <w:color w:val="1F497D" w:themeColor="text2"/>
        </w:rPr>
        <w:t>genda</w:t>
      </w:r>
      <w:r w:rsidR="00670474" w:rsidRPr="00F22CC8">
        <w:rPr>
          <w:b/>
          <w:color w:val="1F497D" w:themeColor="text2"/>
        </w:rPr>
        <w:t>.</w:t>
      </w:r>
      <w:r w:rsidR="0094114F">
        <w:t xml:space="preserve">. </w:t>
      </w:r>
      <w:r w:rsidR="0029742A">
        <w:t xml:space="preserve">In </w:t>
      </w:r>
      <w:r w:rsidR="0094114F">
        <w:t>forest-</w:t>
      </w:r>
      <w:r w:rsidR="00670474">
        <w:t xml:space="preserve">rich </w:t>
      </w:r>
      <w:r w:rsidR="0029742A">
        <w:t>countries such</w:t>
      </w:r>
      <w:r w:rsidR="0094114F">
        <w:t xml:space="preserve"> as India, Brazil, Indonesia or</w:t>
      </w:r>
      <w:r w:rsidR="0029742A">
        <w:t xml:space="preserve"> Nepal</w:t>
      </w:r>
      <w:r w:rsidR="0094114F">
        <w:t>,</w:t>
      </w:r>
      <w:r w:rsidR="0029742A">
        <w:t xml:space="preserve"> </w:t>
      </w:r>
      <w:r w:rsidR="00670474">
        <w:t xml:space="preserve">national media, </w:t>
      </w:r>
      <w:r w:rsidR="0029742A">
        <w:t xml:space="preserve">citizens and </w:t>
      </w:r>
      <w:r w:rsidR="0094114F">
        <w:t>community-</w:t>
      </w:r>
      <w:r w:rsidR="00670474">
        <w:t xml:space="preserve">based organization </w:t>
      </w:r>
      <w:r w:rsidR="00F22CC8">
        <w:t xml:space="preserve">have </w:t>
      </w:r>
      <w:r w:rsidR="0029742A">
        <w:t xml:space="preserve">played a </w:t>
      </w:r>
      <w:r w:rsidR="00670474">
        <w:t>pivotal</w:t>
      </w:r>
      <w:r w:rsidR="0029742A">
        <w:t xml:space="preserve"> role in strengthening the quality of governance and forest governance in particular</w:t>
      </w:r>
      <w:r w:rsidR="008F4BBC">
        <w:t>, leading to positive environmental outcomes</w:t>
      </w:r>
      <w:r w:rsidR="0029742A">
        <w:t xml:space="preserve">. </w:t>
      </w:r>
    </w:p>
    <w:p w:rsidR="00B17061" w:rsidRPr="00327B2C" w:rsidRDefault="00766FA4" w:rsidP="0000394E">
      <w:pPr>
        <w:pStyle w:val="ListParagraph"/>
        <w:numPr>
          <w:ilvl w:val="0"/>
          <w:numId w:val="11"/>
        </w:numPr>
        <w:ind w:left="0" w:hanging="270"/>
        <w:contextualSpacing w:val="0"/>
        <w:jc w:val="both"/>
        <w:rPr>
          <w:b/>
          <w:color w:val="1F497D" w:themeColor="text2"/>
        </w:rPr>
      </w:pPr>
      <w:r w:rsidRPr="00542437">
        <w:rPr>
          <w:b/>
          <w:color w:val="1F497D" w:themeColor="text2"/>
        </w:rPr>
        <w:t>A</w:t>
      </w:r>
      <w:r w:rsidR="0029742A" w:rsidRPr="00542437">
        <w:rPr>
          <w:b/>
          <w:color w:val="1F497D" w:themeColor="text2"/>
        </w:rPr>
        <w:t xml:space="preserve">ctive participation of citizens and </w:t>
      </w:r>
      <w:r w:rsidR="00CE7D7C" w:rsidRPr="00542437">
        <w:rPr>
          <w:b/>
          <w:color w:val="1F497D" w:themeColor="text2"/>
        </w:rPr>
        <w:t xml:space="preserve">the capacity of </w:t>
      </w:r>
      <w:r w:rsidR="0029742A" w:rsidRPr="00542437">
        <w:rPr>
          <w:b/>
          <w:color w:val="1F497D" w:themeColor="text2"/>
        </w:rPr>
        <w:t>the government to deliver</w:t>
      </w:r>
      <w:r w:rsidR="00DE4365" w:rsidRPr="00542437">
        <w:rPr>
          <w:b/>
          <w:color w:val="1F497D" w:themeColor="text2"/>
        </w:rPr>
        <w:t xml:space="preserve"> </w:t>
      </w:r>
      <w:r w:rsidRPr="00542437">
        <w:rPr>
          <w:b/>
          <w:color w:val="1F497D" w:themeColor="text2"/>
        </w:rPr>
        <w:t>are</w:t>
      </w:r>
      <w:r w:rsidR="00DE4365" w:rsidRPr="00542437">
        <w:rPr>
          <w:b/>
          <w:color w:val="1F497D" w:themeColor="text2"/>
        </w:rPr>
        <w:t xml:space="preserve"> key</w:t>
      </w:r>
      <w:r w:rsidRPr="00542437">
        <w:rPr>
          <w:b/>
          <w:color w:val="1F497D" w:themeColor="text2"/>
        </w:rPr>
        <w:t>s</w:t>
      </w:r>
      <w:r w:rsidR="00DE4365" w:rsidRPr="00542437">
        <w:rPr>
          <w:b/>
          <w:color w:val="1F497D" w:themeColor="text2"/>
        </w:rPr>
        <w:t xml:space="preserve"> to the success of REDD+</w:t>
      </w:r>
      <w:r w:rsidR="0029742A" w:rsidRPr="00542437">
        <w:rPr>
          <w:color w:val="1F497D" w:themeColor="text2"/>
        </w:rPr>
        <w:t xml:space="preserve">. </w:t>
      </w:r>
      <w:r w:rsidR="00F22CC8" w:rsidRPr="009C5ED4">
        <w:t xml:space="preserve">There is wide recognition that REDD will succeed only with the full participation and ownership of Indigenous Peoples and other forest-dependent communities. This is especially relevant at the local level, where land and other natural resource management decisions are ultimately made. </w:t>
      </w:r>
      <w:r w:rsidR="00327B2C" w:rsidRPr="009C5ED4">
        <w:t xml:space="preserve">Through the activities of the UN-REDD Programme, UNDP </w:t>
      </w:r>
      <w:r w:rsidR="00100156" w:rsidRPr="009C5ED4">
        <w:t xml:space="preserve">has been working since 2008 on </w:t>
      </w:r>
      <w:r w:rsidR="00327B2C" w:rsidRPr="009C5ED4">
        <w:t>building government and civil society capacity to engage in national REDD+ processes.</w:t>
      </w:r>
      <w:r w:rsidR="00327B2C">
        <w:rPr>
          <w:color w:val="1F497D" w:themeColor="text2"/>
        </w:rPr>
        <w:t xml:space="preserve"> </w:t>
      </w:r>
    </w:p>
    <w:p w:rsidR="009C5ED4" w:rsidRDefault="0014003E" w:rsidP="00E73987">
      <w:pPr>
        <w:pStyle w:val="ListParagraph"/>
        <w:numPr>
          <w:ilvl w:val="0"/>
          <w:numId w:val="5"/>
        </w:numPr>
        <w:spacing w:after="120"/>
        <w:ind w:left="0" w:hanging="270"/>
        <w:contextualSpacing w:val="0"/>
        <w:jc w:val="both"/>
      </w:pPr>
      <w:r w:rsidRPr="00327B2C">
        <w:rPr>
          <w:b/>
          <w:color w:val="1F497D" w:themeColor="text2"/>
        </w:rPr>
        <w:t xml:space="preserve">National and local ownership </w:t>
      </w:r>
      <w:r w:rsidR="00100156">
        <w:rPr>
          <w:b/>
          <w:color w:val="1F497D" w:themeColor="text2"/>
        </w:rPr>
        <w:t>of governance for REDD+</w:t>
      </w:r>
      <w:r w:rsidR="009C5ED4">
        <w:rPr>
          <w:b/>
          <w:color w:val="1F497D" w:themeColor="text2"/>
        </w:rPr>
        <w:t xml:space="preserve"> </w:t>
      </w:r>
      <w:r w:rsidR="00676565" w:rsidRPr="00327B2C">
        <w:rPr>
          <w:b/>
          <w:color w:val="1F497D" w:themeColor="text2"/>
        </w:rPr>
        <w:t xml:space="preserve">is </w:t>
      </w:r>
      <w:r w:rsidR="00320347" w:rsidRPr="00327B2C">
        <w:rPr>
          <w:b/>
          <w:color w:val="1F497D" w:themeColor="text2"/>
        </w:rPr>
        <w:t xml:space="preserve">a condition </w:t>
      </w:r>
      <w:r w:rsidRPr="00327B2C">
        <w:rPr>
          <w:b/>
          <w:color w:val="1F497D" w:themeColor="text2"/>
        </w:rPr>
        <w:t>of</w:t>
      </w:r>
      <w:r w:rsidR="00676565" w:rsidRPr="00327B2C">
        <w:rPr>
          <w:b/>
          <w:color w:val="1F497D" w:themeColor="text2"/>
        </w:rPr>
        <w:t xml:space="preserve"> v</w:t>
      </w:r>
      <w:r w:rsidR="00320347" w:rsidRPr="00327B2C">
        <w:rPr>
          <w:b/>
          <w:color w:val="1F497D" w:themeColor="text2"/>
        </w:rPr>
        <w:t xml:space="preserve">iability </w:t>
      </w:r>
      <w:r w:rsidR="00100156">
        <w:rPr>
          <w:b/>
          <w:color w:val="1F497D" w:themeColor="text2"/>
        </w:rPr>
        <w:t xml:space="preserve">and success </w:t>
      </w:r>
      <w:r w:rsidR="00320347" w:rsidRPr="00327B2C">
        <w:rPr>
          <w:b/>
          <w:color w:val="1F497D" w:themeColor="text2"/>
        </w:rPr>
        <w:t xml:space="preserve">of </w:t>
      </w:r>
      <w:r w:rsidRPr="00327B2C">
        <w:rPr>
          <w:b/>
          <w:color w:val="1F497D" w:themeColor="text2"/>
        </w:rPr>
        <w:t>REDD</w:t>
      </w:r>
      <w:r w:rsidR="00100156">
        <w:rPr>
          <w:b/>
          <w:color w:val="1F497D" w:themeColor="text2"/>
        </w:rPr>
        <w:t>+</w:t>
      </w:r>
      <w:r w:rsidR="00676565" w:rsidRPr="00327B2C">
        <w:rPr>
          <w:b/>
          <w:color w:val="1F497D" w:themeColor="text2"/>
        </w:rPr>
        <w:t xml:space="preserve"> initiatives. </w:t>
      </w:r>
      <w:r w:rsidR="0029742A" w:rsidRPr="009C5ED4">
        <w:t>Unless and until REDD+</w:t>
      </w:r>
      <w:r w:rsidR="006316CC" w:rsidRPr="009C5ED4">
        <w:t xml:space="preserve"> </w:t>
      </w:r>
      <w:r w:rsidR="00100156" w:rsidRPr="009C5ED4">
        <w:t xml:space="preserve">governance </w:t>
      </w:r>
      <w:r w:rsidR="006316CC" w:rsidRPr="009C5ED4">
        <w:t>initiative</w:t>
      </w:r>
      <w:r w:rsidR="00CE7D7C" w:rsidRPr="009C5ED4">
        <w:t>s</w:t>
      </w:r>
      <w:r w:rsidR="006316CC" w:rsidRPr="009C5ED4">
        <w:t xml:space="preserve"> </w:t>
      </w:r>
      <w:r w:rsidR="00CE7D7C" w:rsidRPr="009C5ED4">
        <w:t>are nationally</w:t>
      </w:r>
      <w:r w:rsidR="006316CC" w:rsidRPr="009C5ED4">
        <w:t xml:space="preserve"> </w:t>
      </w:r>
      <w:r w:rsidR="00E05633" w:rsidRPr="009C5ED4">
        <w:t>owned by</w:t>
      </w:r>
      <w:r w:rsidR="006316CC" w:rsidRPr="009C5ED4">
        <w:t xml:space="preserve"> </w:t>
      </w:r>
      <w:r w:rsidR="00CE7D7C" w:rsidRPr="009C5ED4">
        <w:t>national stakeholders</w:t>
      </w:r>
      <w:r w:rsidR="006316CC" w:rsidRPr="009C5ED4">
        <w:t>, particularly forest</w:t>
      </w:r>
      <w:r w:rsidR="0078704A">
        <w:t xml:space="preserve">-dependent </w:t>
      </w:r>
      <w:r w:rsidR="006316CC" w:rsidRPr="009C5ED4">
        <w:t>communities and the</w:t>
      </w:r>
      <w:r w:rsidR="006316CC">
        <w:t xml:space="preserve"> government of a country, there is little chance to sustain the agenda. </w:t>
      </w:r>
      <w:r w:rsidR="00CE7D7C">
        <w:t>There is ample evidence from</w:t>
      </w:r>
      <w:r w:rsidR="006A68C3">
        <w:t xml:space="preserve"> around the world that</w:t>
      </w:r>
      <w:r w:rsidR="006316CC">
        <w:t xml:space="preserve"> improving governance </w:t>
      </w:r>
      <w:r w:rsidR="00CE7D7C">
        <w:t>cannot be</w:t>
      </w:r>
      <w:r w:rsidR="006316CC">
        <w:t xml:space="preserve"> </w:t>
      </w:r>
      <w:r w:rsidR="0028384C">
        <w:t>an</w:t>
      </w:r>
      <w:r w:rsidR="006A68C3">
        <w:t xml:space="preserve"> externally driven </w:t>
      </w:r>
      <w:r w:rsidR="006316CC">
        <w:t>technical fix.</w:t>
      </w:r>
      <w:r w:rsidR="00CE7D7C">
        <w:rPr>
          <w:rStyle w:val="EndnoteReference"/>
        </w:rPr>
        <w:endnoteReference w:id="4"/>
      </w:r>
      <w:r w:rsidR="006316CC">
        <w:t xml:space="preserve"> Governance is deeply political</w:t>
      </w:r>
      <w:r w:rsidR="006A68C3">
        <w:t xml:space="preserve">, and improving it </w:t>
      </w:r>
      <w:r w:rsidR="006316CC">
        <w:t xml:space="preserve">requires capabilities of citizens to demand </w:t>
      </w:r>
      <w:r w:rsidR="00E05633">
        <w:t>accountability and</w:t>
      </w:r>
      <w:r w:rsidR="006316CC">
        <w:t xml:space="preserve"> capacit</w:t>
      </w:r>
      <w:r w:rsidR="006A68C3">
        <w:t>y of the state to be responsive – both of which depend on ownership.</w:t>
      </w:r>
      <w:r w:rsidR="006316CC">
        <w:t xml:space="preserve"> </w:t>
      </w:r>
      <w:r w:rsidR="002D586B">
        <w:t xml:space="preserve">   </w:t>
      </w:r>
    </w:p>
    <w:p w:rsidR="000721C5" w:rsidRPr="000721C5" w:rsidRDefault="001644E3" w:rsidP="00E73987">
      <w:pPr>
        <w:pStyle w:val="ListParagraph"/>
        <w:numPr>
          <w:ilvl w:val="0"/>
          <w:numId w:val="5"/>
        </w:numPr>
        <w:spacing w:after="120"/>
        <w:ind w:left="0" w:hanging="274"/>
        <w:contextualSpacing w:val="0"/>
        <w:rPr>
          <w:rFonts w:ascii="Tahoma" w:hAnsi="Tahoma" w:cs="Tahoma"/>
          <w:b/>
          <w:color w:val="1F497D" w:themeColor="text2"/>
          <w:sz w:val="40"/>
          <w:szCs w:val="40"/>
        </w:rPr>
      </w:pPr>
      <w:r w:rsidRPr="00AA0936">
        <w:rPr>
          <w:b/>
          <w:color w:val="1F497D" w:themeColor="text2"/>
        </w:rPr>
        <w:t xml:space="preserve">Assessing governance needs and priorities </w:t>
      </w:r>
      <w:r w:rsidR="00100156" w:rsidRPr="00AA0936">
        <w:rPr>
          <w:b/>
          <w:color w:val="1F497D" w:themeColor="text2"/>
        </w:rPr>
        <w:t>to make REDD+ work efficiently, equitably and effectively is</w:t>
      </w:r>
      <w:r w:rsidRPr="00AA0936">
        <w:rPr>
          <w:b/>
          <w:color w:val="1F497D" w:themeColor="text2"/>
        </w:rPr>
        <w:t xml:space="preserve"> a first step towards sustained governance policies. </w:t>
      </w:r>
      <w:r w:rsidR="002D586B">
        <w:t xml:space="preserve"> </w:t>
      </w:r>
      <w:r>
        <w:t>The</w:t>
      </w:r>
      <w:r w:rsidR="00AA0936">
        <w:t xml:space="preserve"> </w:t>
      </w:r>
      <w:r>
        <w:t xml:space="preserve">active participation of all stakeholders in assessment and </w:t>
      </w:r>
      <w:r>
        <w:lastRenderedPageBreak/>
        <w:t xml:space="preserve">monitoring processes will increase the demand for accountability and state responsiveness. </w:t>
      </w:r>
      <w:r w:rsidR="002D586B" w:rsidRPr="00AA0936">
        <w:rPr>
          <w:rFonts w:cs="Arial"/>
          <w:b/>
          <w:color w:val="FFFFFF" w:themeColor="background1"/>
        </w:rPr>
        <w:t xml:space="preserve"> and </w:t>
      </w:r>
    </w:p>
    <w:p w:rsidR="003035DE" w:rsidRPr="00AA0936" w:rsidRDefault="003E2113" w:rsidP="000721C5">
      <w:pPr>
        <w:pStyle w:val="ListParagraph"/>
        <w:spacing w:after="120"/>
        <w:ind w:left="0"/>
        <w:contextualSpacing w:val="0"/>
        <w:rPr>
          <w:rFonts w:ascii="Tahoma" w:hAnsi="Tahoma" w:cs="Tahoma"/>
          <w:b/>
          <w:color w:val="1F497D" w:themeColor="text2"/>
          <w:sz w:val="40"/>
          <w:szCs w:val="40"/>
        </w:rPr>
      </w:pPr>
      <w:r w:rsidRPr="003E2113">
        <w:rPr>
          <w:rFonts w:ascii="Tahoma" w:hAnsi="Tahoma" w:cs="Tahoma"/>
          <w:b/>
          <w:color w:val="1F497D" w:themeColor="text2"/>
          <w:sz w:val="40"/>
          <w:szCs w:val="40"/>
        </w:rPr>
        <w:t>G</w:t>
      </w:r>
      <w:r w:rsidR="003035DE" w:rsidRPr="00AA0936">
        <w:rPr>
          <w:rFonts w:ascii="Tahoma" w:hAnsi="Tahoma" w:cs="Tahoma"/>
          <w:b/>
          <w:color w:val="1F497D" w:themeColor="text2"/>
          <w:sz w:val="40"/>
          <w:szCs w:val="40"/>
        </w:rPr>
        <w:t xml:space="preserve">overnance </w:t>
      </w:r>
      <w:r w:rsidR="00500C3F" w:rsidRPr="00AA0936">
        <w:rPr>
          <w:rFonts w:ascii="Tahoma" w:hAnsi="Tahoma" w:cs="Tahoma"/>
          <w:b/>
          <w:color w:val="1F497D" w:themeColor="text2"/>
          <w:sz w:val="40"/>
          <w:szCs w:val="40"/>
        </w:rPr>
        <w:t>a</w:t>
      </w:r>
      <w:r w:rsidR="0036708B" w:rsidRPr="00AA0936">
        <w:rPr>
          <w:rFonts w:ascii="Tahoma" w:hAnsi="Tahoma" w:cs="Tahoma"/>
          <w:b/>
          <w:color w:val="1F497D" w:themeColor="text2"/>
          <w:sz w:val="40"/>
          <w:szCs w:val="40"/>
        </w:rPr>
        <w:t>ssessment</w:t>
      </w:r>
      <w:r>
        <w:rPr>
          <w:rFonts w:ascii="Tahoma" w:hAnsi="Tahoma" w:cs="Tahoma"/>
          <w:b/>
          <w:color w:val="1F497D" w:themeColor="text2"/>
          <w:sz w:val="40"/>
          <w:szCs w:val="40"/>
        </w:rPr>
        <w:t xml:space="preserve">s </w:t>
      </w:r>
      <w:r w:rsidR="00A500E0" w:rsidRPr="00AA0936">
        <w:rPr>
          <w:rFonts w:ascii="Tahoma" w:hAnsi="Tahoma" w:cs="Tahoma"/>
          <w:b/>
          <w:color w:val="1F497D" w:themeColor="text2"/>
          <w:sz w:val="40"/>
          <w:szCs w:val="40"/>
        </w:rPr>
        <w:t>for</w:t>
      </w:r>
      <w:r w:rsidR="000C71D6" w:rsidRPr="00AA0936">
        <w:rPr>
          <w:rFonts w:ascii="Tahoma" w:hAnsi="Tahoma" w:cs="Tahoma"/>
          <w:b/>
          <w:color w:val="1F497D" w:themeColor="text2"/>
          <w:sz w:val="40"/>
          <w:szCs w:val="40"/>
        </w:rPr>
        <w:t xml:space="preserve"> </w:t>
      </w:r>
      <w:r w:rsidR="003035DE" w:rsidRPr="00AA0936">
        <w:rPr>
          <w:rFonts w:ascii="Tahoma" w:hAnsi="Tahoma" w:cs="Tahoma"/>
          <w:b/>
          <w:color w:val="1F497D" w:themeColor="text2"/>
          <w:sz w:val="40"/>
          <w:szCs w:val="40"/>
        </w:rPr>
        <w:t xml:space="preserve">REDD+ </w:t>
      </w:r>
    </w:p>
    <w:p w:rsidR="009B624D" w:rsidRPr="00430AC6" w:rsidRDefault="005F5E34" w:rsidP="00430AC6">
      <w:pPr>
        <w:jc w:val="both"/>
      </w:pPr>
      <w:r>
        <w:rPr>
          <w:rFonts w:cs="VistaSansBook"/>
        </w:rPr>
        <w:t>Participatory</w:t>
      </w:r>
      <w:r w:rsidR="00AA71BD">
        <w:rPr>
          <w:rFonts w:cs="VistaSansBook"/>
        </w:rPr>
        <w:t xml:space="preserve"> governance</w:t>
      </w:r>
      <w:r w:rsidR="00AA71BD" w:rsidRPr="00197F58">
        <w:rPr>
          <w:rFonts w:cs="VistaSansBook"/>
        </w:rPr>
        <w:t xml:space="preserve"> assessments are undertaken by </w:t>
      </w:r>
      <w:r w:rsidR="00AA71BD">
        <w:rPr>
          <w:rFonts w:cs="VistaSansBook"/>
        </w:rPr>
        <w:t xml:space="preserve">a partnership between government and civil society </w:t>
      </w:r>
      <w:r w:rsidR="00AA71BD" w:rsidRPr="00197F58">
        <w:rPr>
          <w:rFonts w:cs="VistaSansBook"/>
        </w:rPr>
        <w:t>and help point to particular institutions or institutional arrangements as the</w:t>
      </w:r>
      <w:r w:rsidR="00100156">
        <w:rPr>
          <w:rFonts w:cs="VistaSansBook"/>
        </w:rPr>
        <w:t xml:space="preserve"> cause of governance challenges. As such they help</w:t>
      </w:r>
      <w:r w:rsidR="00AA71BD" w:rsidRPr="00197F58">
        <w:rPr>
          <w:rFonts w:cs="VistaSansBook"/>
        </w:rPr>
        <w:t xml:space="preserve"> identif</w:t>
      </w:r>
      <w:r w:rsidR="00100156">
        <w:rPr>
          <w:rFonts w:cs="VistaSansBook"/>
        </w:rPr>
        <w:t>y</w:t>
      </w:r>
      <w:r w:rsidR="00AA71BD" w:rsidRPr="00197F58">
        <w:rPr>
          <w:rFonts w:cs="VistaSansBook"/>
        </w:rPr>
        <w:t xml:space="preserve"> appropriate operational solutions and performance improvement processes</w:t>
      </w:r>
      <w:r w:rsidR="00AA71BD">
        <w:rPr>
          <w:rFonts w:cs="VistaSansBook"/>
        </w:rPr>
        <w:t xml:space="preserve">. </w:t>
      </w:r>
      <w:r w:rsidR="00C011F0" w:rsidRPr="00430AC6">
        <w:t xml:space="preserve">When conducted successfully, </w:t>
      </w:r>
      <w:r w:rsidR="00AA71BD">
        <w:t>such</w:t>
      </w:r>
      <w:r w:rsidR="00C011F0" w:rsidRPr="00430AC6">
        <w:t xml:space="preserve"> assessment serves to strengthen democratic governance at the country level</w:t>
      </w:r>
      <w:r w:rsidR="00AA71BD">
        <w:t xml:space="preserve">, and </w:t>
      </w:r>
      <w:r w:rsidR="00C011F0" w:rsidRPr="00430AC6">
        <w:t>provides a critical accountability mechanism for government and for citizens to engage on governance issues and voice their opinions. Data</w:t>
      </w:r>
      <w:r w:rsidR="00430AC6" w:rsidRPr="00430AC6">
        <w:t xml:space="preserve"> produced by such </w:t>
      </w:r>
      <w:r w:rsidR="00C011F0" w:rsidRPr="00430AC6">
        <w:t>assessment</w:t>
      </w:r>
      <w:r w:rsidR="00100156">
        <w:t>s</w:t>
      </w:r>
      <w:r w:rsidR="00C011F0" w:rsidRPr="00430AC6">
        <w:t xml:space="preserve"> reflect and address</w:t>
      </w:r>
      <w:r w:rsidR="00430AC6" w:rsidRPr="00430AC6">
        <w:t>es</w:t>
      </w:r>
      <w:r w:rsidR="00C011F0" w:rsidRPr="00430AC6">
        <w:t xml:space="preserve"> citizens’ concerns. </w:t>
      </w:r>
      <w:r w:rsidR="00430AC6">
        <w:t>It</w:t>
      </w:r>
      <w:r w:rsidR="00C011F0" w:rsidRPr="00430AC6">
        <w:t xml:space="preserve"> may also offer a superior evidence base for national decision</w:t>
      </w:r>
      <w:r w:rsidR="00AA71BD">
        <w:t>-</w:t>
      </w:r>
      <w:r w:rsidR="00C011F0" w:rsidRPr="00430AC6">
        <w:t xml:space="preserve">making. Benchmarking progress </w:t>
      </w:r>
      <w:r w:rsidR="00C011F0" w:rsidRPr="00430AC6">
        <w:lastRenderedPageBreak/>
        <w:t>provides a record of reference for planning, monitoring and evaluation.</w:t>
      </w:r>
    </w:p>
    <w:p w:rsidR="004A6A50" w:rsidRDefault="00430AC6" w:rsidP="004A6A50">
      <w:pPr>
        <w:jc w:val="both"/>
        <w:rPr>
          <w:rFonts w:cs="Arial"/>
          <w:color w:val="333333"/>
        </w:rPr>
      </w:pPr>
      <w:r>
        <w:rPr>
          <w:rFonts w:cs="Arial"/>
          <w:color w:val="333333"/>
        </w:rPr>
        <w:t xml:space="preserve">However, </w:t>
      </w:r>
      <w:r w:rsidR="00100156">
        <w:rPr>
          <w:rFonts w:cs="Arial"/>
          <w:color w:val="333333"/>
        </w:rPr>
        <w:t>these</w:t>
      </w:r>
      <w:r w:rsidR="009C5ED4">
        <w:rPr>
          <w:rFonts w:cs="Arial"/>
          <w:color w:val="333333"/>
        </w:rPr>
        <w:t xml:space="preserve"> </w:t>
      </w:r>
      <w:r w:rsidR="009B624D">
        <w:rPr>
          <w:rFonts w:cs="Arial"/>
          <w:color w:val="333333"/>
        </w:rPr>
        <w:t>multi-stakeholder approac</w:t>
      </w:r>
      <w:r>
        <w:rPr>
          <w:rFonts w:cs="Arial"/>
          <w:color w:val="333333"/>
        </w:rPr>
        <w:t>h</w:t>
      </w:r>
      <w:r w:rsidR="00100156">
        <w:rPr>
          <w:rFonts w:cs="Arial"/>
          <w:color w:val="333333"/>
        </w:rPr>
        <w:t>es</w:t>
      </w:r>
      <w:r>
        <w:rPr>
          <w:rFonts w:cs="Arial"/>
          <w:color w:val="333333"/>
        </w:rPr>
        <w:t xml:space="preserve"> do not prescribe a one-size-</w:t>
      </w:r>
      <w:r w:rsidR="009B624D">
        <w:rPr>
          <w:rFonts w:cs="Arial"/>
          <w:color w:val="333333"/>
        </w:rPr>
        <w:t>fit</w:t>
      </w:r>
      <w:r>
        <w:rPr>
          <w:rFonts w:cs="Arial"/>
          <w:color w:val="333333"/>
        </w:rPr>
        <w:t>s-</w:t>
      </w:r>
      <w:r w:rsidR="009B624D">
        <w:rPr>
          <w:rFonts w:cs="Arial"/>
          <w:color w:val="333333"/>
        </w:rPr>
        <w:t xml:space="preserve">all tool or method. </w:t>
      </w:r>
      <w:r w:rsidR="004A6A50">
        <w:rPr>
          <w:rFonts w:cs="Arial"/>
          <w:color w:val="333333"/>
        </w:rPr>
        <w:t>Countries’ contexts vary significantly, hence the importance of having a diversity of methods, tools and strategies which can be adapted to a specific situation when such a governance assessment process is initiated. For countries in tr</w:t>
      </w:r>
      <w:r w:rsidR="00AA0936">
        <w:rPr>
          <w:rFonts w:cs="Arial"/>
          <w:color w:val="333333"/>
        </w:rPr>
        <w:t xml:space="preserve">ansition or conflict contexts </w:t>
      </w:r>
      <w:r w:rsidR="004A6A50">
        <w:rPr>
          <w:rFonts w:cs="Arial"/>
          <w:color w:val="333333"/>
        </w:rPr>
        <w:t>the nature and characteristics of the stakeholders may be different and specially designed tools to ensure participation and effectiveness of the process may be needed.</w:t>
      </w:r>
      <w:r w:rsidR="004A6A50">
        <w:rPr>
          <w:rStyle w:val="EndnoteReference"/>
          <w:rFonts w:cs="Arial"/>
          <w:color w:val="333333"/>
        </w:rPr>
        <w:endnoteReference w:id="5"/>
      </w:r>
    </w:p>
    <w:p w:rsidR="00DF1474" w:rsidRDefault="009414BE" w:rsidP="00E0434A">
      <w:pPr>
        <w:jc w:val="both"/>
        <w:rPr>
          <w:color w:val="333333"/>
        </w:rPr>
      </w:pPr>
      <w:r w:rsidRPr="009414BE">
        <w:rPr>
          <w:b/>
          <w:noProof/>
          <w:color w:val="1F497D" w:themeColor="text2"/>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0" type="#_x0000_t176" style="position:absolute;left:0;text-align:left;margin-left:3.3pt;margin-top:-226.75pt;width:465.8pt;height:274.15pt;z-index:251663872;mso-width-relative:margin;mso-height-relative:margin" wrapcoords="1690 -63 1237 0 330 628 206 1256 -41 1947 -41 19214 41 20030 536 21035 577 21223 1360 21726 1608 21726 20075 21726 20322 21726 21105 21160 21559 20030 21682 19026 21682 2951 21600 1947 21311 1130 21270 691 20322 0 19869 -63 1690 -63" fillcolor="#f2dbdb [661]" strokecolor="#1f497d [3215]" strokeweight="1pt">
            <v:fill color2="fill lighten(51)" angle="-135" focusposition=".5,.5" focussize="" method="linear sigma" type="gradient"/>
            <v:shadow on="t" type="perspective" color="#243f60" offset="1pt" offset2="-3pt"/>
            <v:textbox style="mso-next-textbox:#_x0000_s1050">
              <w:txbxContent>
                <w:p w:rsidR="009C5ED4" w:rsidRPr="006A68C3" w:rsidRDefault="009C5ED4" w:rsidP="009C5ED4">
                  <w:pPr>
                    <w:rPr>
                      <w:rFonts w:ascii="Tahoma" w:hAnsi="Tahoma" w:cs="Tahoma"/>
                      <w:b/>
                      <w:color w:val="C00000"/>
                      <w:sz w:val="24"/>
                      <w:szCs w:val="24"/>
                    </w:rPr>
                  </w:pPr>
                  <w:r>
                    <w:rPr>
                      <w:rFonts w:ascii="Tahoma" w:hAnsi="Tahoma" w:cs="Tahoma"/>
                      <w:b/>
                      <w:color w:val="C00000"/>
                      <w:sz w:val="24"/>
                      <w:szCs w:val="24"/>
                    </w:rPr>
                    <w:t>Key principles</w:t>
                  </w:r>
                </w:p>
                <w:p w:rsidR="009C5ED4" w:rsidRPr="00402614" w:rsidRDefault="005F5E34" w:rsidP="009C5ED4">
                  <w:pPr>
                    <w:spacing w:after="120"/>
                    <w:rPr>
                      <w:rFonts w:cs="Arial"/>
                      <w:sz w:val="20"/>
                      <w:szCs w:val="20"/>
                    </w:rPr>
                  </w:pPr>
                  <w:r>
                    <w:rPr>
                      <w:rFonts w:cs="Arial"/>
                      <w:sz w:val="20"/>
                      <w:szCs w:val="20"/>
                    </w:rPr>
                    <w:t>Participatory</w:t>
                  </w:r>
                  <w:r w:rsidR="009C5ED4" w:rsidRPr="00402614">
                    <w:rPr>
                      <w:rFonts w:cs="Arial"/>
                      <w:sz w:val="20"/>
                      <w:szCs w:val="20"/>
                    </w:rPr>
                    <w:t xml:space="preserve"> governance assessments are based on four key principles:</w:t>
                  </w:r>
                </w:p>
                <w:p w:rsidR="009C5ED4" w:rsidRPr="00402614" w:rsidRDefault="009C5ED4" w:rsidP="009C5ED4">
                  <w:pPr>
                    <w:pStyle w:val="ListParagraph"/>
                    <w:numPr>
                      <w:ilvl w:val="0"/>
                      <w:numId w:val="4"/>
                    </w:numPr>
                    <w:spacing w:after="120"/>
                    <w:ind w:left="360"/>
                    <w:contextualSpacing w:val="0"/>
                    <w:jc w:val="both"/>
                    <w:rPr>
                      <w:rFonts w:cs="Arial"/>
                      <w:sz w:val="20"/>
                      <w:szCs w:val="20"/>
                    </w:rPr>
                  </w:pPr>
                  <w:r w:rsidRPr="00402614">
                    <w:rPr>
                      <w:rFonts w:cs="Arial"/>
                      <w:b/>
                      <w:color w:val="1F497D" w:themeColor="text2"/>
                      <w:sz w:val="20"/>
                      <w:szCs w:val="20"/>
                    </w:rPr>
                    <w:t>Accountability</w:t>
                  </w:r>
                  <w:r w:rsidRPr="00402614">
                    <w:rPr>
                      <w:rFonts w:cs="Arial"/>
                      <w:color w:val="1F497D" w:themeColor="text2"/>
                      <w:sz w:val="20"/>
                      <w:szCs w:val="20"/>
                    </w:rPr>
                    <w:t>:</w:t>
                  </w:r>
                  <w:r w:rsidRPr="00402614">
                    <w:rPr>
                      <w:rFonts w:cs="Arial"/>
                      <w:color w:val="FFFFFF" w:themeColor="background1"/>
                      <w:sz w:val="20"/>
                      <w:szCs w:val="20"/>
                    </w:rPr>
                    <w:t xml:space="preserve"> </w:t>
                  </w:r>
                  <w:r w:rsidR="005F5E34">
                    <w:rPr>
                      <w:rFonts w:cs="Arial"/>
                      <w:sz w:val="20"/>
                      <w:szCs w:val="20"/>
                    </w:rPr>
                    <w:t xml:space="preserve">An </w:t>
                  </w:r>
                  <w:r w:rsidRPr="00402614">
                    <w:rPr>
                      <w:rFonts w:cs="Arial"/>
                      <w:sz w:val="20"/>
                      <w:szCs w:val="20"/>
                    </w:rPr>
                    <w:t>assessment acts as a critical accountability mechanism for local communities and stakeholders with regards to the government’s performance. It helps to build the capacity of local communities and civil society organisations to monitor governance far beyond the scope of one project or programme.</w:t>
                  </w:r>
                </w:p>
                <w:p w:rsidR="009C5ED4" w:rsidRPr="00402614" w:rsidRDefault="009C5ED4" w:rsidP="009C5ED4">
                  <w:pPr>
                    <w:pStyle w:val="ListParagraph"/>
                    <w:numPr>
                      <w:ilvl w:val="0"/>
                      <w:numId w:val="4"/>
                    </w:numPr>
                    <w:spacing w:after="120"/>
                    <w:ind w:left="360"/>
                    <w:contextualSpacing w:val="0"/>
                    <w:jc w:val="both"/>
                    <w:rPr>
                      <w:rFonts w:cs="Arial"/>
                      <w:sz w:val="20"/>
                      <w:szCs w:val="20"/>
                    </w:rPr>
                  </w:pPr>
                  <w:r w:rsidRPr="00402614">
                    <w:rPr>
                      <w:rFonts w:cs="Arial"/>
                      <w:b/>
                      <w:color w:val="1F497D" w:themeColor="text2"/>
                      <w:sz w:val="20"/>
                      <w:szCs w:val="20"/>
                    </w:rPr>
                    <w:t>Participation:</w:t>
                  </w:r>
                  <w:r w:rsidRPr="00402614">
                    <w:rPr>
                      <w:rFonts w:cs="Arial"/>
                      <w:color w:val="FFFFFF" w:themeColor="background1"/>
                      <w:sz w:val="20"/>
                      <w:szCs w:val="20"/>
                    </w:rPr>
                    <w:t xml:space="preserve">  </w:t>
                  </w:r>
                  <w:r w:rsidRPr="00402614">
                    <w:rPr>
                      <w:rFonts w:cs="Arial"/>
                      <w:sz w:val="20"/>
                      <w:szCs w:val="20"/>
                    </w:rPr>
                    <w:t xml:space="preserve">The participation of a broad range of representatives from various arenas of society gives a more accurate perspective and important inputs based on the real situation on the ground. It also helps to build the national ownership that is needed to sustain the capacity and local pressure to monitor governance beyond a single project. In the case of REDD+, the participation of the forest communities in the process is a condition of the success of REDD+ in the long term. </w:t>
                  </w:r>
                </w:p>
                <w:p w:rsidR="009C5ED4" w:rsidRPr="00402614" w:rsidRDefault="009C5ED4" w:rsidP="009C5ED4">
                  <w:pPr>
                    <w:pStyle w:val="ListParagraph"/>
                    <w:numPr>
                      <w:ilvl w:val="0"/>
                      <w:numId w:val="4"/>
                    </w:numPr>
                    <w:spacing w:after="120"/>
                    <w:ind w:left="360"/>
                    <w:contextualSpacing w:val="0"/>
                    <w:jc w:val="both"/>
                    <w:rPr>
                      <w:rFonts w:cs="Arial"/>
                      <w:sz w:val="20"/>
                      <w:szCs w:val="20"/>
                    </w:rPr>
                  </w:pPr>
                  <w:r w:rsidRPr="00402614">
                    <w:rPr>
                      <w:rFonts w:cs="Arial"/>
                      <w:b/>
                      <w:color w:val="1F497D" w:themeColor="text2"/>
                      <w:sz w:val="20"/>
                      <w:szCs w:val="20"/>
                    </w:rPr>
                    <w:t>Transparency:</w:t>
                  </w:r>
                  <w:r w:rsidRPr="00402614">
                    <w:rPr>
                      <w:rFonts w:cs="Arial"/>
                      <w:color w:val="FFFFFF" w:themeColor="background1"/>
                      <w:sz w:val="20"/>
                      <w:szCs w:val="20"/>
                    </w:rPr>
                    <w:t xml:space="preserve"> </w:t>
                  </w:r>
                  <w:r w:rsidRPr="00402614">
                    <w:rPr>
                      <w:rFonts w:cs="Arial"/>
                      <w:sz w:val="20"/>
                      <w:szCs w:val="20"/>
                    </w:rPr>
                    <w:t>National actors should have unbiased access to information on the assessment process, and the results of the assessment should be made available to the public as a public good.</w:t>
                  </w:r>
                </w:p>
                <w:p w:rsidR="009C5ED4" w:rsidRPr="00402614" w:rsidRDefault="009C5ED4" w:rsidP="009C5ED4">
                  <w:pPr>
                    <w:pStyle w:val="ListParagraph"/>
                    <w:numPr>
                      <w:ilvl w:val="0"/>
                      <w:numId w:val="4"/>
                    </w:numPr>
                    <w:spacing w:after="120"/>
                    <w:ind w:left="360"/>
                    <w:contextualSpacing w:val="0"/>
                    <w:jc w:val="both"/>
                    <w:rPr>
                      <w:rFonts w:cs="Arial"/>
                      <w:sz w:val="20"/>
                      <w:szCs w:val="20"/>
                    </w:rPr>
                  </w:pPr>
                  <w:r w:rsidRPr="00402614">
                    <w:rPr>
                      <w:rFonts w:cs="Arial"/>
                      <w:b/>
                      <w:color w:val="1F497D" w:themeColor="text2"/>
                      <w:sz w:val="20"/>
                      <w:szCs w:val="20"/>
                    </w:rPr>
                    <w:t>Legitimacy</w:t>
                  </w:r>
                  <w:r w:rsidRPr="00402614">
                    <w:rPr>
                      <w:rFonts w:cs="Arial"/>
                      <w:color w:val="1F497D" w:themeColor="text2"/>
                      <w:sz w:val="20"/>
                      <w:szCs w:val="20"/>
                    </w:rPr>
                    <w:t>:</w:t>
                  </w:r>
                  <w:r w:rsidRPr="00402614">
                    <w:rPr>
                      <w:rFonts w:cs="Arial"/>
                      <w:color w:val="FFFFFF" w:themeColor="background1"/>
                      <w:sz w:val="20"/>
                      <w:szCs w:val="20"/>
                    </w:rPr>
                    <w:t xml:space="preserve"> </w:t>
                  </w:r>
                  <w:r w:rsidRPr="00402614">
                    <w:rPr>
                      <w:rFonts w:cs="Arial"/>
                      <w:sz w:val="20"/>
                      <w:szCs w:val="20"/>
                    </w:rPr>
                    <w:t>The national actors agree that the assessment process and its results are legitimate and should be followed up in an effective manner on the ground.</w:t>
                  </w:r>
                </w:p>
                <w:p w:rsidR="009C5ED4" w:rsidRPr="000A2C8B" w:rsidRDefault="009C5ED4" w:rsidP="009C5ED4">
                  <w:pPr>
                    <w:rPr>
                      <w:sz w:val="20"/>
                      <w:szCs w:val="20"/>
                    </w:rPr>
                  </w:pPr>
                </w:p>
              </w:txbxContent>
            </v:textbox>
            <w10:wrap type="square"/>
          </v:shape>
        </w:pict>
      </w:r>
      <w:r w:rsidR="00E0434A">
        <w:t>G</w:t>
      </w:r>
      <w:r w:rsidR="007B44BC" w:rsidRPr="00EA40C8">
        <w:t>overnance assessment</w:t>
      </w:r>
      <w:r w:rsidR="00EA40C8" w:rsidRPr="00EA40C8">
        <w:t>s</w:t>
      </w:r>
      <w:r w:rsidR="007B44BC" w:rsidRPr="00EA40C8">
        <w:t xml:space="preserve"> </w:t>
      </w:r>
      <w:r w:rsidR="00E0434A">
        <w:t xml:space="preserve">and monitoring </w:t>
      </w:r>
      <w:r w:rsidR="007B44BC" w:rsidRPr="00EA40C8">
        <w:t xml:space="preserve">need </w:t>
      </w:r>
      <w:r w:rsidR="00E0434A">
        <w:t xml:space="preserve">not only </w:t>
      </w:r>
      <w:r w:rsidR="000721C5">
        <w:t>be objective</w:t>
      </w:r>
      <w:r w:rsidR="00E0434A">
        <w:t>; they must</w:t>
      </w:r>
      <w:r w:rsidR="007B44BC" w:rsidRPr="00EA40C8">
        <w:t xml:space="preserve"> streng</w:t>
      </w:r>
      <w:r w:rsidR="000721C5">
        <w:t xml:space="preserve">then the capacity of the forest-dependent </w:t>
      </w:r>
      <w:r w:rsidR="007B44BC" w:rsidRPr="00EA40C8">
        <w:t>communities to monitor</w:t>
      </w:r>
      <w:r w:rsidR="00D45598">
        <w:t>,</w:t>
      </w:r>
      <w:r w:rsidR="007B44BC" w:rsidRPr="00EA40C8">
        <w:t xml:space="preserve"> and </w:t>
      </w:r>
      <w:r w:rsidR="00700F3D">
        <w:t xml:space="preserve">build the foundations for sustainable governance reform. </w:t>
      </w:r>
      <w:r w:rsidR="007B44BC" w:rsidRPr="009C5ED4">
        <w:t>Such approach will create enabling and sustainable conditions on the</w:t>
      </w:r>
      <w:r w:rsidR="007B44BC" w:rsidRPr="005F5E34">
        <w:t xml:space="preserve"> ground among various stakeholders</w:t>
      </w:r>
      <w:r w:rsidR="00B110F1" w:rsidRPr="005F5E34">
        <w:t xml:space="preserve"> which will ensure</w:t>
      </w:r>
      <w:r w:rsidR="007B44BC" w:rsidRPr="005F5E34">
        <w:t xml:space="preserve"> that </w:t>
      </w:r>
      <w:r w:rsidR="00700F3D" w:rsidRPr="005F5E34">
        <w:t>REDD+ benefits are distributed in</w:t>
      </w:r>
      <w:r w:rsidR="007B44BC" w:rsidRPr="005F5E34">
        <w:t xml:space="preserve"> an effective, tr</w:t>
      </w:r>
      <w:r w:rsidR="00B110F1" w:rsidRPr="005F5E34">
        <w:t>ansparent and accountable way</w:t>
      </w:r>
      <w:r w:rsidR="00700F3D" w:rsidRPr="005F5E34">
        <w:t xml:space="preserve">; that rights are not violated; and that long </w:t>
      </w:r>
      <w:r w:rsidR="004A6A50" w:rsidRPr="005F5E34">
        <w:t>term reform is sustained</w:t>
      </w:r>
      <w:r w:rsidR="00B110F1" w:rsidRPr="005F5E34">
        <w:t xml:space="preserve">. </w:t>
      </w:r>
      <w:r w:rsidR="007B44BC" w:rsidRPr="005F5E34">
        <w:t>The key to the</w:t>
      </w:r>
      <w:r w:rsidR="007B44BC" w:rsidRPr="00EA40C8">
        <w:rPr>
          <w:color w:val="333333"/>
        </w:rPr>
        <w:t xml:space="preserve"> </w:t>
      </w:r>
      <w:r w:rsidR="007B44BC" w:rsidRPr="00EA40C8">
        <w:rPr>
          <w:color w:val="333333"/>
        </w:rPr>
        <w:lastRenderedPageBreak/>
        <w:t xml:space="preserve">sustainability of </w:t>
      </w:r>
      <w:r w:rsidR="00B110F1">
        <w:rPr>
          <w:color w:val="333333"/>
        </w:rPr>
        <w:t xml:space="preserve">this process is </w:t>
      </w:r>
      <w:r w:rsidR="007B44BC" w:rsidRPr="00EA40C8">
        <w:rPr>
          <w:color w:val="333333"/>
        </w:rPr>
        <w:t>capacity development</w:t>
      </w:r>
      <w:r w:rsidR="00B110F1">
        <w:rPr>
          <w:color w:val="333333"/>
        </w:rPr>
        <w:t xml:space="preserve"> – including institutional capacity – </w:t>
      </w:r>
      <w:r w:rsidR="00D45598">
        <w:rPr>
          <w:color w:val="333333"/>
        </w:rPr>
        <w:t xml:space="preserve">for </w:t>
      </w:r>
      <w:r w:rsidR="00AA71BD">
        <w:rPr>
          <w:color w:val="333333"/>
        </w:rPr>
        <w:t xml:space="preserve">all relevant </w:t>
      </w:r>
      <w:r w:rsidR="007B44BC" w:rsidRPr="00EA40C8">
        <w:rPr>
          <w:color w:val="333333"/>
        </w:rPr>
        <w:t>stakeholders</w:t>
      </w:r>
      <w:r w:rsidR="00C011F0" w:rsidRPr="00EA40C8">
        <w:rPr>
          <w:color w:val="333333"/>
        </w:rPr>
        <w:t>.</w:t>
      </w:r>
    </w:p>
    <w:p w:rsidR="00C15487" w:rsidRPr="003366B7" w:rsidRDefault="003E2113" w:rsidP="00C15487">
      <w:pPr>
        <w:rPr>
          <w:rFonts w:ascii="Tahoma" w:hAnsi="Tahoma" w:cs="Tahoma"/>
          <w:b/>
          <w:color w:val="1F497D" w:themeColor="text2"/>
          <w:sz w:val="40"/>
          <w:szCs w:val="40"/>
        </w:rPr>
      </w:pPr>
      <w:r>
        <w:rPr>
          <w:rFonts w:ascii="Tahoma" w:hAnsi="Tahoma" w:cs="Tahoma"/>
          <w:b/>
          <w:color w:val="1F497D" w:themeColor="text2"/>
          <w:sz w:val="40"/>
          <w:szCs w:val="40"/>
        </w:rPr>
        <w:t>T</w:t>
      </w:r>
      <w:r w:rsidR="00D251E1" w:rsidRPr="003366B7">
        <w:rPr>
          <w:rFonts w:ascii="Tahoma" w:hAnsi="Tahoma" w:cs="Tahoma"/>
          <w:b/>
          <w:color w:val="1F497D" w:themeColor="text2"/>
          <w:sz w:val="40"/>
          <w:szCs w:val="40"/>
        </w:rPr>
        <w:t xml:space="preserve">he comparative advantage </w:t>
      </w:r>
      <w:r w:rsidR="00121A11" w:rsidRPr="003366B7">
        <w:rPr>
          <w:rFonts w:ascii="Tahoma" w:hAnsi="Tahoma" w:cs="Tahoma"/>
          <w:b/>
          <w:color w:val="1F497D" w:themeColor="text2"/>
          <w:sz w:val="40"/>
          <w:szCs w:val="40"/>
        </w:rPr>
        <w:t xml:space="preserve">of </w:t>
      </w:r>
      <w:r w:rsidR="005F5E34">
        <w:rPr>
          <w:rFonts w:ascii="Tahoma" w:hAnsi="Tahoma" w:cs="Tahoma"/>
          <w:b/>
          <w:color w:val="1F497D" w:themeColor="text2"/>
          <w:sz w:val="40"/>
          <w:szCs w:val="40"/>
        </w:rPr>
        <w:t>PGAs</w:t>
      </w:r>
      <w:r w:rsidR="003366B7">
        <w:rPr>
          <w:rFonts w:ascii="Tahoma" w:hAnsi="Tahoma" w:cs="Tahoma"/>
          <w:b/>
          <w:color w:val="1F497D" w:themeColor="text2"/>
          <w:sz w:val="40"/>
          <w:szCs w:val="40"/>
        </w:rPr>
        <w:t xml:space="preserve"> for</w:t>
      </w:r>
      <w:r w:rsidR="00D251E1" w:rsidRPr="003366B7">
        <w:rPr>
          <w:rFonts w:ascii="Tahoma" w:hAnsi="Tahoma" w:cs="Tahoma"/>
          <w:b/>
          <w:color w:val="1F497D" w:themeColor="text2"/>
          <w:sz w:val="40"/>
          <w:szCs w:val="40"/>
        </w:rPr>
        <w:t xml:space="preserve"> REDD+ </w:t>
      </w:r>
    </w:p>
    <w:p w:rsidR="00D251E1" w:rsidRDefault="00030795" w:rsidP="00CC1C04">
      <w:pPr>
        <w:jc w:val="both"/>
        <w:rPr>
          <w:rFonts w:cs="Arial"/>
          <w:color w:val="333333"/>
        </w:rPr>
      </w:pPr>
      <w:r>
        <w:rPr>
          <w:rFonts w:cs="Arial"/>
          <w:color w:val="333333"/>
        </w:rPr>
        <w:t>UN</w:t>
      </w:r>
      <w:r w:rsidR="005140F0">
        <w:rPr>
          <w:rFonts w:cs="Arial"/>
          <w:color w:val="333333"/>
        </w:rPr>
        <w:t>DP</w:t>
      </w:r>
      <w:r>
        <w:rPr>
          <w:rFonts w:cs="Arial"/>
          <w:color w:val="333333"/>
        </w:rPr>
        <w:t xml:space="preserve">’s </w:t>
      </w:r>
      <w:r w:rsidR="00E960C9" w:rsidRPr="00C15487">
        <w:rPr>
          <w:rFonts w:cs="Arial"/>
          <w:color w:val="333333"/>
        </w:rPr>
        <w:t>approach</w:t>
      </w:r>
      <w:r w:rsidR="005140F0">
        <w:rPr>
          <w:rFonts w:cs="Arial"/>
          <w:color w:val="333333"/>
        </w:rPr>
        <w:t xml:space="preserve"> for the UN-REDD Programme</w:t>
      </w:r>
      <w:r w:rsidR="00E960C9" w:rsidRPr="00C15487">
        <w:rPr>
          <w:rFonts w:cs="Arial"/>
          <w:color w:val="333333"/>
        </w:rPr>
        <w:t xml:space="preserve"> </w:t>
      </w:r>
      <w:r w:rsidR="0000394E">
        <w:rPr>
          <w:rFonts w:cs="Arial"/>
          <w:color w:val="333333"/>
        </w:rPr>
        <w:t>is nationally-</w:t>
      </w:r>
      <w:r w:rsidR="00175A57" w:rsidRPr="00C15487">
        <w:rPr>
          <w:rFonts w:cs="Arial"/>
          <w:color w:val="333333"/>
        </w:rPr>
        <w:t xml:space="preserve">owned governance assessments with </w:t>
      </w:r>
      <w:r w:rsidR="0036708B" w:rsidRPr="00C15487">
        <w:rPr>
          <w:rFonts w:cs="Arial"/>
          <w:color w:val="333333"/>
        </w:rPr>
        <w:t>mu</w:t>
      </w:r>
      <w:r w:rsidR="00CC1C04">
        <w:rPr>
          <w:rFonts w:cs="Arial"/>
          <w:color w:val="333333"/>
        </w:rPr>
        <w:t>l</w:t>
      </w:r>
      <w:r w:rsidR="0036708B" w:rsidRPr="00C15487">
        <w:rPr>
          <w:rFonts w:cs="Arial"/>
          <w:color w:val="333333"/>
        </w:rPr>
        <w:t>ti</w:t>
      </w:r>
      <w:r w:rsidR="00175A57" w:rsidRPr="00C15487">
        <w:rPr>
          <w:rFonts w:cs="Arial"/>
          <w:color w:val="333333"/>
        </w:rPr>
        <w:t>-st</w:t>
      </w:r>
      <w:r w:rsidR="00CC1C04">
        <w:rPr>
          <w:rFonts w:cs="Arial"/>
          <w:color w:val="333333"/>
        </w:rPr>
        <w:t>akeholder participation and</w:t>
      </w:r>
      <w:r w:rsidR="00175A57" w:rsidRPr="00C15487">
        <w:rPr>
          <w:rFonts w:cs="Arial"/>
          <w:color w:val="333333"/>
        </w:rPr>
        <w:t xml:space="preserve"> a focus on building local and national capacity. </w:t>
      </w:r>
    </w:p>
    <w:p w:rsidR="00C15487" w:rsidRPr="002D07A5" w:rsidRDefault="009414BE" w:rsidP="002D07A5">
      <w:pPr>
        <w:pStyle w:val="ListParagraph"/>
        <w:numPr>
          <w:ilvl w:val="0"/>
          <w:numId w:val="7"/>
        </w:numPr>
        <w:spacing w:after="120"/>
        <w:ind w:left="0"/>
        <w:contextualSpacing w:val="0"/>
        <w:jc w:val="both"/>
        <w:rPr>
          <w:rFonts w:cs="Arial"/>
          <w:b/>
          <w:color w:val="333333"/>
        </w:rPr>
      </w:pPr>
      <w:r>
        <w:rPr>
          <w:rFonts w:cs="Arial"/>
          <w:b/>
          <w:noProof/>
          <w:color w:val="333333"/>
          <w:lang w:val="en-US"/>
        </w:rPr>
        <w:pict>
          <v:shape id="_x0000_s1036" type="#_x0000_t176" style="position:absolute;left:0;text-align:left;margin-left:-19.65pt;margin-top:-174.05pt;width:246.85pt;height:412.95pt;z-index:251659776;mso-width-relative:margin;mso-height-relative:margin" wrapcoords="1690 -63 1237 0 330 628 206 1256 -41 1947 -41 19214 41 20030 536 21035 577 21223 1360 21726 1608 21726 20075 21726 20322 21726 21105 21160 21559 20030 21682 19026 21682 2951 21600 1947 21311 1130 21270 691 20322 0 19869 -63 1690 -63" fillcolor="#d8d8d8 [2732]" strokecolor="#4f81bd" strokeweight="1pt">
            <v:fill color2="fill lighten(51)" angle="-135" focusposition=".5,.5" focussize="" method="linear sigma" type="gradient"/>
            <v:shadow on="t" type="perspective" color="#243f60" offset="1pt" offset2="-3pt"/>
            <v:textbox style="mso-next-textbox:#_x0000_s1036">
              <w:txbxContent>
                <w:p w:rsidR="00757780" w:rsidRDefault="00757780" w:rsidP="00C43E2D">
                  <w:pPr>
                    <w:rPr>
                      <w:rFonts w:ascii="Tahoma" w:hAnsi="Tahoma" w:cs="Tahoma"/>
                      <w:b/>
                      <w:color w:val="C00000"/>
                      <w:sz w:val="24"/>
                      <w:szCs w:val="24"/>
                    </w:rPr>
                  </w:pPr>
                  <w:r>
                    <w:rPr>
                      <w:rFonts w:ascii="Tahoma" w:hAnsi="Tahoma" w:cs="Tahoma"/>
                      <w:b/>
                      <w:color w:val="C00000"/>
                      <w:sz w:val="24"/>
                      <w:szCs w:val="24"/>
                    </w:rPr>
                    <w:t>Operational f</w:t>
                  </w:r>
                  <w:r w:rsidRPr="00402614">
                    <w:rPr>
                      <w:rFonts w:ascii="Tahoma" w:hAnsi="Tahoma" w:cs="Tahoma"/>
                      <w:b/>
                      <w:color w:val="C00000"/>
                      <w:sz w:val="24"/>
                      <w:szCs w:val="24"/>
                    </w:rPr>
                    <w:t xml:space="preserve">eatures of </w:t>
                  </w:r>
                  <w:r w:rsidR="005F5E34">
                    <w:rPr>
                      <w:rFonts w:ascii="Tahoma" w:hAnsi="Tahoma" w:cs="Tahoma"/>
                      <w:b/>
                      <w:color w:val="C00000"/>
                      <w:sz w:val="24"/>
                      <w:szCs w:val="24"/>
                    </w:rPr>
                    <w:t>P</w:t>
                  </w:r>
                  <w:r w:rsidRPr="00402614">
                    <w:rPr>
                      <w:rFonts w:ascii="Tahoma" w:hAnsi="Tahoma" w:cs="Tahoma"/>
                      <w:b/>
                      <w:color w:val="C00000"/>
                      <w:sz w:val="24"/>
                      <w:szCs w:val="24"/>
                    </w:rPr>
                    <w:t>GA</w:t>
                  </w:r>
                  <w:r>
                    <w:rPr>
                      <w:rFonts w:ascii="Tahoma" w:hAnsi="Tahoma" w:cs="Tahoma"/>
                      <w:b/>
                      <w:color w:val="C00000"/>
                      <w:sz w:val="24"/>
                      <w:szCs w:val="24"/>
                    </w:rPr>
                    <w:t xml:space="preserve"> for REDD</w:t>
                  </w:r>
                  <w:r w:rsidRPr="00402614">
                    <w:rPr>
                      <w:rFonts w:ascii="Tahoma" w:hAnsi="Tahoma" w:cs="Tahoma"/>
                      <w:b/>
                      <w:color w:val="C00000"/>
                      <w:sz w:val="24"/>
                      <w:szCs w:val="24"/>
                    </w:rPr>
                    <w:t>+</w:t>
                  </w:r>
                </w:p>
                <w:p w:rsidR="00757780" w:rsidRPr="00402614" w:rsidRDefault="005F5E34" w:rsidP="00402614">
                  <w:pPr>
                    <w:spacing w:after="120"/>
                    <w:rPr>
                      <w:rFonts w:cs="Arial"/>
                      <w:color w:val="333333"/>
                      <w:sz w:val="20"/>
                      <w:szCs w:val="20"/>
                    </w:rPr>
                  </w:pPr>
                  <w:r>
                    <w:rPr>
                      <w:rFonts w:cs="Arial"/>
                      <w:sz w:val="20"/>
                      <w:szCs w:val="20"/>
                    </w:rPr>
                    <w:t>Participatory</w:t>
                  </w:r>
                  <w:r w:rsidR="00757780" w:rsidRPr="00402614">
                    <w:rPr>
                      <w:rFonts w:cs="Arial"/>
                      <w:sz w:val="20"/>
                      <w:szCs w:val="20"/>
                    </w:rPr>
                    <w:t xml:space="preserve"> governance assessments for REDD+ need to</w:t>
                  </w:r>
                  <w:r w:rsidR="00757780" w:rsidRPr="00402614">
                    <w:rPr>
                      <w:rFonts w:cs="Arial"/>
                      <w:color w:val="333333"/>
                      <w:sz w:val="20"/>
                      <w:szCs w:val="20"/>
                    </w:rPr>
                    <w:t xml:space="preserve"> include the following operational features: </w:t>
                  </w:r>
                </w:p>
                <w:p w:rsidR="00757780" w:rsidRPr="00402614" w:rsidRDefault="00030795" w:rsidP="00402614">
                  <w:pPr>
                    <w:numPr>
                      <w:ilvl w:val="0"/>
                      <w:numId w:val="3"/>
                    </w:numPr>
                    <w:spacing w:after="180"/>
                    <w:ind w:left="446"/>
                    <w:rPr>
                      <w:rFonts w:cs="Arial"/>
                      <w:b/>
                      <w:color w:val="1F497D" w:themeColor="text2"/>
                      <w:sz w:val="20"/>
                      <w:szCs w:val="20"/>
                    </w:rPr>
                  </w:pPr>
                  <w:r>
                    <w:rPr>
                      <w:rFonts w:cs="Arial"/>
                      <w:b/>
                      <w:color w:val="1F497D" w:themeColor="text2"/>
                      <w:sz w:val="20"/>
                      <w:szCs w:val="20"/>
                    </w:rPr>
                    <w:t>Assessment is a</w:t>
                  </w:r>
                  <w:r w:rsidR="00757780" w:rsidRPr="00402614">
                    <w:rPr>
                      <w:rFonts w:cs="Arial"/>
                      <w:b/>
                      <w:color w:val="1F497D" w:themeColor="text2"/>
                      <w:sz w:val="20"/>
                      <w:szCs w:val="20"/>
                    </w:rPr>
                    <w:t>lign</w:t>
                  </w:r>
                  <w:r>
                    <w:rPr>
                      <w:rFonts w:cs="Arial"/>
                      <w:b/>
                      <w:color w:val="1F497D" w:themeColor="text2"/>
                      <w:sz w:val="20"/>
                      <w:szCs w:val="20"/>
                    </w:rPr>
                    <w:t>ed</w:t>
                  </w:r>
                  <w:r w:rsidR="00757780" w:rsidRPr="00402614">
                    <w:rPr>
                      <w:rFonts w:cs="Arial"/>
                      <w:b/>
                      <w:color w:val="1F497D" w:themeColor="text2"/>
                      <w:sz w:val="20"/>
                      <w:szCs w:val="20"/>
                    </w:rPr>
                    <w:t xml:space="preserve"> to national political priorities and processes</w:t>
                  </w:r>
                </w:p>
                <w:p w:rsidR="00757780" w:rsidRPr="00402614" w:rsidRDefault="00757780" w:rsidP="00402614">
                  <w:pPr>
                    <w:numPr>
                      <w:ilvl w:val="0"/>
                      <w:numId w:val="3"/>
                    </w:numPr>
                    <w:spacing w:after="180"/>
                    <w:ind w:left="446"/>
                    <w:rPr>
                      <w:rFonts w:cs="Arial"/>
                      <w:b/>
                      <w:color w:val="1F497D" w:themeColor="text2"/>
                      <w:sz w:val="20"/>
                      <w:szCs w:val="20"/>
                    </w:rPr>
                  </w:pPr>
                  <w:r w:rsidRPr="00402614">
                    <w:rPr>
                      <w:rFonts w:cs="Arial"/>
                      <w:b/>
                      <w:color w:val="1F497D" w:themeColor="text2"/>
                      <w:sz w:val="20"/>
                      <w:szCs w:val="20"/>
                    </w:rPr>
                    <w:t>Assessment is country contextualized</w:t>
                  </w:r>
                </w:p>
                <w:p w:rsidR="00757780" w:rsidRPr="00402614" w:rsidRDefault="00757780" w:rsidP="00402614">
                  <w:pPr>
                    <w:numPr>
                      <w:ilvl w:val="0"/>
                      <w:numId w:val="3"/>
                    </w:numPr>
                    <w:spacing w:after="180"/>
                    <w:ind w:left="446"/>
                    <w:rPr>
                      <w:rFonts w:cs="Arial"/>
                      <w:b/>
                      <w:color w:val="1F497D" w:themeColor="text2"/>
                      <w:sz w:val="20"/>
                      <w:szCs w:val="20"/>
                    </w:rPr>
                  </w:pPr>
                  <w:r w:rsidRPr="00402614">
                    <w:rPr>
                      <w:rFonts w:cs="Arial"/>
                      <w:b/>
                      <w:color w:val="1F497D" w:themeColor="text2"/>
                      <w:sz w:val="20"/>
                      <w:szCs w:val="20"/>
                    </w:rPr>
                    <w:t>Methodology is rigorous</w:t>
                  </w:r>
                </w:p>
                <w:p w:rsidR="00757780" w:rsidRPr="00402614" w:rsidRDefault="00757780" w:rsidP="00402614">
                  <w:pPr>
                    <w:numPr>
                      <w:ilvl w:val="0"/>
                      <w:numId w:val="3"/>
                    </w:numPr>
                    <w:spacing w:after="180"/>
                    <w:ind w:left="446"/>
                    <w:rPr>
                      <w:rFonts w:cs="Arial"/>
                      <w:b/>
                      <w:color w:val="1F497D" w:themeColor="text2"/>
                      <w:sz w:val="20"/>
                      <w:szCs w:val="20"/>
                    </w:rPr>
                  </w:pPr>
                  <w:r w:rsidRPr="00402614">
                    <w:rPr>
                      <w:rFonts w:cs="Arial"/>
                      <w:b/>
                      <w:color w:val="1F497D" w:themeColor="text2"/>
                      <w:sz w:val="20"/>
                      <w:szCs w:val="20"/>
                    </w:rPr>
                    <w:t>Selection of indicators is transparent and participatory</w:t>
                  </w:r>
                </w:p>
                <w:p w:rsidR="00757780" w:rsidRPr="00402614" w:rsidRDefault="00757780" w:rsidP="00402614">
                  <w:pPr>
                    <w:numPr>
                      <w:ilvl w:val="0"/>
                      <w:numId w:val="3"/>
                    </w:numPr>
                    <w:spacing w:after="180"/>
                    <w:ind w:left="446"/>
                    <w:rPr>
                      <w:rFonts w:cs="Arial"/>
                      <w:b/>
                      <w:color w:val="1F497D" w:themeColor="text2"/>
                      <w:sz w:val="20"/>
                      <w:szCs w:val="20"/>
                    </w:rPr>
                  </w:pPr>
                  <w:r w:rsidRPr="00402614">
                    <w:rPr>
                      <w:rFonts w:cs="Arial"/>
                      <w:b/>
                      <w:color w:val="1F497D" w:themeColor="text2"/>
                      <w:sz w:val="20"/>
                      <w:szCs w:val="20"/>
                    </w:rPr>
                    <w:t>Indicators are pro-poor and gender-sensitive</w:t>
                  </w:r>
                </w:p>
                <w:p w:rsidR="00757780" w:rsidRPr="00402614" w:rsidRDefault="00757780" w:rsidP="00402614">
                  <w:pPr>
                    <w:numPr>
                      <w:ilvl w:val="0"/>
                      <w:numId w:val="3"/>
                    </w:numPr>
                    <w:spacing w:after="180"/>
                    <w:ind w:left="446"/>
                    <w:rPr>
                      <w:rFonts w:cs="Arial"/>
                      <w:b/>
                      <w:color w:val="1F497D" w:themeColor="text2"/>
                      <w:sz w:val="20"/>
                      <w:szCs w:val="20"/>
                    </w:rPr>
                  </w:pPr>
                  <w:r w:rsidRPr="00402614">
                    <w:rPr>
                      <w:rFonts w:cs="Arial"/>
                      <w:b/>
                      <w:color w:val="1F497D" w:themeColor="text2"/>
                      <w:sz w:val="20"/>
                      <w:szCs w:val="20"/>
                    </w:rPr>
                    <w:t>Capacity of national stakeholders is developed</w:t>
                  </w:r>
                </w:p>
                <w:p w:rsidR="00757780" w:rsidRPr="00402614" w:rsidRDefault="00AA71BD" w:rsidP="00402614">
                  <w:pPr>
                    <w:numPr>
                      <w:ilvl w:val="0"/>
                      <w:numId w:val="3"/>
                    </w:numPr>
                    <w:spacing w:after="180"/>
                    <w:ind w:left="446"/>
                    <w:rPr>
                      <w:rFonts w:cs="Arial"/>
                      <w:b/>
                      <w:color w:val="1F497D" w:themeColor="text2"/>
                      <w:sz w:val="20"/>
                      <w:szCs w:val="20"/>
                    </w:rPr>
                  </w:pPr>
                  <w:r>
                    <w:rPr>
                      <w:rFonts w:cs="Arial"/>
                      <w:b/>
                      <w:color w:val="1F497D" w:themeColor="text2"/>
                      <w:sz w:val="20"/>
                      <w:szCs w:val="20"/>
                    </w:rPr>
                    <w:t>Assessment is c</w:t>
                  </w:r>
                  <w:r w:rsidR="00757780" w:rsidRPr="00402614">
                    <w:rPr>
                      <w:rFonts w:cs="Arial"/>
                      <w:b/>
                      <w:color w:val="1F497D" w:themeColor="text2"/>
                      <w:sz w:val="20"/>
                      <w:szCs w:val="20"/>
                    </w:rPr>
                    <w:t>ost-effective and timely</w:t>
                  </w:r>
                </w:p>
                <w:p w:rsidR="00030795" w:rsidRPr="00402614" w:rsidRDefault="00030795" w:rsidP="00030795">
                  <w:pPr>
                    <w:numPr>
                      <w:ilvl w:val="0"/>
                      <w:numId w:val="3"/>
                    </w:numPr>
                    <w:spacing w:after="180"/>
                    <w:ind w:left="446"/>
                    <w:rPr>
                      <w:rFonts w:cs="Arial"/>
                      <w:b/>
                      <w:color w:val="1F497D" w:themeColor="text2"/>
                      <w:sz w:val="20"/>
                      <w:szCs w:val="20"/>
                    </w:rPr>
                  </w:pPr>
                  <w:r w:rsidRPr="00402614">
                    <w:rPr>
                      <w:rFonts w:cs="Arial"/>
                      <w:b/>
                      <w:color w:val="1F497D" w:themeColor="text2"/>
                      <w:sz w:val="20"/>
                      <w:szCs w:val="20"/>
                    </w:rPr>
                    <w:t>Results are stored in a public national database</w:t>
                  </w:r>
                </w:p>
                <w:p w:rsidR="00757780" w:rsidRPr="00402614" w:rsidRDefault="00757780" w:rsidP="00402614">
                  <w:pPr>
                    <w:numPr>
                      <w:ilvl w:val="0"/>
                      <w:numId w:val="3"/>
                    </w:numPr>
                    <w:spacing w:after="180"/>
                    <w:ind w:left="446"/>
                    <w:rPr>
                      <w:rFonts w:cs="Arial"/>
                      <w:b/>
                      <w:color w:val="1F497D" w:themeColor="text2"/>
                      <w:sz w:val="20"/>
                      <w:szCs w:val="20"/>
                    </w:rPr>
                  </w:pPr>
                  <w:r w:rsidRPr="00402614">
                    <w:rPr>
                      <w:rFonts w:cs="Arial"/>
                      <w:b/>
                      <w:color w:val="1F497D" w:themeColor="text2"/>
                      <w:sz w:val="20"/>
                      <w:szCs w:val="20"/>
                    </w:rPr>
                    <w:t>Results are widely communicated</w:t>
                  </w:r>
                </w:p>
                <w:p w:rsidR="00757780" w:rsidRPr="005140F0" w:rsidRDefault="00757780" w:rsidP="00C43E2D">
                  <w:pPr>
                    <w:numPr>
                      <w:ilvl w:val="0"/>
                      <w:numId w:val="3"/>
                    </w:numPr>
                    <w:spacing w:after="180"/>
                    <w:ind w:left="446"/>
                    <w:rPr>
                      <w:sz w:val="20"/>
                      <w:szCs w:val="20"/>
                    </w:rPr>
                  </w:pPr>
                  <w:r w:rsidRPr="005140F0">
                    <w:rPr>
                      <w:rFonts w:cs="Arial"/>
                      <w:b/>
                      <w:color w:val="1F497D" w:themeColor="text2"/>
                      <w:sz w:val="20"/>
                      <w:szCs w:val="20"/>
                    </w:rPr>
                    <w:t>Assessment is repeated</w:t>
                  </w:r>
                  <w:r w:rsidR="005140F0" w:rsidRPr="005140F0">
                    <w:rPr>
                      <w:rFonts w:cs="Arial"/>
                      <w:b/>
                      <w:color w:val="1F497D" w:themeColor="text2"/>
                      <w:sz w:val="20"/>
                      <w:szCs w:val="20"/>
                    </w:rPr>
                    <w:t xml:space="preserve"> and the institutions and outputs can serve as basis for monitoring </w:t>
                  </w:r>
                </w:p>
              </w:txbxContent>
            </v:textbox>
            <w10:wrap type="square"/>
          </v:shape>
        </w:pict>
      </w:r>
      <w:r w:rsidR="005F5E34">
        <w:rPr>
          <w:b/>
          <w:color w:val="1F497D" w:themeColor="text2"/>
        </w:rPr>
        <w:t>Participatory</w:t>
      </w:r>
      <w:r w:rsidR="00C15487" w:rsidRPr="00CC1C04">
        <w:rPr>
          <w:b/>
          <w:color w:val="1F497D" w:themeColor="text2"/>
        </w:rPr>
        <w:t xml:space="preserve"> governance assessment</w:t>
      </w:r>
      <w:r w:rsidR="00CC1C04" w:rsidRPr="00CC1C04">
        <w:rPr>
          <w:b/>
          <w:color w:val="1F497D" w:themeColor="text2"/>
        </w:rPr>
        <w:t>s</w:t>
      </w:r>
      <w:r w:rsidR="000721C5">
        <w:rPr>
          <w:b/>
          <w:color w:val="1F497D" w:themeColor="text2"/>
        </w:rPr>
        <w:t xml:space="preserve"> stress</w:t>
      </w:r>
      <w:r w:rsidR="00C15487" w:rsidRPr="00CC1C04">
        <w:rPr>
          <w:b/>
          <w:color w:val="1F497D" w:themeColor="text2"/>
        </w:rPr>
        <w:t xml:space="preserve"> “agency” and “ownership” of the process at </w:t>
      </w:r>
      <w:r w:rsidR="00C15487" w:rsidRPr="00CC1C04">
        <w:rPr>
          <w:b/>
          <w:color w:val="1F497D" w:themeColor="text2"/>
        </w:rPr>
        <w:lastRenderedPageBreak/>
        <w:t>the country level</w:t>
      </w:r>
      <w:r w:rsidR="00C15487" w:rsidRPr="00CC1C04">
        <w:rPr>
          <w:color w:val="1F497D" w:themeColor="text2"/>
        </w:rPr>
        <w:t>.</w:t>
      </w:r>
      <w:r w:rsidR="00C15487" w:rsidRPr="00C15487">
        <w:t xml:space="preserve"> The country-led aspect of </w:t>
      </w:r>
      <w:r w:rsidR="005F5E34">
        <w:t>participatory</w:t>
      </w:r>
      <w:r w:rsidR="00C15487" w:rsidRPr="00C15487">
        <w:t xml:space="preserve"> governance assessment</w:t>
      </w:r>
      <w:r w:rsidR="005F5E34">
        <w:t>s</w:t>
      </w:r>
      <w:r w:rsidR="00C15487" w:rsidRPr="00C15487">
        <w:t xml:space="preserve"> is an affirmation of the “agency” of the people, institutions and decision makers at t</w:t>
      </w:r>
      <w:r w:rsidR="00657B94">
        <w:t>he national level.  A sense of agency</w:t>
      </w:r>
      <w:r w:rsidR="00C15487" w:rsidRPr="00C15487">
        <w:t xml:space="preserve"> and ownership enable people and countries to innovate as well as impact change in relation to REDD+</w:t>
      </w:r>
      <w:r w:rsidR="00657B94">
        <w:t>.</w:t>
      </w:r>
      <w:r w:rsidR="00C15487" w:rsidRPr="00C15487">
        <w:t xml:space="preserve"> </w:t>
      </w:r>
    </w:p>
    <w:p w:rsidR="0036708B" w:rsidRDefault="005F5E34" w:rsidP="002D07A5">
      <w:pPr>
        <w:pStyle w:val="ListParagraph"/>
        <w:numPr>
          <w:ilvl w:val="0"/>
          <w:numId w:val="7"/>
        </w:numPr>
        <w:spacing w:after="120"/>
        <w:ind w:left="0" w:hanging="270"/>
        <w:contextualSpacing w:val="0"/>
        <w:jc w:val="both"/>
      </w:pPr>
      <w:r>
        <w:rPr>
          <w:b/>
          <w:color w:val="1F497D" w:themeColor="text2"/>
        </w:rPr>
        <w:t>Participatory</w:t>
      </w:r>
      <w:r w:rsidR="0036708B" w:rsidRPr="003E2113">
        <w:rPr>
          <w:b/>
          <w:color w:val="1F497D" w:themeColor="text2"/>
        </w:rPr>
        <w:t xml:space="preserve"> Governance Assessment</w:t>
      </w:r>
      <w:r w:rsidR="00657B94" w:rsidRPr="003E2113">
        <w:rPr>
          <w:b/>
          <w:color w:val="1F497D" w:themeColor="text2"/>
        </w:rPr>
        <w:t>s</w:t>
      </w:r>
      <w:r w:rsidR="0036708B" w:rsidRPr="003E2113">
        <w:rPr>
          <w:b/>
          <w:color w:val="1F497D" w:themeColor="text2"/>
        </w:rPr>
        <w:t xml:space="preserve"> can help build the national and local capacity of the government and </w:t>
      </w:r>
      <w:r w:rsidR="00657B94" w:rsidRPr="003E2113">
        <w:rPr>
          <w:b/>
          <w:color w:val="1F497D" w:themeColor="text2"/>
        </w:rPr>
        <w:t>local c</w:t>
      </w:r>
      <w:r w:rsidR="0036708B" w:rsidRPr="003E2113">
        <w:rPr>
          <w:b/>
          <w:color w:val="1F497D" w:themeColor="text2"/>
        </w:rPr>
        <w:t>ommunities</w:t>
      </w:r>
      <w:r w:rsidR="00657B94" w:rsidRPr="003E2113">
        <w:rPr>
          <w:b/>
          <w:color w:val="1F497D" w:themeColor="text2"/>
        </w:rPr>
        <w:t xml:space="preserve">. </w:t>
      </w:r>
      <w:r w:rsidR="00E84CFA" w:rsidRPr="00E322B2">
        <w:t>A n</w:t>
      </w:r>
      <w:r w:rsidR="0036708B" w:rsidRPr="00E322B2">
        <w:t>ationally owned, multi-stakeholder and participatory approach to governance assessment</w:t>
      </w:r>
      <w:r w:rsidR="00E84CFA" w:rsidRPr="00E322B2">
        <w:t>s</w:t>
      </w:r>
      <w:r w:rsidR="0036708B" w:rsidRPr="00E322B2">
        <w:t xml:space="preserve"> with a stress on local and national capacity development can strengthen local capacity to monitor governance and make a sustainable impact on the ground.</w:t>
      </w:r>
    </w:p>
    <w:p w:rsidR="0036708B" w:rsidRPr="00E322B2" w:rsidRDefault="0000394E" w:rsidP="002D07A5">
      <w:pPr>
        <w:pStyle w:val="ListParagraph"/>
        <w:numPr>
          <w:ilvl w:val="0"/>
          <w:numId w:val="7"/>
        </w:numPr>
        <w:spacing w:after="120"/>
        <w:ind w:left="0" w:hanging="180"/>
        <w:contextualSpacing w:val="0"/>
        <w:jc w:val="both"/>
        <w:rPr>
          <w:rFonts w:cs="Arial"/>
          <w:color w:val="333333"/>
        </w:rPr>
      </w:pPr>
      <w:r>
        <w:rPr>
          <w:b/>
          <w:color w:val="1F497D" w:themeColor="text2"/>
        </w:rPr>
        <w:t xml:space="preserve">A </w:t>
      </w:r>
      <w:r w:rsidR="005F5E34">
        <w:rPr>
          <w:b/>
          <w:color w:val="1F497D" w:themeColor="text2"/>
        </w:rPr>
        <w:t>participatory</w:t>
      </w:r>
      <w:r w:rsidR="0036708B" w:rsidRPr="00E84CFA">
        <w:rPr>
          <w:b/>
          <w:color w:val="1F497D" w:themeColor="text2"/>
        </w:rPr>
        <w:t xml:space="preserve"> governance assessment</w:t>
      </w:r>
      <w:r>
        <w:rPr>
          <w:b/>
          <w:color w:val="1F497D" w:themeColor="text2"/>
        </w:rPr>
        <w:t xml:space="preserve"> is </w:t>
      </w:r>
      <w:r w:rsidR="0036708B" w:rsidRPr="00E84CFA">
        <w:rPr>
          <w:b/>
          <w:color w:val="1F497D" w:themeColor="text2"/>
        </w:rPr>
        <w:t xml:space="preserve">a </w:t>
      </w:r>
      <w:r w:rsidR="00C011F0" w:rsidRPr="00E84CFA">
        <w:rPr>
          <w:b/>
          <w:i/>
          <w:color w:val="1F497D" w:themeColor="text2"/>
        </w:rPr>
        <w:t>p</w:t>
      </w:r>
      <w:r w:rsidR="0036708B" w:rsidRPr="00E84CFA">
        <w:rPr>
          <w:b/>
          <w:i/>
          <w:color w:val="1F497D" w:themeColor="text2"/>
        </w:rPr>
        <w:t>ractical approach</w:t>
      </w:r>
      <w:r>
        <w:rPr>
          <w:b/>
          <w:i/>
          <w:color w:val="1F497D" w:themeColor="text2"/>
        </w:rPr>
        <w:t>.</w:t>
      </w:r>
      <w:r w:rsidR="0036708B" w:rsidRPr="00E84CFA">
        <w:rPr>
          <w:b/>
          <w:color w:val="1F497D" w:themeColor="text2"/>
        </w:rPr>
        <w:t xml:space="preserve"> </w:t>
      </w:r>
      <w:r w:rsidR="0036708B" w:rsidRPr="00E84CFA">
        <w:t xml:space="preserve">Its relevance is largely </w:t>
      </w:r>
      <w:r w:rsidR="00967F86">
        <w:t xml:space="preserve">that </w:t>
      </w:r>
      <w:r w:rsidR="0036708B" w:rsidRPr="00E84CFA">
        <w:t xml:space="preserve">it is an </w:t>
      </w:r>
      <w:r w:rsidR="0036708B" w:rsidRPr="00E84CFA">
        <w:rPr>
          <w:i/>
        </w:rPr>
        <w:t xml:space="preserve">applied field of </w:t>
      </w:r>
      <w:r w:rsidR="0036708B" w:rsidRPr="00967F86">
        <w:rPr>
          <w:i/>
        </w:rPr>
        <w:t xml:space="preserve">knowledge </w:t>
      </w:r>
      <w:r w:rsidR="00967F86">
        <w:t>that can make the S</w:t>
      </w:r>
      <w:r w:rsidR="0036708B" w:rsidRPr="00E84CFA">
        <w:t xml:space="preserve">tate and institutions of governance </w:t>
      </w:r>
      <w:r w:rsidR="00967F86">
        <w:rPr>
          <w:i/>
        </w:rPr>
        <w:t>i</w:t>
      </w:r>
      <w:r w:rsidR="0036708B" w:rsidRPr="00E84CFA">
        <w:rPr>
          <w:i/>
        </w:rPr>
        <w:t>nclusive, responsive and capable</w:t>
      </w:r>
      <w:r w:rsidR="0036708B" w:rsidRPr="00E84CFA">
        <w:t xml:space="preserve">. It </w:t>
      </w:r>
      <w:r w:rsidR="00D72203" w:rsidRPr="00E84CFA">
        <w:t>is also</w:t>
      </w:r>
      <w:r w:rsidR="0036708B" w:rsidRPr="00E84CFA">
        <w:t xml:space="preserve"> an important means to </w:t>
      </w:r>
      <w:r w:rsidR="0036708B" w:rsidRPr="00E84CFA">
        <w:rPr>
          <w:i/>
        </w:rPr>
        <w:t xml:space="preserve">generate knowledge </w:t>
      </w:r>
      <w:r w:rsidR="0036708B" w:rsidRPr="00E84CFA">
        <w:t xml:space="preserve">about </w:t>
      </w:r>
      <w:r w:rsidR="00D72203" w:rsidRPr="00E84CFA">
        <w:t xml:space="preserve">the </w:t>
      </w:r>
      <w:r w:rsidR="00D72203" w:rsidRPr="00967F86">
        <w:rPr>
          <w:i/>
        </w:rPr>
        <w:t>what</w:t>
      </w:r>
      <w:r w:rsidR="0036708B" w:rsidRPr="00E84CFA">
        <w:rPr>
          <w:i/>
        </w:rPr>
        <w:t>,</w:t>
      </w:r>
      <w:r w:rsidR="0036708B" w:rsidRPr="00E84CFA">
        <w:t xml:space="preserve"> </w:t>
      </w:r>
      <w:r w:rsidR="0036708B" w:rsidRPr="00E84CFA">
        <w:rPr>
          <w:i/>
        </w:rPr>
        <w:t>how</w:t>
      </w:r>
      <w:r w:rsidR="0036708B" w:rsidRPr="00E84CFA">
        <w:t xml:space="preserve"> and </w:t>
      </w:r>
      <w:r w:rsidR="0036708B" w:rsidRPr="00E84CFA">
        <w:rPr>
          <w:i/>
        </w:rPr>
        <w:t xml:space="preserve">why </w:t>
      </w:r>
      <w:r w:rsidR="0036708B" w:rsidRPr="00E84CFA">
        <w:t xml:space="preserve">of governance </w:t>
      </w:r>
      <w:r w:rsidR="00967F86">
        <w:t xml:space="preserve">in diverse contexts.  A country-led </w:t>
      </w:r>
      <w:r w:rsidR="0036708B" w:rsidRPr="00E84CFA">
        <w:t>governance assessment can give important practical and theoretical insights</w:t>
      </w:r>
      <w:r w:rsidR="00967F86">
        <w:t xml:space="preserve"> abo</w:t>
      </w:r>
      <w:r w:rsidR="006A13FB">
        <w:t>ut what works and what does not</w:t>
      </w:r>
      <w:r w:rsidR="00967F86">
        <w:t xml:space="preserve"> work in a certain </w:t>
      </w:r>
      <w:r w:rsidR="0036708B" w:rsidRPr="00E84CFA">
        <w:t>context</w:t>
      </w:r>
      <w:r w:rsidR="006A13FB">
        <w:t xml:space="preserve">. It can </w:t>
      </w:r>
      <w:r w:rsidR="0036708B" w:rsidRPr="00E84CFA">
        <w:t>also generate knowledge about why some aspects of governance or institutions work in some context</w:t>
      </w:r>
      <w:r w:rsidR="006A13FB">
        <w:t>s and not in others.</w:t>
      </w:r>
      <w:r w:rsidR="0036708B" w:rsidRPr="00E84CFA">
        <w:t xml:space="preserve"> </w:t>
      </w:r>
      <w:r w:rsidR="006A13FB">
        <w:t xml:space="preserve">Thus </w:t>
      </w:r>
      <w:r w:rsidR="0036708B" w:rsidRPr="00E84CFA">
        <w:t xml:space="preserve">its significance is due to its </w:t>
      </w:r>
      <w:r w:rsidR="0036708B" w:rsidRPr="00E84CFA">
        <w:rPr>
          <w:i/>
        </w:rPr>
        <w:t xml:space="preserve">applied </w:t>
      </w:r>
      <w:r w:rsidR="0036708B" w:rsidRPr="00E84CFA">
        <w:t xml:space="preserve">as well as </w:t>
      </w:r>
      <w:r w:rsidR="0036708B" w:rsidRPr="00E84CFA">
        <w:rPr>
          <w:i/>
        </w:rPr>
        <w:t xml:space="preserve">generative </w:t>
      </w:r>
      <w:r w:rsidR="006A13FB">
        <w:t xml:space="preserve">character in terms of </w:t>
      </w:r>
      <w:r w:rsidR="006A13FB" w:rsidRPr="006A13FB">
        <w:rPr>
          <w:b/>
          <w:color w:val="1F497D" w:themeColor="text2"/>
        </w:rPr>
        <w:t xml:space="preserve">bridging </w:t>
      </w:r>
      <w:r w:rsidR="0036708B" w:rsidRPr="006A13FB">
        <w:rPr>
          <w:b/>
          <w:color w:val="1F497D" w:themeColor="text2"/>
        </w:rPr>
        <w:t>knowledge and a</w:t>
      </w:r>
      <w:r w:rsidR="00121A11" w:rsidRPr="006A13FB">
        <w:rPr>
          <w:b/>
          <w:color w:val="1F497D" w:themeColor="text2"/>
        </w:rPr>
        <w:t>ction</w:t>
      </w:r>
      <w:r w:rsidR="00121A11" w:rsidRPr="00E84CFA">
        <w:t xml:space="preserve">. </w:t>
      </w:r>
      <w:r w:rsidR="006A13FB">
        <w:t xml:space="preserve">This assessment approach </w:t>
      </w:r>
      <w:r w:rsidR="00121A11" w:rsidRPr="00E84CFA">
        <w:t>is a means to make accountability work</w:t>
      </w:r>
      <w:r w:rsidR="006A13FB">
        <w:t xml:space="preserve"> – with evidence</w:t>
      </w:r>
      <w:r w:rsidR="00121A11" w:rsidRPr="00E84CFA">
        <w:t xml:space="preserve"> as well as compariso</w:t>
      </w:r>
      <w:r w:rsidR="006A13FB">
        <w:t>n. Governance a</w:t>
      </w:r>
      <w:r w:rsidR="00D72203" w:rsidRPr="00E84CFA">
        <w:t>ssessment</w:t>
      </w:r>
      <w:r w:rsidR="006A13FB">
        <w:t>s</w:t>
      </w:r>
      <w:r w:rsidR="00D72203" w:rsidRPr="00E84CFA">
        <w:t xml:space="preserve"> can </w:t>
      </w:r>
      <w:r w:rsidR="00121A11" w:rsidRPr="00E84CFA">
        <w:t>expose the bottle-necks</w:t>
      </w:r>
      <w:r w:rsidR="006A13FB">
        <w:t>,</w:t>
      </w:r>
      <w:r w:rsidR="00121A11" w:rsidRPr="00E84CFA">
        <w:t xml:space="preserve"> </w:t>
      </w:r>
      <w:r w:rsidR="006A13FB">
        <w:t xml:space="preserve">system inertia, </w:t>
      </w:r>
      <w:r w:rsidR="00121A11" w:rsidRPr="00E84CFA">
        <w:t>corruption</w:t>
      </w:r>
      <w:r w:rsidR="006A13FB">
        <w:t xml:space="preserve"> instance</w:t>
      </w:r>
      <w:r w:rsidR="00121A11" w:rsidRPr="00E84CFA">
        <w:t>s</w:t>
      </w:r>
      <w:r w:rsidR="006A13FB">
        <w:t xml:space="preserve"> and political subversions</w:t>
      </w:r>
      <w:r w:rsidR="00121A11" w:rsidRPr="00E84CFA">
        <w:t xml:space="preserve"> that stand between the promises and the </w:t>
      </w:r>
      <w:r w:rsidR="006A13FB">
        <w:t xml:space="preserve">materialization </w:t>
      </w:r>
      <w:r w:rsidR="00121A11" w:rsidRPr="00E84CFA">
        <w:t>of the REDD+ initiative</w:t>
      </w:r>
      <w:r w:rsidR="006A13FB">
        <w:t>.</w:t>
      </w:r>
    </w:p>
    <w:p w:rsidR="003643DC" w:rsidRPr="0000394E" w:rsidRDefault="009414BE" w:rsidP="002D07A5">
      <w:pPr>
        <w:pStyle w:val="ListParagraph"/>
        <w:numPr>
          <w:ilvl w:val="0"/>
          <w:numId w:val="7"/>
        </w:numPr>
        <w:spacing w:after="120"/>
        <w:ind w:left="0"/>
        <w:contextualSpacing w:val="0"/>
        <w:jc w:val="both"/>
        <w:rPr>
          <w:rFonts w:cs="Arial"/>
          <w:b/>
        </w:rPr>
      </w:pPr>
      <w:r w:rsidRPr="009414BE">
        <w:rPr>
          <w:rFonts w:cs="Arial"/>
          <w:b/>
          <w:noProof/>
          <w:color w:val="1F497D" w:themeColor="text2"/>
          <w:lang w:val="en-US"/>
        </w:rPr>
        <w:lastRenderedPageBreak/>
        <w:pict>
          <v:shape id="_x0000_s1051" type="#_x0000_t176" style="position:absolute;left:0;text-align:left;margin-left:121pt;margin-top:78.2pt;width:202.2pt;height:484.85pt;z-index:251664896;mso-width-relative:margin;mso-height-relative:margin" wrapcoords="1690 -63 1237 0 330 628 206 1256 -41 1947 -41 19214 41 20030 536 21035 577 21223 1360 21726 1608 21726 20075 21726 20322 21726 21105 21160 21559 20030 21682 19026 21682 2951 21600 1947 21311 1130 21270 691 20322 0 19869 -63 1690 -63" fillcolor="#95b3d7" strokecolor="#4f81bd" strokeweight="1pt">
            <v:fill color2="fill lighten(51)" angle="-135" focusposition=".5,.5" focussize="" method="linear sigma" type="gradient"/>
            <v:shadow on="t" type="perspective" color="#243f60" offset="1pt" offset2="-3pt"/>
            <v:textbox style="mso-next-textbox:#_x0000_s1051">
              <w:txbxContent>
                <w:p w:rsidR="003E2113" w:rsidRDefault="003E2113" w:rsidP="003E2113">
                  <w:pPr>
                    <w:rPr>
                      <w:rFonts w:ascii="Tahoma" w:hAnsi="Tahoma" w:cs="Tahoma"/>
                      <w:b/>
                      <w:color w:val="C00000"/>
                      <w:sz w:val="24"/>
                      <w:szCs w:val="24"/>
                    </w:rPr>
                  </w:pPr>
                  <w:r>
                    <w:rPr>
                      <w:rFonts w:ascii="Tahoma" w:hAnsi="Tahoma" w:cs="Tahoma"/>
                      <w:b/>
                      <w:color w:val="C00000"/>
                      <w:sz w:val="24"/>
                      <w:szCs w:val="24"/>
                    </w:rPr>
                    <w:t>Case study</w:t>
                  </w:r>
                  <w:r w:rsidR="002D07A5">
                    <w:rPr>
                      <w:rFonts w:ascii="Tahoma" w:hAnsi="Tahoma" w:cs="Tahoma"/>
                      <w:b/>
                      <w:color w:val="C00000"/>
                      <w:sz w:val="24"/>
                      <w:szCs w:val="24"/>
                    </w:rPr>
                    <w:t>:</w:t>
                  </w:r>
                  <w:r w:rsidR="00C57278">
                    <w:rPr>
                      <w:rFonts w:ascii="Tahoma" w:hAnsi="Tahoma" w:cs="Tahoma"/>
                      <w:b/>
                      <w:color w:val="C00000"/>
                      <w:sz w:val="24"/>
                      <w:szCs w:val="24"/>
                    </w:rPr>
                    <w:t xml:space="preserve"> </w:t>
                  </w:r>
                  <w:r w:rsidR="002D07A5">
                    <w:rPr>
                      <w:rFonts w:ascii="Tahoma" w:hAnsi="Tahoma" w:cs="Tahoma"/>
                      <w:b/>
                      <w:color w:val="C00000"/>
                      <w:sz w:val="24"/>
                      <w:szCs w:val="24"/>
                    </w:rPr>
                    <w:t>Guyana</w:t>
                  </w:r>
                </w:p>
                <w:p w:rsidR="003E2113" w:rsidRDefault="003E2113" w:rsidP="003E2113">
                  <w:pPr>
                    <w:jc w:val="both"/>
                    <w:rPr>
                      <w:rFonts w:cs="Arial"/>
                      <w:color w:val="333333"/>
                      <w:sz w:val="20"/>
                      <w:szCs w:val="20"/>
                      <w:vertAlign w:val="superscript"/>
                    </w:rPr>
                  </w:pPr>
                  <w:r w:rsidRPr="006D0A37">
                    <w:rPr>
                      <w:rFonts w:cs="Arial"/>
                      <w:color w:val="333333"/>
                      <w:sz w:val="20"/>
                      <w:szCs w:val="20"/>
                    </w:rPr>
                    <w:t>In 2008 a group of donors in Guyana commissioned a report on Democratic Governance and Institutional Assessment.</w:t>
                  </w:r>
                  <w:r>
                    <w:rPr>
                      <w:rFonts w:cs="Arial"/>
                      <w:color w:val="333333"/>
                      <w:sz w:val="20"/>
                      <w:szCs w:val="20"/>
                      <w:vertAlign w:val="superscript"/>
                    </w:rPr>
                    <w:t>1</w:t>
                  </w:r>
                  <w:r w:rsidRPr="006D0A37">
                    <w:rPr>
                      <w:rFonts w:cs="Arial"/>
                      <w:color w:val="333333"/>
                      <w:sz w:val="20"/>
                      <w:szCs w:val="20"/>
                    </w:rPr>
                    <w:t xml:space="preserve"> </w:t>
                  </w:r>
                  <w:r>
                    <w:rPr>
                      <w:rFonts w:cs="Arial"/>
                      <w:color w:val="333333"/>
                      <w:sz w:val="20"/>
                      <w:szCs w:val="20"/>
                    </w:rPr>
                    <w:t>The report was rejected by the g</w:t>
                  </w:r>
                  <w:r w:rsidRPr="006D0A37">
                    <w:rPr>
                      <w:rFonts w:cs="Arial"/>
                      <w:color w:val="333333"/>
                      <w:sz w:val="20"/>
                      <w:szCs w:val="20"/>
                    </w:rPr>
                    <w:t xml:space="preserve">overnment of Guyana as well as several civil society organisations </w:t>
                  </w:r>
                  <w:r>
                    <w:rPr>
                      <w:rFonts w:cs="Arial"/>
                      <w:color w:val="333333"/>
                      <w:sz w:val="20"/>
                      <w:szCs w:val="20"/>
                    </w:rPr>
                    <w:t>who refused to</w:t>
                  </w:r>
                  <w:r w:rsidRPr="006D0A37">
                    <w:rPr>
                      <w:rFonts w:cs="Arial"/>
                      <w:color w:val="333333"/>
                      <w:sz w:val="20"/>
                      <w:szCs w:val="20"/>
                    </w:rPr>
                    <w:t xml:space="preserve"> endorse an external or so called independent third party assessment in this case conducted by consultants from New Zealand.  Despite a comprehensive two volume report with unprecedented data generation and governance evidence </w:t>
                  </w:r>
                  <w:r>
                    <w:rPr>
                      <w:rFonts w:cs="Arial"/>
                      <w:color w:val="333333"/>
                      <w:sz w:val="20"/>
                      <w:szCs w:val="20"/>
                    </w:rPr>
                    <w:t xml:space="preserve">on </w:t>
                  </w:r>
                  <w:r w:rsidRPr="006D0A37">
                    <w:rPr>
                      <w:rFonts w:cs="Arial"/>
                      <w:color w:val="333333"/>
                      <w:sz w:val="20"/>
                      <w:szCs w:val="20"/>
                    </w:rPr>
                    <w:t xml:space="preserve">Guyana, there was hardly any inclination from the government or civil society to implement the recommendations. This a good illustration of how a </w:t>
                  </w:r>
                  <w:r>
                    <w:rPr>
                      <w:rFonts w:cs="Arial"/>
                      <w:color w:val="333333"/>
                      <w:sz w:val="20"/>
                      <w:szCs w:val="20"/>
                    </w:rPr>
                    <w:t xml:space="preserve">technically </w:t>
                  </w:r>
                  <w:r w:rsidRPr="006D0A37">
                    <w:rPr>
                      <w:rFonts w:cs="Arial"/>
                      <w:color w:val="333333"/>
                      <w:sz w:val="20"/>
                      <w:szCs w:val="20"/>
                    </w:rPr>
                    <w:t>solid and objective report,</w:t>
                  </w:r>
                  <w:r>
                    <w:rPr>
                      <w:rFonts w:cs="Arial"/>
                      <w:color w:val="333333"/>
                      <w:sz w:val="20"/>
                      <w:szCs w:val="20"/>
                    </w:rPr>
                    <w:t xml:space="preserve"> if produced</w:t>
                  </w:r>
                  <w:r w:rsidRPr="006D0A37">
                    <w:rPr>
                      <w:rFonts w:cs="Arial"/>
                      <w:color w:val="333333"/>
                      <w:sz w:val="20"/>
                      <w:szCs w:val="20"/>
                    </w:rPr>
                    <w:t xml:space="preserve"> by a third party</w:t>
                  </w:r>
                  <w:r>
                    <w:rPr>
                      <w:rFonts w:cs="Arial"/>
                      <w:color w:val="333333"/>
                      <w:sz w:val="20"/>
                      <w:szCs w:val="20"/>
                    </w:rPr>
                    <w:t>,</w:t>
                  </w:r>
                  <w:r w:rsidRPr="006D0A37">
                    <w:rPr>
                      <w:rFonts w:cs="Arial"/>
                      <w:color w:val="333333"/>
                      <w:sz w:val="20"/>
                      <w:szCs w:val="20"/>
                    </w:rPr>
                    <w:t xml:space="preserve"> can</w:t>
                  </w:r>
                  <w:r>
                    <w:rPr>
                      <w:rFonts w:cs="Arial"/>
                      <w:color w:val="333333"/>
                      <w:sz w:val="20"/>
                      <w:szCs w:val="20"/>
                    </w:rPr>
                    <w:t xml:space="preserve"> be outright rejected due to the</w:t>
                  </w:r>
                  <w:r w:rsidRPr="006D0A37">
                    <w:rPr>
                      <w:rFonts w:cs="Arial"/>
                      <w:color w:val="333333"/>
                      <w:sz w:val="20"/>
                      <w:szCs w:val="20"/>
                    </w:rPr>
                    <w:t xml:space="preserve"> lack of buy-in, legiti</w:t>
                  </w:r>
                  <w:r>
                    <w:rPr>
                      <w:rFonts w:cs="Arial"/>
                      <w:color w:val="333333"/>
                      <w:sz w:val="20"/>
                      <w:szCs w:val="20"/>
                    </w:rPr>
                    <w:t>macy and failure to ensure the</w:t>
                  </w:r>
                  <w:r w:rsidRPr="006D0A37">
                    <w:rPr>
                      <w:rFonts w:cs="Arial"/>
                      <w:color w:val="333333"/>
                      <w:sz w:val="20"/>
                      <w:szCs w:val="20"/>
                    </w:rPr>
                    <w:t xml:space="preserve"> participation of multipl</w:t>
                  </w:r>
                  <w:r>
                    <w:rPr>
                      <w:rFonts w:cs="Arial"/>
                      <w:color w:val="333333"/>
                      <w:sz w:val="20"/>
                      <w:szCs w:val="20"/>
                    </w:rPr>
                    <w:t xml:space="preserve">e stakeholders within a country. </w:t>
                  </w:r>
                  <w:r w:rsidRPr="006D0A37">
                    <w:rPr>
                      <w:rFonts w:cs="Arial"/>
                      <w:color w:val="333333"/>
                      <w:sz w:val="20"/>
                      <w:szCs w:val="20"/>
                    </w:rPr>
                    <w:t xml:space="preserve">There are </w:t>
                  </w:r>
                  <w:r>
                    <w:rPr>
                      <w:rFonts w:cs="Arial"/>
                      <w:color w:val="333333"/>
                      <w:sz w:val="20"/>
                      <w:szCs w:val="20"/>
                    </w:rPr>
                    <w:t>numerous other examples of how the l</w:t>
                  </w:r>
                  <w:r w:rsidRPr="006D0A37">
                    <w:rPr>
                      <w:rFonts w:cs="Arial"/>
                      <w:color w:val="333333"/>
                      <w:sz w:val="20"/>
                      <w:szCs w:val="20"/>
                    </w:rPr>
                    <w:t>ack of legitimacy and ownership within a country can make excellent assessments or monitoring reports redundant and irrelevant to the policy process.</w:t>
                  </w:r>
                </w:p>
                <w:p w:rsidR="003E2113" w:rsidRPr="00E322B2" w:rsidRDefault="003E2113" w:rsidP="003E2113">
                  <w:pPr>
                    <w:spacing w:after="0" w:line="240" w:lineRule="auto"/>
                    <w:jc w:val="both"/>
                    <w:rPr>
                      <w:rFonts w:cs="Arial"/>
                      <w:color w:val="333333"/>
                      <w:sz w:val="16"/>
                      <w:szCs w:val="16"/>
                    </w:rPr>
                  </w:pPr>
                  <w:r w:rsidRPr="00E322B2">
                    <w:rPr>
                      <w:rFonts w:cs="Arial"/>
                      <w:color w:val="333333"/>
                      <w:sz w:val="16"/>
                      <w:szCs w:val="16"/>
                      <w:vertAlign w:val="superscript"/>
                    </w:rPr>
                    <w:t>1</w:t>
                  </w:r>
                  <w:r w:rsidRPr="00E322B2">
                    <w:rPr>
                      <w:sz w:val="16"/>
                      <w:szCs w:val="16"/>
                      <w:lang w:val="en-US"/>
                    </w:rPr>
                    <w:t xml:space="preserve"> The 2008 report on Democratic Governance and Institutional Assessment was commissioned by the Inter-American Development Bank, DFID, CIDA and UNDP to a private consulting firm (Bradford &amp; Associates, New Zealand/UK).</w:t>
                  </w:r>
                </w:p>
              </w:txbxContent>
            </v:textbox>
            <w10:wrap type="square"/>
          </v:shape>
        </w:pict>
      </w:r>
      <w:r w:rsidR="0000394E">
        <w:rPr>
          <w:rFonts w:cs="Arial"/>
          <w:b/>
          <w:color w:val="1F497D" w:themeColor="text2"/>
        </w:rPr>
        <w:t xml:space="preserve">A </w:t>
      </w:r>
      <w:r w:rsidR="005F5E34">
        <w:rPr>
          <w:rFonts w:cs="Arial"/>
          <w:b/>
          <w:color w:val="1F497D" w:themeColor="text2"/>
        </w:rPr>
        <w:t>participatory</w:t>
      </w:r>
      <w:r w:rsidR="00451607">
        <w:rPr>
          <w:rFonts w:cs="Arial"/>
          <w:b/>
          <w:color w:val="1F497D" w:themeColor="text2"/>
        </w:rPr>
        <w:t xml:space="preserve"> </w:t>
      </w:r>
      <w:r w:rsidR="003643DC" w:rsidRPr="006A13FB">
        <w:rPr>
          <w:rFonts w:cs="Arial"/>
          <w:b/>
          <w:color w:val="1F497D" w:themeColor="text2"/>
        </w:rPr>
        <w:t>governance assessment does</w:t>
      </w:r>
      <w:r w:rsidR="0000394E">
        <w:rPr>
          <w:rFonts w:cs="Arial"/>
          <w:b/>
          <w:color w:val="1F497D" w:themeColor="text2"/>
        </w:rPr>
        <w:t xml:space="preserve"> not necessarily mean that the</w:t>
      </w:r>
      <w:r w:rsidR="00451607">
        <w:rPr>
          <w:rFonts w:cs="Arial"/>
          <w:b/>
          <w:color w:val="1F497D" w:themeColor="text2"/>
        </w:rPr>
        <w:t xml:space="preserve"> </w:t>
      </w:r>
      <w:r w:rsidR="0000394E">
        <w:rPr>
          <w:rFonts w:cs="Arial"/>
          <w:b/>
          <w:color w:val="1F497D" w:themeColor="text2"/>
        </w:rPr>
        <w:t>assessment is</w:t>
      </w:r>
      <w:r w:rsidR="003643DC" w:rsidRPr="006A13FB">
        <w:rPr>
          <w:rFonts w:cs="Arial"/>
          <w:b/>
          <w:color w:val="1F497D" w:themeColor="text2"/>
        </w:rPr>
        <w:t xml:space="preserve"> led by the government</w:t>
      </w:r>
      <w:r w:rsidR="003643DC" w:rsidRPr="006A13FB">
        <w:rPr>
          <w:rFonts w:cs="Arial"/>
          <w:color w:val="1F497D" w:themeColor="text2"/>
        </w:rPr>
        <w:t>.</w:t>
      </w:r>
      <w:r w:rsidR="003643DC" w:rsidRPr="00E84CFA">
        <w:rPr>
          <w:rFonts w:cs="Arial"/>
          <w:color w:val="333333"/>
        </w:rPr>
        <w:t xml:space="preserve"> It means an assessment owned by the key stakeholders and c</w:t>
      </w:r>
      <w:r w:rsidR="006A13FB">
        <w:rPr>
          <w:rFonts w:cs="Arial"/>
          <w:color w:val="333333"/>
        </w:rPr>
        <w:t>itizens of a given country. S</w:t>
      </w:r>
      <w:r w:rsidR="003643DC" w:rsidRPr="00E84CFA">
        <w:rPr>
          <w:rFonts w:cs="Arial"/>
          <w:color w:val="333333"/>
        </w:rPr>
        <w:t xml:space="preserve">uch an approach </w:t>
      </w:r>
      <w:r w:rsidR="006A13FB">
        <w:rPr>
          <w:rFonts w:cs="Arial"/>
          <w:color w:val="333333"/>
        </w:rPr>
        <w:t xml:space="preserve">thus </w:t>
      </w:r>
      <w:r w:rsidR="003643DC" w:rsidRPr="00E84CFA">
        <w:rPr>
          <w:rFonts w:cs="Arial"/>
          <w:color w:val="333333"/>
        </w:rPr>
        <w:t xml:space="preserve">seeks to go beyond the government to ensure accountability, participation and operational autonomy. </w:t>
      </w:r>
      <w:r w:rsidR="00451607">
        <w:rPr>
          <w:rFonts w:cs="Arial"/>
          <w:color w:val="333333"/>
        </w:rPr>
        <w:t>S</w:t>
      </w:r>
      <w:r w:rsidR="003643DC" w:rsidRPr="00E84CFA">
        <w:rPr>
          <w:rFonts w:cs="Arial"/>
          <w:color w:val="333333"/>
        </w:rPr>
        <w:t xml:space="preserve">takeholders can </w:t>
      </w:r>
      <w:r w:rsidR="003643DC" w:rsidRPr="0000394E">
        <w:rPr>
          <w:rFonts w:cs="Arial"/>
        </w:rPr>
        <w:t>include both external and external actors</w:t>
      </w:r>
      <w:r w:rsidR="00451607" w:rsidRPr="0000394E">
        <w:rPr>
          <w:rFonts w:cs="Arial"/>
        </w:rPr>
        <w:t>,</w:t>
      </w:r>
      <w:r w:rsidR="003643DC" w:rsidRPr="0000394E">
        <w:rPr>
          <w:rFonts w:cs="Arial"/>
        </w:rPr>
        <w:t xml:space="preserve"> provided</w:t>
      </w:r>
      <w:r w:rsidR="00451607" w:rsidRPr="0000394E">
        <w:rPr>
          <w:rFonts w:cs="Arial"/>
        </w:rPr>
        <w:t xml:space="preserve"> that</w:t>
      </w:r>
      <w:r w:rsidR="003643DC" w:rsidRPr="0000394E">
        <w:rPr>
          <w:rFonts w:cs="Arial"/>
        </w:rPr>
        <w:t xml:space="preserve"> the process is led by national actors</w:t>
      </w:r>
      <w:r w:rsidR="00451607" w:rsidRPr="0000394E">
        <w:rPr>
          <w:rFonts w:cs="Arial"/>
        </w:rPr>
        <w:t xml:space="preserve">, and that </w:t>
      </w:r>
      <w:r w:rsidR="003643DC" w:rsidRPr="0000394E">
        <w:rPr>
          <w:rFonts w:cs="Arial"/>
        </w:rPr>
        <w:t xml:space="preserve">there is a </w:t>
      </w:r>
      <w:r w:rsidR="00451607" w:rsidRPr="0000394E">
        <w:rPr>
          <w:rFonts w:cs="Arial"/>
        </w:rPr>
        <w:t xml:space="preserve">clear emphasis </w:t>
      </w:r>
      <w:r w:rsidR="003643DC" w:rsidRPr="0000394E">
        <w:rPr>
          <w:rFonts w:cs="Arial"/>
        </w:rPr>
        <w:t>on ownership of multiple actors in a given country and on building the local capacity to monitor and assess governance</w:t>
      </w:r>
      <w:r w:rsidR="00451607" w:rsidRPr="0000394E">
        <w:rPr>
          <w:rFonts w:cs="Arial"/>
        </w:rPr>
        <w:t>.</w:t>
      </w:r>
    </w:p>
    <w:p w:rsidR="008E1507" w:rsidRPr="00E84CFA" w:rsidRDefault="003643DC" w:rsidP="002D07A5">
      <w:pPr>
        <w:pStyle w:val="ListParagraph"/>
        <w:spacing w:after="120"/>
        <w:ind w:left="0"/>
        <w:contextualSpacing w:val="0"/>
        <w:jc w:val="both"/>
        <w:rPr>
          <w:rFonts w:cs="Arial"/>
          <w:b/>
          <w:color w:val="333333"/>
        </w:rPr>
      </w:pPr>
      <w:r w:rsidRPr="00E84CFA">
        <w:rPr>
          <w:rFonts w:cs="Arial"/>
          <w:color w:val="333333"/>
        </w:rPr>
        <w:t xml:space="preserve">For instance, </w:t>
      </w:r>
      <w:r w:rsidR="00451607">
        <w:rPr>
          <w:rFonts w:cs="Arial"/>
          <w:color w:val="333333"/>
        </w:rPr>
        <w:t xml:space="preserve">a </w:t>
      </w:r>
      <w:r w:rsidRPr="00E84CFA">
        <w:rPr>
          <w:rFonts w:cs="Arial"/>
          <w:color w:val="333333"/>
        </w:rPr>
        <w:t>nationally owned multi-stakeholder approach to forest governance would involve key stakeholders</w:t>
      </w:r>
      <w:r w:rsidR="00451607">
        <w:rPr>
          <w:rFonts w:cs="Arial"/>
          <w:color w:val="333333"/>
        </w:rPr>
        <w:t xml:space="preserve"> </w:t>
      </w:r>
      <w:r w:rsidR="00F96447">
        <w:rPr>
          <w:rFonts w:cs="Arial"/>
          <w:color w:val="333333"/>
        </w:rPr>
        <w:t>such as</w:t>
      </w:r>
      <w:r w:rsidR="0056199E">
        <w:rPr>
          <w:rFonts w:cs="Arial"/>
          <w:color w:val="333333"/>
        </w:rPr>
        <w:t xml:space="preserve"> </w:t>
      </w:r>
      <w:r w:rsidR="00F96447">
        <w:rPr>
          <w:rFonts w:cs="Arial"/>
          <w:color w:val="333333"/>
        </w:rPr>
        <w:t>national</w:t>
      </w:r>
      <w:r w:rsidR="00030795">
        <w:rPr>
          <w:rFonts w:cs="Arial"/>
          <w:color w:val="333333"/>
        </w:rPr>
        <w:t xml:space="preserve"> </w:t>
      </w:r>
      <w:r w:rsidR="00030795" w:rsidRPr="00E84CFA">
        <w:rPr>
          <w:rFonts w:cs="Arial"/>
          <w:color w:val="333333"/>
        </w:rPr>
        <w:t>civil society</w:t>
      </w:r>
      <w:r w:rsidR="00030795">
        <w:rPr>
          <w:rFonts w:cs="Arial"/>
          <w:color w:val="333333"/>
        </w:rPr>
        <w:t xml:space="preserve"> organizations, </w:t>
      </w:r>
      <w:r w:rsidRPr="00E84CFA">
        <w:rPr>
          <w:rFonts w:cs="Arial"/>
          <w:color w:val="333333"/>
        </w:rPr>
        <w:t>forest</w:t>
      </w:r>
      <w:r w:rsidR="00030795">
        <w:rPr>
          <w:rFonts w:cs="Arial"/>
          <w:color w:val="333333"/>
        </w:rPr>
        <w:t>-dependent</w:t>
      </w:r>
      <w:r w:rsidRPr="00E84CFA">
        <w:rPr>
          <w:rFonts w:cs="Arial"/>
          <w:color w:val="333333"/>
        </w:rPr>
        <w:t xml:space="preserve"> communities, </w:t>
      </w:r>
      <w:r w:rsidR="00451607">
        <w:rPr>
          <w:rFonts w:cs="Arial"/>
          <w:color w:val="333333"/>
        </w:rPr>
        <w:t xml:space="preserve">the </w:t>
      </w:r>
      <w:r w:rsidRPr="00E84CFA">
        <w:rPr>
          <w:rFonts w:cs="Arial"/>
          <w:color w:val="333333"/>
        </w:rPr>
        <w:t>media,</w:t>
      </w:r>
      <w:r w:rsidR="00030795">
        <w:rPr>
          <w:rFonts w:cs="Arial"/>
          <w:color w:val="333333"/>
        </w:rPr>
        <w:t xml:space="preserve"> REDD+ donor countries,</w:t>
      </w:r>
      <w:r w:rsidR="0000394E">
        <w:rPr>
          <w:rFonts w:cs="Arial"/>
          <w:color w:val="333333"/>
        </w:rPr>
        <w:t xml:space="preserve"> </w:t>
      </w:r>
      <w:r w:rsidR="00030795" w:rsidRPr="00E84CFA">
        <w:rPr>
          <w:rFonts w:cs="Arial"/>
          <w:color w:val="333333"/>
        </w:rPr>
        <w:t>the</w:t>
      </w:r>
      <w:r w:rsidR="0056199E">
        <w:rPr>
          <w:rFonts w:cs="Arial"/>
          <w:color w:val="333333"/>
        </w:rPr>
        <w:t xml:space="preserve"> </w:t>
      </w:r>
      <w:r w:rsidR="00030795" w:rsidRPr="00E84CFA">
        <w:rPr>
          <w:rFonts w:cs="Arial"/>
          <w:color w:val="333333"/>
        </w:rPr>
        <w:t xml:space="preserve">government </w:t>
      </w:r>
      <w:r w:rsidR="00030795">
        <w:rPr>
          <w:rFonts w:cs="Arial"/>
          <w:color w:val="333333"/>
        </w:rPr>
        <w:t xml:space="preserve">and </w:t>
      </w:r>
      <w:r w:rsidRPr="00E84CFA">
        <w:rPr>
          <w:rFonts w:cs="Arial"/>
          <w:color w:val="333333"/>
        </w:rPr>
        <w:t xml:space="preserve">academia. </w:t>
      </w:r>
      <w:r w:rsidR="00326CB9">
        <w:rPr>
          <w:rFonts w:cs="Arial"/>
          <w:color w:val="333333"/>
        </w:rPr>
        <w:t xml:space="preserve"> </w:t>
      </w:r>
      <w:r w:rsidR="00030795">
        <w:rPr>
          <w:rFonts w:cs="Arial"/>
          <w:color w:val="333333"/>
        </w:rPr>
        <w:t>REDD+</w:t>
      </w:r>
      <w:r w:rsidR="00326CB9">
        <w:rPr>
          <w:rFonts w:cs="Arial"/>
          <w:color w:val="333333"/>
        </w:rPr>
        <w:t xml:space="preserve"> systems</w:t>
      </w:r>
      <w:r w:rsidRPr="00E84CFA">
        <w:rPr>
          <w:rFonts w:cs="Arial"/>
          <w:color w:val="333333"/>
        </w:rPr>
        <w:t xml:space="preserve"> </w:t>
      </w:r>
      <w:r w:rsidR="00326CB9">
        <w:rPr>
          <w:rFonts w:cs="Arial"/>
          <w:color w:val="333333"/>
        </w:rPr>
        <w:t>are an</w:t>
      </w:r>
      <w:r w:rsidRPr="00E84CFA">
        <w:rPr>
          <w:rFonts w:cs="Arial"/>
          <w:color w:val="333333"/>
        </w:rPr>
        <w:t xml:space="preserve"> area where </w:t>
      </w:r>
      <w:r w:rsidR="00030795">
        <w:rPr>
          <w:rFonts w:cs="Arial"/>
          <w:color w:val="333333"/>
        </w:rPr>
        <w:t xml:space="preserve">a </w:t>
      </w:r>
      <w:r w:rsidRPr="00E84CFA">
        <w:rPr>
          <w:rFonts w:cs="Arial"/>
          <w:color w:val="333333"/>
        </w:rPr>
        <w:t>number of stakeholders with competing interest</w:t>
      </w:r>
      <w:r w:rsidR="00766281">
        <w:rPr>
          <w:rFonts w:cs="Arial"/>
          <w:color w:val="333333"/>
        </w:rPr>
        <w:t>s</w:t>
      </w:r>
      <w:r w:rsidRPr="00E84CFA">
        <w:rPr>
          <w:rFonts w:cs="Arial"/>
          <w:color w:val="333333"/>
        </w:rPr>
        <w:t xml:space="preserve"> may </w:t>
      </w:r>
      <w:r w:rsidR="004D71AC" w:rsidRPr="00E84CFA">
        <w:rPr>
          <w:rFonts w:cs="Arial"/>
          <w:color w:val="333333"/>
        </w:rPr>
        <w:t>sit around the same table</w:t>
      </w:r>
      <w:r w:rsidRPr="00E84CFA">
        <w:rPr>
          <w:rFonts w:cs="Arial"/>
          <w:color w:val="333333"/>
        </w:rPr>
        <w:t xml:space="preserve">. </w:t>
      </w:r>
      <w:r w:rsidR="00030795">
        <w:rPr>
          <w:rFonts w:cs="Arial"/>
          <w:color w:val="333333"/>
        </w:rPr>
        <w:t>T</w:t>
      </w:r>
      <w:r w:rsidRPr="00E84CFA">
        <w:rPr>
          <w:rFonts w:cs="Arial"/>
          <w:color w:val="333333"/>
        </w:rPr>
        <w:t xml:space="preserve">he very </w:t>
      </w:r>
      <w:r w:rsidR="00F21C12">
        <w:rPr>
          <w:rFonts w:cs="Arial"/>
          <w:color w:val="333333"/>
        </w:rPr>
        <w:t>process</w:t>
      </w:r>
      <w:r w:rsidRPr="00E84CFA">
        <w:rPr>
          <w:rFonts w:cs="Arial"/>
          <w:color w:val="333333"/>
        </w:rPr>
        <w:t xml:space="preserve"> of the </w:t>
      </w:r>
      <w:r w:rsidR="00F21C12">
        <w:rPr>
          <w:rFonts w:cs="Arial"/>
          <w:color w:val="333333"/>
        </w:rPr>
        <w:t xml:space="preserve">assessment </w:t>
      </w:r>
      <w:r w:rsidR="004D71AC" w:rsidRPr="00E84CFA">
        <w:rPr>
          <w:rFonts w:cs="Arial"/>
          <w:color w:val="333333"/>
        </w:rPr>
        <w:t>need</w:t>
      </w:r>
      <w:r w:rsidR="00F21C12">
        <w:rPr>
          <w:rFonts w:cs="Arial"/>
          <w:color w:val="333333"/>
        </w:rPr>
        <w:t>s</w:t>
      </w:r>
      <w:r w:rsidR="004D71AC" w:rsidRPr="00E84CFA">
        <w:rPr>
          <w:rFonts w:cs="Arial"/>
          <w:color w:val="333333"/>
        </w:rPr>
        <w:t xml:space="preserve"> to be</w:t>
      </w:r>
      <w:r w:rsidRPr="00E84CFA">
        <w:rPr>
          <w:rFonts w:cs="Arial"/>
          <w:color w:val="333333"/>
        </w:rPr>
        <w:t xml:space="preserve"> designed </w:t>
      </w:r>
      <w:r w:rsidR="004D71AC" w:rsidRPr="00E84CFA">
        <w:rPr>
          <w:rFonts w:cs="Arial"/>
          <w:color w:val="333333"/>
        </w:rPr>
        <w:t xml:space="preserve">in a way </w:t>
      </w:r>
      <w:r w:rsidRPr="00E84CFA">
        <w:rPr>
          <w:rFonts w:cs="Arial"/>
          <w:color w:val="333333"/>
        </w:rPr>
        <w:t>to get the desired inputs and support from all local stakeholders</w:t>
      </w:r>
      <w:r w:rsidR="0000394E">
        <w:rPr>
          <w:rFonts w:cs="Arial"/>
          <w:color w:val="333333"/>
        </w:rPr>
        <w:t>.</w:t>
      </w:r>
      <w:r w:rsidR="00030795">
        <w:rPr>
          <w:rFonts w:cs="Arial"/>
          <w:color w:val="333333"/>
        </w:rPr>
        <w:t xml:space="preserve"> </w:t>
      </w:r>
    </w:p>
    <w:p w:rsidR="00AD2B44" w:rsidRPr="00BD24BD" w:rsidRDefault="00766281" w:rsidP="002D07A5">
      <w:pPr>
        <w:pStyle w:val="ListParagraph"/>
        <w:numPr>
          <w:ilvl w:val="0"/>
          <w:numId w:val="12"/>
        </w:numPr>
        <w:tabs>
          <w:tab w:val="left" w:pos="360"/>
        </w:tabs>
        <w:spacing w:after="120"/>
        <w:ind w:left="0" w:hanging="270"/>
        <w:contextualSpacing w:val="0"/>
        <w:jc w:val="both"/>
        <w:rPr>
          <w:rFonts w:cs="Arial"/>
          <w:color w:val="333333"/>
        </w:rPr>
      </w:pPr>
      <w:r>
        <w:rPr>
          <w:rFonts w:cs="Arial"/>
          <w:b/>
          <w:color w:val="1F497D" w:themeColor="text2"/>
        </w:rPr>
        <w:t>Externally</w:t>
      </w:r>
      <w:r w:rsidR="00AD2B44">
        <w:rPr>
          <w:rFonts w:cs="Arial"/>
          <w:b/>
          <w:color w:val="1F497D" w:themeColor="text2"/>
        </w:rPr>
        <w:t>-</w:t>
      </w:r>
      <w:r>
        <w:rPr>
          <w:rFonts w:cs="Arial"/>
          <w:b/>
          <w:color w:val="1F497D" w:themeColor="text2"/>
        </w:rPr>
        <w:t>driven a</w:t>
      </w:r>
      <w:r w:rsidRPr="00766281">
        <w:rPr>
          <w:rFonts w:cs="Arial"/>
          <w:b/>
          <w:color w:val="1F497D" w:themeColor="text2"/>
        </w:rPr>
        <w:t>ssessments have</w:t>
      </w:r>
      <w:r w:rsidR="00D251E1" w:rsidRPr="00766281">
        <w:rPr>
          <w:rFonts w:cs="Arial"/>
          <w:b/>
          <w:color w:val="1F497D" w:themeColor="text2"/>
        </w:rPr>
        <w:t xml:space="preserve"> limited validity and less impact</w:t>
      </w:r>
      <w:r w:rsidR="003258CA">
        <w:rPr>
          <w:rFonts w:cs="Arial"/>
          <w:b/>
          <w:color w:val="1F497D" w:themeColor="text2"/>
        </w:rPr>
        <w:t>.</w:t>
      </w:r>
      <w:r>
        <w:rPr>
          <w:rFonts w:cs="Arial"/>
          <w:b/>
          <w:color w:val="1F497D" w:themeColor="text2"/>
        </w:rPr>
        <w:t xml:space="preserve"> </w:t>
      </w:r>
      <w:r>
        <w:rPr>
          <w:rFonts w:cs="Arial"/>
          <w:color w:val="333333"/>
        </w:rPr>
        <w:t>E</w:t>
      </w:r>
      <w:r w:rsidR="00175A57" w:rsidRPr="00E84CFA">
        <w:rPr>
          <w:rFonts w:cs="Arial"/>
          <w:color w:val="333333"/>
        </w:rPr>
        <w:t>vidence show</w:t>
      </w:r>
      <w:r>
        <w:rPr>
          <w:rFonts w:cs="Arial"/>
          <w:color w:val="333333"/>
        </w:rPr>
        <w:t>s</w:t>
      </w:r>
      <w:r w:rsidR="00175A57" w:rsidRPr="00E84CFA">
        <w:rPr>
          <w:rFonts w:cs="Arial"/>
          <w:color w:val="333333"/>
        </w:rPr>
        <w:t xml:space="preserve"> that while externally driven governance assessment</w:t>
      </w:r>
      <w:r>
        <w:rPr>
          <w:rFonts w:cs="Arial"/>
          <w:color w:val="333333"/>
        </w:rPr>
        <w:t>s</w:t>
      </w:r>
      <w:r w:rsidR="00175A57" w:rsidRPr="00E84CFA">
        <w:rPr>
          <w:rFonts w:cs="Arial"/>
          <w:color w:val="333333"/>
        </w:rPr>
        <w:t xml:space="preserve"> may have </w:t>
      </w:r>
      <w:r w:rsidR="00030795">
        <w:rPr>
          <w:rFonts w:cs="Arial"/>
          <w:color w:val="333333"/>
        </w:rPr>
        <w:t>some</w:t>
      </w:r>
      <w:r w:rsidR="00175A57" w:rsidRPr="00E84CFA">
        <w:rPr>
          <w:rFonts w:cs="Arial"/>
          <w:color w:val="333333"/>
        </w:rPr>
        <w:t xml:space="preserve"> validity in terms of</w:t>
      </w:r>
      <w:r w:rsidR="00B55F2B">
        <w:rPr>
          <w:rFonts w:cs="Arial"/>
          <w:color w:val="333333"/>
        </w:rPr>
        <w:t xml:space="preserve"> obtaining </w:t>
      </w:r>
      <w:r w:rsidR="00175A57" w:rsidRPr="00E84CFA">
        <w:rPr>
          <w:rFonts w:cs="Arial"/>
          <w:color w:val="333333"/>
        </w:rPr>
        <w:t>information and indicators for effective decisio</w:t>
      </w:r>
      <w:r w:rsidR="00203F98" w:rsidRPr="00E84CFA">
        <w:rPr>
          <w:rFonts w:cs="Arial"/>
          <w:color w:val="333333"/>
        </w:rPr>
        <w:t>n</w:t>
      </w:r>
      <w:r w:rsidR="00AD2B44">
        <w:rPr>
          <w:rFonts w:cs="Arial"/>
          <w:color w:val="333333"/>
        </w:rPr>
        <w:t>-</w:t>
      </w:r>
      <w:r w:rsidR="00203F98" w:rsidRPr="00E84CFA">
        <w:rPr>
          <w:rFonts w:cs="Arial"/>
          <w:color w:val="333333"/>
        </w:rPr>
        <w:t>makin</w:t>
      </w:r>
      <w:r w:rsidR="00B55F2B">
        <w:rPr>
          <w:rFonts w:cs="Arial"/>
          <w:color w:val="333333"/>
        </w:rPr>
        <w:t xml:space="preserve">g among </w:t>
      </w:r>
      <w:r w:rsidR="00B55F2B" w:rsidRPr="00E84CFA">
        <w:rPr>
          <w:rFonts w:cs="Arial"/>
          <w:color w:val="333333"/>
        </w:rPr>
        <w:t>donors</w:t>
      </w:r>
      <w:r w:rsidR="00AD2B44">
        <w:rPr>
          <w:rFonts w:cs="Arial"/>
          <w:color w:val="333333"/>
        </w:rPr>
        <w:t>,</w:t>
      </w:r>
      <w:r w:rsidR="006F7100" w:rsidRPr="00E84CFA">
        <w:rPr>
          <w:rFonts w:cs="Arial"/>
          <w:color w:val="333333"/>
        </w:rPr>
        <w:t xml:space="preserve"> </w:t>
      </w:r>
      <w:r w:rsidR="00B55F2B">
        <w:rPr>
          <w:rFonts w:cs="Arial"/>
          <w:color w:val="333333"/>
        </w:rPr>
        <w:t>they rarely</w:t>
      </w:r>
      <w:r w:rsidR="006F7100" w:rsidRPr="00E84CFA">
        <w:rPr>
          <w:rFonts w:cs="Arial"/>
          <w:color w:val="333333"/>
        </w:rPr>
        <w:t xml:space="preserve"> </w:t>
      </w:r>
      <w:r w:rsidR="00B55F2B">
        <w:rPr>
          <w:rFonts w:cs="Arial"/>
          <w:color w:val="333333"/>
        </w:rPr>
        <w:t>bring sustainable and long-</w:t>
      </w:r>
      <w:r w:rsidR="006F7100" w:rsidRPr="00E84CFA">
        <w:rPr>
          <w:rFonts w:cs="Arial"/>
          <w:color w:val="333333"/>
        </w:rPr>
        <w:t>term change on the ground beyond a project cycle.</w:t>
      </w:r>
      <w:r w:rsidR="0056199E">
        <w:rPr>
          <w:rFonts w:cs="Arial"/>
          <w:color w:val="333333"/>
        </w:rPr>
        <w:t xml:space="preserve"> </w:t>
      </w:r>
      <w:r w:rsidR="00BD24BD" w:rsidRPr="005F5E34">
        <w:rPr>
          <w:rFonts w:cs="Arial"/>
          <w:color w:val="333333"/>
        </w:rPr>
        <w:t>There is more resistance and less ownership for externally driven</w:t>
      </w:r>
      <w:r w:rsidR="00BD24BD" w:rsidRPr="00BD24BD">
        <w:rPr>
          <w:rFonts w:cs="Arial"/>
          <w:color w:val="1F497D" w:themeColor="text2"/>
        </w:rPr>
        <w:t xml:space="preserve"> thi</w:t>
      </w:r>
      <w:r w:rsidR="00BD24BD" w:rsidRPr="00BD24BD">
        <w:rPr>
          <w:rFonts w:cs="Arial"/>
          <w:color w:val="333333"/>
        </w:rPr>
        <w:t>rd party governance assessments or monitoring.</w:t>
      </w:r>
      <w:r w:rsidR="00BD24BD" w:rsidRPr="00BD24BD">
        <w:rPr>
          <w:rFonts w:cs="Arial"/>
          <w:b/>
          <w:color w:val="333333"/>
        </w:rPr>
        <w:t xml:space="preserve"> </w:t>
      </w:r>
      <w:r w:rsidR="00BD24BD" w:rsidRPr="00BD24BD">
        <w:rPr>
          <w:rFonts w:cs="Arial"/>
          <w:color w:val="333333"/>
        </w:rPr>
        <w:t>In most countries</w:t>
      </w:r>
      <w:r w:rsidR="00BD24BD">
        <w:rPr>
          <w:rFonts w:cs="Arial"/>
          <w:color w:val="333333"/>
        </w:rPr>
        <w:t>,</w:t>
      </w:r>
      <w:r w:rsidR="00BD24BD" w:rsidRPr="00BD24BD">
        <w:rPr>
          <w:rFonts w:cs="Arial"/>
          <w:color w:val="333333"/>
        </w:rPr>
        <w:t xml:space="preserve"> both civil society and the government challenge exte</w:t>
      </w:r>
      <w:r w:rsidR="00AB1591">
        <w:rPr>
          <w:rFonts w:cs="Arial"/>
          <w:color w:val="333333"/>
        </w:rPr>
        <w:t xml:space="preserve">rnally driven assessments when </w:t>
      </w:r>
      <w:r w:rsidR="00BD24BD" w:rsidRPr="00BD24BD">
        <w:rPr>
          <w:rFonts w:cs="Arial"/>
          <w:color w:val="333333"/>
        </w:rPr>
        <w:t>done by technical experts, consulting orga</w:t>
      </w:r>
      <w:r w:rsidR="00AB1591">
        <w:rPr>
          <w:rFonts w:cs="Arial"/>
          <w:color w:val="333333"/>
        </w:rPr>
        <w:t xml:space="preserve">nisations or international NGOs. </w:t>
      </w:r>
      <w:r w:rsidR="00BD24BD" w:rsidRPr="00BD24BD">
        <w:rPr>
          <w:rFonts w:cs="Arial"/>
          <w:color w:val="333333"/>
        </w:rPr>
        <w:t xml:space="preserve"> In spite of the technical expertise, there is scant evidence that such assessments brought about any long term policy change or positive outcomes. </w:t>
      </w:r>
    </w:p>
    <w:p w:rsidR="00D251E1" w:rsidRPr="00326CB9" w:rsidRDefault="005F5E34" w:rsidP="002D07A5">
      <w:pPr>
        <w:pStyle w:val="ListParagraph"/>
        <w:numPr>
          <w:ilvl w:val="0"/>
          <w:numId w:val="10"/>
        </w:numPr>
        <w:spacing w:after="120"/>
        <w:ind w:left="0"/>
        <w:contextualSpacing w:val="0"/>
        <w:jc w:val="both"/>
        <w:rPr>
          <w:rFonts w:cs="Arial"/>
          <w:color w:val="333333"/>
        </w:rPr>
      </w:pPr>
      <w:r>
        <w:rPr>
          <w:rFonts w:cs="Arial"/>
          <w:b/>
          <w:color w:val="1F497D" w:themeColor="text2"/>
        </w:rPr>
        <w:t>PGAs-REDD+</w:t>
      </w:r>
      <w:r w:rsidR="00B866EF" w:rsidRPr="0000394E">
        <w:rPr>
          <w:rFonts w:cs="Arial"/>
          <w:b/>
          <w:color w:val="1F497D" w:themeColor="text2"/>
        </w:rPr>
        <w:t xml:space="preserve"> place</w:t>
      </w:r>
      <w:r w:rsidR="00AD2B44" w:rsidRPr="0000394E">
        <w:rPr>
          <w:rFonts w:cs="Arial"/>
          <w:b/>
          <w:color w:val="1F497D" w:themeColor="text2"/>
        </w:rPr>
        <w:t xml:space="preserve"> </w:t>
      </w:r>
      <w:r w:rsidR="00BD24BD" w:rsidRPr="0000394E">
        <w:rPr>
          <w:rFonts w:cs="Arial"/>
          <w:b/>
          <w:color w:val="1F497D" w:themeColor="text2"/>
        </w:rPr>
        <w:t xml:space="preserve">participation of civil society </w:t>
      </w:r>
      <w:r>
        <w:rPr>
          <w:rFonts w:cs="Arial"/>
          <w:b/>
          <w:color w:val="1F497D" w:themeColor="text2"/>
        </w:rPr>
        <w:t>at the cent</w:t>
      </w:r>
      <w:r w:rsidR="0000394E">
        <w:rPr>
          <w:rFonts w:cs="Arial"/>
          <w:b/>
          <w:color w:val="1F497D" w:themeColor="text2"/>
        </w:rPr>
        <w:t>r</w:t>
      </w:r>
      <w:r>
        <w:rPr>
          <w:rFonts w:cs="Arial"/>
          <w:b/>
          <w:color w:val="1F497D" w:themeColor="text2"/>
        </w:rPr>
        <w:t>e</w:t>
      </w:r>
      <w:r w:rsidR="0000394E">
        <w:rPr>
          <w:rFonts w:cs="Arial"/>
          <w:b/>
          <w:color w:val="1F497D" w:themeColor="text2"/>
        </w:rPr>
        <w:t>, rather than</w:t>
      </w:r>
      <w:r w:rsidR="00AD2B44" w:rsidRPr="0000394E">
        <w:rPr>
          <w:rFonts w:cs="Arial"/>
          <w:b/>
          <w:color w:val="1F497D" w:themeColor="text2"/>
        </w:rPr>
        <w:t xml:space="preserve"> the periphery, of governance assessments.</w:t>
      </w:r>
      <w:r w:rsidR="00AD2B44" w:rsidRPr="00326CB9">
        <w:rPr>
          <w:rFonts w:cs="Arial"/>
          <w:color w:val="333333"/>
        </w:rPr>
        <w:t xml:space="preserve"> In a </w:t>
      </w:r>
      <w:r>
        <w:rPr>
          <w:rFonts w:cs="Arial"/>
          <w:color w:val="333333"/>
        </w:rPr>
        <w:t>PGA</w:t>
      </w:r>
      <w:r w:rsidR="00AD2B44" w:rsidRPr="00326CB9">
        <w:rPr>
          <w:rFonts w:cs="Arial"/>
          <w:color w:val="333333"/>
        </w:rPr>
        <w:t xml:space="preserve">, </w:t>
      </w:r>
      <w:r w:rsidR="00F96447" w:rsidRPr="00326CB9">
        <w:rPr>
          <w:rFonts w:cs="Arial"/>
          <w:color w:val="333333"/>
        </w:rPr>
        <w:t>the process is not designed and conducted by external technical consultants</w:t>
      </w:r>
      <w:r w:rsidR="003258CA">
        <w:rPr>
          <w:rFonts w:cs="Arial"/>
          <w:color w:val="333333"/>
        </w:rPr>
        <w:t xml:space="preserve"> – with whom the participation</w:t>
      </w:r>
      <w:r w:rsidR="00F96447" w:rsidRPr="00326CB9">
        <w:rPr>
          <w:rFonts w:cs="Arial"/>
          <w:color w:val="333333"/>
        </w:rPr>
        <w:t xml:space="preserve"> of civil society is </w:t>
      </w:r>
      <w:r w:rsidR="00AD2B44" w:rsidRPr="00326CB9">
        <w:rPr>
          <w:rFonts w:cs="Arial"/>
          <w:color w:val="333333"/>
        </w:rPr>
        <w:t>sometimes</w:t>
      </w:r>
      <w:r w:rsidR="00F96447" w:rsidRPr="00326CB9">
        <w:rPr>
          <w:rFonts w:cs="Arial"/>
          <w:color w:val="333333"/>
        </w:rPr>
        <w:t xml:space="preserve"> more of instrumental value rather than transformative value. </w:t>
      </w:r>
    </w:p>
    <w:p w:rsidR="0036708B" w:rsidRPr="00DA049B" w:rsidRDefault="00DA049B" w:rsidP="003E2113">
      <w:pPr>
        <w:pStyle w:val="ListParagraph"/>
        <w:numPr>
          <w:ilvl w:val="0"/>
          <w:numId w:val="7"/>
        </w:numPr>
        <w:spacing w:after="100" w:afterAutospacing="1"/>
        <w:ind w:left="0"/>
        <w:contextualSpacing w:val="0"/>
        <w:jc w:val="both"/>
        <w:rPr>
          <w:rFonts w:cs="Arial"/>
          <w:color w:val="333333"/>
        </w:rPr>
      </w:pPr>
      <w:r w:rsidRPr="00DA049B">
        <w:rPr>
          <w:rFonts w:cs="Arial"/>
          <w:b/>
          <w:color w:val="1F497D" w:themeColor="text2"/>
        </w:rPr>
        <w:lastRenderedPageBreak/>
        <w:t xml:space="preserve">The </w:t>
      </w:r>
      <w:r w:rsidR="005F5E34">
        <w:rPr>
          <w:rFonts w:cs="Arial"/>
          <w:b/>
          <w:color w:val="1F497D" w:themeColor="text2"/>
        </w:rPr>
        <w:t>PGA</w:t>
      </w:r>
      <w:r w:rsidR="0036708B" w:rsidRPr="00DA049B">
        <w:rPr>
          <w:rFonts w:cs="Arial"/>
          <w:b/>
          <w:color w:val="1F497D" w:themeColor="text2"/>
        </w:rPr>
        <w:t xml:space="preserve"> </w:t>
      </w:r>
      <w:r w:rsidRPr="00DA049B">
        <w:rPr>
          <w:rFonts w:cs="Arial"/>
          <w:b/>
          <w:color w:val="1F497D" w:themeColor="text2"/>
        </w:rPr>
        <w:t>for REDD+ a</w:t>
      </w:r>
      <w:r w:rsidR="0036708B" w:rsidRPr="00DA049B">
        <w:rPr>
          <w:rFonts w:cs="Arial"/>
          <w:b/>
          <w:color w:val="1F497D" w:themeColor="text2"/>
        </w:rPr>
        <w:t xml:space="preserve">pproach </w:t>
      </w:r>
      <w:r w:rsidR="0000394E">
        <w:rPr>
          <w:rFonts w:cs="Arial"/>
          <w:b/>
          <w:color w:val="1F497D" w:themeColor="text2"/>
        </w:rPr>
        <w:t>is</w:t>
      </w:r>
      <w:r w:rsidR="0036708B" w:rsidRPr="00DA049B">
        <w:rPr>
          <w:rFonts w:cs="Arial"/>
          <w:b/>
          <w:color w:val="1F497D" w:themeColor="text2"/>
        </w:rPr>
        <w:t xml:space="preserve"> cost effective and efficient.</w:t>
      </w:r>
      <w:r w:rsidR="00121A11" w:rsidRPr="00DA049B">
        <w:rPr>
          <w:rFonts w:cs="Arial"/>
          <w:color w:val="333333"/>
        </w:rPr>
        <w:t xml:space="preserve"> </w:t>
      </w:r>
      <w:r w:rsidR="003C4A83">
        <w:rPr>
          <w:rFonts w:cs="Arial"/>
          <w:color w:val="333333"/>
        </w:rPr>
        <w:t xml:space="preserve">An </w:t>
      </w:r>
      <w:r w:rsidR="00121A11" w:rsidRPr="00DA049B">
        <w:rPr>
          <w:rFonts w:cs="Arial"/>
          <w:color w:val="333333"/>
        </w:rPr>
        <w:t>assessment design</w:t>
      </w:r>
      <w:r w:rsidR="003C4A83">
        <w:rPr>
          <w:rFonts w:cs="Arial"/>
          <w:color w:val="333333"/>
        </w:rPr>
        <w:t>ed</w:t>
      </w:r>
      <w:r w:rsidR="00121A11" w:rsidRPr="00DA049B">
        <w:rPr>
          <w:rFonts w:cs="Arial"/>
          <w:color w:val="333333"/>
        </w:rPr>
        <w:t xml:space="preserve"> on inputs from people with significant </w:t>
      </w:r>
      <w:r w:rsidR="00030795">
        <w:rPr>
          <w:rFonts w:cs="Arial"/>
          <w:color w:val="333333"/>
        </w:rPr>
        <w:t xml:space="preserve">local </w:t>
      </w:r>
      <w:r w:rsidR="00121A11" w:rsidRPr="00DA049B">
        <w:rPr>
          <w:rFonts w:cs="Arial"/>
          <w:color w:val="333333"/>
        </w:rPr>
        <w:t>experience and expertise</w:t>
      </w:r>
      <w:r w:rsidR="003C4A83">
        <w:rPr>
          <w:rFonts w:cs="Arial"/>
          <w:color w:val="333333"/>
        </w:rPr>
        <w:t xml:space="preserve"> is effective</w:t>
      </w:r>
      <w:r w:rsidR="00121A11" w:rsidRPr="00DA049B">
        <w:rPr>
          <w:rFonts w:cs="Arial"/>
          <w:color w:val="333333"/>
        </w:rPr>
        <w:t xml:space="preserve">. </w:t>
      </w:r>
      <w:r w:rsidR="00030795">
        <w:rPr>
          <w:rFonts w:cs="Arial"/>
          <w:color w:val="333333"/>
        </w:rPr>
        <w:t>A</w:t>
      </w:r>
      <w:r w:rsidR="00121A11" w:rsidRPr="00DA049B">
        <w:rPr>
          <w:rFonts w:cs="Arial"/>
          <w:color w:val="333333"/>
        </w:rPr>
        <w:t xml:space="preserve"> multi-stakeholder consultation and development of </w:t>
      </w:r>
      <w:r w:rsidR="00664C73" w:rsidRPr="00DA049B">
        <w:rPr>
          <w:rFonts w:cs="Arial"/>
          <w:color w:val="333333"/>
        </w:rPr>
        <w:t xml:space="preserve">relevant governance </w:t>
      </w:r>
      <w:r w:rsidR="00121A11" w:rsidRPr="00DA049B">
        <w:rPr>
          <w:rFonts w:cs="Arial"/>
          <w:color w:val="333333"/>
        </w:rPr>
        <w:t xml:space="preserve">indicators </w:t>
      </w:r>
      <w:r w:rsidR="00030795">
        <w:rPr>
          <w:rFonts w:cs="Arial"/>
          <w:color w:val="333333"/>
        </w:rPr>
        <w:t xml:space="preserve">can be </w:t>
      </w:r>
      <w:r w:rsidR="00D72203" w:rsidRPr="00DA049B">
        <w:rPr>
          <w:rFonts w:cs="Arial"/>
          <w:color w:val="333333"/>
        </w:rPr>
        <w:t>relatively</w:t>
      </w:r>
      <w:r w:rsidR="00121A11" w:rsidRPr="00DA049B">
        <w:rPr>
          <w:rFonts w:cs="Arial"/>
          <w:color w:val="333333"/>
        </w:rPr>
        <w:t xml:space="preserve"> fast</w:t>
      </w:r>
      <w:r w:rsidR="003C4A83">
        <w:rPr>
          <w:rFonts w:cs="Arial"/>
          <w:color w:val="333333"/>
        </w:rPr>
        <w:t>: b</w:t>
      </w:r>
      <w:r w:rsidR="00121A11" w:rsidRPr="00DA049B">
        <w:rPr>
          <w:rFonts w:cs="Arial"/>
          <w:color w:val="333333"/>
        </w:rPr>
        <w:t>y us</w:t>
      </w:r>
      <w:r w:rsidR="008F398D">
        <w:rPr>
          <w:rFonts w:cs="Arial"/>
          <w:color w:val="333333"/>
        </w:rPr>
        <w:t xml:space="preserve">ing local resources and expertise, high </w:t>
      </w:r>
      <w:r w:rsidR="00121A11" w:rsidRPr="00DA049B">
        <w:rPr>
          <w:rFonts w:cs="Arial"/>
          <w:color w:val="333333"/>
        </w:rPr>
        <w:t>transaction cost</w:t>
      </w:r>
      <w:r w:rsidR="008F398D">
        <w:rPr>
          <w:rFonts w:cs="Arial"/>
          <w:color w:val="333333"/>
        </w:rPr>
        <w:t>s</w:t>
      </w:r>
      <w:r w:rsidR="00121A11" w:rsidRPr="00DA049B">
        <w:rPr>
          <w:rFonts w:cs="Arial"/>
          <w:color w:val="333333"/>
        </w:rPr>
        <w:t xml:space="preserve"> and </w:t>
      </w:r>
      <w:r w:rsidR="008F398D">
        <w:rPr>
          <w:rFonts w:cs="Arial"/>
          <w:color w:val="333333"/>
        </w:rPr>
        <w:t xml:space="preserve">long </w:t>
      </w:r>
      <w:r w:rsidR="00121A11" w:rsidRPr="00DA049B">
        <w:rPr>
          <w:rFonts w:cs="Arial"/>
          <w:color w:val="333333"/>
        </w:rPr>
        <w:t>gestation period</w:t>
      </w:r>
      <w:r w:rsidR="008F398D">
        <w:rPr>
          <w:rFonts w:cs="Arial"/>
          <w:color w:val="333333"/>
        </w:rPr>
        <w:t>s can be avoided</w:t>
      </w:r>
      <w:r w:rsidR="00121A11" w:rsidRPr="00DA049B">
        <w:rPr>
          <w:rFonts w:cs="Arial"/>
          <w:color w:val="333333"/>
        </w:rPr>
        <w:t xml:space="preserve">. </w:t>
      </w:r>
      <w:r w:rsidR="008F398D">
        <w:rPr>
          <w:rFonts w:cs="Arial"/>
          <w:color w:val="333333"/>
        </w:rPr>
        <w:t xml:space="preserve">With </w:t>
      </w:r>
      <w:r w:rsidR="00121A11" w:rsidRPr="00DA049B">
        <w:rPr>
          <w:rFonts w:cs="Arial"/>
          <w:color w:val="333333"/>
        </w:rPr>
        <w:t>more local and national ownership</w:t>
      </w:r>
      <w:r w:rsidR="008F398D">
        <w:rPr>
          <w:rFonts w:cs="Arial"/>
          <w:color w:val="333333"/>
        </w:rPr>
        <w:t xml:space="preserve">, </w:t>
      </w:r>
      <w:r w:rsidR="00121A11" w:rsidRPr="00DA049B">
        <w:rPr>
          <w:rFonts w:cs="Arial"/>
          <w:color w:val="333333"/>
        </w:rPr>
        <w:t xml:space="preserve">it </w:t>
      </w:r>
      <w:r w:rsidR="008F398D">
        <w:rPr>
          <w:rFonts w:cs="Arial"/>
          <w:color w:val="333333"/>
        </w:rPr>
        <w:t xml:space="preserve">will </w:t>
      </w:r>
      <w:r w:rsidR="003C4A83">
        <w:rPr>
          <w:rFonts w:cs="Arial"/>
          <w:color w:val="333333"/>
        </w:rPr>
        <w:t xml:space="preserve">also </w:t>
      </w:r>
      <w:r w:rsidR="00121A11" w:rsidRPr="00DA049B">
        <w:rPr>
          <w:rFonts w:cs="Arial"/>
          <w:color w:val="333333"/>
        </w:rPr>
        <w:t xml:space="preserve">be faster </w:t>
      </w:r>
      <w:r w:rsidR="003C4A83">
        <w:rPr>
          <w:rFonts w:cs="Arial"/>
          <w:color w:val="333333"/>
        </w:rPr>
        <w:t xml:space="preserve"> to </w:t>
      </w:r>
      <w:r w:rsidR="00121A11" w:rsidRPr="00DA049B">
        <w:rPr>
          <w:rFonts w:cs="Arial"/>
          <w:color w:val="333333"/>
        </w:rPr>
        <w:t xml:space="preserve"> eventually  implement</w:t>
      </w:r>
      <w:r w:rsidR="008F398D">
        <w:rPr>
          <w:rFonts w:cs="Arial"/>
          <w:color w:val="333333"/>
        </w:rPr>
        <w:t xml:space="preserve"> </w:t>
      </w:r>
      <w:r w:rsidR="003C4A83">
        <w:rPr>
          <w:rFonts w:cs="Arial"/>
          <w:color w:val="333333"/>
        </w:rPr>
        <w:t>the</w:t>
      </w:r>
      <w:r w:rsidR="008F398D">
        <w:rPr>
          <w:rFonts w:cs="Arial"/>
          <w:color w:val="333333"/>
        </w:rPr>
        <w:t xml:space="preserve"> </w:t>
      </w:r>
      <w:r w:rsidR="00121A11" w:rsidRPr="00DA049B">
        <w:rPr>
          <w:rFonts w:cs="Arial"/>
          <w:color w:val="333333"/>
        </w:rPr>
        <w:t>recommendation</w:t>
      </w:r>
      <w:r w:rsidR="008F398D">
        <w:rPr>
          <w:rFonts w:cs="Arial"/>
          <w:color w:val="333333"/>
        </w:rPr>
        <w:t>s</w:t>
      </w:r>
      <w:r w:rsidR="003C4A83">
        <w:rPr>
          <w:rFonts w:cs="Arial"/>
          <w:color w:val="333333"/>
        </w:rPr>
        <w:t xml:space="preserve"> from the assessment</w:t>
      </w:r>
      <w:r w:rsidR="00121A11" w:rsidRPr="00DA049B">
        <w:rPr>
          <w:rFonts w:cs="Arial"/>
          <w:color w:val="333333"/>
        </w:rPr>
        <w:t xml:space="preserve"> </w:t>
      </w:r>
    </w:p>
    <w:p w:rsidR="00175A57" w:rsidRDefault="008F398D" w:rsidP="00CC1C04">
      <w:pPr>
        <w:jc w:val="both"/>
        <w:rPr>
          <w:b/>
          <w:color w:val="1F497D" w:themeColor="text2"/>
        </w:rPr>
      </w:pPr>
      <w:r>
        <w:t xml:space="preserve">In short, </w:t>
      </w:r>
      <w:r w:rsidR="005F5E34">
        <w:rPr>
          <w:b/>
          <w:color w:val="1F497D" w:themeColor="text2"/>
        </w:rPr>
        <w:t>participatory</w:t>
      </w:r>
      <w:r w:rsidR="00175A57" w:rsidRPr="008F398D">
        <w:rPr>
          <w:b/>
          <w:color w:val="1F497D" w:themeColor="text2"/>
        </w:rPr>
        <w:t xml:space="preserve"> governance </w:t>
      </w:r>
      <w:r w:rsidRPr="008F398D">
        <w:rPr>
          <w:b/>
          <w:color w:val="1F497D" w:themeColor="text2"/>
        </w:rPr>
        <w:t>assessment</w:t>
      </w:r>
      <w:r w:rsidR="000721C5">
        <w:rPr>
          <w:b/>
          <w:color w:val="1F497D" w:themeColor="text2"/>
        </w:rPr>
        <w:t>s</w:t>
      </w:r>
      <w:r w:rsidRPr="008F398D">
        <w:rPr>
          <w:b/>
          <w:color w:val="1F497D" w:themeColor="text2"/>
        </w:rPr>
        <w:t xml:space="preserve"> for</w:t>
      </w:r>
      <w:r w:rsidR="00C15487" w:rsidRPr="008F398D">
        <w:rPr>
          <w:b/>
          <w:color w:val="1F497D" w:themeColor="text2"/>
        </w:rPr>
        <w:t xml:space="preserve"> REDD</w:t>
      </w:r>
      <w:r w:rsidR="000721C5">
        <w:rPr>
          <w:b/>
          <w:color w:val="1F497D" w:themeColor="text2"/>
        </w:rPr>
        <w:t>+ are</w:t>
      </w:r>
      <w:r w:rsidR="00175A57" w:rsidRPr="008F398D">
        <w:rPr>
          <w:b/>
          <w:color w:val="1F497D" w:themeColor="text2"/>
        </w:rPr>
        <w:t xml:space="preserve"> a </w:t>
      </w:r>
      <w:r w:rsidR="0028384C" w:rsidRPr="008F398D">
        <w:rPr>
          <w:b/>
          <w:color w:val="1F497D" w:themeColor="text2"/>
        </w:rPr>
        <w:t>practical and</w:t>
      </w:r>
      <w:r w:rsidR="00175A57" w:rsidRPr="008F398D">
        <w:rPr>
          <w:b/>
          <w:color w:val="1F497D" w:themeColor="text2"/>
        </w:rPr>
        <w:t xml:space="preserve"> political approach with an ethical and normative underpinning</w:t>
      </w:r>
      <w:r w:rsidRPr="008F398D">
        <w:rPr>
          <w:b/>
          <w:color w:val="1F497D" w:themeColor="text2"/>
        </w:rPr>
        <w:t xml:space="preserve">, which </w:t>
      </w:r>
      <w:r w:rsidR="00175A57" w:rsidRPr="008F398D">
        <w:rPr>
          <w:b/>
          <w:color w:val="1F497D" w:themeColor="text2"/>
        </w:rPr>
        <w:t xml:space="preserve">may involve the </w:t>
      </w:r>
      <w:r w:rsidR="00C15487" w:rsidRPr="008F398D">
        <w:rPr>
          <w:b/>
          <w:color w:val="1F497D" w:themeColor="text2"/>
        </w:rPr>
        <w:t xml:space="preserve">use of </w:t>
      </w:r>
      <w:r w:rsidRPr="008F398D">
        <w:rPr>
          <w:b/>
          <w:color w:val="1F497D" w:themeColor="text2"/>
        </w:rPr>
        <w:t xml:space="preserve">several and varied </w:t>
      </w:r>
      <w:r w:rsidR="00C15487" w:rsidRPr="008F398D">
        <w:rPr>
          <w:b/>
          <w:color w:val="1F497D" w:themeColor="text2"/>
        </w:rPr>
        <w:t xml:space="preserve">tools </w:t>
      </w:r>
      <w:r w:rsidRPr="008F398D">
        <w:rPr>
          <w:b/>
          <w:color w:val="1F497D" w:themeColor="text2"/>
        </w:rPr>
        <w:t xml:space="preserve">and methods </w:t>
      </w:r>
      <w:r w:rsidR="00C15487" w:rsidRPr="008F398D">
        <w:rPr>
          <w:b/>
          <w:color w:val="1F497D" w:themeColor="text2"/>
        </w:rPr>
        <w:t>of assessment</w:t>
      </w:r>
      <w:r w:rsidRPr="008F398D">
        <w:rPr>
          <w:b/>
          <w:color w:val="1F497D" w:themeColor="text2"/>
        </w:rPr>
        <w:t xml:space="preserve"> adapted to</w:t>
      </w:r>
      <w:r w:rsidR="00C15487" w:rsidRPr="008F398D">
        <w:rPr>
          <w:b/>
          <w:color w:val="1F497D" w:themeColor="text2"/>
        </w:rPr>
        <w:t xml:space="preserve"> different context</w:t>
      </w:r>
      <w:r w:rsidR="0028384C" w:rsidRPr="008F398D">
        <w:rPr>
          <w:b/>
          <w:color w:val="1F497D" w:themeColor="text2"/>
        </w:rPr>
        <w:t>s</w:t>
      </w:r>
      <w:r w:rsidR="00C15487" w:rsidRPr="008F398D">
        <w:rPr>
          <w:b/>
          <w:color w:val="1F497D" w:themeColor="text2"/>
        </w:rPr>
        <w:t xml:space="preserve">. </w:t>
      </w:r>
    </w:p>
    <w:p w:rsidR="003E2113" w:rsidRDefault="003E2113" w:rsidP="00CC1C04">
      <w:pPr>
        <w:jc w:val="both"/>
        <w:rPr>
          <w:b/>
          <w:color w:val="1F497D" w:themeColor="text2"/>
        </w:rPr>
      </w:pPr>
    </w:p>
    <w:p w:rsidR="003E2113" w:rsidRDefault="003E2113" w:rsidP="00CC1C04">
      <w:pPr>
        <w:jc w:val="both"/>
        <w:rPr>
          <w:b/>
          <w:color w:val="1F497D" w:themeColor="text2"/>
        </w:rPr>
      </w:pPr>
    </w:p>
    <w:p w:rsidR="003E2113" w:rsidRPr="008F398D" w:rsidRDefault="003E2113" w:rsidP="00CC1C04">
      <w:pPr>
        <w:jc w:val="both"/>
        <w:rPr>
          <w:rFonts w:cs="Arial"/>
          <w:b/>
          <w:color w:val="1F497D" w:themeColor="text2"/>
        </w:rPr>
      </w:pPr>
    </w:p>
    <w:sectPr w:rsidR="003E2113" w:rsidRPr="008F398D" w:rsidSect="00613B57">
      <w:pgSz w:w="11906" w:h="16838"/>
      <w:pgMar w:top="1440" w:right="1440" w:bottom="1440" w:left="1440" w:header="720" w:footer="720" w:gutter="0"/>
      <w:pgNumType w:start="2"/>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AA3" w:rsidRDefault="00CD5AA3" w:rsidP="00CE7D7C">
      <w:pPr>
        <w:spacing w:after="0" w:line="240" w:lineRule="auto"/>
      </w:pPr>
      <w:r>
        <w:separator/>
      </w:r>
    </w:p>
  </w:endnote>
  <w:endnote w:type="continuationSeparator" w:id="1">
    <w:p w:rsidR="00CD5AA3" w:rsidRDefault="00CD5AA3" w:rsidP="00CE7D7C">
      <w:pPr>
        <w:spacing w:after="0" w:line="240" w:lineRule="auto"/>
      </w:pPr>
      <w:r>
        <w:continuationSeparator/>
      </w:r>
    </w:p>
  </w:endnote>
  <w:endnote w:id="2">
    <w:p w:rsidR="00215270" w:rsidRDefault="00215270" w:rsidP="00215270">
      <w:pPr>
        <w:pStyle w:val="EndnoteText"/>
        <w:jc w:val="both"/>
        <w:rPr>
          <w:b/>
          <w:sz w:val="24"/>
          <w:szCs w:val="24"/>
        </w:rPr>
      </w:pPr>
      <w:r w:rsidRPr="003F7D71">
        <w:rPr>
          <w:b/>
          <w:sz w:val="24"/>
          <w:szCs w:val="24"/>
        </w:rPr>
        <w:t>End notes</w:t>
      </w:r>
    </w:p>
    <w:p w:rsidR="00215270" w:rsidRPr="00215270" w:rsidRDefault="00215270">
      <w:pPr>
        <w:pStyle w:val="EndnoteText"/>
        <w:rPr>
          <w:lang w:val="en-US"/>
        </w:rPr>
      </w:pPr>
      <w:r>
        <w:rPr>
          <w:rStyle w:val="EndnoteReference"/>
        </w:rPr>
        <w:endnoteRef/>
      </w:r>
      <w:r>
        <w:t xml:space="preserve"> </w:t>
      </w:r>
      <w:r>
        <w:rPr>
          <w:lang w:val="en-US"/>
        </w:rPr>
        <w:t xml:space="preserve">Source: </w:t>
      </w:r>
      <w:hyperlink r:id="rId1" w:history="1">
        <w:r w:rsidRPr="00ED3828">
          <w:rPr>
            <w:rStyle w:val="Hyperlink"/>
            <w:lang w:val="en-US"/>
          </w:rPr>
          <w:t>www.ecosystemsclimate.org</w:t>
        </w:r>
      </w:hyperlink>
      <w:r>
        <w:rPr>
          <w:lang w:val="en-US"/>
        </w:rPr>
        <w:t xml:space="preserve"> </w:t>
      </w:r>
    </w:p>
  </w:endnote>
  <w:endnote w:id="3">
    <w:p w:rsidR="001E7106" w:rsidRPr="001E7106" w:rsidRDefault="001E7106">
      <w:pPr>
        <w:pStyle w:val="EndnoteText"/>
        <w:rPr>
          <w:lang w:val="en-US"/>
        </w:rPr>
      </w:pPr>
      <w:r>
        <w:rPr>
          <w:rStyle w:val="EndnoteReference"/>
        </w:rPr>
        <w:endnoteRef/>
      </w:r>
      <w:r>
        <w:t xml:space="preserve"> </w:t>
      </w:r>
      <w:r>
        <w:rPr>
          <w:lang w:val="en-US"/>
        </w:rPr>
        <w:t xml:space="preserve">UN-REDD / Chatham House </w:t>
      </w:r>
      <w:r w:rsidR="003258CA">
        <w:rPr>
          <w:lang w:val="en-US"/>
        </w:rPr>
        <w:t>: report of the Expert W</w:t>
      </w:r>
      <w:r>
        <w:rPr>
          <w:lang w:val="en-US"/>
        </w:rPr>
        <w:t>orkshop on monitoring governance</w:t>
      </w:r>
      <w:r w:rsidR="003258CA">
        <w:rPr>
          <w:lang w:val="en-US"/>
        </w:rPr>
        <w:t xml:space="preserve"> safeguards </w:t>
      </w:r>
      <w:r>
        <w:rPr>
          <w:lang w:val="en-US"/>
        </w:rPr>
        <w:t xml:space="preserve"> for REDD+, 2010</w:t>
      </w:r>
    </w:p>
  </w:endnote>
  <w:endnote w:id="4">
    <w:p w:rsidR="00757780" w:rsidRPr="00B86F17" w:rsidRDefault="00757780" w:rsidP="00B86F17">
      <w:pPr>
        <w:pStyle w:val="EndnoteText"/>
        <w:jc w:val="both"/>
        <w:rPr>
          <w:lang w:val="en-US"/>
        </w:rPr>
      </w:pPr>
      <w:r w:rsidRPr="00B86F17">
        <w:rPr>
          <w:rStyle w:val="EndnoteReference"/>
        </w:rPr>
        <w:endnoteRef/>
      </w:r>
      <w:r w:rsidRPr="00B86F17">
        <w:t xml:space="preserve"> </w:t>
      </w:r>
      <w:r>
        <w:rPr>
          <w:lang w:val="en-US"/>
        </w:rPr>
        <w:t xml:space="preserve">See William Easterly, </w:t>
      </w:r>
      <w:r w:rsidRPr="00B86F17">
        <w:rPr>
          <w:i/>
          <w:lang w:val="en-US"/>
        </w:rPr>
        <w:t>The White Man’s Burden</w:t>
      </w:r>
      <w:r>
        <w:rPr>
          <w:lang w:val="en-US"/>
        </w:rPr>
        <w:t xml:space="preserve"> </w:t>
      </w:r>
      <w:r w:rsidRPr="00B86F17">
        <w:rPr>
          <w:lang w:val="en-US"/>
        </w:rPr>
        <w:t>(2006)</w:t>
      </w:r>
    </w:p>
  </w:endnote>
  <w:endnote w:id="5">
    <w:p w:rsidR="004A6A50" w:rsidRPr="00B86F17" w:rsidRDefault="004A6A50" w:rsidP="004A6A50">
      <w:pPr>
        <w:pStyle w:val="EndnoteText"/>
        <w:jc w:val="both"/>
        <w:rPr>
          <w:lang w:val="en-US"/>
        </w:rPr>
      </w:pPr>
      <w:r w:rsidRPr="00B86F17">
        <w:rPr>
          <w:rStyle w:val="EndnoteReference"/>
        </w:rPr>
        <w:endnoteRef/>
      </w:r>
      <w:r w:rsidRPr="00B86F17">
        <w:t xml:space="preserve"> </w:t>
      </w:r>
      <w:r w:rsidRPr="00B86F17">
        <w:rPr>
          <w:lang w:val="en-US"/>
        </w:rPr>
        <w:t>For more information on governance assessments as well as examples of co</w:t>
      </w:r>
      <w:r w:rsidR="003E2113">
        <w:rPr>
          <w:lang w:val="en-US"/>
        </w:rPr>
        <w:t>untries undergoing a nationally-</w:t>
      </w:r>
      <w:r w:rsidRPr="00B86F17">
        <w:rPr>
          <w:lang w:val="en-US"/>
        </w:rPr>
        <w:t xml:space="preserve">led governance assessment see </w:t>
      </w:r>
      <w:hyperlink r:id="rId2" w:history="1">
        <w:r w:rsidRPr="00ED3828">
          <w:rPr>
            <w:rStyle w:val="Hyperlink"/>
            <w:lang w:val="en-US"/>
          </w:rPr>
          <w:t>www.gaportal.org</w:t>
        </w:r>
      </w:hyperlink>
      <w:r>
        <w:rPr>
          <w:lang w:val="en-US"/>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TFFFFF900C08BE5C0t00">
    <w:panose1 w:val="00000000000000000000"/>
    <w:charset w:val="00"/>
    <w:family w:val="auto"/>
    <w:notTrueType/>
    <w:pitch w:val="default"/>
    <w:sig w:usb0="00000003" w:usb1="00000000" w:usb2="00000000" w:usb3="00000000" w:csb0="00000001" w:csb1="00000000"/>
  </w:font>
  <w:font w:name="VistaSans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80" w:rsidRPr="005736BF" w:rsidRDefault="00757780" w:rsidP="00B86F17">
    <w:pPr>
      <w:spacing w:after="0"/>
      <w:ind w:right="360"/>
      <w:jc w:val="right"/>
      <w:rPr>
        <w:color w:val="0070C0"/>
      </w:rPr>
    </w:pPr>
  </w:p>
  <w:p w:rsidR="00757780" w:rsidRDefault="007577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80" w:rsidRDefault="00757780" w:rsidP="00B86F17">
    <w:pPr>
      <w:pStyle w:val="Footer"/>
      <w:ind w:right="360"/>
      <w:rPr>
        <w:rFonts w:ascii="Tahoma" w:hAnsi="Tahoma" w:cs="Tahoma"/>
        <w:color w:val="0000FF"/>
        <w:sz w:val="18"/>
        <w:szCs w:val="18"/>
        <w:lang w:val="en-GB"/>
      </w:rPr>
    </w:pPr>
  </w:p>
  <w:p w:rsidR="00757780" w:rsidRDefault="00757780">
    <w:pPr>
      <w:pStyle w:val="Footer"/>
      <w:rPr>
        <w:rFonts w:ascii="Tahoma" w:hAnsi="Tahoma" w:cs="Tahoma"/>
        <w:color w:val="0000FF"/>
        <w:sz w:val="18"/>
        <w:szCs w:val="18"/>
        <w:lang w:val="en-GB"/>
      </w:rPr>
    </w:pPr>
  </w:p>
  <w:p w:rsidR="00757780" w:rsidRPr="00BB4C4A" w:rsidRDefault="009414BE" w:rsidP="00FE3DEE">
    <w:pPr>
      <w:pStyle w:val="Footer"/>
      <w:ind w:left="2602" w:right="-143" w:firstLine="3158"/>
      <w:jc w:val="both"/>
      <w:rPr>
        <w:sz w:val="16"/>
        <w:szCs w:val="16"/>
      </w:rPr>
    </w:pPr>
    <w:r w:rsidRPr="009414BE">
      <w:rPr>
        <w:noProof/>
        <w:sz w:val="16"/>
        <w:szCs w:val="16"/>
        <w:lang w:val="en-GB" w:eastAsia="en-GB"/>
      </w:rPr>
      <w:pict>
        <v:shapetype id="_x0000_t202" coordsize="21600,21600" o:spt="202" path="m,l,21600r21600,l21600,xe">
          <v:stroke joinstyle="miter"/>
          <v:path gradientshapeok="t" o:connecttype="rect"/>
        </v:shapetype>
        <v:shape id="_x0000_s2058" type="#_x0000_t202" style="position:absolute;left:0;text-align:left;margin-left:524.4pt;margin-top:795pt;width:70.9pt;height:13.5pt;z-index:251666432;mso-position-horizontal-relative:page;mso-position-vertical-relative:page;v-text-anchor:middle" o:allowincell="f" fillcolor="blue" stroked="f">
          <v:textbox style="mso-next-textbox:#_x0000_s2058" inset=",0,,0">
            <w:txbxContent>
              <w:p w:rsidR="00757780" w:rsidRPr="00AB3967" w:rsidRDefault="00757780" w:rsidP="00B86F17"/>
            </w:txbxContent>
          </v:textbox>
          <w10:wrap anchorx="page" anchory="margin"/>
        </v:shape>
      </w:pict>
    </w:r>
    <w:r>
      <w:rPr>
        <w:noProof/>
        <w:sz w:val="16"/>
        <w:szCs w:val="16"/>
        <w:lang w:val="en-US"/>
      </w:rPr>
      <w:pict>
        <v:group id="_x0000_s2059" style="position:absolute;left:0;text-align:left;margin-left:524.4pt;margin-top:842.6pt;width:7.2pt;height:25.25pt;z-index:251667456;mso-position-horizontal-relative:page;mso-position-vertical-relative:page" coordorigin="2820,4935" coordsize="120,1320">
          <v:shapetype id="_x0000_t32" coordsize="21600,21600" o:spt="32" o:oned="t" path="m,l21600,21600e" filled="f">
            <v:path arrowok="t" fillok="f" o:connecttype="none"/>
            <o:lock v:ext="edit" shapetype="t"/>
          </v:shapetype>
          <v:shape id="_x0000_s2060" type="#_x0000_t32" style="position:absolute;left:2820;top:4935;width:0;height:1320" o:connectortype="straight" strokecolor="#4f81bd"/>
          <v:shape id="_x0000_s2061" type="#_x0000_t32" style="position:absolute;left:2880;top:4935;width:0;height:1320" o:connectortype="straight" strokecolor="#4f81bd"/>
          <v:shape id="_x0000_s2062" type="#_x0000_t32" style="position:absolute;left:2940;top:4935;width:0;height:1320" o:connectortype="straight" strokecolor="#4f81bd"/>
          <w10:wrap anchorx="page" anchory="page"/>
        </v:group>
      </w:pict>
    </w:r>
    <w:r w:rsidR="00757780">
      <w:rPr>
        <w:rFonts w:ascii="Tahoma" w:hAnsi="Tahoma" w:cs="Tahoma"/>
        <w:color w:val="0000FF"/>
        <w:sz w:val="16"/>
        <w:szCs w:val="16"/>
        <w:lang w:val="en-GB"/>
      </w:rPr>
      <w:t>United Nations Development Programme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80" w:rsidRDefault="00757780" w:rsidP="00B86F17">
    <w:pPr>
      <w:pStyle w:val="Footer"/>
      <w:framePr w:wrap="around" w:vAnchor="text" w:hAnchor="margin" w:xAlign="right" w:y="1"/>
      <w:rPr>
        <w:rStyle w:val="PageNumber"/>
      </w:rPr>
    </w:pPr>
  </w:p>
  <w:p w:rsidR="00757780" w:rsidRDefault="00757780" w:rsidP="00B86F1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AA3" w:rsidRDefault="00CD5AA3" w:rsidP="00CE7D7C">
      <w:pPr>
        <w:spacing w:after="0" w:line="240" w:lineRule="auto"/>
      </w:pPr>
      <w:r>
        <w:separator/>
      </w:r>
    </w:p>
  </w:footnote>
  <w:footnote w:type="continuationSeparator" w:id="1">
    <w:p w:rsidR="00CD5AA3" w:rsidRDefault="00CD5AA3" w:rsidP="00CE7D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80" w:rsidRDefault="009414BE" w:rsidP="00B86F17">
    <w:pPr>
      <w:pStyle w:val="Header"/>
      <w:ind w:left="-709"/>
    </w:pPr>
    <w:r>
      <w:rPr>
        <w:noProof/>
        <w:lang w:val="en-US"/>
      </w:rPr>
      <w:pict>
        <v:shapetype id="_x0000_t202" coordsize="21600,21600" o:spt="202" path="m,l,21600r21600,l21600,xe">
          <v:stroke joinstyle="miter"/>
          <v:path gradientshapeok="t" o:connecttype="rect"/>
        </v:shapetype>
        <v:shape id="_x0000_s2049" type="#_x0000_t202" style="position:absolute;left:0;text-align:left;margin-left:-48.5pt;margin-top:31.15pt;width:498.6pt;height:14.65pt;z-index:251660288;mso-position-horizontal-relative:margin;mso-position-vertical-relative:page;v-text-anchor:middle" o:allowincell="f" filled="f" stroked="f">
          <v:textbox style="mso-next-textbox:#_x0000_s2049" inset=",0,,0">
            <w:txbxContent>
              <w:p w:rsidR="00757780" w:rsidRPr="00613B57" w:rsidRDefault="00757780" w:rsidP="00613B57">
                <w:pPr>
                  <w:rPr>
                    <w:szCs w:val="16"/>
                  </w:rPr>
                </w:pPr>
              </w:p>
            </w:txbxContent>
          </v:textbox>
          <w10:wrap anchorx="margin" anchory="margin"/>
        </v:shape>
      </w:pict>
    </w:r>
    <w:r>
      <w:rPr>
        <w:noProof/>
        <w:lang w:val="en-US"/>
      </w:rPr>
      <w:pict>
        <v:shape id="_x0000_s2050" type="#_x0000_t202" style="position:absolute;left:0;text-align:left;margin-left:0;margin-top:31.15pt;width:70.9pt;height:14.65pt;z-index:251661312;mso-position-horizontal-relative:page;mso-position-vertical-relative:page;v-text-anchor:middle" o:allowincell="f" fillcolor="blue" stroked="f">
          <v:textbox style="mso-next-textbox:#_x0000_s2050" inset=",0,,0">
            <w:txbxContent>
              <w:p w:rsidR="00757780" w:rsidRPr="009A0E3E" w:rsidRDefault="009414BE">
                <w:pPr>
                  <w:spacing w:after="0" w:line="240" w:lineRule="auto"/>
                  <w:jc w:val="right"/>
                  <w:rPr>
                    <w:rFonts w:cs="Tahoma"/>
                    <w:color w:val="FFFFFF"/>
                  </w:rPr>
                </w:pPr>
                <w:fldSimple w:instr=" PAGE   \* MERGEFORMAT ">
                  <w:r w:rsidR="005F5E34" w:rsidRPr="005F5E34">
                    <w:rPr>
                      <w:rFonts w:cs="Tahoma"/>
                      <w:noProof/>
                      <w:color w:val="FFFFFF"/>
                    </w:rPr>
                    <w:t>4</w:t>
                  </w:r>
                </w:fldSimple>
              </w:p>
            </w:txbxContent>
          </v:textbox>
          <w10:wrap anchorx="page" anchory="margin"/>
        </v:shape>
      </w:pict>
    </w:r>
  </w:p>
  <w:p w:rsidR="00757780" w:rsidRDefault="00757780">
    <w:pPr>
      <w:pStyle w:val="Header"/>
    </w:pPr>
  </w:p>
  <w:p w:rsidR="00757780" w:rsidRDefault="007577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80" w:rsidRDefault="009414BE">
    <w:pPr>
      <w:pStyle w:val="Header"/>
    </w:pPr>
    <w:r>
      <w:rPr>
        <w:noProof/>
        <w:lang w:val="en-US"/>
      </w:rPr>
      <w:pict>
        <v:shapetype id="_x0000_t202" coordsize="21600,21600" o:spt="202" path="m,l,21600r21600,l21600,xe">
          <v:stroke joinstyle="miter"/>
          <v:path gradientshapeok="t" o:connecttype="rect"/>
        </v:shapetype>
        <v:shape id="_x0000_s2051" type="#_x0000_t202" style="position:absolute;margin-left:-5.5pt;margin-top:29.7pt;width:459.4pt;height:24.35pt;z-index:251662336;mso-position-horizontal-relative:margin;mso-position-vertical-relative:page;v-text-anchor:middle" filled="f" stroked="f">
          <v:textbox style="mso-next-textbox:#_x0000_s2051" inset=",0,,0">
            <w:txbxContent>
              <w:p w:rsidR="00757780" w:rsidRPr="00B269E6" w:rsidRDefault="00757780" w:rsidP="00B86F17">
                <w:pPr>
                  <w:spacing w:after="0"/>
                  <w:jc w:val="right"/>
                  <w:rPr>
                    <w:rFonts w:ascii="Tahoma" w:hAnsi="Tahoma" w:cs="Tahoma"/>
                    <w:color w:val="0000FF"/>
                    <w:sz w:val="16"/>
                    <w:szCs w:val="32"/>
                  </w:rPr>
                </w:pPr>
                <w:r w:rsidRPr="00B269E6">
                  <w:rPr>
                    <w:rFonts w:ascii="Tahoma" w:hAnsi="Tahoma" w:cs="Tahoma"/>
                    <w:color w:val="0000FF"/>
                    <w:sz w:val="16"/>
                    <w:szCs w:val="32"/>
                  </w:rPr>
                  <w:t>Democratic Governance Assessments</w:t>
                </w:r>
                <w:r>
                  <w:rPr>
                    <w:rFonts w:ascii="Tahoma" w:hAnsi="Tahoma" w:cs="Tahoma"/>
                    <w:color w:val="0000FF"/>
                    <w:sz w:val="16"/>
                    <w:szCs w:val="32"/>
                  </w:rPr>
                  <w:t xml:space="preserve"> for REDD+</w:t>
                </w:r>
              </w:p>
            </w:txbxContent>
          </v:textbox>
          <w10:wrap anchorx="margin" anchory="margin"/>
        </v:shape>
      </w:pict>
    </w:r>
    <w:r>
      <w:rPr>
        <w:noProof/>
        <w:lang w:val="en-US"/>
      </w:rPr>
      <w:pict>
        <v:shape id="_x0000_s2052" type="#_x0000_t202" style="position:absolute;margin-left:525.9pt;margin-top:29.7pt;width:70.9pt;height:13.45pt;z-index:251663360;mso-position-horizontal-relative:page;mso-position-vertical-relative:page;v-text-anchor:middle" fillcolor="blue" stroked="f">
          <v:textbox style="mso-next-textbox:#_x0000_s2052;mso-fit-shape-to-text:t" inset=",0,,0">
            <w:txbxContent>
              <w:p w:rsidR="00757780" w:rsidRPr="00C470F5" w:rsidRDefault="009414BE">
                <w:pPr>
                  <w:spacing w:after="0" w:line="240" w:lineRule="auto"/>
                  <w:rPr>
                    <w:color w:val="FFFFFF"/>
                  </w:rPr>
                </w:pPr>
                <w:fldSimple w:instr=" PAGE   \* MERGEFORMAT ">
                  <w:r w:rsidR="005F5E34" w:rsidRPr="005F5E34">
                    <w:rPr>
                      <w:noProof/>
                      <w:color w:val="FFFFFF"/>
                    </w:rPr>
                    <w:t>5</w:t>
                  </w:r>
                </w:fldSimple>
              </w:p>
            </w:txbxContent>
          </v:textbox>
          <w10:wrap anchorx="page" anchory="margin"/>
        </v:shape>
      </w:pict>
    </w:r>
  </w:p>
  <w:p w:rsidR="00757780" w:rsidRDefault="00757780">
    <w:pPr>
      <w:pStyle w:val="Header"/>
    </w:pPr>
  </w:p>
  <w:p w:rsidR="00757780" w:rsidRDefault="007577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9735"/>
      <w:docPartObj>
        <w:docPartGallery w:val="Watermarks"/>
        <w:docPartUnique/>
      </w:docPartObj>
    </w:sdtPr>
    <w:sdtContent>
      <w:p w:rsidR="00757780" w:rsidRDefault="009414BE">
        <w:pPr>
          <w:pStyle w:val="Header"/>
        </w:pPr>
        <w:r w:rsidRPr="009414BE">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8" type="#_x0000_t136" style="position:absolute;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0265_"/>
      </v:shape>
    </w:pict>
  </w:numPicBullet>
  <w:abstractNum w:abstractNumId="0">
    <w:nsid w:val="006A03CA"/>
    <w:multiLevelType w:val="hybridMultilevel"/>
    <w:tmpl w:val="81B0D0DA"/>
    <w:lvl w:ilvl="0" w:tplc="D856EAF4">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776AB0"/>
    <w:multiLevelType w:val="hybridMultilevel"/>
    <w:tmpl w:val="01A42D90"/>
    <w:lvl w:ilvl="0" w:tplc="A7D42036">
      <w:start w:val="1"/>
      <w:numFmt w:val="bullet"/>
      <w:lvlText w:val=""/>
      <w:lvlJc w:val="left"/>
      <w:pPr>
        <w:ind w:left="720" w:hanging="360"/>
      </w:pPr>
      <w:rPr>
        <w:rFonts w:ascii="Symbol" w:hAnsi="Symbol" w:hint="default"/>
        <w:b/>
        <w:color w:val="1F497D" w:themeColor="text2"/>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A340C5"/>
    <w:multiLevelType w:val="hybridMultilevel"/>
    <w:tmpl w:val="06623898"/>
    <w:lvl w:ilvl="0" w:tplc="8EBA2250">
      <w:start w:val="1"/>
      <w:numFmt w:val="bullet"/>
      <w:lvlText w:val="•"/>
      <w:lvlJc w:val="left"/>
      <w:pPr>
        <w:tabs>
          <w:tab w:val="num" w:pos="720"/>
        </w:tabs>
        <w:ind w:left="720" w:hanging="360"/>
      </w:pPr>
      <w:rPr>
        <w:rFonts w:ascii="Arial" w:hAnsi="Arial" w:hint="default"/>
      </w:rPr>
    </w:lvl>
    <w:lvl w:ilvl="1" w:tplc="D3C02DB6" w:tentative="1">
      <w:start w:val="1"/>
      <w:numFmt w:val="bullet"/>
      <w:lvlText w:val="•"/>
      <w:lvlJc w:val="left"/>
      <w:pPr>
        <w:tabs>
          <w:tab w:val="num" w:pos="1440"/>
        </w:tabs>
        <w:ind w:left="1440" w:hanging="360"/>
      </w:pPr>
      <w:rPr>
        <w:rFonts w:ascii="Arial" w:hAnsi="Arial" w:hint="default"/>
      </w:rPr>
    </w:lvl>
    <w:lvl w:ilvl="2" w:tplc="FB4C354C" w:tentative="1">
      <w:start w:val="1"/>
      <w:numFmt w:val="bullet"/>
      <w:lvlText w:val="•"/>
      <w:lvlJc w:val="left"/>
      <w:pPr>
        <w:tabs>
          <w:tab w:val="num" w:pos="2160"/>
        </w:tabs>
        <w:ind w:left="2160" w:hanging="360"/>
      </w:pPr>
      <w:rPr>
        <w:rFonts w:ascii="Arial" w:hAnsi="Arial" w:hint="default"/>
      </w:rPr>
    </w:lvl>
    <w:lvl w:ilvl="3" w:tplc="179E8252" w:tentative="1">
      <w:start w:val="1"/>
      <w:numFmt w:val="bullet"/>
      <w:lvlText w:val="•"/>
      <w:lvlJc w:val="left"/>
      <w:pPr>
        <w:tabs>
          <w:tab w:val="num" w:pos="2880"/>
        </w:tabs>
        <w:ind w:left="2880" w:hanging="360"/>
      </w:pPr>
      <w:rPr>
        <w:rFonts w:ascii="Arial" w:hAnsi="Arial" w:hint="default"/>
      </w:rPr>
    </w:lvl>
    <w:lvl w:ilvl="4" w:tplc="04E41CAE" w:tentative="1">
      <w:start w:val="1"/>
      <w:numFmt w:val="bullet"/>
      <w:lvlText w:val="•"/>
      <w:lvlJc w:val="left"/>
      <w:pPr>
        <w:tabs>
          <w:tab w:val="num" w:pos="3600"/>
        </w:tabs>
        <w:ind w:left="3600" w:hanging="360"/>
      </w:pPr>
      <w:rPr>
        <w:rFonts w:ascii="Arial" w:hAnsi="Arial" w:hint="default"/>
      </w:rPr>
    </w:lvl>
    <w:lvl w:ilvl="5" w:tplc="BDB450CE" w:tentative="1">
      <w:start w:val="1"/>
      <w:numFmt w:val="bullet"/>
      <w:lvlText w:val="•"/>
      <w:lvlJc w:val="left"/>
      <w:pPr>
        <w:tabs>
          <w:tab w:val="num" w:pos="4320"/>
        </w:tabs>
        <w:ind w:left="4320" w:hanging="360"/>
      </w:pPr>
      <w:rPr>
        <w:rFonts w:ascii="Arial" w:hAnsi="Arial" w:hint="default"/>
      </w:rPr>
    </w:lvl>
    <w:lvl w:ilvl="6" w:tplc="7EF86078" w:tentative="1">
      <w:start w:val="1"/>
      <w:numFmt w:val="bullet"/>
      <w:lvlText w:val="•"/>
      <w:lvlJc w:val="left"/>
      <w:pPr>
        <w:tabs>
          <w:tab w:val="num" w:pos="5040"/>
        </w:tabs>
        <w:ind w:left="5040" w:hanging="360"/>
      </w:pPr>
      <w:rPr>
        <w:rFonts w:ascii="Arial" w:hAnsi="Arial" w:hint="default"/>
      </w:rPr>
    </w:lvl>
    <w:lvl w:ilvl="7" w:tplc="62C6BC74" w:tentative="1">
      <w:start w:val="1"/>
      <w:numFmt w:val="bullet"/>
      <w:lvlText w:val="•"/>
      <w:lvlJc w:val="left"/>
      <w:pPr>
        <w:tabs>
          <w:tab w:val="num" w:pos="5760"/>
        </w:tabs>
        <w:ind w:left="5760" w:hanging="360"/>
      </w:pPr>
      <w:rPr>
        <w:rFonts w:ascii="Arial" w:hAnsi="Arial" w:hint="default"/>
      </w:rPr>
    </w:lvl>
    <w:lvl w:ilvl="8" w:tplc="63869D3C" w:tentative="1">
      <w:start w:val="1"/>
      <w:numFmt w:val="bullet"/>
      <w:lvlText w:val="•"/>
      <w:lvlJc w:val="left"/>
      <w:pPr>
        <w:tabs>
          <w:tab w:val="num" w:pos="6480"/>
        </w:tabs>
        <w:ind w:left="6480" w:hanging="360"/>
      </w:pPr>
      <w:rPr>
        <w:rFonts w:ascii="Arial" w:hAnsi="Arial" w:hint="default"/>
      </w:rPr>
    </w:lvl>
  </w:abstractNum>
  <w:abstractNum w:abstractNumId="3">
    <w:nsid w:val="098C02F2"/>
    <w:multiLevelType w:val="hybridMultilevel"/>
    <w:tmpl w:val="8A2C354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7C2F88"/>
    <w:multiLevelType w:val="hybridMultilevel"/>
    <w:tmpl w:val="6AEEC08A"/>
    <w:lvl w:ilvl="0" w:tplc="C3309F46">
      <w:start w:val="1"/>
      <w:numFmt w:val="bullet"/>
      <w:lvlText w:val=""/>
      <w:lvlPicBulletId w:val="0"/>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E9C5849"/>
    <w:multiLevelType w:val="hybridMultilevel"/>
    <w:tmpl w:val="9956FD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7A31A45"/>
    <w:multiLevelType w:val="hybridMultilevel"/>
    <w:tmpl w:val="FBE667D4"/>
    <w:lvl w:ilvl="0" w:tplc="C3309F46">
      <w:start w:val="1"/>
      <w:numFmt w:val="bullet"/>
      <w:lvlText w:val=""/>
      <w:lvlPicBulletId w:val="0"/>
      <w:lvlJc w:val="left"/>
      <w:pPr>
        <w:tabs>
          <w:tab w:val="num" w:pos="765"/>
        </w:tabs>
        <w:ind w:left="765" w:hanging="360"/>
      </w:pPr>
      <w:rPr>
        <w:rFonts w:ascii="Symbol" w:hAnsi="Symbol" w:hint="default"/>
        <w:color w:val="auto"/>
      </w:rPr>
    </w:lvl>
    <w:lvl w:ilvl="1" w:tplc="85465A7A">
      <w:start w:val="3"/>
      <w:numFmt w:val="decimal"/>
      <w:lvlText w:val="%2."/>
      <w:lvlJc w:val="left"/>
      <w:pPr>
        <w:tabs>
          <w:tab w:val="num" w:pos="1845"/>
        </w:tabs>
        <w:ind w:left="1845" w:hanging="720"/>
      </w:pPr>
      <w:rPr>
        <w:rFonts w:hint="default"/>
      </w:rPr>
    </w:lvl>
    <w:lvl w:ilvl="2" w:tplc="0809001B" w:tentative="1">
      <w:start w:val="1"/>
      <w:numFmt w:val="lowerRoman"/>
      <w:lvlText w:val="%3."/>
      <w:lvlJc w:val="right"/>
      <w:pPr>
        <w:tabs>
          <w:tab w:val="num" w:pos="2205"/>
        </w:tabs>
        <w:ind w:left="2205" w:hanging="180"/>
      </w:pPr>
    </w:lvl>
    <w:lvl w:ilvl="3" w:tplc="0809000F" w:tentative="1">
      <w:start w:val="1"/>
      <w:numFmt w:val="decimal"/>
      <w:lvlText w:val="%4."/>
      <w:lvlJc w:val="left"/>
      <w:pPr>
        <w:tabs>
          <w:tab w:val="num" w:pos="2925"/>
        </w:tabs>
        <w:ind w:left="2925" w:hanging="360"/>
      </w:pPr>
    </w:lvl>
    <w:lvl w:ilvl="4" w:tplc="08090019" w:tentative="1">
      <w:start w:val="1"/>
      <w:numFmt w:val="lowerLetter"/>
      <w:lvlText w:val="%5."/>
      <w:lvlJc w:val="left"/>
      <w:pPr>
        <w:tabs>
          <w:tab w:val="num" w:pos="3645"/>
        </w:tabs>
        <w:ind w:left="3645" w:hanging="360"/>
      </w:pPr>
    </w:lvl>
    <w:lvl w:ilvl="5" w:tplc="0809001B" w:tentative="1">
      <w:start w:val="1"/>
      <w:numFmt w:val="lowerRoman"/>
      <w:lvlText w:val="%6."/>
      <w:lvlJc w:val="right"/>
      <w:pPr>
        <w:tabs>
          <w:tab w:val="num" w:pos="4365"/>
        </w:tabs>
        <w:ind w:left="4365" w:hanging="180"/>
      </w:pPr>
    </w:lvl>
    <w:lvl w:ilvl="6" w:tplc="0809000F" w:tentative="1">
      <w:start w:val="1"/>
      <w:numFmt w:val="decimal"/>
      <w:lvlText w:val="%7."/>
      <w:lvlJc w:val="left"/>
      <w:pPr>
        <w:tabs>
          <w:tab w:val="num" w:pos="5085"/>
        </w:tabs>
        <w:ind w:left="5085" w:hanging="360"/>
      </w:pPr>
    </w:lvl>
    <w:lvl w:ilvl="7" w:tplc="08090019" w:tentative="1">
      <w:start w:val="1"/>
      <w:numFmt w:val="lowerLetter"/>
      <w:lvlText w:val="%8."/>
      <w:lvlJc w:val="left"/>
      <w:pPr>
        <w:tabs>
          <w:tab w:val="num" w:pos="5805"/>
        </w:tabs>
        <w:ind w:left="5805" w:hanging="360"/>
      </w:pPr>
    </w:lvl>
    <w:lvl w:ilvl="8" w:tplc="0809001B" w:tentative="1">
      <w:start w:val="1"/>
      <w:numFmt w:val="lowerRoman"/>
      <w:lvlText w:val="%9."/>
      <w:lvlJc w:val="right"/>
      <w:pPr>
        <w:tabs>
          <w:tab w:val="num" w:pos="6525"/>
        </w:tabs>
        <w:ind w:left="6525" w:hanging="180"/>
      </w:pPr>
    </w:lvl>
  </w:abstractNum>
  <w:abstractNum w:abstractNumId="7">
    <w:nsid w:val="3ED65C72"/>
    <w:multiLevelType w:val="hybridMultilevel"/>
    <w:tmpl w:val="BCF24124"/>
    <w:lvl w:ilvl="0" w:tplc="A7D42036">
      <w:start w:val="1"/>
      <w:numFmt w:val="bullet"/>
      <w:lvlText w:val=""/>
      <w:lvlJc w:val="left"/>
      <w:pPr>
        <w:ind w:left="360" w:hanging="360"/>
      </w:pPr>
      <w:rPr>
        <w:rFonts w:ascii="Symbol" w:hAnsi="Symbol" w:hint="default"/>
        <w:b/>
        <w:color w:val="1F497D" w:themeColor="text2"/>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0BD6231"/>
    <w:multiLevelType w:val="hybridMultilevel"/>
    <w:tmpl w:val="649C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1C3E10"/>
    <w:multiLevelType w:val="hybridMultilevel"/>
    <w:tmpl w:val="4E9E5386"/>
    <w:lvl w:ilvl="0" w:tplc="A7D42036">
      <w:start w:val="1"/>
      <w:numFmt w:val="bullet"/>
      <w:lvlText w:val=""/>
      <w:lvlJc w:val="left"/>
      <w:pPr>
        <w:ind w:left="720" w:hanging="360"/>
      </w:pPr>
      <w:rPr>
        <w:rFonts w:ascii="Symbol" w:hAnsi="Symbol" w:hint="default"/>
        <w:b/>
        <w:color w:val="1F497D" w:themeColor="text2"/>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79D7A9F"/>
    <w:multiLevelType w:val="hybridMultilevel"/>
    <w:tmpl w:val="FD6EF8EC"/>
    <w:lvl w:ilvl="0" w:tplc="A7D42036">
      <w:start w:val="1"/>
      <w:numFmt w:val="bullet"/>
      <w:lvlText w:val=""/>
      <w:lvlJc w:val="left"/>
      <w:pPr>
        <w:ind w:left="630" w:hanging="360"/>
      </w:pPr>
      <w:rPr>
        <w:rFonts w:ascii="Symbol" w:hAnsi="Symbol" w:hint="default"/>
        <w:b/>
        <w:color w:val="1F497D" w:themeColor="text2"/>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5A56607E"/>
    <w:multiLevelType w:val="hybridMultilevel"/>
    <w:tmpl w:val="28442AE2"/>
    <w:lvl w:ilvl="0" w:tplc="6AD01CD6">
      <w:start w:val="1"/>
      <w:numFmt w:val="decimal"/>
      <w:lvlText w:val="%1."/>
      <w:lvlJc w:val="left"/>
      <w:pPr>
        <w:tabs>
          <w:tab w:val="num" w:pos="450"/>
        </w:tabs>
        <w:ind w:left="450" w:hanging="360"/>
      </w:pPr>
    </w:lvl>
    <w:lvl w:ilvl="1" w:tplc="89060BAE" w:tentative="1">
      <w:start w:val="1"/>
      <w:numFmt w:val="decimal"/>
      <w:lvlText w:val="%2."/>
      <w:lvlJc w:val="left"/>
      <w:pPr>
        <w:tabs>
          <w:tab w:val="num" w:pos="1170"/>
        </w:tabs>
        <w:ind w:left="1170" w:hanging="360"/>
      </w:pPr>
    </w:lvl>
    <w:lvl w:ilvl="2" w:tplc="63FC3E6A" w:tentative="1">
      <w:start w:val="1"/>
      <w:numFmt w:val="decimal"/>
      <w:lvlText w:val="%3."/>
      <w:lvlJc w:val="left"/>
      <w:pPr>
        <w:tabs>
          <w:tab w:val="num" w:pos="1890"/>
        </w:tabs>
        <w:ind w:left="1890" w:hanging="360"/>
      </w:pPr>
    </w:lvl>
    <w:lvl w:ilvl="3" w:tplc="EC528D00" w:tentative="1">
      <w:start w:val="1"/>
      <w:numFmt w:val="decimal"/>
      <w:lvlText w:val="%4."/>
      <w:lvlJc w:val="left"/>
      <w:pPr>
        <w:tabs>
          <w:tab w:val="num" w:pos="2610"/>
        </w:tabs>
        <w:ind w:left="2610" w:hanging="360"/>
      </w:pPr>
    </w:lvl>
    <w:lvl w:ilvl="4" w:tplc="A3DEE30E" w:tentative="1">
      <w:start w:val="1"/>
      <w:numFmt w:val="decimal"/>
      <w:lvlText w:val="%5."/>
      <w:lvlJc w:val="left"/>
      <w:pPr>
        <w:tabs>
          <w:tab w:val="num" w:pos="3330"/>
        </w:tabs>
        <w:ind w:left="3330" w:hanging="360"/>
      </w:pPr>
    </w:lvl>
    <w:lvl w:ilvl="5" w:tplc="1CFA0182" w:tentative="1">
      <w:start w:val="1"/>
      <w:numFmt w:val="decimal"/>
      <w:lvlText w:val="%6."/>
      <w:lvlJc w:val="left"/>
      <w:pPr>
        <w:tabs>
          <w:tab w:val="num" w:pos="4050"/>
        </w:tabs>
        <w:ind w:left="4050" w:hanging="360"/>
      </w:pPr>
    </w:lvl>
    <w:lvl w:ilvl="6" w:tplc="2A928D72" w:tentative="1">
      <w:start w:val="1"/>
      <w:numFmt w:val="decimal"/>
      <w:lvlText w:val="%7."/>
      <w:lvlJc w:val="left"/>
      <w:pPr>
        <w:tabs>
          <w:tab w:val="num" w:pos="4770"/>
        </w:tabs>
        <w:ind w:left="4770" w:hanging="360"/>
      </w:pPr>
    </w:lvl>
    <w:lvl w:ilvl="7" w:tplc="C4CEC944" w:tentative="1">
      <w:start w:val="1"/>
      <w:numFmt w:val="decimal"/>
      <w:lvlText w:val="%8."/>
      <w:lvlJc w:val="left"/>
      <w:pPr>
        <w:tabs>
          <w:tab w:val="num" w:pos="5490"/>
        </w:tabs>
        <w:ind w:left="5490" w:hanging="360"/>
      </w:pPr>
    </w:lvl>
    <w:lvl w:ilvl="8" w:tplc="DAE05C74" w:tentative="1">
      <w:start w:val="1"/>
      <w:numFmt w:val="decimal"/>
      <w:lvlText w:val="%9."/>
      <w:lvlJc w:val="left"/>
      <w:pPr>
        <w:tabs>
          <w:tab w:val="num" w:pos="6210"/>
        </w:tabs>
        <w:ind w:left="6210" w:hanging="360"/>
      </w:pPr>
    </w:lvl>
  </w:abstractNum>
  <w:abstractNum w:abstractNumId="12">
    <w:nsid w:val="7B570CAD"/>
    <w:multiLevelType w:val="hybridMultilevel"/>
    <w:tmpl w:val="2292A25C"/>
    <w:lvl w:ilvl="0" w:tplc="3FA4C4C0">
      <w:start w:val="1"/>
      <w:numFmt w:val="bullet"/>
      <w:lvlText w:val=""/>
      <w:lvlJc w:val="left"/>
      <w:pPr>
        <w:ind w:left="720" w:hanging="360"/>
      </w:pPr>
      <w:rPr>
        <w:rFonts w:ascii="Symbol" w:hAnsi="Symbol" w:hint="default"/>
        <w:b w:val="0"/>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0"/>
  </w:num>
  <w:num w:numId="5">
    <w:abstractNumId w:val="1"/>
  </w:num>
  <w:num w:numId="6">
    <w:abstractNumId w:val="3"/>
  </w:num>
  <w:num w:numId="7">
    <w:abstractNumId w:val="12"/>
  </w:num>
  <w:num w:numId="8">
    <w:abstractNumId w:val="6"/>
  </w:num>
  <w:num w:numId="9">
    <w:abstractNumId w:val="4"/>
  </w:num>
  <w:num w:numId="10">
    <w:abstractNumId w:val="7"/>
  </w:num>
  <w:num w:numId="11">
    <w:abstractNumId w:val="8"/>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10242" style="mso-position-vertical-relative:line;mso-width-relative:margin;mso-height-relative:margin" fillcolor="#95b3d7" strokecolor="#4f81bd">
      <v:fill color="#95b3d7" color2="fill lighten(51)" angle="-135" focusposition=".5,.5" focussize="" method="linear sigma" type="gradient"/>
      <v:stroke color="#4f81bd" weight="1pt"/>
      <v:shadow on="t" type="perspective" color="#243f60" offset="1pt" offset2="-3pt"/>
      <o:colormenu v:ext="edit" fillcolor="none [3052]" strokecolor="none" shadowcolor="none"/>
    </o:shapedefaults>
    <o:shapelayout v:ext="edit">
      <o:idmap v:ext="edit" data="2"/>
      <o:rules v:ext="edit">
        <o:r id="V:Rule4" type="connector" idref="#_x0000_s2062"/>
        <o:r id="V:Rule5" type="connector" idref="#_x0000_s2060"/>
        <o:r id="V:Rule6" type="connector" idref="#_x0000_s2061"/>
      </o:rules>
    </o:shapelayout>
  </w:hdrShapeDefaults>
  <w:footnotePr>
    <w:footnote w:id="0"/>
    <w:footnote w:id="1"/>
  </w:footnotePr>
  <w:endnotePr>
    <w:endnote w:id="0"/>
    <w:endnote w:id="1"/>
  </w:endnotePr>
  <w:compat/>
  <w:rsids>
    <w:rsidRoot w:val="00E26461"/>
    <w:rsid w:val="00001E40"/>
    <w:rsid w:val="0000394E"/>
    <w:rsid w:val="00030795"/>
    <w:rsid w:val="00060FC5"/>
    <w:rsid w:val="000721C5"/>
    <w:rsid w:val="0007322A"/>
    <w:rsid w:val="000A2C8B"/>
    <w:rsid w:val="000C71D6"/>
    <w:rsid w:val="00100156"/>
    <w:rsid w:val="00104C3A"/>
    <w:rsid w:val="001100BE"/>
    <w:rsid w:val="00121A11"/>
    <w:rsid w:val="00124561"/>
    <w:rsid w:val="0014003E"/>
    <w:rsid w:val="001445BE"/>
    <w:rsid w:val="00147699"/>
    <w:rsid w:val="00157F7B"/>
    <w:rsid w:val="001644E3"/>
    <w:rsid w:val="00175A57"/>
    <w:rsid w:val="00181A02"/>
    <w:rsid w:val="001C384A"/>
    <w:rsid w:val="001D5886"/>
    <w:rsid w:val="001E497E"/>
    <w:rsid w:val="001E53A1"/>
    <w:rsid w:val="001E7106"/>
    <w:rsid w:val="001F3971"/>
    <w:rsid w:val="00203F98"/>
    <w:rsid w:val="00215270"/>
    <w:rsid w:val="00220554"/>
    <w:rsid w:val="00221252"/>
    <w:rsid w:val="00232F65"/>
    <w:rsid w:val="00252E62"/>
    <w:rsid w:val="00274D6A"/>
    <w:rsid w:val="0028384C"/>
    <w:rsid w:val="00297225"/>
    <w:rsid w:val="0029742A"/>
    <w:rsid w:val="002C7654"/>
    <w:rsid w:val="002D07A5"/>
    <w:rsid w:val="002D586B"/>
    <w:rsid w:val="002D61BD"/>
    <w:rsid w:val="003035DE"/>
    <w:rsid w:val="00320347"/>
    <w:rsid w:val="003258CA"/>
    <w:rsid w:val="00326CB9"/>
    <w:rsid w:val="00327B2C"/>
    <w:rsid w:val="00330D19"/>
    <w:rsid w:val="003365D6"/>
    <w:rsid w:val="003366B7"/>
    <w:rsid w:val="0036286C"/>
    <w:rsid w:val="003636B0"/>
    <w:rsid w:val="003643DC"/>
    <w:rsid w:val="0036708B"/>
    <w:rsid w:val="00367FA2"/>
    <w:rsid w:val="003A4F46"/>
    <w:rsid w:val="003C4A83"/>
    <w:rsid w:val="003E2113"/>
    <w:rsid w:val="003E4B11"/>
    <w:rsid w:val="003E565C"/>
    <w:rsid w:val="003F7D71"/>
    <w:rsid w:val="00402614"/>
    <w:rsid w:val="004216BD"/>
    <w:rsid w:val="00430AC6"/>
    <w:rsid w:val="00442FCC"/>
    <w:rsid w:val="00451607"/>
    <w:rsid w:val="0045529B"/>
    <w:rsid w:val="00493168"/>
    <w:rsid w:val="004A6A50"/>
    <w:rsid w:val="004B4971"/>
    <w:rsid w:val="004C27BF"/>
    <w:rsid w:val="004C5E8F"/>
    <w:rsid w:val="004D6644"/>
    <w:rsid w:val="004D71AC"/>
    <w:rsid w:val="004E456A"/>
    <w:rsid w:val="004E70B0"/>
    <w:rsid w:val="00500C3F"/>
    <w:rsid w:val="005140F0"/>
    <w:rsid w:val="005348A2"/>
    <w:rsid w:val="00535256"/>
    <w:rsid w:val="00542437"/>
    <w:rsid w:val="005431E4"/>
    <w:rsid w:val="00553BDB"/>
    <w:rsid w:val="0056199E"/>
    <w:rsid w:val="0056723D"/>
    <w:rsid w:val="00571CCE"/>
    <w:rsid w:val="00580957"/>
    <w:rsid w:val="005E6077"/>
    <w:rsid w:val="005F0720"/>
    <w:rsid w:val="005F2C74"/>
    <w:rsid w:val="005F5E34"/>
    <w:rsid w:val="00613B57"/>
    <w:rsid w:val="00626007"/>
    <w:rsid w:val="006316CC"/>
    <w:rsid w:val="0064763E"/>
    <w:rsid w:val="006563D2"/>
    <w:rsid w:val="00657B94"/>
    <w:rsid w:val="00664C73"/>
    <w:rsid w:val="00670474"/>
    <w:rsid w:val="00676565"/>
    <w:rsid w:val="006A13FB"/>
    <w:rsid w:val="006A68C3"/>
    <w:rsid w:val="006D0A37"/>
    <w:rsid w:val="006F0BBA"/>
    <w:rsid w:val="006F7100"/>
    <w:rsid w:val="00700F3D"/>
    <w:rsid w:val="0073269B"/>
    <w:rsid w:val="00742B1A"/>
    <w:rsid w:val="00757780"/>
    <w:rsid w:val="00766281"/>
    <w:rsid w:val="00766FA4"/>
    <w:rsid w:val="007811AC"/>
    <w:rsid w:val="0078704A"/>
    <w:rsid w:val="007B44BC"/>
    <w:rsid w:val="007C58EE"/>
    <w:rsid w:val="007F244D"/>
    <w:rsid w:val="00810C50"/>
    <w:rsid w:val="00837E8D"/>
    <w:rsid w:val="00853EA0"/>
    <w:rsid w:val="008724F8"/>
    <w:rsid w:val="008C20D9"/>
    <w:rsid w:val="008C7035"/>
    <w:rsid w:val="008D137D"/>
    <w:rsid w:val="008D78C4"/>
    <w:rsid w:val="008E1507"/>
    <w:rsid w:val="008F398D"/>
    <w:rsid w:val="008F4BBC"/>
    <w:rsid w:val="00913D3D"/>
    <w:rsid w:val="00923BB8"/>
    <w:rsid w:val="0094114F"/>
    <w:rsid w:val="009414BE"/>
    <w:rsid w:val="009521BF"/>
    <w:rsid w:val="00967F86"/>
    <w:rsid w:val="009923CF"/>
    <w:rsid w:val="009A7CA9"/>
    <w:rsid w:val="009B624D"/>
    <w:rsid w:val="009C5ED4"/>
    <w:rsid w:val="009C606C"/>
    <w:rsid w:val="00A0131F"/>
    <w:rsid w:val="00A22CA0"/>
    <w:rsid w:val="00A500E0"/>
    <w:rsid w:val="00A8359B"/>
    <w:rsid w:val="00A875C0"/>
    <w:rsid w:val="00AA0936"/>
    <w:rsid w:val="00AA71BD"/>
    <w:rsid w:val="00AB1591"/>
    <w:rsid w:val="00AB2353"/>
    <w:rsid w:val="00AC0532"/>
    <w:rsid w:val="00AD2B44"/>
    <w:rsid w:val="00B110F1"/>
    <w:rsid w:val="00B17061"/>
    <w:rsid w:val="00B23BF9"/>
    <w:rsid w:val="00B25B82"/>
    <w:rsid w:val="00B513C7"/>
    <w:rsid w:val="00B55F2B"/>
    <w:rsid w:val="00B6777A"/>
    <w:rsid w:val="00B70E75"/>
    <w:rsid w:val="00B80672"/>
    <w:rsid w:val="00B866EF"/>
    <w:rsid w:val="00B86F17"/>
    <w:rsid w:val="00BA3AC8"/>
    <w:rsid w:val="00BB5A8B"/>
    <w:rsid w:val="00BD24BD"/>
    <w:rsid w:val="00BE3D4D"/>
    <w:rsid w:val="00BE5FC3"/>
    <w:rsid w:val="00BF15B6"/>
    <w:rsid w:val="00C011F0"/>
    <w:rsid w:val="00C1429F"/>
    <w:rsid w:val="00C15487"/>
    <w:rsid w:val="00C22B3E"/>
    <w:rsid w:val="00C43E2D"/>
    <w:rsid w:val="00C544EB"/>
    <w:rsid w:val="00C57278"/>
    <w:rsid w:val="00C84E76"/>
    <w:rsid w:val="00C95FD5"/>
    <w:rsid w:val="00CC1C04"/>
    <w:rsid w:val="00CC3819"/>
    <w:rsid w:val="00CD5AA3"/>
    <w:rsid w:val="00CE7D7C"/>
    <w:rsid w:val="00D104A3"/>
    <w:rsid w:val="00D119CE"/>
    <w:rsid w:val="00D251E1"/>
    <w:rsid w:val="00D45598"/>
    <w:rsid w:val="00D55234"/>
    <w:rsid w:val="00D56928"/>
    <w:rsid w:val="00D72203"/>
    <w:rsid w:val="00D80D96"/>
    <w:rsid w:val="00DA049B"/>
    <w:rsid w:val="00DB74E9"/>
    <w:rsid w:val="00DD3C29"/>
    <w:rsid w:val="00DE4365"/>
    <w:rsid w:val="00DF1474"/>
    <w:rsid w:val="00E010F5"/>
    <w:rsid w:val="00E0434A"/>
    <w:rsid w:val="00E05633"/>
    <w:rsid w:val="00E26461"/>
    <w:rsid w:val="00E279EF"/>
    <w:rsid w:val="00E322B2"/>
    <w:rsid w:val="00E55E10"/>
    <w:rsid w:val="00E73987"/>
    <w:rsid w:val="00E75011"/>
    <w:rsid w:val="00E84CFA"/>
    <w:rsid w:val="00E94058"/>
    <w:rsid w:val="00E960C9"/>
    <w:rsid w:val="00E9619B"/>
    <w:rsid w:val="00E97994"/>
    <w:rsid w:val="00EA40C8"/>
    <w:rsid w:val="00EC49AE"/>
    <w:rsid w:val="00EE2EA2"/>
    <w:rsid w:val="00EE7E03"/>
    <w:rsid w:val="00F21C12"/>
    <w:rsid w:val="00F22118"/>
    <w:rsid w:val="00F22CC8"/>
    <w:rsid w:val="00F50BDF"/>
    <w:rsid w:val="00F83C3A"/>
    <w:rsid w:val="00F96447"/>
    <w:rsid w:val="00FE3DEE"/>
    <w:rsid w:val="00FF5F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style="mso-position-vertical-relative:line;mso-width-relative:margin;mso-height-relative:margin" fillcolor="#95b3d7" strokecolor="#4f81bd">
      <v:fill color="#95b3d7" color2="fill lighten(51)" angle="-135" focusposition=".5,.5" focussize="" method="linear sigma" type="gradient"/>
      <v:stroke color="#4f81bd" weight="1pt"/>
      <v:shadow on="t" type="perspective" color="#243f60" offset="1pt" offset2="-3pt"/>
      <o:colormenu v:ext="edit" fillcolor="none [3052]"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8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A57"/>
    <w:pPr>
      <w:ind w:left="720"/>
      <w:contextualSpacing/>
    </w:pPr>
  </w:style>
  <w:style w:type="character" w:styleId="CommentReference">
    <w:name w:val="annotation reference"/>
    <w:basedOn w:val="DefaultParagraphFont"/>
    <w:uiPriority w:val="99"/>
    <w:semiHidden/>
    <w:unhideWhenUsed/>
    <w:rsid w:val="004B4971"/>
    <w:rPr>
      <w:sz w:val="16"/>
      <w:szCs w:val="16"/>
    </w:rPr>
  </w:style>
  <w:style w:type="paragraph" w:styleId="CommentText">
    <w:name w:val="annotation text"/>
    <w:basedOn w:val="Normal"/>
    <w:link w:val="CommentTextChar"/>
    <w:uiPriority w:val="99"/>
    <w:semiHidden/>
    <w:unhideWhenUsed/>
    <w:rsid w:val="004B4971"/>
    <w:pPr>
      <w:spacing w:line="240" w:lineRule="auto"/>
    </w:pPr>
    <w:rPr>
      <w:sz w:val="20"/>
      <w:szCs w:val="20"/>
    </w:rPr>
  </w:style>
  <w:style w:type="character" w:customStyle="1" w:styleId="CommentTextChar">
    <w:name w:val="Comment Text Char"/>
    <w:basedOn w:val="DefaultParagraphFont"/>
    <w:link w:val="CommentText"/>
    <w:uiPriority w:val="99"/>
    <w:semiHidden/>
    <w:rsid w:val="004B4971"/>
    <w:rPr>
      <w:sz w:val="20"/>
      <w:szCs w:val="20"/>
    </w:rPr>
  </w:style>
  <w:style w:type="paragraph" w:styleId="CommentSubject">
    <w:name w:val="annotation subject"/>
    <w:basedOn w:val="CommentText"/>
    <w:next w:val="CommentText"/>
    <w:link w:val="CommentSubjectChar"/>
    <w:uiPriority w:val="99"/>
    <w:semiHidden/>
    <w:unhideWhenUsed/>
    <w:rsid w:val="004B4971"/>
    <w:rPr>
      <w:b/>
      <w:bCs/>
    </w:rPr>
  </w:style>
  <w:style w:type="character" w:customStyle="1" w:styleId="CommentSubjectChar">
    <w:name w:val="Comment Subject Char"/>
    <w:basedOn w:val="CommentTextChar"/>
    <w:link w:val="CommentSubject"/>
    <w:uiPriority w:val="99"/>
    <w:semiHidden/>
    <w:rsid w:val="004B4971"/>
    <w:rPr>
      <w:b/>
      <w:bCs/>
    </w:rPr>
  </w:style>
  <w:style w:type="paragraph" w:styleId="BalloonText">
    <w:name w:val="Balloon Text"/>
    <w:basedOn w:val="Normal"/>
    <w:link w:val="BalloonTextChar"/>
    <w:uiPriority w:val="99"/>
    <w:semiHidden/>
    <w:unhideWhenUsed/>
    <w:rsid w:val="004B4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971"/>
    <w:rPr>
      <w:rFonts w:ascii="Tahoma" w:hAnsi="Tahoma" w:cs="Tahoma"/>
      <w:sz w:val="16"/>
      <w:szCs w:val="16"/>
    </w:rPr>
  </w:style>
  <w:style w:type="paragraph" w:styleId="EndnoteText">
    <w:name w:val="endnote text"/>
    <w:basedOn w:val="Normal"/>
    <w:link w:val="EndnoteTextChar"/>
    <w:uiPriority w:val="99"/>
    <w:semiHidden/>
    <w:unhideWhenUsed/>
    <w:rsid w:val="00CE7D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7D7C"/>
    <w:rPr>
      <w:sz w:val="20"/>
      <w:szCs w:val="20"/>
    </w:rPr>
  </w:style>
  <w:style w:type="character" w:styleId="EndnoteReference">
    <w:name w:val="endnote reference"/>
    <w:basedOn w:val="DefaultParagraphFont"/>
    <w:uiPriority w:val="99"/>
    <w:semiHidden/>
    <w:unhideWhenUsed/>
    <w:rsid w:val="00CE7D7C"/>
    <w:rPr>
      <w:vertAlign w:val="superscript"/>
    </w:rPr>
  </w:style>
  <w:style w:type="paragraph" w:styleId="Header">
    <w:name w:val="header"/>
    <w:basedOn w:val="Normal"/>
    <w:link w:val="HeaderChar"/>
    <w:uiPriority w:val="99"/>
    <w:rsid w:val="00B86F17"/>
    <w:pPr>
      <w:tabs>
        <w:tab w:val="center" w:pos="4819"/>
        <w:tab w:val="right" w:pos="9638"/>
      </w:tabs>
      <w:spacing w:after="0" w:line="240" w:lineRule="auto"/>
    </w:pPr>
    <w:rPr>
      <w:rFonts w:ascii="Calibri" w:eastAsia="Calibri" w:hAnsi="Calibri" w:cs="Times New Roman"/>
      <w:lang w:val="da-DK"/>
    </w:rPr>
  </w:style>
  <w:style w:type="character" w:customStyle="1" w:styleId="HeaderChar">
    <w:name w:val="Header Char"/>
    <w:basedOn w:val="DefaultParagraphFont"/>
    <w:link w:val="Header"/>
    <w:uiPriority w:val="99"/>
    <w:rsid w:val="00B86F17"/>
    <w:rPr>
      <w:rFonts w:ascii="Calibri" w:eastAsia="Calibri" w:hAnsi="Calibri" w:cs="Times New Roman"/>
      <w:lang w:val="da-DK"/>
    </w:rPr>
  </w:style>
  <w:style w:type="paragraph" w:styleId="Footer">
    <w:name w:val="footer"/>
    <w:basedOn w:val="Normal"/>
    <w:link w:val="FooterChar"/>
    <w:uiPriority w:val="99"/>
    <w:rsid w:val="00B86F17"/>
    <w:pPr>
      <w:tabs>
        <w:tab w:val="center" w:pos="4819"/>
        <w:tab w:val="right" w:pos="9638"/>
      </w:tabs>
      <w:spacing w:after="0" w:line="240" w:lineRule="auto"/>
    </w:pPr>
    <w:rPr>
      <w:rFonts w:ascii="Calibri" w:eastAsia="Calibri" w:hAnsi="Calibri" w:cs="Times New Roman"/>
      <w:lang w:val="da-DK"/>
    </w:rPr>
  </w:style>
  <w:style w:type="character" w:customStyle="1" w:styleId="FooterChar">
    <w:name w:val="Footer Char"/>
    <w:basedOn w:val="DefaultParagraphFont"/>
    <w:link w:val="Footer"/>
    <w:uiPriority w:val="99"/>
    <w:rsid w:val="00B86F17"/>
    <w:rPr>
      <w:rFonts w:ascii="Calibri" w:eastAsia="Calibri" w:hAnsi="Calibri" w:cs="Times New Roman"/>
      <w:lang w:val="da-DK"/>
    </w:rPr>
  </w:style>
  <w:style w:type="character" w:styleId="PageNumber">
    <w:name w:val="page number"/>
    <w:basedOn w:val="DefaultParagraphFont"/>
    <w:rsid w:val="00B86F17"/>
  </w:style>
  <w:style w:type="character" w:styleId="Hyperlink">
    <w:name w:val="Hyperlink"/>
    <w:basedOn w:val="DefaultParagraphFont"/>
    <w:rsid w:val="002D61BD"/>
    <w:rPr>
      <w:color w:val="0000FF"/>
      <w:u w:val="single"/>
    </w:rPr>
  </w:style>
  <w:style w:type="paragraph" w:styleId="FootnoteText">
    <w:name w:val="footnote text"/>
    <w:basedOn w:val="Normal"/>
    <w:link w:val="FootnoteTextChar"/>
    <w:uiPriority w:val="99"/>
    <w:semiHidden/>
    <w:unhideWhenUsed/>
    <w:rsid w:val="001E71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106"/>
    <w:rPr>
      <w:sz w:val="20"/>
      <w:szCs w:val="20"/>
    </w:rPr>
  </w:style>
  <w:style w:type="character" w:styleId="FootnoteReference">
    <w:name w:val="footnote reference"/>
    <w:basedOn w:val="DefaultParagraphFont"/>
    <w:uiPriority w:val="99"/>
    <w:semiHidden/>
    <w:unhideWhenUsed/>
    <w:rsid w:val="001E7106"/>
    <w:rPr>
      <w:vertAlign w:val="superscript"/>
    </w:rPr>
  </w:style>
</w:styles>
</file>

<file path=word/webSettings.xml><?xml version="1.0" encoding="utf-8"?>
<w:webSettings xmlns:r="http://schemas.openxmlformats.org/officeDocument/2006/relationships" xmlns:w="http://schemas.openxmlformats.org/wordprocessingml/2006/main">
  <w:divs>
    <w:div w:id="162742116">
      <w:bodyDiv w:val="1"/>
      <w:marLeft w:val="0"/>
      <w:marRight w:val="0"/>
      <w:marTop w:val="0"/>
      <w:marBottom w:val="0"/>
      <w:divBdr>
        <w:top w:val="none" w:sz="0" w:space="0" w:color="auto"/>
        <w:left w:val="none" w:sz="0" w:space="0" w:color="auto"/>
        <w:bottom w:val="none" w:sz="0" w:space="0" w:color="auto"/>
        <w:right w:val="none" w:sz="0" w:space="0" w:color="auto"/>
      </w:divBdr>
      <w:divsChild>
        <w:div w:id="1324814035">
          <w:marLeft w:val="547"/>
          <w:marRight w:val="0"/>
          <w:marTop w:val="154"/>
          <w:marBottom w:val="0"/>
          <w:divBdr>
            <w:top w:val="none" w:sz="0" w:space="0" w:color="auto"/>
            <w:left w:val="none" w:sz="0" w:space="0" w:color="auto"/>
            <w:bottom w:val="none" w:sz="0" w:space="0" w:color="auto"/>
            <w:right w:val="none" w:sz="0" w:space="0" w:color="auto"/>
          </w:divBdr>
        </w:div>
        <w:div w:id="1307780085">
          <w:marLeft w:val="547"/>
          <w:marRight w:val="0"/>
          <w:marTop w:val="154"/>
          <w:marBottom w:val="0"/>
          <w:divBdr>
            <w:top w:val="none" w:sz="0" w:space="0" w:color="auto"/>
            <w:left w:val="none" w:sz="0" w:space="0" w:color="auto"/>
            <w:bottom w:val="none" w:sz="0" w:space="0" w:color="auto"/>
            <w:right w:val="none" w:sz="0" w:space="0" w:color="auto"/>
          </w:divBdr>
        </w:div>
      </w:divsChild>
    </w:div>
    <w:div w:id="870916769">
      <w:bodyDiv w:val="1"/>
      <w:marLeft w:val="0"/>
      <w:marRight w:val="0"/>
      <w:marTop w:val="0"/>
      <w:marBottom w:val="0"/>
      <w:divBdr>
        <w:top w:val="none" w:sz="0" w:space="0" w:color="auto"/>
        <w:left w:val="none" w:sz="0" w:space="0" w:color="auto"/>
        <w:bottom w:val="none" w:sz="0" w:space="0" w:color="auto"/>
        <w:right w:val="none" w:sz="0" w:space="0" w:color="auto"/>
      </w:divBdr>
      <w:divsChild>
        <w:div w:id="300037451">
          <w:marLeft w:val="720"/>
          <w:marRight w:val="0"/>
          <w:marTop w:val="0"/>
          <w:marBottom w:val="0"/>
          <w:divBdr>
            <w:top w:val="none" w:sz="0" w:space="0" w:color="auto"/>
            <w:left w:val="none" w:sz="0" w:space="0" w:color="auto"/>
            <w:bottom w:val="none" w:sz="0" w:space="0" w:color="auto"/>
            <w:right w:val="none" w:sz="0" w:space="0" w:color="auto"/>
          </w:divBdr>
        </w:div>
        <w:div w:id="128783794">
          <w:marLeft w:val="720"/>
          <w:marRight w:val="0"/>
          <w:marTop w:val="0"/>
          <w:marBottom w:val="0"/>
          <w:divBdr>
            <w:top w:val="none" w:sz="0" w:space="0" w:color="auto"/>
            <w:left w:val="none" w:sz="0" w:space="0" w:color="auto"/>
            <w:bottom w:val="none" w:sz="0" w:space="0" w:color="auto"/>
            <w:right w:val="none" w:sz="0" w:space="0" w:color="auto"/>
          </w:divBdr>
        </w:div>
        <w:div w:id="1243183024">
          <w:marLeft w:val="720"/>
          <w:marRight w:val="0"/>
          <w:marTop w:val="0"/>
          <w:marBottom w:val="0"/>
          <w:divBdr>
            <w:top w:val="none" w:sz="0" w:space="0" w:color="auto"/>
            <w:left w:val="none" w:sz="0" w:space="0" w:color="auto"/>
            <w:bottom w:val="none" w:sz="0" w:space="0" w:color="auto"/>
            <w:right w:val="none" w:sz="0" w:space="0" w:color="auto"/>
          </w:divBdr>
        </w:div>
        <w:div w:id="1410731008">
          <w:marLeft w:val="720"/>
          <w:marRight w:val="0"/>
          <w:marTop w:val="0"/>
          <w:marBottom w:val="0"/>
          <w:divBdr>
            <w:top w:val="none" w:sz="0" w:space="0" w:color="auto"/>
            <w:left w:val="none" w:sz="0" w:space="0" w:color="auto"/>
            <w:bottom w:val="none" w:sz="0" w:space="0" w:color="auto"/>
            <w:right w:val="none" w:sz="0" w:space="0" w:color="auto"/>
          </w:divBdr>
        </w:div>
        <w:div w:id="1731221568">
          <w:marLeft w:val="720"/>
          <w:marRight w:val="0"/>
          <w:marTop w:val="0"/>
          <w:marBottom w:val="0"/>
          <w:divBdr>
            <w:top w:val="none" w:sz="0" w:space="0" w:color="auto"/>
            <w:left w:val="none" w:sz="0" w:space="0" w:color="auto"/>
            <w:bottom w:val="none" w:sz="0" w:space="0" w:color="auto"/>
            <w:right w:val="none" w:sz="0" w:space="0" w:color="auto"/>
          </w:divBdr>
        </w:div>
        <w:div w:id="568688395">
          <w:marLeft w:val="720"/>
          <w:marRight w:val="0"/>
          <w:marTop w:val="0"/>
          <w:marBottom w:val="0"/>
          <w:divBdr>
            <w:top w:val="none" w:sz="0" w:space="0" w:color="auto"/>
            <w:left w:val="none" w:sz="0" w:space="0" w:color="auto"/>
            <w:bottom w:val="none" w:sz="0" w:space="0" w:color="auto"/>
            <w:right w:val="none" w:sz="0" w:space="0" w:color="auto"/>
          </w:divBdr>
        </w:div>
        <w:div w:id="1742168359">
          <w:marLeft w:val="720"/>
          <w:marRight w:val="0"/>
          <w:marTop w:val="0"/>
          <w:marBottom w:val="0"/>
          <w:divBdr>
            <w:top w:val="none" w:sz="0" w:space="0" w:color="auto"/>
            <w:left w:val="none" w:sz="0" w:space="0" w:color="auto"/>
            <w:bottom w:val="none" w:sz="0" w:space="0" w:color="auto"/>
            <w:right w:val="none" w:sz="0" w:space="0" w:color="auto"/>
          </w:divBdr>
        </w:div>
        <w:div w:id="790897954">
          <w:marLeft w:val="720"/>
          <w:marRight w:val="0"/>
          <w:marTop w:val="0"/>
          <w:marBottom w:val="0"/>
          <w:divBdr>
            <w:top w:val="none" w:sz="0" w:space="0" w:color="auto"/>
            <w:left w:val="none" w:sz="0" w:space="0" w:color="auto"/>
            <w:bottom w:val="none" w:sz="0" w:space="0" w:color="auto"/>
            <w:right w:val="none" w:sz="0" w:space="0" w:color="auto"/>
          </w:divBdr>
        </w:div>
        <w:div w:id="483664575">
          <w:marLeft w:val="720"/>
          <w:marRight w:val="0"/>
          <w:marTop w:val="0"/>
          <w:marBottom w:val="0"/>
          <w:divBdr>
            <w:top w:val="none" w:sz="0" w:space="0" w:color="auto"/>
            <w:left w:val="none" w:sz="0" w:space="0" w:color="auto"/>
            <w:bottom w:val="none" w:sz="0" w:space="0" w:color="auto"/>
            <w:right w:val="none" w:sz="0" w:space="0" w:color="auto"/>
          </w:divBdr>
        </w:div>
        <w:div w:id="132064804">
          <w:marLeft w:val="720"/>
          <w:marRight w:val="0"/>
          <w:marTop w:val="0"/>
          <w:marBottom w:val="0"/>
          <w:divBdr>
            <w:top w:val="none" w:sz="0" w:space="0" w:color="auto"/>
            <w:left w:val="none" w:sz="0" w:space="0" w:color="auto"/>
            <w:bottom w:val="none" w:sz="0" w:space="0" w:color="auto"/>
            <w:right w:val="none" w:sz="0" w:space="0" w:color="auto"/>
          </w:divBdr>
        </w:div>
      </w:divsChild>
    </w:div>
    <w:div w:id="142973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2" Type="http://schemas.openxmlformats.org/officeDocument/2006/relationships/hyperlink" Target="http://www.gaportal.org" TargetMode="External"/><Relationship Id="rId1" Type="http://schemas.openxmlformats.org/officeDocument/2006/relationships/hyperlink" Target="http://www.ecosystemsclimate.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53C3B-5ED8-4A66-9CB5-C888AFD6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2095</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john.samuel</dc:creator>
  <cp:keywords/>
  <dc:description/>
  <cp:lastModifiedBy>UNDP</cp:lastModifiedBy>
  <cp:revision>2</cp:revision>
  <cp:lastPrinted>2010-08-02T13:48:00Z</cp:lastPrinted>
  <dcterms:created xsi:type="dcterms:W3CDTF">2011-01-19T23:28:00Z</dcterms:created>
  <dcterms:modified xsi:type="dcterms:W3CDTF">2011-01-19T23:28:00Z</dcterms:modified>
</cp:coreProperties>
</file>