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AC" w:rsidRPr="00605951" w:rsidRDefault="005403AC" w:rsidP="005403AC">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 xml:space="preserve">The United Nations Collaborative Programme on </w:t>
      </w:r>
    </w:p>
    <w:p w:rsidR="005403AC" w:rsidRPr="00605951" w:rsidRDefault="005403AC" w:rsidP="005403AC">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 xml:space="preserve">Reducing Emissions from Deforestation and </w:t>
      </w:r>
    </w:p>
    <w:p w:rsidR="005403AC" w:rsidRPr="00605951" w:rsidRDefault="005403AC" w:rsidP="005403AC">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Forest Degradation in Developing Countries (UN-REDD Programme)</w:t>
      </w:r>
    </w:p>
    <w:p w:rsidR="005403AC" w:rsidRPr="00605951" w:rsidRDefault="005403AC" w:rsidP="005403AC">
      <w:pPr>
        <w:shd w:val="clear" w:color="auto" w:fill="FFFFFF"/>
        <w:spacing w:after="0" w:line="240" w:lineRule="auto"/>
        <w:jc w:val="center"/>
        <w:textAlignment w:val="baseline"/>
        <w:outlineLvl w:val="1"/>
        <w:rPr>
          <w:rFonts w:eastAsia="Times New Roman" w:cs="Calibri"/>
          <w:bCs/>
          <w:lang w:eastAsia="en-PH"/>
        </w:rPr>
      </w:pPr>
    </w:p>
    <w:p w:rsidR="005403AC" w:rsidRPr="005403AC" w:rsidRDefault="00660470" w:rsidP="005403AC">
      <w:pPr>
        <w:spacing w:after="0" w:line="240" w:lineRule="auto"/>
        <w:jc w:val="center"/>
        <w:rPr>
          <w:b/>
        </w:rPr>
      </w:pPr>
      <w:bookmarkStart w:id="0" w:name="1"/>
      <w:bookmarkEnd w:id="0"/>
      <w:r>
        <w:rPr>
          <w:b/>
        </w:rPr>
        <w:t>Enhancing Awareness of Stakeholders on REDD Plus</w:t>
      </w:r>
    </w:p>
    <w:p w:rsidR="005403AC" w:rsidRPr="005403AC" w:rsidRDefault="00F73DB0" w:rsidP="005403AC">
      <w:pPr>
        <w:spacing w:after="0" w:line="240" w:lineRule="auto"/>
        <w:jc w:val="center"/>
      </w:pPr>
      <w:r w:rsidRPr="00605951">
        <w:rPr>
          <w:rFonts w:eastAsia="Times New Roman" w:cs="Calibri"/>
          <w:bCs/>
          <w:lang w:eastAsia="en-PH"/>
        </w:rPr>
        <w:t xml:space="preserve">Terms of Reference for </w:t>
      </w:r>
      <w:r w:rsidR="00921091">
        <w:rPr>
          <w:rFonts w:eastAsia="Times New Roman" w:cs="Calibri"/>
          <w:bCs/>
          <w:lang w:eastAsia="en-PH"/>
        </w:rPr>
        <w:t>Consultant</w:t>
      </w:r>
      <w:r w:rsidR="00660470" w:rsidRPr="00605951">
        <w:rPr>
          <w:rFonts w:eastAsia="Times New Roman" w:cs="Calibri"/>
          <w:bCs/>
          <w:lang w:eastAsia="en-PH"/>
        </w:rPr>
        <w:t xml:space="preserve"> </w:t>
      </w:r>
    </w:p>
    <w:p w:rsidR="005403AC" w:rsidRPr="00605951" w:rsidRDefault="005403AC" w:rsidP="005403AC">
      <w:pPr>
        <w:spacing w:after="0" w:line="240" w:lineRule="auto"/>
        <w:jc w:val="both"/>
        <w:textAlignment w:val="baseline"/>
        <w:outlineLvl w:val="2"/>
        <w:rPr>
          <w:rFonts w:eastAsia="Times New Roman" w:cs="Calibri"/>
          <w:bCs/>
          <w:lang w:eastAsia="en-PH"/>
        </w:rPr>
      </w:pPr>
    </w:p>
    <w:p w:rsidR="005403AC" w:rsidRPr="00605951" w:rsidRDefault="005403AC" w:rsidP="005403AC">
      <w:pPr>
        <w:spacing w:after="0" w:line="240" w:lineRule="auto"/>
        <w:jc w:val="both"/>
        <w:textAlignment w:val="baseline"/>
        <w:outlineLvl w:val="2"/>
        <w:rPr>
          <w:rFonts w:eastAsia="Times New Roman" w:cs="Calibri"/>
          <w:bCs/>
          <w:u w:val="single"/>
          <w:lang w:eastAsia="en-PH"/>
        </w:rPr>
      </w:pPr>
      <w:r w:rsidRPr="00605951">
        <w:rPr>
          <w:rFonts w:eastAsia="Times New Roman" w:cs="Calibri"/>
          <w:bCs/>
          <w:u w:val="single"/>
          <w:lang w:eastAsia="en-PH"/>
        </w:rPr>
        <w:t>1.</w:t>
      </w:r>
      <w:r w:rsidRPr="00605951">
        <w:rPr>
          <w:rFonts w:eastAsia="Times New Roman" w:cs="Calibri"/>
          <w:bCs/>
          <w:u w:val="single"/>
          <w:lang w:eastAsia="en-PH"/>
        </w:rPr>
        <w:tab/>
        <w:t>Background</w:t>
      </w:r>
    </w:p>
    <w:p w:rsidR="005403AC" w:rsidRPr="00605951" w:rsidRDefault="005403AC" w:rsidP="005403AC">
      <w:pPr>
        <w:spacing w:after="0" w:line="240" w:lineRule="auto"/>
        <w:jc w:val="both"/>
        <w:textAlignment w:val="baseline"/>
        <w:outlineLvl w:val="2"/>
        <w:rPr>
          <w:rFonts w:eastAsia="Times New Roman" w:cs="Calibri"/>
          <w:bCs/>
          <w:lang w:eastAsia="en-PH"/>
        </w:rPr>
      </w:pPr>
    </w:p>
    <w:p w:rsidR="005403AC" w:rsidRPr="00605951" w:rsidRDefault="005403AC" w:rsidP="005403AC">
      <w:pPr>
        <w:spacing w:after="0" w:line="240" w:lineRule="auto"/>
        <w:jc w:val="both"/>
        <w:rPr>
          <w:rFonts w:cs="Calibri"/>
        </w:rPr>
      </w:pPr>
      <w:bookmarkStart w:id="1" w:name="2"/>
      <w:bookmarkEnd w:id="1"/>
      <w:r w:rsidRPr="00605951">
        <w:rPr>
          <w:rFonts w:cs="Calibri"/>
        </w:rPr>
        <w:t>As part of the fight against deforestation and forest degradation, it is increasingly necessary to promote the development of systems for monitoring of forest cover. Systems for monitoring forest cover include software, tools, and users’ services. To be operational, the system for monitoring forest cover must be adapted to national circumstances, national policies and the human, technical and financial capacities. As part of the United Nations Framework Convention on Climate Change, REDD-Plus aims to reduce greenhouse gas emissions from the forestry sector either through an increase in forest cover as a reduction of its deterioration.</w:t>
      </w:r>
    </w:p>
    <w:p w:rsidR="005403AC" w:rsidRPr="00605951" w:rsidRDefault="005403AC" w:rsidP="005403AC">
      <w:pPr>
        <w:spacing w:after="0" w:line="240" w:lineRule="auto"/>
        <w:jc w:val="both"/>
        <w:rPr>
          <w:rFonts w:cs="Calibri"/>
        </w:rPr>
      </w:pPr>
    </w:p>
    <w:p w:rsidR="005403AC" w:rsidRPr="00605951" w:rsidRDefault="005403AC" w:rsidP="005403AC">
      <w:pPr>
        <w:spacing w:after="0" w:line="240" w:lineRule="auto"/>
        <w:jc w:val="both"/>
        <w:rPr>
          <w:rFonts w:cs="Calibri"/>
        </w:rPr>
      </w:pPr>
      <w:r w:rsidRPr="00605951">
        <w:rPr>
          <w:rFonts w:cs="Calibri"/>
        </w:rPr>
        <w:t xml:space="preserve">The United Nations Collaborative Programme on Reducing Emissions from Deforestation and Forest Degradation in Developing Countries (UN-REDD Programme) is </w:t>
      </w:r>
      <w:proofErr w:type="gramStart"/>
      <w:r w:rsidRPr="00605951">
        <w:rPr>
          <w:rFonts w:cs="Calibri"/>
        </w:rPr>
        <w:t>a collaboration</w:t>
      </w:r>
      <w:proofErr w:type="gramEnd"/>
      <w:r w:rsidRPr="00605951">
        <w:rPr>
          <w:rFonts w:cs="Calibri"/>
        </w:rPr>
        <w:t xml:space="preserve"> between FAO, UNDP and UNEP. It builds on the convening power of its participating UN agencies, their diverse expertise and vast networks, and “delivers as One UN”. </w:t>
      </w:r>
    </w:p>
    <w:p w:rsidR="005403AC" w:rsidRPr="00605951" w:rsidRDefault="005403AC" w:rsidP="005403AC">
      <w:pPr>
        <w:spacing w:after="0" w:line="240" w:lineRule="auto"/>
        <w:jc w:val="both"/>
        <w:rPr>
          <w:rFonts w:cs="Calibri"/>
        </w:rPr>
      </w:pPr>
    </w:p>
    <w:p w:rsidR="005403AC" w:rsidRPr="00605951" w:rsidRDefault="005403AC" w:rsidP="005403AC">
      <w:pPr>
        <w:spacing w:after="0" w:line="240" w:lineRule="auto"/>
        <w:jc w:val="both"/>
        <w:textAlignment w:val="baseline"/>
        <w:outlineLvl w:val="2"/>
        <w:rPr>
          <w:rFonts w:cs="Calibri"/>
        </w:rPr>
      </w:pPr>
      <w:r w:rsidRPr="00605951">
        <w:rPr>
          <w:rFonts w:cs="Calibri"/>
        </w:rPr>
        <w:t>The work contemplated under this TOR is part of the implementation of the UN-REDD in the Philippines and the national roadmap for REDD-Plus as reflected in the Philippine National REDD-Plus Strategy (PNRPS). This basically involves identifying actions and mechanisms to achieve the following outcomes:</w:t>
      </w:r>
    </w:p>
    <w:p w:rsidR="005403AC" w:rsidRPr="00605951" w:rsidRDefault="005403AC" w:rsidP="005403AC">
      <w:pPr>
        <w:spacing w:after="0" w:line="240" w:lineRule="auto"/>
        <w:jc w:val="both"/>
        <w:textAlignment w:val="baseline"/>
        <w:outlineLvl w:val="2"/>
        <w:rPr>
          <w:rFonts w:cs="Calibri"/>
        </w:rPr>
      </w:pPr>
    </w:p>
    <w:p w:rsidR="005403AC" w:rsidRPr="00605951" w:rsidRDefault="005403AC" w:rsidP="001A5BA2">
      <w:pPr>
        <w:spacing w:after="0" w:line="240" w:lineRule="auto"/>
        <w:ind w:left="1440" w:hanging="1440"/>
        <w:jc w:val="both"/>
        <w:textAlignment w:val="baseline"/>
        <w:outlineLvl w:val="2"/>
        <w:rPr>
          <w:rFonts w:cs="Calibri"/>
        </w:rPr>
      </w:pPr>
      <w:r w:rsidRPr="00605951">
        <w:rPr>
          <w:rFonts w:cs="Calibri"/>
        </w:rPr>
        <w:t xml:space="preserve">Outcome 1: </w:t>
      </w:r>
      <w:r w:rsidRPr="00605951">
        <w:rPr>
          <w:rFonts w:cs="Calibri"/>
        </w:rPr>
        <w:tab/>
        <w:t>REDD+ readiness supported by effective, inclusive and participatory management process</w:t>
      </w:r>
      <w:r w:rsidRPr="00605951">
        <w:rPr>
          <w:rFonts w:cs="Calibri"/>
        </w:rPr>
        <w:tab/>
      </w:r>
    </w:p>
    <w:p w:rsidR="005403AC" w:rsidRPr="00605951" w:rsidRDefault="005403AC" w:rsidP="001A5BA2">
      <w:pPr>
        <w:spacing w:after="0" w:line="240" w:lineRule="auto"/>
        <w:ind w:left="1440" w:hanging="1440"/>
        <w:jc w:val="both"/>
        <w:textAlignment w:val="baseline"/>
        <w:outlineLvl w:val="2"/>
        <w:rPr>
          <w:rFonts w:cs="Calibri"/>
        </w:rPr>
      </w:pPr>
      <w:r w:rsidRPr="00605951">
        <w:rPr>
          <w:rFonts w:cs="Calibri"/>
        </w:rPr>
        <w:t xml:space="preserve">Outcome 2:  </w:t>
      </w:r>
      <w:r w:rsidRPr="00605951">
        <w:rPr>
          <w:rFonts w:cs="Calibri"/>
        </w:rPr>
        <w:tab/>
        <w:t>Systematic and structural approach to the application of safeguards in REDD+ readiness identified through concrete studies of options and inclusive consultation</w:t>
      </w:r>
      <w:r w:rsidRPr="00605951">
        <w:rPr>
          <w:rFonts w:cs="Calibri"/>
        </w:rPr>
        <w:tab/>
      </w:r>
    </w:p>
    <w:p w:rsidR="005403AC" w:rsidRPr="00605951" w:rsidRDefault="005403AC" w:rsidP="005403AC">
      <w:pPr>
        <w:spacing w:after="0" w:line="240" w:lineRule="auto"/>
        <w:jc w:val="both"/>
        <w:textAlignment w:val="baseline"/>
        <w:outlineLvl w:val="2"/>
        <w:rPr>
          <w:rFonts w:cs="Calibri"/>
        </w:rPr>
      </w:pPr>
      <w:r w:rsidRPr="00605951">
        <w:rPr>
          <w:rFonts w:cs="Calibri"/>
        </w:rPr>
        <w:t xml:space="preserve">Outcome 3: </w:t>
      </w:r>
      <w:r w:rsidRPr="00605951">
        <w:rPr>
          <w:rFonts w:cs="Calibri"/>
        </w:rPr>
        <w:tab/>
        <w:t xml:space="preserve">Enhanced capacities for M &amp; MRV </w:t>
      </w:r>
      <w:r w:rsidRPr="00605951">
        <w:rPr>
          <w:rFonts w:cs="Calibri"/>
        </w:rPr>
        <w:tab/>
      </w:r>
    </w:p>
    <w:p w:rsidR="005403AC" w:rsidRPr="00605951" w:rsidRDefault="005403AC" w:rsidP="005403AC">
      <w:pPr>
        <w:spacing w:after="0" w:line="240" w:lineRule="auto"/>
        <w:jc w:val="both"/>
        <w:textAlignment w:val="baseline"/>
        <w:outlineLvl w:val="2"/>
        <w:rPr>
          <w:rFonts w:cs="Calibri"/>
        </w:rPr>
      </w:pPr>
    </w:p>
    <w:p w:rsidR="005403AC" w:rsidRPr="00605951" w:rsidRDefault="005403AC" w:rsidP="005403AC">
      <w:pPr>
        <w:spacing w:after="0" w:line="240" w:lineRule="auto"/>
        <w:jc w:val="both"/>
        <w:textAlignment w:val="baseline"/>
        <w:outlineLvl w:val="2"/>
        <w:rPr>
          <w:rFonts w:eastAsia="Times New Roman" w:cs="Calibri"/>
          <w:bCs/>
          <w:u w:val="single"/>
          <w:lang w:eastAsia="en-PH"/>
        </w:rPr>
      </w:pPr>
      <w:r w:rsidRPr="00605951">
        <w:rPr>
          <w:rFonts w:eastAsia="Times New Roman" w:cs="Calibri"/>
          <w:bCs/>
          <w:u w:val="single"/>
          <w:lang w:eastAsia="en-PH"/>
        </w:rPr>
        <w:t>2.</w:t>
      </w:r>
      <w:r w:rsidRPr="00605951">
        <w:rPr>
          <w:rFonts w:eastAsia="Times New Roman" w:cs="Calibri"/>
          <w:bCs/>
          <w:u w:val="single"/>
          <w:lang w:eastAsia="en-PH"/>
        </w:rPr>
        <w:tab/>
        <w:t>Purpose</w:t>
      </w:r>
    </w:p>
    <w:p w:rsidR="005403AC" w:rsidRPr="00605951" w:rsidRDefault="005403AC" w:rsidP="005403AC">
      <w:pPr>
        <w:spacing w:after="0" w:line="240" w:lineRule="auto"/>
        <w:jc w:val="both"/>
        <w:textAlignment w:val="baseline"/>
        <w:rPr>
          <w:rFonts w:eastAsia="Times New Roman" w:cs="Calibri"/>
          <w:lang w:eastAsia="en-PH"/>
        </w:rPr>
      </w:pPr>
    </w:p>
    <w:p w:rsidR="00FD557A" w:rsidRPr="00605951" w:rsidRDefault="005403AC" w:rsidP="005403AC">
      <w:pPr>
        <w:spacing w:after="0" w:line="240" w:lineRule="auto"/>
        <w:jc w:val="both"/>
        <w:textAlignment w:val="baseline"/>
        <w:rPr>
          <w:rFonts w:eastAsia="Times New Roman" w:cs="Calibri"/>
          <w:lang w:eastAsia="en-PH"/>
        </w:rPr>
      </w:pPr>
      <w:r w:rsidRPr="00605951">
        <w:rPr>
          <w:rFonts w:eastAsia="Times New Roman" w:cs="Calibri"/>
          <w:lang w:eastAsia="en-PH"/>
        </w:rPr>
        <w:t xml:space="preserve">The purpose of this Engagement is </w:t>
      </w:r>
      <w:r w:rsidR="00652079" w:rsidRPr="00605951">
        <w:rPr>
          <w:rFonts w:eastAsia="Times New Roman" w:cs="Calibri"/>
          <w:lang w:eastAsia="en-PH"/>
        </w:rPr>
        <w:t xml:space="preserve">for </w:t>
      </w:r>
      <w:r w:rsidR="00921091">
        <w:rPr>
          <w:rFonts w:eastAsia="Times New Roman" w:cs="Calibri"/>
          <w:lang w:eastAsia="en-PH"/>
        </w:rPr>
        <w:t>the selected Consultant</w:t>
      </w:r>
      <w:r w:rsidRPr="00605951">
        <w:rPr>
          <w:rFonts w:eastAsia="Times New Roman" w:cs="Calibri"/>
          <w:lang w:eastAsia="en-PH"/>
        </w:rPr>
        <w:t xml:space="preserve"> to assist the Programme Executive Board (PEB) in </w:t>
      </w:r>
      <w:r w:rsidR="00921091">
        <w:rPr>
          <w:rFonts w:eastAsia="Times New Roman" w:cs="Calibri"/>
          <w:lang w:eastAsia="en-PH"/>
        </w:rPr>
        <w:t xml:space="preserve">identifying and building a </w:t>
      </w:r>
      <w:r w:rsidR="00921091">
        <w:rPr>
          <w:rFonts w:cs="Calibri"/>
        </w:rPr>
        <w:t>s</w:t>
      </w:r>
      <w:r w:rsidR="00921091" w:rsidRPr="00605951">
        <w:rPr>
          <w:rFonts w:cs="Calibri"/>
        </w:rPr>
        <w:t>ystematic and structural approach to the application of safeguard</w:t>
      </w:r>
      <w:r w:rsidR="00921091">
        <w:rPr>
          <w:rFonts w:cs="Calibri"/>
        </w:rPr>
        <w:t xml:space="preserve">s in REDD+ readiness </w:t>
      </w:r>
      <w:r w:rsidR="00921091" w:rsidRPr="00605951">
        <w:rPr>
          <w:rFonts w:cs="Calibri"/>
        </w:rPr>
        <w:t>through concrete studies of options and inclusive consultation</w:t>
      </w:r>
      <w:r w:rsidR="00921091" w:rsidRPr="00605951">
        <w:rPr>
          <w:rFonts w:cs="Calibri"/>
        </w:rPr>
        <w:tab/>
      </w:r>
      <w:r w:rsidR="00921091">
        <w:rPr>
          <w:rFonts w:cs="Calibri"/>
        </w:rPr>
        <w:t>.</w:t>
      </w:r>
    </w:p>
    <w:p w:rsidR="005403AC" w:rsidRPr="00605951" w:rsidRDefault="005403AC" w:rsidP="005403AC">
      <w:pPr>
        <w:spacing w:after="0" w:line="240" w:lineRule="auto"/>
        <w:jc w:val="both"/>
        <w:textAlignment w:val="baseline"/>
        <w:rPr>
          <w:rFonts w:eastAsia="Times New Roman" w:cs="Calibri"/>
          <w:lang w:eastAsia="en-PH"/>
        </w:rPr>
      </w:pPr>
      <w:bookmarkStart w:id="2" w:name="3"/>
      <w:bookmarkEnd w:id="2"/>
    </w:p>
    <w:p w:rsidR="005403AC" w:rsidRPr="00605951" w:rsidRDefault="005403AC" w:rsidP="005403AC">
      <w:pPr>
        <w:shd w:val="clear" w:color="auto" w:fill="FFFFFF"/>
        <w:spacing w:after="0" w:line="240" w:lineRule="auto"/>
        <w:jc w:val="both"/>
        <w:textAlignment w:val="baseline"/>
        <w:outlineLvl w:val="2"/>
        <w:rPr>
          <w:rFonts w:eastAsia="Times New Roman" w:cs="Calibri"/>
          <w:bCs/>
          <w:u w:val="single"/>
          <w:lang w:eastAsia="en-PH"/>
        </w:rPr>
      </w:pPr>
      <w:bookmarkStart w:id="3" w:name="5"/>
      <w:bookmarkEnd w:id="3"/>
      <w:r w:rsidRPr="00605951">
        <w:rPr>
          <w:rFonts w:eastAsia="Times New Roman" w:cs="Calibri"/>
          <w:bCs/>
          <w:u w:val="single"/>
          <w:lang w:eastAsia="en-PH"/>
        </w:rPr>
        <w:t>3.</w:t>
      </w:r>
      <w:r w:rsidRPr="00605951">
        <w:rPr>
          <w:rFonts w:eastAsia="Times New Roman" w:cs="Calibri"/>
          <w:bCs/>
          <w:u w:val="single"/>
          <w:lang w:eastAsia="en-PH"/>
        </w:rPr>
        <w:tab/>
        <w:t>Tasks</w:t>
      </w:r>
    </w:p>
    <w:p w:rsidR="005403AC" w:rsidRPr="00605951" w:rsidRDefault="005403AC" w:rsidP="005403AC">
      <w:pPr>
        <w:shd w:val="clear" w:color="auto" w:fill="FFFFFF"/>
        <w:spacing w:after="0" w:line="240" w:lineRule="auto"/>
        <w:jc w:val="both"/>
        <w:textAlignment w:val="baseline"/>
        <w:outlineLvl w:val="2"/>
        <w:rPr>
          <w:rFonts w:eastAsia="Times New Roman" w:cs="Calibri"/>
          <w:bCs/>
          <w:lang w:eastAsia="en-PH"/>
        </w:rPr>
      </w:pPr>
    </w:p>
    <w:p w:rsidR="00660470" w:rsidRDefault="00503CBB" w:rsidP="00660470">
      <w:pPr>
        <w:shd w:val="clear" w:color="auto" w:fill="FFFFFF"/>
        <w:spacing w:after="0" w:line="240" w:lineRule="auto"/>
        <w:jc w:val="both"/>
        <w:textAlignment w:val="baseline"/>
        <w:rPr>
          <w:rFonts w:eastAsia="Times New Roman" w:cs="Calibri"/>
          <w:lang w:eastAsia="en-PH"/>
        </w:rPr>
      </w:pPr>
      <w:r>
        <w:rPr>
          <w:rFonts w:eastAsia="Times New Roman" w:cs="Calibri"/>
          <w:lang w:eastAsia="en-PH"/>
        </w:rPr>
        <w:t>The consultant for Output 2.1.1 under Outcome 2</w:t>
      </w:r>
      <w:r w:rsidR="00660470" w:rsidRPr="00605951">
        <w:rPr>
          <w:rFonts w:eastAsia="Times New Roman" w:cs="Calibri"/>
          <w:lang w:eastAsia="en-PH"/>
        </w:rPr>
        <w:t xml:space="preserve"> shall focus on the following </w:t>
      </w:r>
      <w:r>
        <w:rPr>
          <w:rFonts w:eastAsia="Times New Roman" w:cs="Calibri"/>
          <w:lang w:eastAsia="en-PH"/>
        </w:rPr>
        <w:t>activities leading to the attainment of outputs that will contribute to the attainment of the Programme’</w:t>
      </w:r>
      <w:r w:rsidR="00661195" w:rsidRPr="00605951">
        <w:rPr>
          <w:rFonts w:eastAsia="Times New Roman" w:cs="Calibri"/>
          <w:lang w:eastAsia="en-PH"/>
        </w:rPr>
        <w:t>s</w:t>
      </w:r>
      <w:r>
        <w:rPr>
          <w:rFonts w:eastAsia="Times New Roman" w:cs="Calibri"/>
          <w:lang w:eastAsia="en-PH"/>
        </w:rPr>
        <w:t xml:space="preserve"> desired outcome</w:t>
      </w:r>
      <w:r w:rsidR="00661195" w:rsidRPr="00605951">
        <w:rPr>
          <w:rFonts w:eastAsia="Times New Roman" w:cs="Calibri"/>
          <w:lang w:eastAsia="en-PH"/>
        </w:rPr>
        <w:t>:</w:t>
      </w:r>
    </w:p>
    <w:p w:rsidR="00503CBB" w:rsidRPr="00605951" w:rsidRDefault="00503CBB" w:rsidP="00660470">
      <w:pPr>
        <w:shd w:val="clear" w:color="auto" w:fill="FFFFFF"/>
        <w:spacing w:after="0" w:line="240" w:lineRule="auto"/>
        <w:jc w:val="both"/>
        <w:textAlignment w:val="baseline"/>
        <w:rPr>
          <w:rFonts w:eastAsia="Times New Roman" w:cs="Calibri"/>
          <w:lang w:eastAsia="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61195" w:rsidRPr="00605951" w:rsidTr="00605951">
        <w:trPr>
          <w:tblHeader/>
        </w:trPr>
        <w:tc>
          <w:tcPr>
            <w:tcW w:w="4788" w:type="dxa"/>
            <w:tcBorders>
              <w:bottom w:val="single" w:sz="4" w:space="0" w:color="auto"/>
            </w:tcBorders>
            <w:shd w:val="clear" w:color="auto" w:fill="C2D69B"/>
          </w:tcPr>
          <w:p w:rsidR="00661195" w:rsidRPr="00605951" w:rsidRDefault="00661195" w:rsidP="00605951">
            <w:pPr>
              <w:spacing w:after="0" w:line="240" w:lineRule="auto"/>
              <w:jc w:val="center"/>
              <w:textAlignment w:val="baseline"/>
            </w:pPr>
            <w:r w:rsidRPr="00605951">
              <w:t>Targets/Activities</w:t>
            </w:r>
          </w:p>
        </w:tc>
        <w:tc>
          <w:tcPr>
            <w:tcW w:w="4788" w:type="dxa"/>
            <w:tcBorders>
              <w:bottom w:val="single" w:sz="4" w:space="0" w:color="auto"/>
            </w:tcBorders>
            <w:shd w:val="clear" w:color="auto" w:fill="C2D69B"/>
          </w:tcPr>
          <w:p w:rsidR="00661195" w:rsidRPr="00605951" w:rsidRDefault="00661195" w:rsidP="00605951">
            <w:pPr>
              <w:spacing w:after="0" w:line="240" w:lineRule="auto"/>
              <w:jc w:val="center"/>
              <w:textAlignment w:val="baseline"/>
            </w:pPr>
            <w:r w:rsidRPr="00605951">
              <w:t>Deliverables</w:t>
            </w:r>
          </w:p>
        </w:tc>
      </w:tr>
      <w:tr w:rsidR="00661195" w:rsidRPr="00605951" w:rsidTr="00605951">
        <w:tc>
          <w:tcPr>
            <w:tcW w:w="9576" w:type="dxa"/>
            <w:gridSpan w:val="2"/>
            <w:shd w:val="clear" w:color="auto" w:fill="DBE5F1"/>
          </w:tcPr>
          <w:p w:rsidR="00661195" w:rsidRPr="00605951" w:rsidRDefault="00661195" w:rsidP="00605951">
            <w:pPr>
              <w:spacing w:after="0" w:line="240" w:lineRule="auto"/>
              <w:jc w:val="both"/>
              <w:textAlignment w:val="baseline"/>
            </w:pPr>
            <w:r w:rsidRPr="00605951">
              <w:t>Project Outcome 2:  Systematic and structural approach to the application of safeguards in REDD+ readiness identified through concrete studies of options and inclusive consultation</w:t>
            </w:r>
            <w:r w:rsidRPr="00605951">
              <w:tab/>
            </w:r>
            <w:r w:rsidRPr="00605951">
              <w:tab/>
            </w:r>
            <w:r w:rsidRPr="00605951">
              <w:tab/>
            </w:r>
          </w:p>
        </w:tc>
      </w:tr>
      <w:tr w:rsidR="00661195" w:rsidRPr="00605951" w:rsidTr="00605951">
        <w:tc>
          <w:tcPr>
            <w:tcW w:w="9576" w:type="dxa"/>
            <w:gridSpan w:val="2"/>
            <w:shd w:val="clear" w:color="auto" w:fill="auto"/>
          </w:tcPr>
          <w:p w:rsidR="00661195" w:rsidRPr="00605951" w:rsidRDefault="00661195" w:rsidP="00605951">
            <w:pPr>
              <w:spacing w:after="0" w:line="240" w:lineRule="auto"/>
              <w:jc w:val="both"/>
              <w:textAlignment w:val="baseline"/>
            </w:pPr>
            <w:r w:rsidRPr="00605951">
              <w:t xml:space="preserve">Output 2.1  Systematic and structural approach to the application of safeguards in REDD+ readiness </w:t>
            </w:r>
            <w:r w:rsidRPr="00605951">
              <w:lastRenderedPageBreak/>
              <w:t>identified</w:t>
            </w:r>
          </w:p>
        </w:tc>
      </w:tr>
      <w:tr w:rsidR="00661195" w:rsidRPr="00605951" w:rsidTr="00605951">
        <w:tc>
          <w:tcPr>
            <w:tcW w:w="4788" w:type="dxa"/>
            <w:shd w:val="clear" w:color="auto" w:fill="auto"/>
          </w:tcPr>
          <w:p w:rsidR="00661195" w:rsidRDefault="00661195" w:rsidP="00921091">
            <w:pPr>
              <w:spacing w:after="0" w:line="240" w:lineRule="auto"/>
              <w:ind w:left="540" w:hanging="540"/>
            </w:pPr>
            <w:r w:rsidRPr="00605951">
              <w:lastRenderedPageBreak/>
              <w:t xml:space="preserve">2.1.1 </w:t>
            </w:r>
            <w:r w:rsidR="00921091">
              <w:t>In coordination with the UN REDD’s Technical Working Group on Safeguards, initiate an extensive r</w:t>
            </w:r>
            <w:r w:rsidRPr="00605951">
              <w:t>eview of existing and proposed safeguards</w:t>
            </w:r>
            <w:r w:rsidR="00921091">
              <w:t xml:space="preserve"> for REDD Plus in the Philippines</w:t>
            </w:r>
          </w:p>
          <w:p w:rsidR="00921091" w:rsidRDefault="00921091" w:rsidP="00921091">
            <w:pPr>
              <w:spacing w:after="0" w:line="240" w:lineRule="auto"/>
              <w:ind w:left="540" w:hanging="540"/>
            </w:pPr>
          </w:p>
          <w:p w:rsidR="00921091" w:rsidRDefault="00921091" w:rsidP="00921091">
            <w:pPr>
              <w:spacing w:after="0" w:line="240" w:lineRule="auto"/>
              <w:ind w:left="540"/>
            </w:pPr>
            <w:r>
              <w:t>Details of this review include:</w:t>
            </w:r>
          </w:p>
          <w:p w:rsidR="00921091" w:rsidRPr="00605951" w:rsidRDefault="00921091" w:rsidP="00921091">
            <w:pPr>
              <w:spacing w:after="0" w:line="240" w:lineRule="auto"/>
            </w:pPr>
          </w:p>
        </w:tc>
        <w:tc>
          <w:tcPr>
            <w:tcW w:w="4788" w:type="dxa"/>
            <w:shd w:val="clear" w:color="auto" w:fill="auto"/>
          </w:tcPr>
          <w:p w:rsidR="00661195" w:rsidRPr="00605951" w:rsidRDefault="00661195" w:rsidP="00605951">
            <w:pPr>
              <w:spacing w:after="0" w:line="240" w:lineRule="auto"/>
            </w:pPr>
            <w:r w:rsidRPr="00605951">
              <w:t>Compendium of existing and proposed safeguards</w:t>
            </w:r>
          </w:p>
        </w:tc>
      </w:tr>
      <w:tr w:rsidR="00661195" w:rsidRPr="00605951" w:rsidTr="00605951">
        <w:tc>
          <w:tcPr>
            <w:tcW w:w="4788" w:type="dxa"/>
            <w:shd w:val="clear" w:color="auto" w:fill="auto"/>
          </w:tcPr>
          <w:p w:rsidR="00661195" w:rsidRPr="00605951" w:rsidRDefault="00661195" w:rsidP="00605951">
            <w:pPr>
              <w:spacing w:after="0" w:line="240" w:lineRule="auto"/>
              <w:ind w:left="540"/>
            </w:pPr>
            <w:r w:rsidRPr="00605951">
              <w:t>2.1.1.1. Review existing literature on REDD-plus safeguards</w:t>
            </w:r>
          </w:p>
        </w:tc>
        <w:tc>
          <w:tcPr>
            <w:tcW w:w="4788" w:type="dxa"/>
            <w:shd w:val="clear" w:color="auto" w:fill="auto"/>
          </w:tcPr>
          <w:p w:rsidR="00661195" w:rsidRDefault="00661195" w:rsidP="00605951">
            <w:pPr>
              <w:spacing w:after="0" w:line="240" w:lineRule="auto"/>
              <w:ind w:left="432"/>
            </w:pPr>
            <w:r w:rsidRPr="00605951">
              <w:t>Review of Literature</w:t>
            </w:r>
            <w:r w:rsidR="00503CBB">
              <w:t xml:space="preserve"> and compilation of relevant information and materials that can be used as reference in improving REDD-Plus Safeguards</w:t>
            </w:r>
          </w:p>
          <w:p w:rsidR="00921091" w:rsidRPr="00605951" w:rsidRDefault="00921091" w:rsidP="00605951">
            <w:pPr>
              <w:spacing w:after="0" w:line="240" w:lineRule="auto"/>
              <w:ind w:left="432"/>
            </w:pPr>
          </w:p>
        </w:tc>
      </w:tr>
      <w:tr w:rsidR="00661195" w:rsidRPr="00605951" w:rsidTr="00605951">
        <w:tc>
          <w:tcPr>
            <w:tcW w:w="4788" w:type="dxa"/>
            <w:shd w:val="clear" w:color="auto" w:fill="auto"/>
          </w:tcPr>
          <w:p w:rsidR="00661195" w:rsidRPr="00605951" w:rsidRDefault="006927AA" w:rsidP="00605951">
            <w:pPr>
              <w:spacing w:after="0" w:line="240" w:lineRule="auto"/>
              <w:ind w:left="540"/>
            </w:pPr>
            <w:r w:rsidRPr="00605951">
              <w:t xml:space="preserve">2.1.1.2 </w:t>
            </w:r>
            <w:r w:rsidR="00921091">
              <w:t>Conduct of workshop and consultations for s</w:t>
            </w:r>
            <w:r w:rsidRPr="00605951">
              <w:t>tocktaking of</w:t>
            </w:r>
            <w:r w:rsidR="00661195" w:rsidRPr="00605951">
              <w:t xml:space="preserve"> </w:t>
            </w:r>
            <w:r w:rsidR="00921091">
              <w:t xml:space="preserve">existing and </w:t>
            </w:r>
            <w:r w:rsidR="00661195" w:rsidRPr="00605951">
              <w:t>proposed safeguards</w:t>
            </w:r>
          </w:p>
        </w:tc>
        <w:tc>
          <w:tcPr>
            <w:tcW w:w="4788" w:type="dxa"/>
            <w:shd w:val="clear" w:color="auto" w:fill="auto"/>
          </w:tcPr>
          <w:p w:rsidR="00661195" w:rsidRDefault="00661195" w:rsidP="00605951">
            <w:pPr>
              <w:spacing w:after="0" w:line="240" w:lineRule="auto"/>
              <w:ind w:left="432"/>
            </w:pPr>
            <w:r w:rsidRPr="00605951">
              <w:t>Workshop Report</w:t>
            </w:r>
            <w:r w:rsidR="006927AA" w:rsidRPr="00605951">
              <w:t xml:space="preserve"> including</w:t>
            </w:r>
            <w:r w:rsidR="00921091">
              <w:t xml:space="preserve"> an assessment of existing and</w:t>
            </w:r>
            <w:r w:rsidR="006927AA" w:rsidRPr="00605951">
              <w:t xml:space="preserve"> </w:t>
            </w:r>
            <w:r w:rsidR="00921091">
              <w:t xml:space="preserve">a menu of </w:t>
            </w:r>
            <w:r w:rsidR="006927AA" w:rsidRPr="00605951">
              <w:t>proposed safeguards</w:t>
            </w:r>
            <w:r w:rsidR="00921091">
              <w:t xml:space="preserve"> for REDD Plus in the Philippines</w:t>
            </w:r>
          </w:p>
          <w:p w:rsidR="00921091" w:rsidRPr="00605951" w:rsidRDefault="00921091" w:rsidP="00605951">
            <w:pPr>
              <w:spacing w:after="0" w:line="240" w:lineRule="auto"/>
              <w:ind w:left="432"/>
            </w:pPr>
          </w:p>
        </w:tc>
      </w:tr>
      <w:tr w:rsidR="00661195" w:rsidRPr="00605951" w:rsidTr="00605951">
        <w:tc>
          <w:tcPr>
            <w:tcW w:w="4788" w:type="dxa"/>
            <w:shd w:val="clear" w:color="auto" w:fill="auto"/>
          </w:tcPr>
          <w:p w:rsidR="00661195" w:rsidRPr="00605951" w:rsidRDefault="00661195" w:rsidP="00605951">
            <w:pPr>
              <w:spacing w:after="0" w:line="240" w:lineRule="auto"/>
              <w:ind w:left="540"/>
            </w:pPr>
            <w:r w:rsidRPr="00605951">
              <w:t>2.1.1.3. Draft Framework for REDD-Plus Safeguard in the Philippines</w:t>
            </w:r>
          </w:p>
        </w:tc>
        <w:tc>
          <w:tcPr>
            <w:tcW w:w="4788" w:type="dxa"/>
            <w:shd w:val="clear" w:color="auto" w:fill="auto"/>
          </w:tcPr>
          <w:p w:rsidR="00661195" w:rsidRPr="00605951" w:rsidRDefault="00661195" w:rsidP="00605951">
            <w:pPr>
              <w:spacing w:after="0" w:line="240" w:lineRule="auto"/>
              <w:ind w:left="432"/>
            </w:pPr>
            <w:r w:rsidRPr="00605951">
              <w:t xml:space="preserve">REDD-Plus Safeguards </w:t>
            </w:r>
            <w:r w:rsidR="00503CBB">
              <w:t xml:space="preserve">Draft </w:t>
            </w:r>
            <w:r w:rsidRPr="00605951">
              <w:t>Framework</w:t>
            </w:r>
          </w:p>
        </w:tc>
      </w:tr>
      <w:tr w:rsidR="00E4642C" w:rsidRPr="00E4642C" w:rsidTr="00E46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642C" w:rsidRPr="007E59C2" w:rsidRDefault="00E4642C" w:rsidP="00E4642C">
            <w:pPr>
              <w:spacing w:after="0" w:line="240" w:lineRule="auto"/>
              <w:rPr>
                <w:rFonts w:eastAsia="Times New Roman" w:cs="Calibri"/>
                <w:color w:val="222222"/>
                <w:lang w:eastAsia="en-PH"/>
              </w:rPr>
            </w:pPr>
            <w:r w:rsidRPr="007E59C2">
              <w:rPr>
                <w:rFonts w:eastAsia="Times New Roman" w:cs="Calibri"/>
                <w:color w:val="222222"/>
                <w:lang w:eastAsia="en-PH"/>
              </w:rPr>
              <w:t>2.1.2 Recommend possible safeguards for REDD-Plus in the Philippines</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642C" w:rsidRPr="007E59C2" w:rsidRDefault="00E4642C" w:rsidP="00E4642C">
            <w:pPr>
              <w:spacing w:after="0" w:line="240" w:lineRule="auto"/>
              <w:rPr>
                <w:rFonts w:eastAsia="Times New Roman" w:cs="Calibri"/>
                <w:color w:val="222222"/>
                <w:lang w:eastAsia="en-PH"/>
              </w:rPr>
            </w:pPr>
            <w:r w:rsidRPr="007E59C2">
              <w:rPr>
                <w:rFonts w:eastAsia="Times New Roman" w:cs="Calibri"/>
                <w:color w:val="222222"/>
                <w:lang w:eastAsia="en-PH"/>
              </w:rPr>
              <w:t>Proposed REDD-Plus safeguards (framework/ guidance, protocols/ monitoring framework, criteria and indicators)</w:t>
            </w:r>
          </w:p>
        </w:tc>
      </w:tr>
      <w:tr w:rsidR="00E4642C" w:rsidRPr="00E4642C" w:rsidTr="00E46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642C" w:rsidRPr="007E59C2" w:rsidRDefault="00E4642C" w:rsidP="00E4642C">
            <w:pPr>
              <w:spacing w:after="0" w:line="240" w:lineRule="auto"/>
              <w:ind w:left="540"/>
              <w:rPr>
                <w:rFonts w:eastAsia="Times New Roman" w:cs="Calibri"/>
                <w:color w:val="222222"/>
                <w:lang w:eastAsia="en-PH"/>
              </w:rPr>
            </w:pPr>
            <w:r w:rsidRPr="007E59C2">
              <w:rPr>
                <w:rFonts w:eastAsia="Times New Roman" w:cs="Calibri"/>
                <w:color w:val="222222"/>
                <w:lang w:eastAsia="en-PH"/>
              </w:rPr>
              <w:t>2.1.2.1. Workshop/s First draft of REDD-Plus Safeguards  (framework/ guidance, protocols/ monitoring framework, criteria and indicators)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E4642C" w:rsidRPr="007E59C2" w:rsidRDefault="00E4642C" w:rsidP="00E4642C">
            <w:pPr>
              <w:spacing w:after="0" w:line="240" w:lineRule="auto"/>
              <w:ind w:left="432"/>
              <w:rPr>
                <w:rFonts w:eastAsia="Times New Roman" w:cs="Calibri"/>
                <w:color w:val="222222"/>
                <w:lang w:eastAsia="en-PH"/>
              </w:rPr>
            </w:pPr>
            <w:r w:rsidRPr="007E59C2">
              <w:rPr>
                <w:rFonts w:eastAsia="Times New Roman" w:cs="Calibri"/>
                <w:color w:val="222222"/>
                <w:lang w:eastAsia="en-PH"/>
              </w:rPr>
              <w:t>Pre-final draft of REDD-Plus Safeguards</w:t>
            </w:r>
          </w:p>
        </w:tc>
      </w:tr>
    </w:tbl>
    <w:p w:rsidR="00E4642C" w:rsidRPr="00E4642C" w:rsidRDefault="00E4642C" w:rsidP="00E4642C">
      <w:pPr>
        <w:spacing w:after="0" w:line="240" w:lineRule="auto"/>
        <w:rPr>
          <w:rFonts w:ascii="Arial" w:eastAsia="Times New Roman" w:hAnsi="Arial" w:cs="Arial"/>
          <w:color w:val="222222"/>
          <w:sz w:val="20"/>
          <w:szCs w:val="20"/>
          <w:lang w:eastAsia="en-PH"/>
        </w:rPr>
      </w:pPr>
      <w:r w:rsidRPr="00E4642C">
        <w:rPr>
          <w:rFonts w:eastAsia="Times New Roman" w:cs="Calibri"/>
          <w:color w:val="1F497D"/>
          <w:lang w:eastAsia="en-PH"/>
        </w:rPr>
        <w:t> </w:t>
      </w:r>
    </w:p>
    <w:p w:rsidR="00661195" w:rsidRDefault="00661195" w:rsidP="00660470">
      <w:pPr>
        <w:shd w:val="clear" w:color="auto" w:fill="FFFFFF"/>
        <w:spacing w:after="0" w:line="240" w:lineRule="auto"/>
        <w:jc w:val="both"/>
        <w:textAlignment w:val="baseline"/>
      </w:pPr>
    </w:p>
    <w:p w:rsidR="00921091" w:rsidRDefault="00921091" w:rsidP="00921091">
      <w:pPr>
        <w:spacing w:after="0" w:line="240" w:lineRule="auto"/>
        <w:jc w:val="both"/>
      </w:pPr>
      <w:r>
        <w:t>The above activities and deliverables shall be coordinated and align with the rest of Outcome 2 components being implemented by other partners, consultants or by FMB.</w:t>
      </w:r>
    </w:p>
    <w:p w:rsidR="00921091" w:rsidRDefault="00921091" w:rsidP="00921091">
      <w:pPr>
        <w:spacing w:after="0" w:line="240" w:lineRule="auto"/>
        <w:jc w:val="both"/>
      </w:pPr>
    </w:p>
    <w:p w:rsidR="00921091" w:rsidRDefault="00921091" w:rsidP="00921091">
      <w:pPr>
        <w:spacing w:after="0" w:line="240" w:lineRule="auto"/>
        <w:jc w:val="both"/>
      </w:pPr>
      <w:r>
        <w:t>4.</w:t>
      </w:r>
      <w:r>
        <w:tab/>
        <w:t>Duration and timing</w:t>
      </w:r>
    </w:p>
    <w:p w:rsidR="00921091" w:rsidRDefault="00921091" w:rsidP="00921091">
      <w:pPr>
        <w:spacing w:after="0" w:line="240" w:lineRule="auto"/>
        <w:jc w:val="both"/>
      </w:pPr>
    </w:p>
    <w:p w:rsidR="00921091" w:rsidRDefault="00921091" w:rsidP="00921091">
      <w:pPr>
        <w:spacing w:after="0" w:line="240" w:lineRule="auto"/>
        <w:jc w:val="both"/>
      </w:pPr>
      <w:r>
        <w:t>The national consultant will contribute 60 working days to this work, commencing on July ____, 2012.  The first output will be due after 35 working days, and the second output after 55 working days, with an additional 5 days for final revisions and other activities.</w:t>
      </w:r>
    </w:p>
    <w:p w:rsidR="00921091" w:rsidRDefault="00921091" w:rsidP="00921091">
      <w:pPr>
        <w:spacing w:after="0" w:line="240" w:lineRule="auto"/>
        <w:jc w:val="both"/>
      </w:pPr>
    </w:p>
    <w:p w:rsidR="00921091" w:rsidRDefault="00921091" w:rsidP="00921091">
      <w:pPr>
        <w:spacing w:after="0" w:line="240" w:lineRule="auto"/>
        <w:jc w:val="both"/>
      </w:pPr>
      <w:r>
        <w:t>6.</w:t>
      </w:r>
      <w:r>
        <w:tab/>
        <w:t>Qualification</w:t>
      </w:r>
    </w:p>
    <w:p w:rsidR="00921091" w:rsidRDefault="00921091" w:rsidP="00921091">
      <w:pPr>
        <w:spacing w:after="0" w:line="240" w:lineRule="auto"/>
        <w:jc w:val="both"/>
      </w:pPr>
    </w:p>
    <w:p w:rsidR="00921091" w:rsidRDefault="00921091" w:rsidP="00921091">
      <w:pPr>
        <w:spacing w:after="0" w:line="240" w:lineRule="auto"/>
        <w:jc w:val="both"/>
      </w:pPr>
      <w:r>
        <w:t>The consultant requires an advanced degree in social science field and a degree or extensive experience in natural resources management is highly desirable. The priority will be given to a consultant with relevant experience in practice or research in the area of participatory management of forests or other natural resources.  Demonstrated ability in setting up mechanisms for safeguards preferably related to anti-corruption, integrity, and transparency in the environment sector is an asset.</w:t>
      </w:r>
    </w:p>
    <w:p w:rsidR="00921091" w:rsidRDefault="00921091" w:rsidP="00921091">
      <w:pPr>
        <w:spacing w:after="0" w:line="240" w:lineRule="auto"/>
        <w:jc w:val="both"/>
      </w:pPr>
    </w:p>
    <w:p w:rsidR="00921091" w:rsidRDefault="00921091" w:rsidP="00921091">
      <w:pPr>
        <w:spacing w:after="0" w:line="240" w:lineRule="auto"/>
        <w:jc w:val="both"/>
      </w:pPr>
      <w:r>
        <w:t>7.</w:t>
      </w:r>
      <w:r>
        <w:tab/>
        <w:t>Institutional Arrangement</w:t>
      </w:r>
    </w:p>
    <w:p w:rsidR="00921091" w:rsidRDefault="00921091" w:rsidP="00921091">
      <w:pPr>
        <w:spacing w:after="0" w:line="240" w:lineRule="auto"/>
        <w:jc w:val="both"/>
      </w:pPr>
    </w:p>
    <w:p w:rsidR="00921091" w:rsidRDefault="00921091" w:rsidP="00921091">
      <w:pPr>
        <w:spacing w:after="0" w:line="240" w:lineRule="auto"/>
        <w:jc w:val="both"/>
      </w:pPr>
      <w:r>
        <w:t>For the duration of the contract, the consultant will coordinate with the UNDP and the Programme’s PMU and shall work in close coordination with the Technical Working Group on Safeguards of UN-REDD Programme in the Philippines</w:t>
      </w:r>
    </w:p>
    <w:p w:rsidR="00921091" w:rsidRDefault="00921091" w:rsidP="00921091">
      <w:pPr>
        <w:spacing w:after="0" w:line="240" w:lineRule="auto"/>
        <w:jc w:val="both"/>
      </w:pPr>
    </w:p>
    <w:p w:rsidR="00921091" w:rsidRDefault="00921091" w:rsidP="00921091">
      <w:pPr>
        <w:spacing w:after="0" w:line="240" w:lineRule="auto"/>
        <w:jc w:val="both"/>
      </w:pPr>
      <w:r>
        <w:t>The cost of the contract shall be charged to UNDP.  Processing of payment shall be made upon the issuance of the certificate of acceptance of UNDP and FMB with endorsement from the TWG on Safeguards.</w:t>
      </w:r>
    </w:p>
    <w:p w:rsidR="00921091" w:rsidRDefault="00921091" w:rsidP="00921091">
      <w:pPr>
        <w:spacing w:after="0" w:line="240" w:lineRule="auto"/>
      </w:pPr>
    </w:p>
    <w:p w:rsidR="00921091" w:rsidRDefault="00921091" w:rsidP="00921091">
      <w:pPr>
        <w:spacing w:after="0" w:line="240" w:lineRule="auto"/>
      </w:pPr>
    </w:p>
    <w:p w:rsidR="00FD557A" w:rsidRDefault="00FD557A" w:rsidP="00FD557A">
      <w:pPr>
        <w:spacing w:after="0" w:line="240" w:lineRule="auto"/>
      </w:pPr>
    </w:p>
    <w:p w:rsidR="00FD557A" w:rsidRDefault="00FD557A" w:rsidP="00FD557A">
      <w:pPr>
        <w:spacing w:after="0" w:line="240" w:lineRule="auto"/>
      </w:pPr>
    </w:p>
    <w:p w:rsidR="00FD557A" w:rsidRDefault="00FD557A" w:rsidP="00FD557A">
      <w:pPr>
        <w:spacing w:after="0" w:line="240" w:lineRule="auto"/>
        <w:jc w:val="center"/>
      </w:pPr>
      <w:r>
        <w:t>-End-</w:t>
      </w:r>
    </w:p>
    <w:sectPr w:rsidR="00FD557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14" w:rsidRDefault="00427214" w:rsidP="00F73DB0">
      <w:pPr>
        <w:spacing w:after="0" w:line="240" w:lineRule="auto"/>
      </w:pPr>
      <w:r>
        <w:separator/>
      </w:r>
    </w:p>
  </w:endnote>
  <w:endnote w:type="continuationSeparator" w:id="0">
    <w:p w:rsidR="00427214" w:rsidRDefault="00427214" w:rsidP="00F73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B0" w:rsidRDefault="00F73DB0">
    <w:pPr>
      <w:pStyle w:val="Footer"/>
      <w:jc w:val="center"/>
    </w:pPr>
    <w:fldSimple w:instr=" PAGE   \* MERGEFORMAT ">
      <w:r w:rsidR="00374C5B">
        <w:rPr>
          <w:noProof/>
        </w:rPr>
        <w:t>3</w:t>
      </w:r>
    </w:fldSimple>
  </w:p>
  <w:p w:rsidR="00F73DB0" w:rsidRDefault="00F73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14" w:rsidRDefault="00427214" w:rsidP="00F73DB0">
      <w:pPr>
        <w:spacing w:after="0" w:line="240" w:lineRule="auto"/>
      </w:pPr>
      <w:r>
        <w:separator/>
      </w:r>
    </w:p>
  </w:footnote>
  <w:footnote w:type="continuationSeparator" w:id="0">
    <w:p w:rsidR="00427214" w:rsidRDefault="00427214" w:rsidP="00F73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025D"/>
    <w:multiLevelType w:val="hybridMultilevel"/>
    <w:tmpl w:val="D31676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28451980"/>
    <w:multiLevelType w:val="multilevel"/>
    <w:tmpl w:val="E20C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0C328D"/>
    <w:multiLevelType w:val="hybridMultilevel"/>
    <w:tmpl w:val="0E2AB2D2"/>
    <w:lvl w:ilvl="0" w:tplc="34090001">
      <w:start w:val="1"/>
      <w:numFmt w:val="bullet"/>
      <w:lvlText w:val=""/>
      <w:lvlJc w:val="left"/>
      <w:pPr>
        <w:ind w:left="1965" w:hanging="360"/>
      </w:pPr>
      <w:rPr>
        <w:rFonts w:ascii="Symbol" w:hAnsi="Symbol" w:hint="default"/>
      </w:rPr>
    </w:lvl>
    <w:lvl w:ilvl="1" w:tplc="34090003" w:tentative="1">
      <w:start w:val="1"/>
      <w:numFmt w:val="bullet"/>
      <w:lvlText w:val="o"/>
      <w:lvlJc w:val="left"/>
      <w:pPr>
        <w:ind w:left="2685" w:hanging="360"/>
      </w:pPr>
      <w:rPr>
        <w:rFonts w:ascii="Courier New" w:hAnsi="Courier New" w:cs="Courier New" w:hint="default"/>
      </w:rPr>
    </w:lvl>
    <w:lvl w:ilvl="2" w:tplc="34090005" w:tentative="1">
      <w:start w:val="1"/>
      <w:numFmt w:val="bullet"/>
      <w:lvlText w:val=""/>
      <w:lvlJc w:val="left"/>
      <w:pPr>
        <w:ind w:left="3405" w:hanging="360"/>
      </w:pPr>
      <w:rPr>
        <w:rFonts w:ascii="Wingdings" w:hAnsi="Wingdings" w:hint="default"/>
      </w:rPr>
    </w:lvl>
    <w:lvl w:ilvl="3" w:tplc="34090001" w:tentative="1">
      <w:start w:val="1"/>
      <w:numFmt w:val="bullet"/>
      <w:lvlText w:val=""/>
      <w:lvlJc w:val="left"/>
      <w:pPr>
        <w:ind w:left="4125" w:hanging="360"/>
      </w:pPr>
      <w:rPr>
        <w:rFonts w:ascii="Symbol" w:hAnsi="Symbol" w:hint="default"/>
      </w:rPr>
    </w:lvl>
    <w:lvl w:ilvl="4" w:tplc="34090003" w:tentative="1">
      <w:start w:val="1"/>
      <w:numFmt w:val="bullet"/>
      <w:lvlText w:val="o"/>
      <w:lvlJc w:val="left"/>
      <w:pPr>
        <w:ind w:left="4845" w:hanging="360"/>
      </w:pPr>
      <w:rPr>
        <w:rFonts w:ascii="Courier New" w:hAnsi="Courier New" w:cs="Courier New" w:hint="default"/>
      </w:rPr>
    </w:lvl>
    <w:lvl w:ilvl="5" w:tplc="34090005" w:tentative="1">
      <w:start w:val="1"/>
      <w:numFmt w:val="bullet"/>
      <w:lvlText w:val=""/>
      <w:lvlJc w:val="left"/>
      <w:pPr>
        <w:ind w:left="5565" w:hanging="360"/>
      </w:pPr>
      <w:rPr>
        <w:rFonts w:ascii="Wingdings" w:hAnsi="Wingdings" w:hint="default"/>
      </w:rPr>
    </w:lvl>
    <w:lvl w:ilvl="6" w:tplc="34090001" w:tentative="1">
      <w:start w:val="1"/>
      <w:numFmt w:val="bullet"/>
      <w:lvlText w:val=""/>
      <w:lvlJc w:val="left"/>
      <w:pPr>
        <w:ind w:left="6285" w:hanging="360"/>
      </w:pPr>
      <w:rPr>
        <w:rFonts w:ascii="Symbol" w:hAnsi="Symbol" w:hint="default"/>
      </w:rPr>
    </w:lvl>
    <w:lvl w:ilvl="7" w:tplc="34090003" w:tentative="1">
      <w:start w:val="1"/>
      <w:numFmt w:val="bullet"/>
      <w:lvlText w:val="o"/>
      <w:lvlJc w:val="left"/>
      <w:pPr>
        <w:ind w:left="7005" w:hanging="360"/>
      </w:pPr>
      <w:rPr>
        <w:rFonts w:ascii="Courier New" w:hAnsi="Courier New" w:cs="Courier New" w:hint="default"/>
      </w:rPr>
    </w:lvl>
    <w:lvl w:ilvl="8" w:tplc="34090005" w:tentative="1">
      <w:start w:val="1"/>
      <w:numFmt w:val="bullet"/>
      <w:lvlText w:val=""/>
      <w:lvlJc w:val="left"/>
      <w:pPr>
        <w:ind w:left="7725" w:hanging="360"/>
      </w:pPr>
      <w:rPr>
        <w:rFonts w:ascii="Wingdings" w:hAnsi="Wingdings" w:hint="default"/>
      </w:rPr>
    </w:lvl>
  </w:abstractNum>
  <w:abstractNum w:abstractNumId="3">
    <w:nsid w:val="746B0B4C"/>
    <w:multiLevelType w:val="hybridMultilevel"/>
    <w:tmpl w:val="4B92A9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403AC"/>
    <w:rsid w:val="00082E7F"/>
    <w:rsid w:val="000D6505"/>
    <w:rsid w:val="001451E5"/>
    <w:rsid w:val="00147B49"/>
    <w:rsid w:val="001A5BA2"/>
    <w:rsid w:val="00306EC7"/>
    <w:rsid w:val="00374C5B"/>
    <w:rsid w:val="00427214"/>
    <w:rsid w:val="00503CBB"/>
    <w:rsid w:val="005403AC"/>
    <w:rsid w:val="00605951"/>
    <w:rsid w:val="00652079"/>
    <w:rsid w:val="00660470"/>
    <w:rsid w:val="00661195"/>
    <w:rsid w:val="006927AA"/>
    <w:rsid w:val="006B71AB"/>
    <w:rsid w:val="007D0121"/>
    <w:rsid w:val="007D7D7D"/>
    <w:rsid w:val="007E59C2"/>
    <w:rsid w:val="008C530F"/>
    <w:rsid w:val="008D6C98"/>
    <w:rsid w:val="00921091"/>
    <w:rsid w:val="00C753DF"/>
    <w:rsid w:val="00D16E78"/>
    <w:rsid w:val="00E4642C"/>
    <w:rsid w:val="00F73DB0"/>
    <w:rsid w:val="00FD5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D7D"/>
    <w:pPr>
      <w:ind w:left="720"/>
      <w:contextualSpacing/>
    </w:pPr>
  </w:style>
  <w:style w:type="table" w:styleId="TableGrid">
    <w:name w:val="Table Grid"/>
    <w:basedOn w:val="TableNormal"/>
    <w:uiPriority w:val="59"/>
    <w:rsid w:val="00661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3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B0"/>
  </w:style>
  <w:style w:type="paragraph" w:styleId="Footer">
    <w:name w:val="footer"/>
    <w:basedOn w:val="Normal"/>
    <w:link w:val="FooterChar"/>
    <w:uiPriority w:val="99"/>
    <w:unhideWhenUsed/>
    <w:rsid w:val="00F73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B0"/>
  </w:style>
</w:styles>
</file>

<file path=word/webSettings.xml><?xml version="1.0" encoding="utf-8"?>
<w:webSettings xmlns:r="http://schemas.openxmlformats.org/officeDocument/2006/relationships" xmlns:w="http://schemas.openxmlformats.org/wordprocessingml/2006/main">
  <w:divs>
    <w:div w:id="474954880">
      <w:bodyDiv w:val="1"/>
      <w:marLeft w:val="0"/>
      <w:marRight w:val="0"/>
      <w:marTop w:val="0"/>
      <w:marBottom w:val="0"/>
      <w:divBdr>
        <w:top w:val="none" w:sz="0" w:space="0" w:color="auto"/>
        <w:left w:val="none" w:sz="0" w:space="0" w:color="auto"/>
        <w:bottom w:val="none" w:sz="0" w:space="0" w:color="auto"/>
        <w:right w:val="none" w:sz="0" w:space="0" w:color="auto"/>
      </w:divBdr>
    </w:div>
    <w:div w:id="17211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timothy.boyle</cp:lastModifiedBy>
  <cp:revision>2</cp:revision>
  <dcterms:created xsi:type="dcterms:W3CDTF">2013-02-02T03:53:00Z</dcterms:created>
  <dcterms:modified xsi:type="dcterms:W3CDTF">2013-02-02T03:53:00Z</dcterms:modified>
</cp:coreProperties>
</file>