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BD3" w:rsidRPr="00111C67" w:rsidRDefault="00121BD3" w:rsidP="00121BD3">
      <w:pPr>
        <w:spacing w:after="100" w:afterAutospacing="1"/>
        <w:jc w:val="both"/>
        <w:rPr>
          <w:rFonts w:asciiTheme="minorHAnsi" w:hAnsiTheme="minorHAnsi"/>
          <w:b/>
          <w:smallCaps/>
          <w:color w:val="1F497D"/>
          <w:sz w:val="28"/>
          <w:szCs w:val="28"/>
        </w:rPr>
      </w:pPr>
      <w:r w:rsidRPr="006F5228">
        <w:rPr>
          <w:rFonts w:asciiTheme="minorHAnsi" w:hAnsiTheme="minorHAnsi"/>
          <w:b/>
          <w:smallCaps/>
          <w:color w:val="1F497D"/>
          <w:sz w:val="28"/>
          <w:szCs w:val="28"/>
        </w:rPr>
        <w:t>How the PGA is being utilized in Indonesia — preliminary results based on robust governance data</w:t>
      </w:r>
      <w:r w:rsidRPr="006F5228">
        <w:rPr>
          <w:rStyle w:val="FootnoteReference"/>
          <w:rFonts w:asciiTheme="minorHAnsi" w:hAnsiTheme="minorHAnsi"/>
          <w:b/>
          <w:smallCaps/>
          <w:color w:val="1F497D"/>
          <w:sz w:val="28"/>
          <w:szCs w:val="28"/>
        </w:rPr>
        <w:footnoteReference w:id="1"/>
      </w:r>
      <w:r w:rsidRPr="006F5228">
        <w:rPr>
          <w:rFonts w:asciiTheme="minorHAnsi" w:hAnsiTheme="minorHAnsi"/>
          <w:b/>
          <w:smallCaps/>
          <w:color w:val="1F497D"/>
          <w:sz w:val="28"/>
          <w:szCs w:val="28"/>
        </w:rPr>
        <w:t xml:space="preserve"> </w:t>
      </w:r>
    </w:p>
    <w:p w:rsidR="00121BD3" w:rsidRPr="00111C67" w:rsidRDefault="00121BD3" w:rsidP="00121BD3">
      <w:pPr>
        <w:spacing w:after="0" w:line="240" w:lineRule="auto"/>
        <w:rPr>
          <w:rFonts w:asciiTheme="minorHAnsi" w:hAnsiTheme="minorHAnsi"/>
          <w:b/>
          <w:smallCaps/>
          <w:color w:val="1F497D"/>
          <w:sz w:val="28"/>
          <w:szCs w:val="28"/>
        </w:rPr>
      </w:pPr>
    </w:p>
    <w:tbl>
      <w:tblPr>
        <w:tblW w:w="13926"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369"/>
        <w:gridCol w:w="2126"/>
        <w:gridCol w:w="8431"/>
      </w:tblGrid>
      <w:tr w:rsidR="00121BD3" w:rsidRPr="00111C67" w:rsidTr="002A4F4A">
        <w:trPr>
          <w:trHeight w:val="1180"/>
        </w:trPr>
        <w:tc>
          <w:tcPr>
            <w:tcW w:w="3369" w:type="dxa"/>
            <w:shd w:val="clear" w:color="auto" w:fill="4F81BD"/>
          </w:tcPr>
          <w:p w:rsidR="00121BD3" w:rsidRPr="00111C67" w:rsidRDefault="00121BD3" w:rsidP="002A4F4A">
            <w:pPr>
              <w:spacing w:after="0" w:line="240" w:lineRule="auto"/>
              <w:rPr>
                <w:rFonts w:asciiTheme="minorHAnsi" w:hAnsiTheme="minorHAnsi"/>
                <w:b/>
                <w:bCs/>
                <w:color w:val="FFFFFF"/>
              </w:rPr>
            </w:pPr>
            <w:r w:rsidRPr="006F5228">
              <w:rPr>
                <w:rFonts w:asciiTheme="minorHAnsi" w:hAnsiTheme="minorHAnsi"/>
                <w:b/>
                <w:bCs/>
                <w:color w:val="FFFFFF"/>
              </w:rPr>
              <w:t xml:space="preserve">How PGA data and/or recommendations are used: </w:t>
            </w:r>
          </w:p>
        </w:tc>
        <w:tc>
          <w:tcPr>
            <w:tcW w:w="2126" w:type="dxa"/>
            <w:shd w:val="clear" w:color="auto" w:fill="4F81BD"/>
          </w:tcPr>
          <w:p w:rsidR="00121BD3" w:rsidRPr="00111C67" w:rsidRDefault="00121BD3" w:rsidP="002A4F4A">
            <w:pPr>
              <w:spacing w:after="0" w:line="240" w:lineRule="auto"/>
              <w:rPr>
                <w:rFonts w:asciiTheme="minorHAnsi" w:hAnsiTheme="minorHAnsi"/>
                <w:b/>
                <w:bCs/>
                <w:color w:val="FFFFFF"/>
              </w:rPr>
            </w:pPr>
            <w:r w:rsidRPr="006F5228">
              <w:rPr>
                <w:rFonts w:asciiTheme="minorHAnsi" w:hAnsiTheme="minorHAnsi"/>
                <w:b/>
                <w:bCs/>
                <w:color w:val="FFFFFF"/>
              </w:rPr>
              <w:t xml:space="preserve">By whom: </w:t>
            </w:r>
          </w:p>
        </w:tc>
        <w:tc>
          <w:tcPr>
            <w:tcW w:w="8431" w:type="dxa"/>
            <w:shd w:val="clear" w:color="auto" w:fill="4F81BD"/>
          </w:tcPr>
          <w:p w:rsidR="00121BD3" w:rsidRPr="00111C67" w:rsidRDefault="00121BD3" w:rsidP="002A4F4A">
            <w:pPr>
              <w:spacing w:after="0" w:line="240" w:lineRule="auto"/>
              <w:rPr>
                <w:rFonts w:asciiTheme="minorHAnsi" w:hAnsiTheme="minorHAnsi"/>
                <w:b/>
                <w:bCs/>
                <w:color w:val="FFFFFF"/>
              </w:rPr>
            </w:pPr>
            <w:r w:rsidRPr="006F5228">
              <w:rPr>
                <w:rFonts w:asciiTheme="minorHAnsi" w:hAnsiTheme="minorHAnsi"/>
                <w:b/>
                <w:bCs/>
                <w:color w:val="FFFFFF"/>
              </w:rPr>
              <w:t xml:space="preserve">Results of this usage:  </w:t>
            </w:r>
          </w:p>
        </w:tc>
      </w:tr>
      <w:tr w:rsidR="00121BD3" w:rsidRPr="00111C67" w:rsidTr="002A4F4A">
        <w:trPr>
          <w:trHeight w:val="390"/>
        </w:trPr>
        <w:tc>
          <w:tcPr>
            <w:tcW w:w="3369" w:type="dxa"/>
            <w:tcBorders>
              <w:top w:val="single" w:sz="8" w:space="0" w:color="4F81BD"/>
              <w:left w:val="single" w:sz="8" w:space="0" w:color="4F81BD"/>
              <w:bottom w:val="single" w:sz="8" w:space="0" w:color="4F81BD"/>
            </w:tcBorders>
            <w:shd w:val="clear" w:color="auto" w:fill="auto"/>
          </w:tcPr>
          <w:p w:rsidR="00121BD3" w:rsidRPr="006F5228" w:rsidRDefault="007511DE" w:rsidP="007511DE">
            <w:pPr>
              <w:spacing w:after="0" w:line="240" w:lineRule="auto"/>
              <w:rPr>
                <w:rFonts w:asciiTheme="minorHAnsi" w:hAnsiTheme="minorHAnsi"/>
                <w:b/>
                <w:bCs/>
                <w:sz w:val="18"/>
                <w:szCs w:val="18"/>
              </w:rPr>
            </w:pPr>
            <w:r>
              <w:rPr>
                <w:rFonts w:asciiTheme="minorHAnsi" w:hAnsiTheme="minorHAnsi"/>
                <w:b/>
                <w:bCs/>
                <w:sz w:val="18"/>
                <w:szCs w:val="18"/>
              </w:rPr>
              <w:t xml:space="preserve">The PGA data has </w:t>
            </w:r>
            <w:r w:rsidR="00121BD3">
              <w:rPr>
                <w:rFonts w:asciiTheme="minorHAnsi" w:hAnsiTheme="minorHAnsi"/>
                <w:b/>
                <w:bCs/>
                <w:sz w:val="18"/>
                <w:szCs w:val="18"/>
              </w:rPr>
              <w:t>inform</w:t>
            </w:r>
            <w:r>
              <w:rPr>
                <w:rFonts w:asciiTheme="minorHAnsi" w:hAnsiTheme="minorHAnsi"/>
                <w:b/>
                <w:bCs/>
                <w:sz w:val="18"/>
                <w:szCs w:val="18"/>
              </w:rPr>
              <w:t xml:space="preserve">ed the decision-making in the Ministry of Forestry to revise </w:t>
            </w:r>
            <w:r w:rsidR="00121BD3">
              <w:rPr>
                <w:rFonts w:asciiTheme="minorHAnsi" w:hAnsiTheme="minorHAnsi"/>
                <w:b/>
                <w:bCs/>
                <w:sz w:val="18"/>
                <w:szCs w:val="18"/>
              </w:rPr>
              <w:t>21 regulations</w:t>
            </w:r>
            <w:r>
              <w:rPr>
                <w:rFonts w:asciiTheme="minorHAnsi" w:hAnsiTheme="minorHAnsi"/>
                <w:b/>
                <w:bCs/>
                <w:sz w:val="18"/>
                <w:szCs w:val="18"/>
              </w:rPr>
              <w:t xml:space="preserve"> to avoid corrupt practices</w:t>
            </w:r>
            <w:bookmarkStart w:id="0" w:name="_GoBack"/>
            <w:bookmarkEnd w:id="0"/>
          </w:p>
        </w:tc>
        <w:tc>
          <w:tcPr>
            <w:tcW w:w="2126" w:type="dxa"/>
            <w:tcBorders>
              <w:top w:val="single" w:sz="8" w:space="0" w:color="4F81BD"/>
              <w:bottom w:val="single" w:sz="8" w:space="0" w:color="4F81BD"/>
            </w:tcBorders>
            <w:shd w:val="clear" w:color="auto" w:fill="auto"/>
          </w:tcPr>
          <w:p w:rsidR="00121BD3" w:rsidRPr="006F5228" w:rsidRDefault="00121BD3" w:rsidP="002A4F4A">
            <w:pPr>
              <w:spacing w:after="0" w:line="240" w:lineRule="auto"/>
              <w:rPr>
                <w:rFonts w:asciiTheme="minorHAnsi" w:hAnsiTheme="minorHAnsi"/>
                <w:sz w:val="18"/>
                <w:szCs w:val="18"/>
              </w:rPr>
            </w:pPr>
            <w:r>
              <w:rPr>
                <w:rFonts w:asciiTheme="minorHAnsi" w:hAnsiTheme="minorHAnsi"/>
                <w:sz w:val="18"/>
                <w:szCs w:val="18"/>
              </w:rPr>
              <w:t>Ministry of Forestry</w:t>
            </w:r>
          </w:p>
        </w:tc>
        <w:tc>
          <w:tcPr>
            <w:tcW w:w="8431" w:type="dxa"/>
            <w:tcBorders>
              <w:top w:val="single" w:sz="8" w:space="0" w:color="4F81BD"/>
              <w:bottom w:val="single" w:sz="8" w:space="0" w:color="4F81BD"/>
              <w:right w:val="single" w:sz="8" w:space="0" w:color="4F81BD"/>
            </w:tcBorders>
            <w:shd w:val="clear" w:color="auto" w:fill="auto"/>
          </w:tcPr>
          <w:p w:rsidR="00121BD3" w:rsidRPr="006F5228" w:rsidRDefault="00121BD3" w:rsidP="002A4F4A">
            <w:pPr>
              <w:spacing w:after="0" w:line="240" w:lineRule="auto"/>
              <w:rPr>
                <w:rFonts w:asciiTheme="minorHAnsi" w:hAnsiTheme="minorHAnsi"/>
                <w:sz w:val="18"/>
                <w:szCs w:val="18"/>
              </w:rPr>
            </w:pPr>
            <w:r>
              <w:rPr>
                <w:rFonts w:asciiTheme="minorHAnsi" w:hAnsiTheme="minorHAnsi"/>
                <w:sz w:val="18"/>
                <w:szCs w:val="18"/>
              </w:rPr>
              <w:t>Improvements in</w:t>
            </w:r>
            <w:r w:rsidR="00374AB5">
              <w:rPr>
                <w:rFonts w:asciiTheme="minorHAnsi" w:hAnsiTheme="minorHAnsi"/>
                <w:sz w:val="18"/>
                <w:szCs w:val="18"/>
              </w:rPr>
              <w:t xml:space="preserve"> and revision of</w:t>
            </w:r>
            <w:r>
              <w:rPr>
                <w:rFonts w:asciiTheme="minorHAnsi" w:hAnsiTheme="minorHAnsi"/>
                <w:sz w:val="18"/>
                <w:szCs w:val="18"/>
              </w:rPr>
              <w:t xml:space="preserve"> 21 existing regulations </w:t>
            </w:r>
            <w:r w:rsidR="00374AB5">
              <w:rPr>
                <w:rFonts w:asciiTheme="minorHAnsi" w:hAnsiTheme="minorHAnsi"/>
                <w:sz w:val="18"/>
                <w:szCs w:val="18"/>
              </w:rPr>
              <w:t xml:space="preserve">by the Indonesian Ministry of Forestry </w:t>
            </w:r>
            <w:r w:rsidR="007511DE">
              <w:rPr>
                <w:rFonts w:asciiTheme="minorHAnsi" w:hAnsiTheme="minorHAnsi"/>
                <w:sz w:val="18"/>
                <w:szCs w:val="18"/>
              </w:rPr>
              <w:t xml:space="preserve">to counter corrupt practices on the ground </w:t>
            </w:r>
            <w:r>
              <w:rPr>
                <w:rFonts w:asciiTheme="minorHAnsi" w:hAnsiTheme="minorHAnsi"/>
                <w:sz w:val="18"/>
                <w:szCs w:val="18"/>
              </w:rPr>
              <w:t>(see attached list</w:t>
            </w:r>
            <w:r w:rsidR="00374AB5">
              <w:rPr>
                <w:rFonts w:asciiTheme="minorHAnsi" w:hAnsiTheme="minorHAnsi"/>
                <w:sz w:val="18"/>
                <w:szCs w:val="18"/>
              </w:rPr>
              <w:t xml:space="preserve"> on page 3 onwards</w:t>
            </w:r>
            <w:r>
              <w:rPr>
                <w:rFonts w:asciiTheme="minorHAnsi" w:hAnsiTheme="minorHAnsi"/>
                <w:sz w:val="18"/>
                <w:szCs w:val="18"/>
              </w:rPr>
              <w:t>)</w:t>
            </w:r>
            <w:r w:rsidR="007511DE">
              <w:rPr>
                <w:rFonts w:asciiTheme="minorHAnsi" w:hAnsiTheme="minorHAnsi"/>
                <w:sz w:val="18"/>
                <w:szCs w:val="18"/>
              </w:rPr>
              <w:t xml:space="preserve">. </w:t>
            </w:r>
          </w:p>
        </w:tc>
      </w:tr>
      <w:tr w:rsidR="00121BD3" w:rsidRPr="00111C67" w:rsidTr="002A4F4A">
        <w:trPr>
          <w:trHeight w:val="390"/>
        </w:trPr>
        <w:tc>
          <w:tcPr>
            <w:tcW w:w="3369" w:type="dxa"/>
            <w:tcBorders>
              <w:top w:val="single" w:sz="8" w:space="0" w:color="4F81BD"/>
              <w:left w:val="single" w:sz="8" w:space="0" w:color="4F81BD"/>
              <w:bottom w:val="single" w:sz="8" w:space="0" w:color="4F81BD"/>
            </w:tcBorders>
            <w:shd w:val="clear" w:color="auto" w:fill="auto"/>
          </w:tcPr>
          <w:p w:rsidR="00121BD3" w:rsidRPr="00111C67" w:rsidRDefault="00121BD3" w:rsidP="002A4F4A">
            <w:pPr>
              <w:spacing w:after="0" w:line="240" w:lineRule="auto"/>
              <w:rPr>
                <w:rFonts w:asciiTheme="minorHAnsi" w:hAnsiTheme="minorHAnsi"/>
                <w:b/>
                <w:bCs/>
                <w:sz w:val="18"/>
                <w:szCs w:val="18"/>
              </w:rPr>
            </w:pPr>
            <w:r w:rsidRPr="006F5228">
              <w:rPr>
                <w:rFonts w:asciiTheme="minorHAnsi" w:hAnsiTheme="minorHAnsi"/>
                <w:b/>
                <w:bCs/>
                <w:sz w:val="18"/>
                <w:szCs w:val="18"/>
              </w:rPr>
              <w:t xml:space="preserve">To inform strategic planning for 2013 and as basis for dialogue with and advocacy towards </w:t>
            </w:r>
            <w:proofErr w:type="spellStart"/>
            <w:r w:rsidRPr="006F5228">
              <w:rPr>
                <w:rFonts w:asciiTheme="minorHAnsi" w:hAnsiTheme="minorHAnsi"/>
                <w:b/>
                <w:bCs/>
                <w:sz w:val="18"/>
                <w:szCs w:val="18"/>
              </w:rPr>
              <w:t>GoI</w:t>
            </w:r>
            <w:proofErr w:type="spellEnd"/>
          </w:p>
        </w:tc>
        <w:tc>
          <w:tcPr>
            <w:tcW w:w="2126" w:type="dxa"/>
            <w:tcBorders>
              <w:top w:val="single" w:sz="8" w:space="0" w:color="4F81BD"/>
              <w:bottom w:val="single" w:sz="8" w:space="0" w:color="4F81BD"/>
            </w:tcBorders>
            <w:shd w:val="clear" w:color="auto" w:fill="auto"/>
          </w:tcPr>
          <w:p w:rsidR="00121BD3" w:rsidRPr="00111C67" w:rsidRDefault="00121BD3" w:rsidP="002A4F4A">
            <w:pPr>
              <w:spacing w:after="0" w:line="240" w:lineRule="auto"/>
              <w:rPr>
                <w:rFonts w:asciiTheme="minorHAnsi" w:hAnsiTheme="minorHAnsi"/>
                <w:sz w:val="18"/>
                <w:szCs w:val="18"/>
              </w:rPr>
            </w:pPr>
            <w:r w:rsidRPr="006F5228">
              <w:rPr>
                <w:rFonts w:asciiTheme="minorHAnsi" w:hAnsiTheme="minorHAnsi"/>
                <w:sz w:val="18"/>
                <w:szCs w:val="18"/>
              </w:rPr>
              <w:t>AMAN (Indonesian Peoples</w:t>
            </w:r>
            <w:r>
              <w:rPr>
                <w:rFonts w:asciiTheme="minorHAnsi" w:hAnsiTheme="minorHAnsi"/>
                <w:sz w:val="18"/>
                <w:szCs w:val="18"/>
              </w:rPr>
              <w:t>’</w:t>
            </w:r>
            <w:r w:rsidRPr="006F5228">
              <w:rPr>
                <w:rFonts w:asciiTheme="minorHAnsi" w:hAnsiTheme="minorHAnsi"/>
                <w:sz w:val="18"/>
                <w:szCs w:val="18"/>
              </w:rPr>
              <w:t xml:space="preserve"> Alliance of the Archipelago)</w:t>
            </w:r>
          </w:p>
        </w:tc>
        <w:tc>
          <w:tcPr>
            <w:tcW w:w="8431" w:type="dxa"/>
            <w:tcBorders>
              <w:top w:val="single" w:sz="8" w:space="0" w:color="4F81BD"/>
              <w:bottom w:val="single" w:sz="8" w:space="0" w:color="4F81BD"/>
              <w:right w:val="single" w:sz="8" w:space="0" w:color="4F81BD"/>
            </w:tcBorders>
            <w:shd w:val="clear" w:color="auto" w:fill="auto"/>
          </w:tcPr>
          <w:p w:rsidR="00121BD3" w:rsidRPr="00111C67" w:rsidRDefault="00121BD3" w:rsidP="00121BD3">
            <w:pPr>
              <w:numPr>
                <w:ilvl w:val="0"/>
                <w:numId w:val="1"/>
              </w:numPr>
              <w:spacing w:after="0" w:line="240" w:lineRule="auto"/>
              <w:rPr>
                <w:rFonts w:asciiTheme="minorHAnsi" w:hAnsiTheme="minorHAnsi"/>
                <w:sz w:val="18"/>
                <w:szCs w:val="18"/>
              </w:rPr>
            </w:pPr>
            <w:r w:rsidRPr="006F5228">
              <w:rPr>
                <w:rFonts w:asciiTheme="minorHAnsi" w:hAnsiTheme="minorHAnsi"/>
                <w:sz w:val="18"/>
                <w:szCs w:val="18"/>
              </w:rPr>
              <w:t xml:space="preserve">A better informed and more strategic approach to determine which governance issues to focus on; which are the most urgent; which institutions to approach within </w:t>
            </w:r>
            <w:proofErr w:type="spellStart"/>
            <w:r w:rsidRPr="006F5228">
              <w:rPr>
                <w:rFonts w:asciiTheme="minorHAnsi" w:hAnsiTheme="minorHAnsi"/>
                <w:sz w:val="18"/>
                <w:szCs w:val="18"/>
              </w:rPr>
              <w:t>GoI</w:t>
            </w:r>
            <w:proofErr w:type="spellEnd"/>
            <w:r w:rsidRPr="006F5228">
              <w:rPr>
                <w:rFonts w:asciiTheme="minorHAnsi" w:hAnsiTheme="minorHAnsi"/>
                <w:sz w:val="18"/>
                <w:szCs w:val="18"/>
              </w:rPr>
              <w:t xml:space="preserve">; and where to focus geographically </w:t>
            </w:r>
          </w:p>
          <w:p w:rsidR="00121BD3" w:rsidRPr="00111C67" w:rsidRDefault="00121BD3" w:rsidP="00121BD3">
            <w:pPr>
              <w:numPr>
                <w:ilvl w:val="0"/>
                <w:numId w:val="1"/>
              </w:numPr>
              <w:spacing w:after="0" w:line="240" w:lineRule="auto"/>
              <w:rPr>
                <w:rFonts w:asciiTheme="minorHAnsi" w:hAnsiTheme="minorHAnsi"/>
                <w:sz w:val="18"/>
                <w:szCs w:val="18"/>
              </w:rPr>
            </w:pPr>
            <w:r w:rsidRPr="006F5228">
              <w:rPr>
                <w:rFonts w:asciiTheme="minorHAnsi" w:hAnsiTheme="minorHAnsi"/>
                <w:sz w:val="18"/>
                <w:szCs w:val="18"/>
              </w:rPr>
              <w:t xml:space="preserve">More openness and willingness by </w:t>
            </w:r>
            <w:proofErr w:type="spellStart"/>
            <w:r w:rsidRPr="006F5228">
              <w:rPr>
                <w:rFonts w:asciiTheme="minorHAnsi" w:hAnsiTheme="minorHAnsi"/>
                <w:sz w:val="18"/>
                <w:szCs w:val="18"/>
              </w:rPr>
              <w:t>GoI</w:t>
            </w:r>
            <w:proofErr w:type="spellEnd"/>
            <w:r w:rsidRPr="006F5228">
              <w:rPr>
                <w:rFonts w:asciiTheme="minorHAnsi" w:hAnsiTheme="minorHAnsi"/>
                <w:sz w:val="18"/>
                <w:szCs w:val="18"/>
              </w:rPr>
              <w:t xml:space="preserve"> to listen to the PGA evidence/data used in dialogue and advocacy with the </w:t>
            </w:r>
            <w:proofErr w:type="spellStart"/>
            <w:r w:rsidRPr="006F5228">
              <w:rPr>
                <w:rFonts w:asciiTheme="minorHAnsi" w:hAnsiTheme="minorHAnsi"/>
                <w:sz w:val="18"/>
                <w:szCs w:val="18"/>
              </w:rPr>
              <w:t>GoI</w:t>
            </w:r>
            <w:proofErr w:type="spellEnd"/>
          </w:p>
          <w:p w:rsidR="00121BD3" w:rsidRPr="00111C67" w:rsidRDefault="00121BD3" w:rsidP="00121BD3">
            <w:pPr>
              <w:numPr>
                <w:ilvl w:val="0"/>
                <w:numId w:val="1"/>
              </w:numPr>
              <w:spacing w:after="0" w:line="240" w:lineRule="auto"/>
              <w:rPr>
                <w:rFonts w:asciiTheme="minorHAnsi" w:hAnsiTheme="minorHAnsi"/>
                <w:sz w:val="18"/>
                <w:szCs w:val="18"/>
              </w:rPr>
            </w:pPr>
            <w:r w:rsidRPr="006F5228">
              <w:rPr>
                <w:rFonts w:asciiTheme="minorHAnsi" w:hAnsiTheme="minorHAnsi"/>
                <w:sz w:val="18"/>
                <w:szCs w:val="18"/>
              </w:rPr>
              <w:t>More interaction with the government as the PGA creates the space and platforms to constructively engage at regular intervals</w:t>
            </w:r>
          </w:p>
        </w:tc>
      </w:tr>
      <w:tr w:rsidR="00121BD3" w:rsidRPr="00111C67" w:rsidTr="002A4F4A">
        <w:trPr>
          <w:trHeight w:val="400"/>
        </w:trPr>
        <w:tc>
          <w:tcPr>
            <w:tcW w:w="3369" w:type="dxa"/>
            <w:shd w:val="clear" w:color="auto" w:fill="auto"/>
          </w:tcPr>
          <w:p w:rsidR="00121BD3" w:rsidRPr="00111C67" w:rsidRDefault="00121BD3" w:rsidP="002A4F4A">
            <w:pPr>
              <w:spacing w:after="0" w:line="240" w:lineRule="auto"/>
              <w:rPr>
                <w:rFonts w:asciiTheme="minorHAnsi" w:hAnsiTheme="minorHAnsi"/>
                <w:b/>
                <w:bCs/>
                <w:sz w:val="18"/>
                <w:szCs w:val="18"/>
                <w:lang w:val="en-US"/>
              </w:rPr>
            </w:pPr>
            <w:r w:rsidRPr="006F5228">
              <w:rPr>
                <w:rFonts w:asciiTheme="minorHAnsi" w:hAnsiTheme="minorHAnsi"/>
                <w:b/>
                <w:bCs/>
                <w:sz w:val="18"/>
                <w:szCs w:val="18"/>
                <w:lang w:val="en-US"/>
              </w:rPr>
              <w:t>A study on the effectiveness of the permit system in avoiding corruption-related practices in the Ministry of Forestry was undertaken  — as recommended in the PGA report 2012</w:t>
            </w:r>
          </w:p>
          <w:p w:rsidR="00121BD3" w:rsidRPr="00111C67" w:rsidRDefault="00121BD3" w:rsidP="002A4F4A">
            <w:pPr>
              <w:spacing w:after="0" w:line="240" w:lineRule="auto"/>
              <w:rPr>
                <w:rFonts w:asciiTheme="minorHAnsi" w:hAnsiTheme="minorHAnsi"/>
                <w:b/>
                <w:bCs/>
                <w:sz w:val="18"/>
                <w:szCs w:val="18"/>
                <w:lang w:val="en-US"/>
              </w:rPr>
            </w:pPr>
          </w:p>
          <w:p w:rsidR="00121BD3" w:rsidRPr="00111C67" w:rsidRDefault="00121BD3" w:rsidP="002A4F4A">
            <w:pPr>
              <w:spacing w:after="0" w:line="240" w:lineRule="auto"/>
              <w:rPr>
                <w:rFonts w:asciiTheme="minorHAnsi" w:hAnsiTheme="minorHAnsi"/>
                <w:b/>
                <w:bCs/>
                <w:sz w:val="18"/>
                <w:szCs w:val="18"/>
                <w:lang w:val="en-US"/>
              </w:rPr>
            </w:pPr>
          </w:p>
        </w:tc>
        <w:tc>
          <w:tcPr>
            <w:tcW w:w="2126" w:type="dxa"/>
            <w:shd w:val="clear" w:color="auto" w:fill="auto"/>
          </w:tcPr>
          <w:p w:rsidR="00121BD3" w:rsidRPr="00111C67" w:rsidRDefault="00121BD3" w:rsidP="002A4F4A">
            <w:pPr>
              <w:spacing w:after="0" w:line="240" w:lineRule="auto"/>
              <w:rPr>
                <w:rFonts w:asciiTheme="minorHAnsi" w:hAnsiTheme="minorHAnsi"/>
                <w:sz w:val="18"/>
                <w:szCs w:val="18"/>
              </w:rPr>
            </w:pPr>
            <w:r w:rsidRPr="006F5228">
              <w:rPr>
                <w:rFonts w:asciiTheme="minorHAnsi" w:hAnsiTheme="minorHAnsi"/>
                <w:sz w:val="18"/>
                <w:szCs w:val="18"/>
              </w:rPr>
              <w:t>Ministry of Forestry in collaboration with KPK (National Corruption Eradication Commission)</w:t>
            </w:r>
          </w:p>
        </w:tc>
        <w:tc>
          <w:tcPr>
            <w:tcW w:w="8431" w:type="dxa"/>
            <w:shd w:val="clear" w:color="auto" w:fill="auto"/>
          </w:tcPr>
          <w:p w:rsidR="00121BD3" w:rsidRPr="00111C67" w:rsidRDefault="00121BD3" w:rsidP="002A4F4A">
            <w:pPr>
              <w:spacing w:after="0" w:line="240" w:lineRule="auto"/>
              <w:rPr>
                <w:rFonts w:asciiTheme="minorHAnsi" w:hAnsiTheme="minorHAnsi"/>
                <w:sz w:val="18"/>
                <w:szCs w:val="18"/>
                <w:lang w:val="en-US"/>
              </w:rPr>
            </w:pPr>
            <w:r w:rsidRPr="006F5228">
              <w:rPr>
                <w:rFonts w:asciiTheme="minorHAnsi" w:hAnsiTheme="minorHAnsi"/>
                <w:sz w:val="18"/>
                <w:szCs w:val="18"/>
                <w:lang w:val="en-US"/>
              </w:rPr>
              <w:t>The study was part of the KPK study on the permit system in the natural resource sector. The latest development is that, during 2014, the Ministry of Forestry has agreed to revise 12 ministry regulations as recommended by the PGA report, according to the Ministry’s work plan submitted to KPK.</w:t>
            </w:r>
          </w:p>
          <w:p w:rsidR="00121BD3" w:rsidRPr="00111C67" w:rsidRDefault="00121BD3" w:rsidP="002A4F4A">
            <w:pPr>
              <w:spacing w:after="0" w:line="240" w:lineRule="auto"/>
              <w:rPr>
                <w:rFonts w:asciiTheme="minorHAnsi" w:hAnsiTheme="minorHAnsi"/>
                <w:sz w:val="18"/>
                <w:szCs w:val="18"/>
                <w:lang w:val="en-US"/>
              </w:rPr>
            </w:pPr>
          </w:p>
          <w:p w:rsidR="00121BD3" w:rsidRPr="00111C67" w:rsidRDefault="00121BD3" w:rsidP="002A4F4A">
            <w:pPr>
              <w:spacing w:after="0" w:line="240" w:lineRule="auto"/>
              <w:rPr>
                <w:rFonts w:asciiTheme="minorHAnsi" w:hAnsiTheme="minorHAnsi"/>
                <w:sz w:val="18"/>
                <w:szCs w:val="18"/>
                <w:lang w:val="en-US"/>
              </w:rPr>
            </w:pPr>
            <w:r w:rsidRPr="006F5228">
              <w:rPr>
                <w:rFonts w:asciiTheme="minorHAnsi" w:hAnsiTheme="minorHAnsi"/>
                <w:sz w:val="18"/>
                <w:szCs w:val="18"/>
                <w:lang w:val="en-US"/>
              </w:rPr>
              <w:t>Further, this study allowed government and private sector actors to constructively discuss the situation and how to address the challenges, and in addition the findings and recommendations were well received (boding well for the continuation and policy-uptake).</w:t>
            </w:r>
          </w:p>
        </w:tc>
      </w:tr>
      <w:tr w:rsidR="00121BD3" w:rsidRPr="00111C67" w:rsidTr="002A4F4A">
        <w:trPr>
          <w:trHeight w:val="390"/>
        </w:trPr>
        <w:tc>
          <w:tcPr>
            <w:tcW w:w="3369" w:type="dxa"/>
            <w:tcBorders>
              <w:top w:val="single" w:sz="8" w:space="0" w:color="4F81BD"/>
              <w:left w:val="single" w:sz="8" w:space="0" w:color="4F81BD"/>
              <w:bottom w:val="single" w:sz="8" w:space="0" w:color="4F81BD"/>
            </w:tcBorders>
            <w:shd w:val="clear" w:color="auto" w:fill="auto"/>
          </w:tcPr>
          <w:p w:rsidR="00121BD3" w:rsidRPr="00111C67" w:rsidRDefault="00121BD3" w:rsidP="00121BD3">
            <w:pPr>
              <w:numPr>
                <w:ilvl w:val="0"/>
                <w:numId w:val="2"/>
              </w:numPr>
              <w:spacing w:after="0" w:line="240" w:lineRule="auto"/>
              <w:rPr>
                <w:rFonts w:asciiTheme="minorHAnsi" w:hAnsiTheme="minorHAnsi"/>
                <w:b/>
                <w:bCs/>
                <w:sz w:val="18"/>
                <w:szCs w:val="18"/>
                <w:lang w:val="en-US"/>
              </w:rPr>
            </w:pPr>
            <w:r w:rsidRPr="006F5228">
              <w:rPr>
                <w:rFonts w:asciiTheme="minorHAnsi" w:hAnsiTheme="minorHAnsi"/>
                <w:b/>
                <w:bCs/>
                <w:sz w:val="18"/>
                <w:szCs w:val="18"/>
                <w:lang w:val="en-US"/>
              </w:rPr>
              <w:t xml:space="preserve">An online forest conflict map specific to Jambi Province </w:t>
            </w:r>
          </w:p>
          <w:p w:rsidR="00121BD3" w:rsidRPr="00111C67" w:rsidRDefault="00121BD3" w:rsidP="002A4F4A">
            <w:pPr>
              <w:spacing w:after="0" w:line="240" w:lineRule="auto"/>
              <w:ind w:left="720"/>
              <w:rPr>
                <w:rFonts w:asciiTheme="minorHAnsi" w:hAnsiTheme="minorHAnsi"/>
                <w:b/>
                <w:bCs/>
                <w:sz w:val="18"/>
                <w:szCs w:val="18"/>
                <w:lang w:val="en-US"/>
              </w:rPr>
            </w:pPr>
          </w:p>
          <w:p w:rsidR="00121BD3" w:rsidRPr="00111C67" w:rsidRDefault="00121BD3" w:rsidP="00121BD3">
            <w:pPr>
              <w:numPr>
                <w:ilvl w:val="0"/>
                <w:numId w:val="2"/>
              </w:numPr>
              <w:spacing w:after="0" w:line="240" w:lineRule="auto"/>
              <w:rPr>
                <w:rFonts w:asciiTheme="minorHAnsi" w:hAnsiTheme="minorHAnsi"/>
                <w:b/>
                <w:bCs/>
                <w:sz w:val="18"/>
                <w:szCs w:val="18"/>
                <w:lang w:val="en-US"/>
              </w:rPr>
            </w:pPr>
            <w:r w:rsidRPr="006F5228">
              <w:rPr>
                <w:rFonts w:asciiTheme="minorHAnsi" w:hAnsiTheme="minorHAnsi"/>
                <w:b/>
                <w:bCs/>
                <w:sz w:val="18"/>
                <w:szCs w:val="18"/>
                <w:lang w:val="en-US"/>
              </w:rPr>
              <w:t>Jambi specific PGA/forest governance index</w:t>
            </w:r>
          </w:p>
        </w:tc>
        <w:tc>
          <w:tcPr>
            <w:tcW w:w="2126" w:type="dxa"/>
            <w:tcBorders>
              <w:top w:val="single" w:sz="8" w:space="0" w:color="4F81BD"/>
              <w:bottom w:val="single" w:sz="8" w:space="0" w:color="4F81BD"/>
            </w:tcBorders>
            <w:shd w:val="clear" w:color="auto" w:fill="auto"/>
          </w:tcPr>
          <w:p w:rsidR="00121BD3" w:rsidRPr="00111C67" w:rsidRDefault="00121BD3" w:rsidP="002A4F4A">
            <w:pPr>
              <w:spacing w:after="0" w:line="240" w:lineRule="auto"/>
              <w:rPr>
                <w:rFonts w:asciiTheme="minorHAnsi" w:hAnsiTheme="minorHAnsi"/>
                <w:sz w:val="18"/>
                <w:szCs w:val="18"/>
              </w:rPr>
            </w:pPr>
            <w:r w:rsidRPr="006F5228">
              <w:rPr>
                <w:rFonts w:asciiTheme="minorHAnsi" w:hAnsiTheme="minorHAnsi"/>
                <w:sz w:val="18"/>
                <w:szCs w:val="18"/>
              </w:rPr>
              <w:t>Jambi provincial government, Jambi Forestry Department</w:t>
            </w:r>
          </w:p>
        </w:tc>
        <w:tc>
          <w:tcPr>
            <w:tcW w:w="8431" w:type="dxa"/>
            <w:tcBorders>
              <w:top w:val="single" w:sz="8" w:space="0" w:color="4F81BD"/>
              <w:bottom w:val="single" w:sz="8" w:space="0" w:color="4F81BD"/>
              <w:right w:val="single" w:sz="8" w:space="0" w:color="4F81BD"/>
            </w:tcBorders>
            <w:shd w:val="clear" w:color="auto" w:fill="auto"/>
          </w:tcPr>
          <w:p w:rsidR="00121BD3" w:rsidRPr="00111C67" w:rsidRDefault="00121BD3" w:rsidP="002A4F4A">
            <w:pPr>
              <w:spacing w:after="0" w:line="240" w:lineRule="auto"/>
              <w:rPr>
                <w:rFonts w:asciiTheme="minorHAnsi" w:hAnsiTheme="minorHAnsi"/>
                <w:sz w:val="18"/>
                <w:szCs w:val="18"/>
              </w:rPr>
            </w:pPr>
            <w:r w:rsidRPr="006F5228">
              <w:rPr>
                <w:rFonts w:asciiTheme="minorHAnsi" w:hAnsiTheme="minorHAnsi"/>
                <w:sz w:val="18"/>
                <w:szCs w:val="18"/>
              </w:rPr>
              <w:t xml:space="preserve">The Jambi provincial government expressed interest in having more province-specific governance data to fit their needs in implementing their REDD+ strategy. The results of this province-specific tailoring of data will be the possibilities: </w:t>
            </w:r>
          </w:p>
          <w:p w:rsidR="00121BD3" w:rsidRPr="00111C67" w:rsidRDefault="00121BD3" w:rsidP="00121BD3">
            <w:pPr>
              <w:numPr>
                <w:ilvl w:val="0"/>
                <w:numId w:val="3"/>
              </w:numPr>
              <w:spacing w:after="0" w:line="240" w:lineRule="auto"/>
              <w:rPr>
                <w:rFonts w:asciiTheme="minorHAnsi" w:hAnsiTheme="minorHAnsi"/>
                <w:sz w:val="18"/>
                <w:szCs w:val="18"/>
              </w:rPr>
            </w:pPr>
            <w:r w:rsidRPr="006F5228">
              <w:rPr>
                <w:rFonts w:asciiTheme="minorHAnsi" w:hAnsiTheme="minorHAnsi"/>
                <w:sz w:val="18"/>
                <w:szCs w:val="18"/>
              </w:rPr>
              <w:t xml:space="preserve">to monitor </w:t>
            </w:r>
            <w:proofErr w:type="spellStart"/>
            <w:r w:rsidRPr="006F5228">
              <w:rPr>
                <w:rFonts w:asciiTheme="minorHAnsi" w:hAnsiTheme="minorHAnsi"/>
                <w:sz w:val="18"/>
                <w:szCs w:val="18"/>
              </w:rPr>
              <w:t>ongoing</w:t>
            </w:r>
            <w:proofErr w:type="spellEnd"/>
            <w:r w:rsidRPr="006F5228">
              <w:rPr>
                <w:rFonts w:asciiTheme="minorHAnsi" w:hAnsiTheme="minorHAnsi"/>
                <w:sz w:val="18"/>
                <w:szCs w:val="18"/>
              </w:rPr>
              <w:t xml:space="preserve"> forest conflicts to be better informed and to be more strategically able to determine </w:t>
            </w:r>
            <w:r w:rsidRPr="006F5228">
              <w:rPr>
                <w:rFonts w:asciiTheme="minorHAnsi" w:hAnsiTheme="minorHAnsi"/>
                <w:i/>
                <w:sz w:val="18"/>
                <w:szCs w:val="18"/>
              </w:rPr>
              <w:t>where</w:t>
            </w:r>
            <w:r w:rsidRPr="006F5228">
              <w:rPr>
                <w:rFonts w:asciiTheme="minorHAnsi" w:hAnsiTheme="minorHAnsi"/>
                <w:sz w:val="18"/>
                <w:szCs w:val="18"/>
              </w:rPr>
              <w:t xml:space="preserve"> and </w:t>
            </w:r>
            <w:r w:rsidRPr="006F5228">
              <w:rPr>
                <w:rFonts w:asciiTheme="minorHAnsi" w:hAnsiTheme="minorHAnsi"/>
                <w:i/>
                <w:sz w:val="18"/>
                <w:szCs w:val="18"/>
              </w:rPr>
              <w:t>how</w:t>
            </w:r>
            <w:r w:rsidRPr="006F5228">
              <w:rPr>
                <w:rFonts w:asciiTheme="minorHAnsi" w:hAnsiTheme="minorHAnsi"/>
                <w:sz w:val="18"/>
                <w:szCs w:val="18"/>
              </w:rPr>
              <w:t xml:space="preserve"> to intervene to resolve the conflicts;</w:t>
            </w:r>
          </w:p>
          <w:p w:rsidR="00121BD3" w:rsidRPr="00111C67" w:rsidRDefault="00121BD3" w:rsidP="00121BD3">
            <w:pPr>
              <w:numPr>
                <w:ilvl w:val="0"/>
                <w:numId w:val="3"/>
              </w:numPr>
              <w:spacing w:after="0" w:line="240" w:lineRule="auto"/>
              <w:rPr>
                <w:rFonts w:asciiTheme="minorHAnsi" w:hAnsiTheme="minorHAnsi"/>
                <w:sz w:val="18"/>
                <w:szCs w:val="18"/>
              </w:rPr>
            </w:pPr>
            <w:proofErr w:type="gramStart"/>
            <w:r w:rsidRPr="006F5228">
              <w:rPr>
                <w:rFonts w:asciiTheme="minorHAnsi" w:hAnsiTheme="minorHAnsi"/>
                <w:sz w:val="18"/>
                <w:szCs w:val="18"/>
              </w:rPr>
              <w:t>to</w:t>
            </w:r>
            <w:proofErr w:type="gramEnd"/>
            <w:r w:rsidRPr="006F5228">
              <w:rPr>
                <w:rFonts w:asciiTheme="minorHAnsi" w:hAnsiTheme="minorHAnsi"/>
                <w:sz w:val="18"/>
                <w:szCs w:val="18"/>
              </w:rPr>
              <w:t xml:space="preserve"> monitor and track progress at the provincial level to assess and redirect the REDD+ process on </w:t>
            </w:r>
            <w:r w:rsidRPr="006F5228">
              <w:rPr>
                <w:rFonts w:asciiTheme="minorHAnsi" w:hAnsiTheme="minorHAnsi"/>
                <w:sz w:val="18"/>
                <w:szCs w:val="18"/>
              </w:rPr>
              <w:lastRenderedPageBreak/>
              <w:t>specific issues .</w:t>
            </w:r>
          </w:p>
          <w:p w:rsidR="00121BD3" w:rsidRPr="00111C67" w:rsidRDefault="00121BD3" w:rsidP="002A4F4A">
            <w:pPr>
              <w:spacing w:after="0" w:line="240" w:lineRule="auto"/>
              <w:rPr>
                <w:rFonts w:asciiTheme="minorHAnsi" w:hAnsiTheme="minorHAnsi"/>
                <w:sz w:val="18"/>
                <w:szCs w:val="18"/>
              </w:rPr>
            </w:pPr>
          </w:p>
          <w:p w:rsidR="00121BD3" w:rsidRPr="00111C67" w:rsidRDefault="00121BD3" w:rsidP="00121BD3">
            <w:pPr>
              <w:numPr>
                <w:ilvl w:val="0"/>
                <w:numId w:val="3"/>
              </w:numPr>
              <w:spacing w:after="0" w:line="240" w:lineRule="auto"/>
              <w:rPr>
                <w:rFonts w:asciiTheme="minorHAnsi" w:hAnsiTheme="minorHAnsi"/>
                <w:sz w:val="18"/>
                <w:szCs w:val="18"/>
              </w:rPr>
            </w:pPr>
            <w:r w:rsidRPr="006F5228">
              <w:rPr>
                <w:rFonts w:asciiTheme="minorHAnsi" w:hAnsiTheme="minorHAnsi"/>
                <w:sz w:val="18"/>
                <w:szCs w:val="18"/>
              </w:rPr>
              <w:t xml:space="preserve">With regards to the online forest conflict map, this will enhance the provincial government’s oversight of conflicts and where to focus their attention. </w:t>
            </w:r>
          </w:p>
        </w:tc>
      </w:tr>
      <w:tr w:rsidR="00121BD3" w:rsidRPr="00111C67" w:rsidTr="002A4F4A">
        <w:trPr>
          <w:trHeight w:val="400"/>
        </w:trPr>
        <w:tc>
          <w:tcPr>
            <w:tcW w:w="3369" w:type="dxa"/>
            <w:shd w:val="clear" w:color="auto" w:fill="auto"/>
          </w:tcPr>
          <w:p w:rsidR="00121BD3" w:rsidRPr="00111C67" w:rsidRDefault="00121BD3" w:rsidP="002A4F4A">
            <w:pPr>
              <w:spacing w:after="0" w:line="240" w:lineRule="auto"/>
              <w:rPr>
                <w:rFonts w:asciiTheme="minorHAnsi" w:hAnsiTheme="minorHAnsi"/>
                <w:b/>
                <w:bCs/>
                <w:sz w:val="18"/>
                <w:szCs w:val="18"/>
              </w:rPr>
            </w:pPr>
            <w:r w:rsidRPr="006F5228">
              <w:rPr>
                <w:rFonts w:asciiTheme="minorHAnsi" w:hAnsiTheme="minorHAnsi"/>
                <w:b/>
                <w:bCs/>
                <w:sz w:val="18"/>
                <w:szCs w:val="18"/>
              </w:rPr>
              <w:lastRenderedPageBreak/>
              <w:t>Developing a set of sanctions for public officials to encourage non-corrupt practices</w:t>
            </w:r>
          </w:p>
          <w:p w:rsidR="00121BD3" w:rsidRPr="00111C67" w:rsidRDefault="00121BD3" w:rsidP="002A4F4A">
            <w:pPr>
              <w:spacing w:after="0" w:line="240" w:lineRule="auto"/>
              <w:rPr>
                <w:rFonts w:asciiTheme="minorHAnsi" w:hAnsiTheme="minorHAnsi"/>
                <w:b/>
                <w:bCs/>
                <w:sz w:val="18"/>
                <w:szCs w:val="18"/>
              </w:rPr>
            </w:pPr>
          </w:p>
          <w:p w:rsidR="00121BD3" w:rsidRPr="00111C67" w:rsidRDefault="00121BD3" w:rsidP="002A4F4A">
            <w:pPr>
              <w:spacing w:after="0" w:line="240" w:lineRule="auto"/>
              <w:rPr>
                <w:rFonts w:asciiTheme="minorHAnsi" w:hAnsiTheme="minorHAnsi"/>
                <w:b/>
                <w:bCs/>
                <w:sz w:val="18"/>
                <w:szCs w:val="18"/>
              </w:rPr>
            </w:pPr>
          </w:p>
        </w:tc>
        <w:tc>
          <w:tcPr>
            <w:tcW w:w="2126" w:type="dxa"/>
            <w:shd w:val="clear" w:color="auto" w:fill="auto"/>
          </w:tcPr>
          <w:p w:rsidR="00121BD3" w:rsidRPr="00111C67" w:rsidRDefault="00121BD3" w:rsidP="002A4F4A">
            <w:pPr>
              <w:spacing w:after="0" w:line="240" w:lineRule="auto"/>
              <w:rPr>
                <w:rFonts w:asciiTheme="minorHAnsi" w:hAnsiTheme="minorHAnsi"/>
                <w:sz w:val="18"/>
                <w:szCs w:val="18"/>
              </w:rPr>
            </w:pPr>
            <w:r w:rsidRPr="006F5228">
              <w:rPr>
                <w:rFonts w:asciiTheme="minorHAnsi" w:hAnsiTheme="minorHAnsi"/>
                <w:sz w:val="18"/>
                <w:szCs w:val="18"/>
              </w:rPr>
              <w:t>UKP4 (President’s Delivery Unit)</w:t>
            </w:r>
          </w:p>
        </w:tc>
        <w:tc>
          <w:tcPr>
            <w:tcW w:w="8431" w:type="dxa"/>
            <w:shd w:val="clear" w:color="auto" w:fill="auto"/>
          </w:tcPr>
          <w:p w:rsidR="00121BD3" w:rsidRPr="00111C67" w:rsidRDefault="00121BD3" w:rsidP="002A4F4A">
            <w:pPr>
              <w:spacing w:after="0" w:line="240" w:lineRule="auto"/>
              <w:rPr>
                <w:rFonts w:asciiTheme="minorHAnsi" w:hAnsiTheme="minorHAnsi"/>
                <w:sz w:val="18"/>
                <w:szCs w:val="18"/>
              </w:rPr>
            </w:pPr>
            <w:r w:rsidRPr="006F5228">
              <w:rPr>
                <w:rFonts w:asciiTheme="minorHAnsi" w:hAnsiTheme="minorHAnsi"/>
                <w:sz w:val="18"/>
                <w:szCs w:val="18"/>
              </w:rPr>
              <w:t xml:space="preserve">The sanctions provide clarity on internal procedures and increase the attention given to anti-corruption work with the view to address risks identified; encourage non-corrupt practices; as well as have in place a set of actions to enforce once corrupt practice is suspected or detected. </w:t>
            </w:r>
          </w:p>
        </w:tc>
      </w:tr>
      <w:tr w:rsidR="00121BD3" w:rsidRPr="00111C67" w:rsidTr="002A4F4A">
        <w:trPr>
          <w:trHeight w:val="390"/>
        </w:trPr>
        <w:tc>
          <w:tcPr>
            <w:tcW w:w="3369" w:type="dxa"/>
            <w:tcBorders>
              <w:top w:val="single" w:sz="8" w:space="0" w:color="4F81BD"/>
              <w:left w:val="single" w:sz="8" w:space="0" w:color="4F81BD"/>
              <w:bottom w:val="single" w:sz="8" w:space="0" w:color="4F81BD"/>
            </w:tcBorders>
            <w:shd w:val="clear" w:color="auto" w:fill="auto"/>
          </w:tcPr>
          <w:p w:rsidR="00121BD3" w:rsidRPr="00111C67" w:rsidRDefault="00121BD3" w:rsidP="002A4F4A">
            <w:pPr>
              <w:spacing w:after="0" w:line="240" w:lineRule="auto"/>
              <w:rPr>
                <w:rFonts w:asciiTheme="minorHAnsi" w:hAnsiTheme="minorHAnsi"/>
                <w:b/>
                <w:bCs/>
                <w:sz w:val="18"/>
                <w:szCs w:val="18"/>
                <w:lang w:val="en-US"/>
              </w:rPr>
            </w:pPr>
            <w:r w:rsidRPr="006F5228">
              <w:rPr>
                <w:rFonts w:asciiTheme="minorHAnsi" w:hAnsiTheme="minorHAnsi"/>
                <w:b/>
                <w:bCs/>
                <w:sz w:val="18"/>
                <w:szCs w:val="18"/>
                <w:lang w:val="en-US"/>
              </w:rPr>
              <w:t>A conflict resolution mechanism is being established</w:t>
            </w:r>
          </w:p>
          <w:p w:rsidR="00121BD3" w:rsidRPr="00111C67" w:rsidRDefault="00121BD3" w:rsidP="002A4F4A">
            <w:pPr>
              <w:spacing w:after="0" w:line="240" w:lineRule="auto"/>
              <w:rPr>
                <w:rFonts w:asciiTheme="minorHAnsi" w:hAnsiTheme="minorHAnsi"/>
                <w:b/>
                <w:bCs/>
                <w:sz w:val="18"/>
                <w:szCs w:val="18"/>
                <w:lang w:val="en-US"/>
              </w:rPr>
            </w:pPr>
          </w:p>
          <w:p w:rsidR="00121BD3" w:rsidRPr="00111C67" w:rsidRDefault="00121BD3" w:rsidP="002A4F4A">
            <w:pPr>
              <w:spacing w:after="0" w:line="240" w:lineRule="auto"/>
              <w:rPr>
                <w:rFonts w:asciiTheme="minorHAnsi" w:hAnsiTheme="minorHAnsi"/>
                <w:b/>
                <w:bCs/>
                <w:sz w:val="18"/>
                <w:szCs w:val="18"/>
              </w:rPr>
            </w:pPr>
          </w:p>
        </w:tc>
        <w:tc>
          <w:tcPr>
            <w:tcW w:w="2126" w:type="dxa"/>
            <w:tcBorders>
              <w:top w:val="single" w:sz="8" w:space="0" w:color="4F81BD"/>
              <w:bottom w:val="single" w:sz="8" w:space="0" w:color="4F81BD"/>
            </w:tcBorders>
            <w:shd w:val="clear" w:color="auto" w:fill="auto"/>
          </w:tcPr>
          <w:p w:rsidR="00121BD3" w:rsidRPr="00111C67" w:rsidRDefault="00121BD3" w:rsidP="002A4F4A">
            <w:pPr>
              <w:spacing w:after="0" w:line="240" w:lineRule="auto"/>
              <w:rPr>
                <w:rFonts w:asciiTheme="minorHAnsi" w:hAnsiTheme="minorHAnsi"/>
                <w:sz w:val="18"/>
                <w:szCs w:val="18"/>
                <w:highlight w:val="yellow"/>
              </w:rPr>
            </w:pPr>
            <w:r w:rsidRPr="006F5228">
              <w:rPr>
                <w:rFonts w:asciiTheme="minorHAnsi" w:hAnsiTheme="minorHAnsi"/>
                <w:sz w:val="18"/>
                <w:szCs w:val="18"/>
              </w:rPr>
              <w:t>Provincial/national levels</w:t>
            </w:r>
          </w:p>
        </w:tc>
        <w:tc>
          <w:tcPr>
            <w:tcW w:w="8431" w:type="dxa"/>
            <w:tcBorders>
              <w:top w:val="single" w:sz="8" w:space="0" w:color="4F81BD"/>
              <w:bottom w:val="single" w:sz="8" w:space="0" w:color="4F81BD"/>
              <w:right w:val="single" w:sz="8" w:space="0" w:color="4F81BD"/>
            </w:tcBorders>
            <w:shd w:val="clear" w:color="auto" w:fill="auto"/>
          </w:tcPr>
          <w:p w:rsidR="00121BD3" w:rsidRPr="00111C67" w:rsidRDefault="00121BD3" w:rsidP="002A4F4A">
            <w:pPr>
              <w:spacing w:after="0" w:line="240" w:lineRule="auto"/>
              <w:rPr>
                <w:rFonts w:asciiTheme="minorHAnsi" w:hAnsiTheme="minorHAnsi"/>
                <w:sz w:val="18"/>
                <w:szCs w:val="18"/>
              </w:rPr>
            </w:pPr>
            <w:r w:rsidRPr="006F5228">
              <w:rPr>
                <w:rFonts w:asciiTheme="minorHAnsi" w:hAnsiTheme="minorHAnsi"/>
                <w:sz w:val="18"/>
                <w:szCs w:val="18"/>
              </w:rPr>
              <w:t>Currently under development to address the gap identified.</w:t>
            </w:r>
          </w:p>
        </w:tc>
      </w:tr>
      <w:tr w:rsidR="00121BD3" w:rsidRPr="00111C67" w:rsidTr="002A4F4A">
        <w:trPr>
          <w:trHeight w:val="390"/>
        </w:trPr>
        <w:tc>
          <w:tcPr>
            <w:tcW w:w="3369" w:type="dxa"/>
            <w:shd w:val="clear" w:color="auto" w:fill="auto"/>
          </w:tcPr>
          <w:p w:rsidR="00121BD3" w:rsidRPr="00111C67" w:rsidRDefault="00121BD3" w:rsidP="002A4F4A">
            <w:pPr>
              <w:spacing w:after="0" w:line="240" w:lineRule="auto"/>
              <w:rPr>
                <w:rFonts w:asciiTheme="minorHAnsi" w:hAnsiTheme="minorHAnsi"/>
                <w:b/>
                <w:bCs/>
                <w:sz w:val="18"/>
                <w:szCs w:val="18"/>
              </w:rPr>
            </w:pPr>
            <w:r w:rsidRPr="006F5228">
              <w:rPr>
                <w:rFonts w:asciiTheme="minorHAnsi" w:hAnsiTheme="minorHAnsi"/>
                <w:b/>
                <w:bCs/>
                <w:sz w:val="18"/>
                <w:szCs w:val="18"/>
              </w:rPr>
              <w:t xml:space="preserve">Province-specific study to compare the South Sumatra governance findings with the financial resources available to more strategically </w:t>
            </w:r>
            <w:r w:rsidRPr="006F5228">
              <w:rPr>
                <w:rFonts w:asciiTheme="minorHAnsi" w:hAnsiTheme="minorHAnsi" w:cs="Arial"/>
                <w:b/>
                <w:bCs/>
                <w:color w:val="000000"/>
                <w:sz w:val="18"/>
                <w:szCs w:val="18"/>
              </w:rPr>
              <w:t>make use of existing resources, while at the same time addressing the recommendations for improved governance</w:t>
            </w:r>
          </w:p>
        </w:tc>
        <w:tc>
          <w:tcPr>
            <w:tcW w:w="2126" w:type="dxa"/>
            <w:shd w:val="clear" w:color="auto" w:fill="auto"/>
          </w:tcPr>
          <w:p w:rsidR="00121BD3" w:rsidRPr="00111C67" w:rsidRDefault="00121BD3" w:rsidP="002A4F4A">
            <w:pPr>
              <w:spacing w:after="0" w:line="240" w:lineRule="auto"/>
              <w:rPr>
                <w:rFonts w:asciiTheme="minorHAnsi" w:hAnsiTheme="minorHAnsi"/>
                <w:sz w:val="18"/>
                <w:szCs w:val="18"/>
              </w:rPr>
            </w:pPr>
            <w:r w:rsidRPr="006F5228">
              <w:rPr>
                <w:rFonts w:asciiTheme="minorHAnsi" w:hAnsiTheme="minorHAnsi"/>
                <w:sz w:val="18"/>
                <w:szCs w:val="18"/>
              </w:rPr>
              <w:t>Provincial government of South Sumatra</w:t>
            </w:r>
          </w:p>
        </w:tc>
        <w:tc>
          <w:tcPr>
            <w:tcW w:w="8431" w:type="dxa"/>
            <w:shd w:val="clear" w:color="auto" w:fill="auto"/>
          </w:tcPr>
          <w:p w:rsidR="00121BD3" w:rsidRPr="00111C67" w:rsidRDefault="00121BD3" w:rsidP="002A4F4A">
            <w:pPr>
              <w:spacing w:after="0" w:line="240" w:lineRule="auto"/>
              <w:rPr>
                <w:rFonts w:asciiTheme="minorHAnsi" w:hAnsiTheme="minorHAnsi"/>
                <w:sz w:val="18"/>
                <w:szCs w:val="18"/>
              </w:rPr>
            </w:pPr>
            <w:r w:rsidRPr="006F5228">
              <w:rPr>
                <w:rFonts w:asciiTheme="minorHAnsi" w:hAnsiTheme="minorHAnsi" w:cs="Arial"/>
                <w:bCs/>
                <w:color w:val="000000"/>
                <w:sz w:val="18"/>
                <w:szCs w:val="18"/>
              </w:rPr>
              <w:t>More</w:t>
            </w:r>
            <w:r w:rsidRPr="006F5228">
              <w:rPr>
                <w:rFonts w:asciiTheme="minorHAnsi" w:hAnsiTheme="minorHAnsi" w:cs="Arial"/>
                <w:b/>
                <w:bCs/>
                <w:color w:val="000000"/>
                <w:sz w:val="18"/>
                <w:szCs w:val="18"/>
              </w:rPr>
              <w:t xml:space="preserve"> </w:t>
            </w:r>
            <w:r w:rsidRPr="006F5228">
              <w:rPr>
                <w:rFonts w:asciiTheme="minorHAnsi" w:hAnsiTheme="minorHAnsi" w:cs="Arial"/>
                <w:color w:val="000000"/>
                <w:sz w:val="18"/>
                <w:szCs w:val="18"/>
              </w:rPr>
              <w:t>strategic and realistic options for REDD+ policy-making and reform in South Sumatra for improved governance, taking financial viability into account. This was requested by the provincial government as they wanted to see what was actually possible given the current budget situation.</w:t>
            </w:r>
          </w:p>
        </w:tc>
      </w:tr>
      <w:tr w:rsidR="00121BD3" w:rsidRPr="00111C67" w:rsidTr="002A4F4A">
        <w:trPr>
          <w:trHeight w:val="390"/>
        </w:trPr>
        <w:tc>
          <w:tcPr>
            <w:tcW w:w="3369" w:type="dxa"/>
            <w:tcBorders>
              <w:top w:val="single" w:sz="8" w:space="0" w:color="4F81BD"/>
              <w:left w:val="single" w:sz="8" w:space="0" w:color="4F81BD"/>
              <w:bottom w:val="single" w:sz="8" w:space="0" w:color="4F81BD"/>
            </w:tcBorders>
            <w:shd w:val="clear" w:color="auto" w:fill="auto"/>
          </w:tcPr>
          <w:p w:rsidR="00121BD3" w:rsidRPr="00111C67" w:rsidRDefault="00121BD3" w:rsidP="002A4F4A">
            <w:pPr>
              <w:spacing w:after="0" w:line="240" w:lineRule="auto"/>
              <w:rPr>
                <w:rFonts w:asciiTheme="minorHAnsi" w:hAnsiTheme="minorHAnsi"/>
                <w:b/>
                <w:bCs/>
                <w:sz w:val="18"/>
                <w:szCs w:val="18"/>
              </w:rPr>
            </w:pPr>
            <w:r w:rsidRPr="006F5228">
              <w:rPr>
                <w:rFonts w:asciiTheme="minorHAnsi" w:hAnsiTheme="minorHAnsi"/>
                <w:b/>
                <w:bCs/>
                <w:sz w:val="18"/>
                <w:szCs w:val="18"/>
              </w:rPr>
              <w:t>PGA data feeding into the SIS</w:t>
            </w:r>
          </w:p>
        </w:tc>
        <w:tc>
          <w:tcPr>
            <w:tcW w:w="2126" w:type="dxa"/>
            <w:tcBorders>
              <w:top w:val="single" w:sz="8" w:space="0" w:color="4F81BD"/>
              <w:bottom w:val="single" w:sz="8" w:space="0" w:color="4F81BD"/>
            </w:tcBorders>
            <w:shd w:val="clear" w:color="auto" w:fill="auto"/>
          </w:tcPr>
          <w:p w:rsidR="00121BD3" w:rsidRPr="00111C67" w:rsidRDefault="00121BD3" w:rsidP="002A4F4A">
            <w:pPr>
              <w:spacing w:after="0" w:line="240" w:lineRule="auto"/>
              <w:rPr>
                <w:rFonts w:asciiTheme="minorHAnsi" w:hAnsiTheme="minorHAnsi"/>
                <w:sz w:val="18"/>
                <w:szCs w:val="18"/>
              </w:rPr>
            </w:pPr>
            <w:proofErr w:type="spellStart"/>
            <w:r w:rsidRPr="006F5228">
              <w:rPr>
                <w:rFonts w:asciiTheme="minorHAnsi" w:hAnsiTheme="minorHAnsi"/>
                <w:sz w:val="18"/>
                <w:szCs w:val="18"/>
              </w:rPr>
              <w:t>GoI</w:t>
            </w:r>
            <w:proofErr w:type="spellEnd"/>
            <w:r w:rsidRPr="006F5228">
              <w:rPr>
                <w:rFonts w:asciiTheme="minorHAnsi" w:hAnsiTheme="minorHAnsi"/>
                <w:sz w:val="18"/>
                <w:szCs w:val="18"/>
              </w:rPr>
              <w:t>: Ministry of Forestry and REDD+ Agency</w:t>
            </w:r>
          </w:p>
        </w:tc>
        <w:tc>
          <w:tcPr>
            <w:tcW w:w="8431" w:type="dxa"/>
            <w:tcBorders>
              <w:top w:val="single" w:sz="8" w:space="0" w:color="4F81BD"/>
              <w:bottom w:val="single" w:sz="8" w:space="0" w:color="4F81BD"/>
              <w:right w:val="single" w:sz="8" w:space="0" w:color="4F81BD"/>
            </w:tcBorders>
            <w:shd w:val="clear" w:color="auto" w:fill="auto"/>
          </w:tcPr>
          <w:p w:rsidR="00121BD3" w:rsidRPr="00111C67" w:rsidRDefault="00121BD3" w:rsidP="002A4F4A">
            <w:pPr>
              <w:spacing w:after="0" w:line="240" w:lineRule="auto"/>
              <w:rPr>
                <w:rFonts w:asciiTheme="minorHAnsi" w:hAnsiTheme="minorHAnsi"/>
                <w:sz w:val="18"/>
                <w:szCs w:val="18"/>
              </w:rPr>
            </w:pPr>
            <w:r w:rsidRPr="006F5228">
              <w:rPr>
                <w:rFonts w:asciiTheme="minorHAnsi" w:hAnsiTheme="minorHAnsi"/>
                <w:sz w:val="18"/>
                <w:szCs w:val="18"/>
              </w:rPr>
              <w:t>This is currently being explored with the Ministry of Forestry and is highly supported by the Norwegian Embassy in Jakarta, whereas REDD+ Agency is open to exploring this further.</w:t>
            </w:r>
          </w:p>
        </w:tc>
      </w:tr>
      <w:tr w:rsidR="00121BD3" w:rsidRPr="00111C67" w:rsidTr="002A4F4A">
        <w:trPr>
          <w:trHeight w:val="390"/>
        </w:trPr>
        <w:tc>
          <w:tcPr>
            <w:tcW w:w="3369" w:type="dxa"/>
            <w:shd w:val="clear" w:color="auto" w:fill="auto"/>
          </w:tcPr>
          <w:p w:rsidR="00121BD3" w:rsidRPr="00111C67" w:rsidRDefault="00121BD3" w:rsidP="002A4F4A">
            <w:pPr>
              <w:spacing w:after="0" w:line="240" w:lineRule="auto"/>
              <w:rPr>
                <w:rFonts w:asciiTheme="minorHAnsi" w:hAnsiTheme="minorHAnsi"/>
                <w:b/>
                <w:bCs/>
                <w:sz w:val="18"/>
                <w:szCs w:val="18"/>
              </w:rPr>
            </w:pPr>
            <w:r w:rsidRPr="006F5228">
              <w:rPr>
                <w:rFonts w:asciiTheme="minorHAnsi" w:hAnsiTheme="minorHAnsi"/>
                <w:b/>
                <w:bCs/>
                <w:sz w:val="18"/>
                <w:szCs w:val="18"/>
              </w:rPr>
              <w:t>PGA framework used as REDD+ Agency’s own monitoring tool of the entire REDD+ process in Indonesia</w:t>
            </w:r>
          </w:p>
        </w:tc>
        <w:tc>
          <w:tcPr>
            <w:tcW w:w="2126" w:type="dxa"/>
            <w:shd w:val="clear" w:color="auto" w:fill="auto"/>
          </w:tcPr>
          <w:p w:rsidR="00121BD3" w:rsidRPr="00111C67" w:rsidRDefault="00121BD3" w:rsidP="002A4F4A">
            <w:pPr>
              <w:spacing w:after="0" w:line="240" w:lineRule="auto"/>
              <w:rPr>
                <w:rFonts w:asciiTheme="minorHAnsi" w:hAnsiTheme="minorHAnsi"/>
                <w:sz w:val="18"/>
                <w:szCs w:val="18"/>
              </w:rPr>
            </w:pPr>
            <w:r w:rsidRPr="006F5228">
              <w:rPr>
                <w:rFonts w:asciiTheme="minorHAnsi" w:hAnsiTheme="minorHAnsi"/>
                <w:sz w:val="18"/>
                <w:szCs w:val="18"/>
              </w:rPr>
              <w:t>REDD+ Agency</w:t>
            </w:r>
          </w:p>
        </w:tc>
        <w:tc>
          <w:tcPr>
            <w:tcW w:w="8431" w:type="dxa"/>
            <w:shd w:val="clear" w:color="auto" w:fill="auto"/>
          </w:tcPr>
          <w:p w:rsidR="00121BD3" w:rsidRPr="00111C67" w:rsidRDefault="00121BD3" w:rsidP="002A4F4A">
            <w:pPr>
              <w:spacing w:after="0" w:line="240" w:lineRule="auto"/>
              <w:rPr>
                <w:rFonts w:asciiTheme="minorHAnsi" w:hAnsiTheme="minorHAnsi"/>
                <w:sz w:val="18"/>
                <w:szCs w:val="18"/>
              </w:rPr>
            </w:pPr>
            <w:r w:rsidRPr="006F5228">
              <w:rPr>
                <w:rFonts w:asciiTheme="minorHAnsi" w:hAnsiTheme="minorHAnsi"/>
                <w:sz w:val="18"/>
                <w:szCs w:val="18"/>
              </w:rPr>
              <w:t>This was expressed in a meeting 3 May 2014 with the head of the REDD+ Agency, as this would fill a current gap. To be explored further.</w:t>
            </w:r>
          </w:p>
        </w:tc>
      </w:tr>
      <w:tr w:rsidR="00121BD3" w:rsidRPr="00111C67" w:rsidTr="002A4F4A">
        <w:trPr>
          <w:trHeight w:val="390"/>
        </w:trPr>
        <w:tc>
          <w:tcPr>
            <w:tcW w:w="3369" w:type="dxa"/>
            <w:shd w:val="clear" w:color="auto" w:fill="auto"/>
          </w:tcPr>
          <w:p w:rsidR="00121BD3" w:rsidRPr="00111C67" w:rsidRDefault="00121BD3" w:rsidP="002A4F4A">
            <w:pPr>
              <w:spacing w:after="0" w:line="240" w:lineRule="auto"/>
              <w:rPr>
                <w:rFonts w:asciiTheme="minorHAnsi" w:hAnsiTheme="minorHAnsi"/>
                <w:b/>
                <w:bCs/>
                <w:sz w:val="18"/>
                <w:szCs w:val="18"/>
              </w:rPr>
            </w:pPr>
            <w:r w:rsidRPr="006F5228">
              <w:rPr>
                <w:rFonts w:asciiTheme="minorHAnsi" w:hAnsiTheme="minorHAnsi"/>
                <w:b/>
                <w:bCs/>
                <w:sz w:val="18"/>
                <w:szCs w:val="18"/>
              </w:rPr>
              <w:t>To develop a set of sanctions for public officials to encourage non-corrupt practices</w:t>
            </w:r>
          </w:p>
          <w:p w:rsidR="00121BD3" w:rsidRPr="00111C67" w:rsidRDefault="00121BD3" w:rsidP="002A4F4A">
            <w:pPr>
              <w:spacing w:after="0" w:line="240" w:lineRule="auto"/>
              <w:rPr>
                <w:rFonts w:asciiTheme="minorHAnsi" w:hAnsiTheme="minorHAnsi"/>
                <w:b/>
                <w:bCs/>
                <w:sz w:val="18"/>
                <w:szCs w:val="18"/>
              </w:rPr>
            </w:pPr>
          </w:p>
          <w:p w:rsidR="00121BD3" w:rsidRPr="00111C67" w:rsidRDefault="00121BD3" w:rsidP="002A4F4A">
            <w:pPr>
              <w:spacing w:after="0" w:line="240" w:lineRule="auto"/>
              <w:rPr>
                <w:rFonts w:asciiTheme="minorHAnsi" w:hAnsiTheme="minorHAnsi"/>
                <w:b/>
                <w:bCs/>
                <w:sz w:val="18"/>
                <w:szCs w:val="18"/>
              </w:rPr>
            </w:pPr>
          </w:p>
        </w:tc>
        <w:tc>
          <w:tcPr>
            <w:tcW w:w="2126" w:type="dxa"/>
            <w:shd w:val="clear" w:color="auto" w:fill="auto"/>
          </w:tcPr>
          <w:p w:rsidR="00121BD3" w:rsidRPr="00111C67" w:rsidRDefault="00121BD3" w:rsidP="002A4F4A">
            <w:pPr>
              <w:spacing w:after="0" w:line="240" w:lineRule="auto"/>
              <w:rPr>
                <w:rFonts w:asciiTheme="minorHAnsi" w:hAnsiTheme="minorHAnsi"/>
                <w:sz w:val="18"/>
                <w:szCs w:val="18"/>
              </w:rPr>
            </w:pPr>
            <w:r w:rsidRPr="006F5228">
              <w:rPr>
                <w:rFonts w:asciiTheme="minorHAnsi" w:hAnsiTheme="minorHAnsi"/>
                <w:sz w:val="18"/>
                <w:szCs w:val="18"/>
              </w:rPr>
              <w:t>UKP4 (President’s Delivery Unit)</w:t>
            </w:r>
          </w:p>
        </w:tc>
        <w:tc>
          <w:tcPr>
            <w:tcW w:w="8431" w:type="dxa"/>
            <w:shd w:val="clear" w:color="auto" w:fill="auto"/>
          </w:tcPr>
          <w:p w:rsidR="00121BD3" w:rsidRPr="00111C67" w:rsidRDefault="00121BD3" w:rsidP="002A4F4A">
            <w:pPr>
              <w:spacing w:after="0" w:line="240" w:lineRule="auto"/>
              <w:rPr>
                <w:rFonts w:asciiTheme="minorHAnsi" w:hAnsiTheme="minorHAnsi"/>
                <w:sz w:val="18"/>
                <w:szCs w:val="18"/>
              </w:rPr>
            </w:pPr>
            <w:r w:rsidRPr="006F5228">
              <w:rPr>
                <w:rFonts w:asciiTheme="minorHAnsi" w:hAnsiTheme="minorHAnsi"/>
                <w:sz w:val="18"/>
                <w:szCs w:val="18"/>
              </w:rPr>
              <w:t xml:space="preserve">Under development. Eventually the sanctions will provide clarity on internal procedures and increase the attention given to anticorruption work with the view to address risks identified; to encourage non-corrupt practices; and to have in place a set of actions to enforce once corrupt practice is suspected or detected. </w:t>
            </w:r>
          </w:p>
        </w:tc>
      </w:tr>
      <w:tr w:rsidR="00121BD3" w:rsidRPr="00111C67" w:rsidTr="002A4F4A">
        <w:trPr>
          <w:trHeight w:val="390"/>
        </w:trPr>
        <w:tc>
          <w:tcPr>
            <w:tcW w:w="3369" w:type="dxa"/>
            <w:shd w:val="clear" w:color="auto" w:fill="auto"/>
          </w:tcPr>
          <w:p w:rsidR="00121BD3" w:rsidRPr="006F5228" w:rsidRDefault="00121BD3" w:rsidP="002A4F4A">
            <w:pPr>
              <w:spacing w:after="0" w:line="240" w:lineRule="auto"/>
              <w:rPr>
                <w:rFonts w:asciiTheme="minorHAnsi" w:hAnsiTheme="minorHAnsi"/>
                <w:b/>
                <w:bCs/>
                <w:sz w:val="18"/>
                <w:szCs w:val="18"/>
              </w:rPr>
            </w:pPr>
          </w:p>
        </w:tc>
        <w:tc>
          <w:tcPr>
            <w:tcW w:w="2126" w:type="dxa"/>
            <w:shd w:val="clear" w:color="auto" w:fill="auto"/>
          </w:tcPr>
          <w:p w:rsidR="00121BD3" w:rsidRPr="006F5228" w:rsidRDefault="00121BD3" w:rsidP="002A4F4A">
            <w:pPr>
              <w:spacing w:after="0" w:line="240" w:lineRule="auto"/>
              <w:rPr>
                <w:rFonts w:asciiTheme="minorHAnsi" w:hAnsiTheme="minorHAnsi"/>
                <w:sz w:val="18"/>
                <w:szCs w:val="18"/>
              </w:rPr>
            </w:pPr>
          </w:p>
        </w:tc>
        <w:tc>
          <w:tcPr>
            <w:tcW w:w="8431" w:type="dxa"/>
            <w:shd w:val="clear" w:color="auto" w:fill="auto"/>
          </w:tcPr>
          <w:p w:rsidR="00121BD3" w:rsidRPr="006F5228" w:rsidRDefault="00121BD3" w:rsidP="002A4F4A">
            <w:pPr>
              <w:spacing w:after="0" w:line="240" w:lineRule="auto"/>
              <w:rPr>
                <w:rFonts w:asciiTheme="minorHAnsi" w:hAnsiTheme="minorHAnsi"/>
                <w:sz w:val="18"/>
                <w:szCs w:val="18"/>
              </w:rPr>
            </w:pPr>
          </w:p>
        </w:tc>
      </w:tr>
    </w:tbl>
    <w:p w:rsidR="00121BD3" w:rsidRPr="00111C67" w:rsidRDefault="00121BD3" w:rsidP="00121BD3">
      <w:pPr>
        <w:spacing w:after="100" w:afterAutospacing="1"/>
        <w:jc w:val="both"/>
        <w:rPr>
          <w:rFonts w:asciiTheme="minorHAnsi" w:hAnsiTheme="minorHAnsi"/>
          <w:b/>
          <w:smallCaps/>
          <w:color w:val="1F497D"/>
          <w:sz w:val="28"/>
          <w:szCs w:val="28"/>
        </w:rPr>
        <w:sectPr w:rsidR="00121BD3" w:rsidRPr="00111C67" w:rsidSect="00121BD3">
          <w:headerReference w:type="default" r:id="rId8"/>
          <w:footnotePr>
            <w:numRestart w:val="eachPage"/>
          </w:footnotePr>
          <w:pgSz w:w="16838" w:h="11906" w:orient="landscape" w:code="9"/>
          <w:pgMar w:top="1440" w:right="1440" w:bottom="1440" w:left="1440" w:header="709" w:footer="709" w:gutter="0"/>
          <w:cols w:space="708"/>
          <w:docGrid w:linePitch="360"/>
        </w:sectPr>
      </w:pPr>
    </w:p>
    <w:tbl>
      <w:tblPr>
        <w:tblW w:w="13926" w:type="dxa"/>
        <w:tblCellMar>
          <w:left w:w="0" w:type="dxa"/>
          <w:right w:w="0" w:type="dxa"/>
        </w:tblCellMar>
        <w:tblLook w:val="0600" w:firstRow="0" w:lastRow="0" w:firstColumn="0" w:lastColumn="0" w:noHBand="1" w:noVBand="1"/>
      </w:tblPr>
      <w:tblGrid>
        <w:gridCol w:w="13926"/>
      </w:tblGrid>
      <w:tr w:rsidR="00121BD3" w:rsidRPr="00EB45EB" w:rsidTr="002A4F4A">
        <w:trPr>
          <w:trHeight w:val="652"/>
        </w:trPr>
        <w:tc>
          <w:tcPr>
            <w:tcW w:w="1392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 w:type="dxa"/>
              <w:left w:w="1" w:type="dxa"/>
              <w:bottom w:w="0" w:type="dxa"/>
              <w:right w:w="1" w:type="dxa"/>
            </w:tcMar>
            <w:hideMark/>
          </w:tcPr>
          <w:p w:rsidR="00374AB5" w:rsidRPr="00374AB5" w:rsidRDefault="00374AB5" w:rsidP="00374AB5">
            <w:pPr>
              <w:spacing w:after="0" w:line="240" w:lineRule="auto"/>
              <w:textAlignment w:val="top"/>
              <w:rPr>
                <w:rFonts w:eastAsia="Times New Roman" w:cs="Arial"/>
                <w:b/>
                <w:color w:val="000000"/>
                <w:kern w:val="24"/>
                <w:sz w:val="20"/>
                <w:szCs w:val="18"/>
                <w:u w:val="single"/>
                <w:lang w:val="en-US" w:eastAsia="en-GB"/>
              </w:rPr>
            </w:pPr>
            <w:r w:rsidRPr="00374AB5">
              <w:rPr>
                <w:rFonts w:eastAsia="Times New Roman" w:cs="Arial"/>
                <w:b/>
                <w:color w:val="000000"/>
                <w:kern w:val="24"/>
                <w:sz w:val="20"/>
                <w:szCs w:val="18"/>
                <w:u w:val="single"/>
                <w:lang w:val="en-US" w:eastAsia="en-GB"/>
              </w:rPr>
              <w:lastRenderedPageBreak/>
              <w:t xml:space="preserve">List of the 21 regulations </w:t>
            </w:r>
            <w:r>
              <w:rPr>
                <w:rFonts w:eastAsia="Times New Roman" w:cs="Arial"/>
                <w:b/>
                <w:color w:val="000000"/>
                <w:kern w:val="24"/>
                <w:sz w:val="20"/>
                <w:szCs w:val="18"/>
                <w:u w:val="single"/>
                <w:lang w:val="en-US" w:eastAsia="en-GB"/>
              </w:rPr>
              <w:t xml:space="preserve">that are currently </w:t>
            </w:r>
            <w:r w:rsidRPr="00374AB5">
              <w:rPr>
                <w:rFonts w:eastAsia="Times New Roman" w:cs="Arial"/>
                <w:b/>
                <w:color w:val="000000"/>
                <w:kern w:val="24"/>
                <w:sz w:val="20"/>
                <w:szCs w:val="18"/>
                <w:u w:val="single"/>
                <w:lang w:val="en-US" w:eastAsia="en-GB"/>
              </w:rPr>
              <w:t>being revised</w:t>
            </w:r>
            <w:r>
              <w:rPr>
                <w:rFonts w:eastAsia="Times New Roman" w:cs="Arial"/>
                <w:b/>
                <w:color w:val="000000"/>
                <w:kern w:val="24"/>
                <w:sz w:val="20"/>
                <w:szCs w:val="18"/>
                <w:u w:val="single"/>
                <w:lang w:val="en-US" w:eastAsia="en-GB"/>
              </w:rPr>
              <w:t xml:space="preserve"> (as of June 2014) </w:t>
            </w:r>
            <w:r w:rsidRPr="00374AB5">
              <w:rPr>
                <w:rFonts w:eastAsia="Times New Roman" w:cs="Arial"/>
                <w:b/>
                <w:color w:val="000000"/>
                <w:kern w:val="24"/>
                <w:sz w:val="20"/>
                <w:szCs w:val="18"/>
                <w:u w:val="single"/>
                <w:lang w:val="en-US" w:eastAsia="en-GB"/>
              </w:rPr>
              <w:t xml:space="preserve"> </w:t>
            </w:r>
            <w:r>
              <w:rPr>
                <w:rFonts w:eastAsia="Times New Roman" w:cs="Arial"/>
                <w:b/>
                <w:color w:val="000000"/>
                <w:kern w:val="24"/>
                <w:sz w:val="20"/>
                <w:szCs w:val="18"/>
                <w:u w:val="single"/>
                <w:lang w:val="en-US" w:eastAsia="en-GB"/>
              </w:rPr>
              <w:t>based on PGA findings and follow-up of recommendations:</w:t>
            </w:r>
            <w:r w:rsidRPr="00374AB5">
              <w:rPr>
                <w:rFonts w:eastAsia="Times New Roman" w:cs="Arial"/>
                <w:b/>
                <w:color w:val="000000"/>
                <w:kern w:val="24"/>
                <w:sz w:val="20"/>
                <w:szCs w:val="18"/>
                <w:u w:val="single"/>
                <w:lang w:val="en-US" w:eastAsia="en-GB"/>
              </w:rPr>
              <w:t xml:space="preserve"> </w:t>
            </w:r>
          </w:p>
          <w:p w:rsidR="00374AB5" w:rsidRPr="00374AB5" w:rsidRDefault="00374AB5" w:rsidP="00374AB5">
            <w:pPr>
              <w:spacing w:after="0" w:line="240" w:lineRule="auto"/>
              <w:textAlignment w:val="top"/>
              <w:rPr>
                <w:rFonts w:eastAsia="Times New Roman" w:cs="Arial"/>
                <w:color w:val="000000"/>
                <w:kern w:val="24"/>
                <w:sz w:val="20"/>
                <w:szCs w:val="18"/>
                <w:lang w:val="en-US" w:eastAsia="en-GB"/>
              </w:rPr>
            </w:pPr>
          </w:p>
          <w:p w:rsidR="00EB45EB" w:rsidRPr="00EB45EB" w:rsidRDefault="00121BD3" w:rsidP="00374AB5">
            <w:pPr>
              <w:spacing w:after="0" w:line="240" w:lineRule="auto"/>
              <w:textAlignment w:val="top"/>
              <w:rPr>
                <w:rFonts w:ascii="Arial" w:eastAsia="Times New Roman" w:hAnsi="Arial" w:cs="Arial"/>
                <w:sz w:val="16"/>
                <w:szCs w:val="18"/>
                <w:lang w:eastAsia="en-GB"/>
              </w:rPr>
            </w:pPr>
            <w:r w:rsidRPr="00EB45EB">
              <w:rPr>
                <w:rFonts w:eastAsia="Times New Roman" w:cs="Arial"/>
                <w:color w:val="000000"/>
                <w:kern w:val="24"/>
                <w:sz w:val="16"/>
                <w:szCs w:val="18"/>
                <w:lang w:val="en-US" w:eastAsia="en-GB"/>
              </w:rPr>
              <w:t xml:space="preserve">Revised Regulation No.6/2007 in conjunction with Government Regulation No. 3/2008 to remove the boundary setting obligation to UPHHK. </w:t>
            </w:r>
          </w:p>
        </w:tc>
      </w:tr>
      <w:tr w:rsidR="00121BD3" w:rsidRPr="00EB45EB" w:rsidTr="002A4F4A">
        <w:trPr>
          <w:trHeight w:val="841"/>
        </w:trPr>
        <w:tc>
          <w:tcPr>
            <w:tcW w:w="1392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 w:type="dxa"/>
              <w:left w:w="1" w:type="dxa"/>
              <w:bottom w:w="0" w:type="dxa"/>
              <w:right w:w="1" w:type="dxa"/>
            </w:tcMar>
            <w:hideMark/>
          </w:tcPr>
          <w:p w:rsidR="00EB45EB" w:rsidRPr="00EB45EB" w:rsidRDefault="00121BD3" w:rsidP="00374AB5">
            <w:pPr>
              <w:spacing w:after="0" w:line="240" w:lineRule="auto"/>
              <w:textAlignment w:val="top"/>
              <w:rPr>
                <w:rFonts w:ascii="Arial" w:eastAsia="Times New Roman" w:hAnsi="Arial" w:cs="Arial"/>
                <w:sz w:val="16"/>
                <w:szCs w:val="18"/>
                <w:lang w:eastAsia="en-GB"/>
              </w:rPr>
            </w:pPr>
            <w:r w:rsidRPr="00EB45EB">
              <w:rPr>
                <w:rFonts w:eastAsia="Times New Roman" w:cs="Arial"/>
                <w:color w:val="000000"/>
                <w:kern w:val="24"/>
                <w:sz w:val="16"/>
                <w:szCs w:val="18"/>
                <w:lang w:val="en-US" w:eastAsia="en-GB"/>
              </w:rPr>
              <w:t xml:space="preserve">Revised Regulation of the Minister of Forestry No.50/2010 in conjunction with Regulation No.62/2012 so that permits will be awarded only to the areas reserved and designated as state forest areas. </w:t>
            </w:r>
          </w:p>
        </w:tc>
      </w:tr>
      <w:tr w:rsidR="00121BD3" w:rsidRPr="00EB45EB" w:rsidTr="002A4F4A">
        <w:trPr>
          <w:trHeight w:val="847"/>
        </w:trPr>
        <w:tc>
          <w:tcPr>
            <w:tcW w:w="1392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 w:type="dxa"/>
              <w:left w:w="1" w:type="dxa"/>
              <w:bottom w:w="0" w:type="dxa"/>
              <w:right w:w="1" w:type="dxa"/>
            </w:tcMar>
            <w:hideMark/>
          </w:tcPr>
          <w:p w:rsidR="00EB45EB" w:rsidRPr="00EB45EB" w:rsidRDefault="00121BD3" w:rsidP="00374AB5">
            <w:pPr>
              <w:spacing w:after="0" w:line="240" w:lineRule="auto"/>
              <w:textAlignment w:val="top"/>
              <w:rPr>
                <w:rFonts w:ascii="Arial" w:eastAsia="Times New Roman" w:hAnsi="Arial" w:cs="Arial"/>
                <w:sz w:val="16"/>
                <w:szCs w:val="18"/>
                <w:lang w:eastAsia="en-GB"/>
              </w:rPr>
            </w:pPr>
            <w:r w:rsidRPr="00EB45EB">
              <w:rPr>
                <w:rFonts w:eastAsia="Times New Roman" w:cs="Arial"/>
                <w:color w:val="000000"/>
                <w:kern w:val="24"/>
                <w:sz w:val="16"/>
                <w:szCs w:val="18"/>
                <w:lang w:val="en-US" w:eastAsia="en-GB"/>
              </w:rPr>
              <w:t>Conduct a review of the function of public services and method of measuring the performance of state forest enterprises (BUMN) as the enterprises to manage the forests.</w:t>
            </w:r>
          </w:p>
        </w:tc>
      </w:tr>
      <w:tr w:rsidR="00121BD3" w:rsidRPr="00EB45EB" w:rsidTr="002A4F4A">
        <w:trPr>
          <w:trHeight w:val="847"/>
        </w:trPr>
        <w:tc>
          <w:tcPr>
            <w:tcW w:w="1392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 w:type="dxa"/>
              <w:left w:w="1" w:type="dxa"/>
              <w:bottom w:w="0" w:type="dxa"/>
              <w:right w:w="1" w:type="dxa"/>
            </w:tcMar>
            <w:hideMark/>
          </w:tcPr>
          <w:p w:rsidR="00EB45EB" w:rsidRPr="00EB45EB" w:rsidRDefault="00121BD3" w:rsidP="00374AB5">
            <w:pPr>
              <w:spacing w:after="0" w:line="240" w:lineRule="auto"/>
              <w:textAlignment w:val="top"/>
              <w:rPr>
                <w:rFonts w:ascii="Arial" w:eastAsia="Times New Roman" w:hAnsi="Arial" w:cs="Arial"/>
                <w:sz w:val="16"/>
                <w:szCs w:val="18"/>
                <w:lang w:eastAsia="en-GB"/>
              </w:rPr>
            </w:pPr>
            <w:r w:rsidRPr="00EB45EB">
              <w:rPr>
                <w:rFonts w:eastAsia="Times New Roman" w:cs="Arial"/>
                <w:color w:val="000000"/>
                <w:kern w:val="24"/>
                <w:sz w:val="16"/>
                <w:szCs w:val="18"/>
                <w:lang w:val="en-US" w:eastAsia="en-GB"/>
              </w:rPr>
              <w:t>Revised policy to manage the forests in Java by the State Forest Enterprise as the result of study result to improve the approval efficiency.</w:t>
            </w:r>
          </w:p>
        </w:tc>
      </w:tr>
      <w:tr w:rsidR="00121BD3" w:rsidRPr="00EB45EB" w:rsidTr="002A4F4A">
        <w:trPr>
          <w:trHeight w:val="1270"/>
        </w:trPr>
        <w:tc>
          <w:tcPr>
            <w:tcW w:w="1392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 w:type="dxa"/>
              <w:left w:w="1" w:type="dxa"/>
              <w:bottom w:w="0" w:type="dxa"/>
              <w:right w:w="1" w:type="dxa"/>
            </w:tcMar>
            <w:hideMark/>
          </w:tcPr>
          <w:p w:rsidR="00EB45EB" w:rsidRPr="00EB45EB" w:rsidRDefault="00121BD3" w:rsidP="00374AB5">
            <w:pPr>
              <w:spacing w:after="0" w:line="240" w:lineRule="auto"/>
              <w:textAlignment w:val="top"/>
              <w:rPr>
                <w:rFonts w:ascii="Arial" w:eastAsia="Times New Roman" w:hAnsi="Arial" w:cs="Arial"/>
                <w:sz w:val="16"/>
                <w:szCs w:val="18"/>
                <w:lang w:eastAsia="en-GB"/>
              </w:rPr>
            </w:pPr>
            <w:r w:rsidRPr="00EB45EB">
              <w:rPr>
                <w:rFonts w:eastAsia="Times New Roman" w:cs="Arial"/>
                <w:color w:val="000000"/>
                <w:kern w:val="24"/>
                <w:sz w:val="16"/>
                <w:szCs w:val="18"/>
                <w:lang w:val="en-US" w:eastAsia="en-GB"/>
              </w:rPr>
              <w:t>Revised Government Regulation No. 6/2007 in conjunction with Government Regulation No. 3/2008 to strictly regulate the allocation of UPHHK-HTI in natural forests, as well as the general norm to determine the reserved land allocation, including the time limit policy of exploitation of timber from natural forests by HTI.</w:t>
            </w:r>
          </w:p>
        </w:tc>
      </w:tr>
      <w:tr w:rsidR="00121BD3" w:rsidRPr="00EB45EB" w:rsidTr="002A4F4A">
        <w:trPr>
          <w:trHeight w:val="1302"/>
        </w:trPr>
        <w:tc>
          <w:tcPr>
            <w:tcW w:w="1392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 w:type="dxa"/>
              <w:left w:w="1" w:type="dxa"/>
              <w:bottom w:w="0" w:type="dxa"/>
              <w:right w:w="1" w:type="dxa"/>
            </w:tcMar>
            <w:hideMark/>
          </w:tcPr>
          <w:p w:rsidR="00EB45EB" w:rsidRPr="00EB45EB" w:rsidRDefault="00121BD3" w:rsidP="00374AB5">
            <w:pPr>
              <w:spacing w:after="0" w:line="240" w:lineRule="auto"/>
              <w:textAlignment w:val="top"/>
              <w:rPr>
                <w:rFonts w:ascii="Arial" w:eastAsia="Times New Roman" w:hAnsi="Arial" w:cs="Arial"/>
                <w:sz w:val="16"/>
                <w:szCs w:val="18"/>
                <w:lang w:eastAsia="en-GB"/>
              </w:rPr>
            </w:pPr>
            <w:r w:rsidRPr="00EB45EB">
              <w:rPr>
                <w:rFonts w:eastAsia="Times New Roman" w:cs="Arial"/>
                <w:color w:val="000000"/>
                <w:kern w:val="24"/>
                <w:sz w:val="16"/>
                <w:szCs w:val="18"/>
                <w:lang w:val="en-US" w:eastAsia="en-GB"/>
              </w:rPr>
              <w:t>Revise the regulation by ensuring that the reserved areas are identified by the third parties, and are made certain according to their function and status of the state forests. And the certainty that such areas have been approved by the Governors/District Heads, and thus recommendations for permits are no longer required by the prospective permit holders.</w:t>
            </w:r>
          </w:p>
        </w:tc>
      </w:tr>
      <w:tr w:rsidR="00121BD3" w:rsidRPr="00EB45EB" w:rsidTr="002A4F4A">
        <w:trPr>
          <w:trHeight w:val="847"/>
        </w:trPr>
        <w:tc>
          <w:tcPr>
            <w:tcW w:w="1392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 w:type="dxa"/>
              <w:left w:w="1" w:type="dxa"/>
              <w:bottom w:w="0" w:type="dxa"/>
              <w:right w:w="1" w:type="dxa"/>
            </w:tcMar>
            <w:hideMark/>
          </w:tcPr>
          <w:p w:rsidR="00EB45EB" w:rsidRPr="00EB45EB" w:rsidRDefault="00121BD3" w:rsidP="00374AB5">
            <w:pPr>
              <w:spacing w:after="0" w:line="240" w:lineRule="auto"/>
              <w:textAlignment w:val="top"/>
              <w:rPr>
                <w:rFonts w:ascii="Arial" w:eastAsia="Times New Roman" w:hAnsi="Arial" w:cs="Arial"/>
                <w:sz w:val="16"/>
                <w:szCs w:val="18"/>
                <w:lang w:eastAsia="en-GB"/>
              </w:rPr>
            </w:pPr>
            <w:r w:rsidRPr="00EB45EB">
              <w:rPr>
                <w:rFonts w:eastAsia="Times New Roman" w:cs="Arial"/>
                <w:color w:val="000000"/>
                <w:kern w:val="24"/>
                <w:sz w:val="16"/>
                <w:szCs w:val="18"/>
                <w:lang w:val="en-US" w:eastAsia="en-GB"/>
              </w:rPr>
              <w:t>Revised Regulation No.6/2007 in conjunction with Government Regulation No. 3/2008 to determine the maximum and minimum size, and the general mechanism so that the limit granting is based on the reserved areas</w:t>
            </w:r>
          </w:p>
        </w:tc>
      </w:tr>
      <w:tr w:rsidR="00121BD3" w:rsidRPr="00EB45EB" w:rsidTr="002A4F4A">
        <w:trPr>
          <w:trHeight w:val="991"/>
        </w:trPr>
        <w:tc>
          <w:tcPr>
            <w:tcW w:w="1392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 w:type="dxa"/>
              <w:left w:w="1" w:type="dxa"/>
              <w:bottom w:w="0" w:type="dxa"/>
              <w:right w:w="1" w:type="dxa"/>
            </w:tcMar>
            <w:hideMark/>
          </w:tcPr>
          <w:p w:rsidR="00EB45EB" w:rsidRPr="00EB45EB" w:rsidRDefault="00121BD3" w:rsidP="00374AB5">
            <w:pPr>
              <w:spacing w:after="0" w:line="240" w:lineRule="auto"/>
              <w:textAlignment w:val="top"/>
              <w:rPr>
                <w:rFonts w:ascii="Arial" w:eastAsia="Times New Roman" w:hAnsi="Arial" w:cs="Arial"/>
                <w:sz w:val="16"/>
                <w:szCs w:val="18"/>
                <w:lang w:eastAsia="en-GB"/>
              </w:rPr>
            </w:pPr>
            <w:r w:rsidRPr="00EB45EB">
              <w:rPr>
                <w:rFonts w:eastAsia="Times New Roman" w:cs="Arial"/>
                <w:color w:val="000000"/>
                <w:kern w:val="24"/>
                <w:sz w:val="16"/>
                <w:szCs w:val="18"/>
                <w:lang w:val="en-US" w:eastAsia="en-GB"/>
              </w:rPr>
              <w:t>Revised Regulation of the Minister of Forestry No.50/2010 in conjunction with Regulation No.62/2012 that ensures the permit granting is based on the reserved areas within state forest areas. See Findings and Recommendation No. 1</w:t>
            </w:r>
          </w:p>
        </w:tc>
      </w:tr>
      <w:tr w:rsidR="00121BD3" w:rsidRPr="00EB45EB" w:rsidTr="002A4F4A">
        <w:trPr>
          <w:trHeight w:val="977"/>
        </w:trPr>
        <w:tc>
          <w:tcPr>
            <w:tcW w:w="1392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 w:type="dxa"/>
              <w:left w:w="1" w:type="dxa"/>
              <w:bottom w:w="0" w:type="dxa"/>
              <w:right w:w="1" w:type="dxa"/>
            </w:tcMar>
            <w:hideMark/>
          </w:tcPr>
          <w:p w:rsidR="00EB45EB" w:rsidRPr="00EB45EB" w:rsidRDefault="00121BD3" w:rsidP="00374AB5">
            <w:pPr>
              <w:spacing w:after="0" w:line="240" w:lineRule="auto"/>
              <w:textAlignment w:val="top"/>
              <w:rPr>
                <w:rFonts w:ascii="Arial" w:eastAsia="Times New Roman" w:hAnsi="Arial" w:cs="Arial"/>
                <w:sz w:val="16"/>
                <w:szCs w:val="18"/>
                <w:lang w:eastAsia="en-GB"/>
              </w:rPr>
            </w:pPr>
            <w:r w:rsidRPr="00EB45EB">
              <w:rPr>
                <w:rFonts w:eastAsia="Times New Roman" w:cs="Arial"/>
                <w:color w:val="000000"/>
                <w:kern w:val="24"/>
                <w:sz w:val="16"/>
                <w:szCs w:val="18"/>
                <w:lang w:val="en-US" w:eastAsia="en-GB"/>
              </w:rPr>
              <w:lastRenderedPageBreak/>
              <w:t>Revised Regulation of the Minister of Forestry No.50/2010 in conjunction with Regulation No.62/2012 on the licensing standard cost for obtaining information of reserved areas, and the directives of giving information in the integrated licensing counters.</w:t>
            </w:r>
          </w:p>
        </w:tc>
      </w:tr>
      <w:tr w:rsidR="00121BD3" w:rsidRPr="00215B2F" w:rsidTr="002A4F4A">
        <w:trPr>
          <w:trHeight w:val="977"/>
        </w:trPr>
        <w:tc>
          <w:tcPr>
            <w:tcW w:w="1392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 w:type="dxa"/>
              <w:left w:w="1" w:type="dxa"/>
              <w:bottom w:w="0" w:type="dxa"/>
              <w:right w:w="1" w:type="dxa"/>
            </w:tcMar>
            <w:hideMark/>
          </w:tcPr>
          <w:p w:rsidR="00215B2F" w:rsidRPr="00215B2F" w:rsidRDefault="00121BD3" w:rsidP="00374AB5">
            <w:pPr>
              <w:spacing w:after="0" w:line="240" w:lineRule="auto"/>
              <w:textAlignment w:val="top"/>
              <w:rPr>
                <w:rFonts w:eastAsia="Times New Roman" w:cs="Arial"/>
                <w:color w:val="000000"/>
                <w:kern w:val="24"/>
                <w:sz w:val="16"/>
                <w:szCs w:val="18"/>
                <w:lang w:val="en-US" w:eastAsia="en-GB"/>
              </w:rPr>
            </w:pPr>
            <w:r w:rsidRPr="00215B2F">
              <w:rPr>
                <w:rFonts w:eastAsia="Times New Roman" w:cs="Arial"/>
                <w:color w:val="000000"/>
                <w:kern w:val="24"/>
                <w:sz w:val="16"/>
                <w:szCs w:val="18"/>
                <w:lang w:val="en-US" w:eastAsia="en-GB"/>
              </w:rPr>
              <w:t xml:space="preserve">Revised Regulation of the Minister of Forestry No.50/2010 in conjunction with Regulation No.26/2012 to set the standard time limit and costs in each stage, as well as decision making the Minister of Forestry in issuing permits. In revising the regulations, the Minister of Forestry must coordinate with the </w:t>
            </w:r>
            <w:proofErr w:type="spellStart"/>
            <w:r w:rsidRPr="00215B2F">
              <w:rPr>
                <w:rFonts w:eastAsia="Times New Roman" w:cs="Arial"/>
                <w:color w:val="000000"/>
                <w:kern w:val="24"/>
                <w:sz w:val="16"/>
                <w:szCs w:val="18"/>
                <w:lang w:val="en-US" w:eastAsia="en-GB"/>
              </w:rPr>
              <w:t>MoHA</w:t>
            </w:r>
            <w:proofErr w:type="spellEnd"/>
            <w:r w:rsidRPr="00215B2F">
              <w:rPr>
                <w:rFonts w:eastAsia="Times New Roman" w:cs="Arial"/>
                <w:color w:val="000000"/>
                <w:kern w:val="24"/>
                <w:sz w:val="16"/>
                <w:szCs w:val="18"/>
                <w:lang w:val="en-US" w:eastAsia="en-GB"/>
              </w:rPr>
              <w:t xml:space="preserve"> and Regional Governments to set the time limit for giving technical considerations and recommendations from the Regional Governments.</w:t>
            </w:r>
          </w:p>
        </w:tc>
      </w:tr>
      <w:tr w:rsidR="00121BD3" w:rsidRPr="00215B2F" w:rsidTr="002A4F4A">
        <w:trPr>
          <w:trHeight w:val="977"/>
        </w:trPr>
        <w:tc>
          <w:tcPr>
            <w:tcW w:w="1392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 w:type="dxa"/>
              <w:left w:w="1" w:type="dxa"/>
              <w:bottom w:w="0" w:type="dxa"/>
              <w:right w:w="1" w:type="dxa"/>
            </w:tcMar>
            <w:hideMark/>
          </w:tcPr>
          <w:p w:rsidR="00215B2F" w:rsidRPr="00215B2F" w:rsidRDefault="00121BD3" w:rsidP="00374AB5">
            <w:pPr>
              <w:spacing w:after="0" w:line="240" w:lineRule="auto"/>
              <w:textAlignment w:val="top"/>
              <w:rPr>
                <w:rFonts w:eastAsia="Times New Roman" w:cs="Arial"/>
                <w:color w:val="000000"/>
                <w:kern w:val="24"/>
                <w:sz w:val="16"/>
                <w:szCs w:val="18"/>
                <w:lang w:val="en-US" w:eastAsia="en-GB"/>
              </w:rPr>
            </w:pPr>
            <w:r w:rsidRPr="00215B2F">
              <w:rPr>
                <w:rFonts w:eastAsia="Times New Roman" w:cs="Arial"/>
                <w:color w:val="000000"/>
                <w:kern w:val="24"/>
                <w:sz w:val="16"/>
                <w:szCs w:val="18"/>
                <w:lang w:val="en-US" w:eastAsia="en-GB"/>
              </w:rPr>
              <w:t>Revised Regulation of the Minister of Forestry No.33/2009 in conjunction with Regulation No.5/2011 that describes standard costs and charging, particularly in the context of IHMB evaluation</w:t>
            </w:r>
          </w:p>
        </w:tc>
      </w:tr>
      <w:tr w:rsidR="00121BD3" w:rsidRPr="00215B2F" w:rsidTr="002A4F4A">
        <w:trPr>
          <w:trHeight w:val="977"/>
        </w:trPr>
        <w:tc>
          <w:tcPr>
            <w:tcW w:w="1392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 w:type="dxa"/>
              <w:left w:w="1" w:type="dxa"/>
              <w:bottom w:w="0" w:type="dxa"/>
              <w:right w:w="1" w:type="dxa"/>
            </w:tcMar>
            <w:hideMark/>
          </w:tcPr>
          <w:p w:rsidR="00215B2F" w:rsidRPr="00215B2F" w:rsidRDefault="00121BD3" w:rsidP="00374AB5">
            <w:pPr>
              <w:spacing w:after="0" w:line="240" w:lineRule="auto"/>
              <w:textAlignment w:val="top"/>
              <w:rPr>
                <w:rFonts w:eastAsia="Times New Roman" w:cs="Arial"/>
                <w:color w:val="000000"/>
                <w:kern w:val="24"/>
                <w:sz w:val="16"/>
                <w:szCs w:val="18"/>
                <w:lang w:val="en-US" w:eastAsia="en-GB"/>
              </w:rPr>
            </w:pPr>
            <w:r w:rsidRPr="00215B2F">
              <w:rPr>
                <w:rFonts w:eastAsia="Times New Roman" w:cs="Arial"/>
                <w:color w:val="000000"/>
                <w:kern w:val="24"/>
                <w:sz w:val="16"/>
                <w:szCs w:val="18"/>
                <w:lang w:val="en-US" w:eastAsia="en-GB"/>
              </w:rPr>
              <w:t xml:space="preserve">Revised Regulation of the Minister of Forestry No.56/2009 that describes a standard time and costs in each stage of approval of RKUPHHK, CTR, </w:t>
            </w:r>
            <w:proofErr w:type="gramStart"/>
            <w:r w:rsidRPr="00215B2F">
              <w:rPr>
                <w:rFonts w:eastAsia="Times New Roman" w:cs="Arial"/>
                <w:color w:val="000000"/>
                <w:kern w:val="24"/>
                <w:sz w:val="16"/>
                <w:szCs w:val="18"/>
                <w:lang w:val="en-US" w:eastAsia="en-GB"/>
              </w:rPr>
              <w:t>BKUPHHK</w:t>
            </w:r>
            <w:proofErr w:type="gramEnd"/>
            <w:r w:rsidRPr="00215B2F">
              <w:rPr>
                <w:rFonts w:eastAsia="Times New Roman" w:cs="Arial"/>
                <w:color w:val="000000"/>
                <w:kern w:val="24"/>
                <w:sz w:val="16"/>
                <w:szCs w:val="18"/>
                <w:lang w:val="en-US" w:eastAsia="en-GB"/>
              </w:rPr>
              <w:t>.</w:t>
            </w:r>
          </w:p>
        </w:tc>
      </w:tr>
      <w:tr w:rsidR="00121BD3" w:rsidRPr="00215B2F" w:rsidTr="002A4F4A">
        <w:trPr>
          <w:trHeight w:val="977"/>
        </w:trPr>
        <w:tc>
          <w:tcPr>
            <w:tcW w:w="1392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 w:type="dxa"/>
              <w:left w:w="1" w:type="dxa"/>
              <w:bottom w:w="0" w:type="dxa"/>
              <w:right w:w="1" w:type="dxa"/>
            </w:tcMar>
            <w:hideMark/>
          </w:tcPr>
          <w:p w:rsidR="00215B2F" w:rsidRPr="00215B2F" w:rsidRDefault="00121BD3" w:rsidP="00374AB5">
            <w:pPr>
              <w:spacing w:after="0" w:line="240" w:lineRule="auto"/>
              <w:textAlignment w:val="top"/>
              <w:rPr>
                <w:rFonts w:eastAsia="Times New Roman" w:cs="Arial"/>
                <w:color w:val="000000"/>
                <w:kern w:val="24"/>
                <w:sz w:val="16"/>
                <w:szCs w:val="18"/>
                <w:lang w:val="en-US" w:eastAsia="en-GB"/>
              </w:rPr>
            </w:pPr>
            <w:r w:rsidRPr="00215B2F">
              <w:rPr>
                <w:rFonts w:eastAsia="Times New Roman" w:cs="Arial"/>
                <w:color w:val="000000"/>
                <w:kern w:val="24"/>
                <w:sz w:val="16"/>
                <w:szCs w:val="18"/>
                <w:lang w:val="en-US" w:eastAsia="en-GB"/>
              </w:rPr>
              <w:t xml:space="preserve">Revised Regulation of the Minister of Forestry No.55/2006 in conjunction with Regulation No.8/2009 which describes the standard time and costs required to approve LHP, SKSKB, </w:t>
            </w:r>
            <w:proofErr w:type="gramStart"/>
            <w:r w:rsidRPr="00215B2F">
              <w:rPr>
                <w:rFonts w:eastAsia="Times New Roman" w:cs="Arial"/>
                <w:color w:val="000000"/>
                <w:kern w:val="24"/>
                <w:sz w:val="16"/>
                <w:szCs w:val="18"/>
                <w:lang w:val="en-US" w:eastAsia="en-GB"/>
              </w:rPr>
              <w:t>FA</w:t>
            </w:r>
            <w:proofErr w:type="gramEnd"/>
            <w:r w:rsidRPr="00215B2F">
              <w:rPr>
                <w:rFonts w:eastAsia="Times New Roman" w:cs="Arial"/>
                <w:color w:val="000000"/>
                <w:kern w:val="24"/>
                <w:sz w:val="16"/>
                <w:szCs w:val="18"/>
                <w:lang w:val="en-US" w:eastAsia="en-GB"/>
              </w:rPr>
              <w:t>-KB.</w:t>
            </w:r>
          </w:p>
        </w:tc>
      </w:tr>
      <w:tr w:rsidR="00121BD3" w:rsidRPr="00215B2F" w:rsidTr="002A4F4A">
        <w:trPr>
          <w:trHeight w:val="977"/>
        </w:trPr>
        <w:tc>
          <w:tcPr>
            <w:tcW w:w="1392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 w:type="dxa"/>
              <w:left w:w="1" w:type="dxa"/>
              <w:bottom w:w="0" w:type="dxa"/>
              <w:right w:w="1" w:type="dxa"/>
            </w:tcMar>
            <w:hideMark/>
          </w:tcPr>
          <w:p w:rsidR="00215B2F" w:rsidRPr="00215B2F" w:rsidRDefault="00121BD3" w:rsidP="00374AB5">
            <w:pPr>
              <w:spacing w:after="0" w:line="240" w:lineRule="auto"/>
              <w:textAlignment w:val="top"/>
              <w:rPr>
                <w:rFonts w:eastAsia="Times New Roman" w:cs="Arial"/>
                <w:color w:val="000000"/>
                <w:kern w:val="24"/>
                <w:sz w:val="16"/>
                <w:szCs w:val="18"/>
                <w:lang w:val="en-US" w:eastAsia="en-GB"/>
              </w:rPr>
            </w:pPr>
            <w:r w:rsidRPr="00215B2F">
              <w:rPr>
                <w:rFonts w:eastAsia="Times New Roman" w:cs="Arial"/>
                <w:color w:val="000000"/>
                <w:kern w:val="24"/>
                <w:sz w:val="16"/>
                <w:szCs w:val="18"/>
                <w:lang w:val="en-US" w:eastAsia="en-GB"/>
              </w:rPr>
              <w:t>Revised Regulation of the Minister of Forestry No.55/2006 in conjunction with Regulation No.8/2009 on the simplification of bureaucracy of the officers in charge of preparing LHP and FA- KB.</w:t>
            </w:r>
          </w:p>
        </w:tc>
      </w:tr>
      <w:tr w:rsidR="00121BD3" w:rsidRPr="00215B2F" w:rsidTr="002A4F4A">
        <w:trPr>
          <w:trHeight w:val="977"/>
        </w:trPr>
        <w:tc>
          <w:tcPr>
            <w:tcW w:w="1392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 w:type="dxa"/>
              <w:left w:w="1" w:type="dxa"/>
              <w:bottom w:w="0" w:type="dxa"/>
              <w:right w:w="1" w:type="dxa"/>
            </w:tcMar>
            <w:hideMark/>
          </w:tcPr>
          <w:p w:rsidR="00215B2F" w:rsidRPr="00215B2F" w:rsidRDefault="00121BD3" w:rsidP="00374AB5">
            <w:pPr>
              <w:spacing w:after="0" w:line="240" w:lineRule="auto"/>
              <w:textAlignment w:val="top"/>
              <w:rPr>
                <w:rFonts w:eastAsia="Times New Roman" w:cs="Arial"/>
                <w:color w:val="000000"/>
                <w:kern w:val="24"/>
                <w:sz w:val="16"/>
                <w:szCs w:val="18"/>
                <w:lang w:val="en-US" w:eastAsia="en-GB"/>
              </w:rPr>
            </w:pPr>
            <w:r w:rsidRPr="00215B2F">
              <w:rPr>
                <w:rFonts w:eastAsia="Times New Roman" w:cs="Arial"/>
                <w:color w:val="000000"/>
                <w:kern w:val="24"/>
                <w:sz w:val="16"/>
                <w:szCs w:val="18"/>
                <w:lang w:val="en-US" w:eastAsia="en-GB"/>
              </w:rPr>
              <w:t xml:space="preserve">Revised Regulation of the Minister of Forestry No.18/2007 on the procedure, payment, and transferring DR/PSDH involving the </w:t>
            </w:r>
            <w:proofErr w:type="spellStart"/>
            <w:r w:rsidRPr="00215B2F">
              <w:rPr>
                <w:rFonts w:eastAsia="Times New Roman" w:cs="Arial"/>
                <w:color w:val="000000"/>
                <w:kern w:val="24"/>
                <w:sz w:val="16"/>
                <w:szCs w:val="18"/>
                <w:lang w:val="en-US" w:eastAsia="en-GB"/>
              </w:rPr>
              <w:t>MoF</w:t>
            </w:r>
            <w:proofErr w:type="spellEnd"/>
            <w:r w:rsidRPr="00215B2F">
              <w:rPr>
                <w:rFonts w:eastAsia="Times New Roman" w:cs="Arial"/>
                <w:color w:val="000000"/>
                <w:kern w:val="24"/>
                <w:sz w:val="16"/>
                <w:szCs w:val="18"/>
                <w:lang w:val="en-US" w:eastAsia="en-GB"/>
              </w:rPr>
              <w:t xml:space="preserve"> as the institution which receives the reports on all supporting documents in transferring non-tax revenues.</w:t>
            </w:r>
          </w:p>
        </w:tc>
      </w:tr>
      <w:tr w:rsidR="00121BD3" w:rsidRPr="00215B2F" w:rsidTr="002A4F4A">
        <w:trPr>
          <w:trHeight w:val="977"/>
        </w:trPr>
        <w:tc>
          <w:tcPr>
            <w:tcW w:w="1392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 w:type="dxa"/>
              <w:left w:w="1" w:type="dxa"/>
              <w:bottom w:w="0" w:type="dxa"/>
              <w:right w:w="1" w:type="dxa"/>
            </w:tcMar>
            <w:hideMark/>
          </w:tcPr>
          <w:p w:rsidR="00215B2F" w:rsidRPr="00215B2F" w:rsidRDefault="00121BD3" w:rsidP="00374AB5">
            <w:pPr>
              <w:spacing w:after="0" w:line="240" w:lineRule="auto"/>
              <w:textAlignment w:val="top"/>
              <w:rPr>
                <w:rFonts w:eastAsia="Times New Roman" w:cs="Arial"/>
                <w:color w:val="000000"/>
                <w:kern w:val="24"/>
                <w:sz w:val="16"/>
                <w:szCs w:val="18"/>
                <w:lang w:val="en-US" w:eastAsia="en-GB"/>
              </w:rPr>
            </w:pPr>
            <w:r w:rsidRPr="00215B2F">
              <w:rPr>
                <w:rFonts w:eastAsia="Times New Roman" w:cs="Arial"/>
                <w:color w:val="000000"/>
                <w:kern w:val="24"/>
                <w:sz w:val="16"/>
                <w:szCs w:val="18"/>
                <w:lang w:val="en-US" w:eastAsia="en-GB"/>
              </w:rPr>
              <w:t>Build the database of non-tax revenues that is integrated with the licensing system, production system of forest timber, data of administrative breaches - such as delay, and other public services such as providing forest are maps.</w:t>
            </w:r>
          </w:p>
        </w:tc>
      </w:tr>
      <w:tr w:rsidR="00121BD3" w:rsidRPr="00215B2F" w:rsidTr="002A4F4A">
        <w:trPr>
          <w:trHeight w:val="977"/>
        </w:trPr>
        <w:tc>
          <w:tcPr>
            <w:tcW w:w="1392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 w:type="dxa"/>
              <w:left w:w="1" w:type="dxa"/>
              <w:bottom w:w="0" w:type="dxa"/>
              <w:right w:w="1" w:type="dxa"/>
            </w:tcMar>
            <w:hideMark/>
          </w:tcPr>
          <w:p w:rsidR="00215B2F" w:rsidRPr="00215B2F" w:rsidRDefault="00121BD3" w:rsidP="00374AB5">
            <w:pPr>
              <w:spacing w:after="0" w:line="240" w:lineRule="auto"/>
              <w:textAlignment w:val="top"/>
              <w:rPr>
                <w:rFonts w:eastAsia="Times New Roman" w:cs="Arial"/>
                <w:color w:val="000000"/>
                <w:kern w:val="24"/>
                <w:sz w:val="16"/>
                <w:szCs w:val="18"/>
                <w:lang w:val="en-US" w:eastAsia="en-GB"/>
              </w:rPr>
            </w:pPr>
            <w:r w:rsidRPr="00215B2F">
              <w:rPr>
                <w:rFonts w:eastAsia="Times New Roman" w:cs="Arial"/>
                <w:color w:val="000000"/>
                <w:kern w:val="24"/>
                <w:sz w:val="16"/>
                <w:szCs w:val="18"/>
                <w:lang w:val="en-US" w:eastAsia="en-GB"/>
              </w:rPr>
              <w:t xml:space="preserve">Reassessing the opportunity for export to businessmen who have met certain criteria. For example, good certification results of sustainable forest management and timber legality. </w:t>
            </w:r>
          </w:p>
        </w:tc>
      </w:tr>
      <w:tr w:rsidR="00121BD3" w:rsidRPr="00215B2F" w:rsidTr="002A4F4A">
        <w:trPr>
          <w:trHeight w:val="977"/>
        </w:trPr>
        <w:tc>
          <w:tcPr>
            <w:tcW w:w="1392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 w:type="dxa"/>
              <w:left w:w="1" w:type="dxa"/>
              <w:bottom w:w="0" w:type="dxa"/>
              <w:right w:w="1" w:type="dxa"/>
            </w:tcMar>
            <w:hideMark/>
          </w:tcPr>
          <w:p w:rsidR="00215B2F" w:rsidRPr="00215B2F" w:rsidRDefault="00121BD3" w:rsidP="00374AB5">
            <w:pPr>
              <w:spacing w:after="0" w:line="240" w:lineRule="auto"/>
              <w:textAlignment w:val="top"/>
              <w:rPr>
                <w:rFonts w:eastAsia="Times New Roman" w:cs="Arial"/>
                <w:color w:val="000000"/>
                <w:kern w:val="24"/>
                <w:sz w:val="16"/>
                <w:szCs w:val="18"/>
                <w:lang w:val="en-US" w:eastAsia="en-GB"/>
              </w:rPr>
            </w:pPr>
            <w:r w:rsidRPr="00215B2F">
              <w:rPr>
                <w:rFonts w:eastAsia="Times New Roman" w:cs="Arial"/>
                <w:color w:val="000000"/>
                <w:kern w:val="24"/>
                <w:sz w:val="16"/>
                <w:szCs w:val="18"/>
                <w:lang w:val="en-US" w:eastAsia="en-GB"/>
              </w:rPr>
              <w:lastRenderedPageBreak/>
              <w:t>Amend Decree No. P.44/M-DAG/PER/7/2012. Annex - 2 corresponds with the results of the study.</w:t>
            </w:r>
          </w:p>
        </w:tc>
      </w:tr>
      <w:tr w:rsidR="00121BD3" w:rsidRPr="00215B2F" w:rsidTr="002A4F4A">
        <w:trPr>
          <w:trHeight w:val="977"/>
        </w:trPr>
        <w:tc>
          <w:tcPr>
            <w:tcW w:w="1392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 w:type="dxa"/>
              <w:left w:w="1" w:type="dxa"/>
              <w:bottom w:w="0" w:type="dxa"/>
              <w:right w:w="1" w:type="dxa"/>
            </w:tcMar>
            <w:hideMark/>
          </w:tcPr>
          <w:p w:rsidR="00215B2F" w:rsidRPr="00215B2F" w:rsidRDefault="00121BD3" w:rsidP="00374AB5">
            <w:pPr>
              <w:spacing w:after="0" w:line="240" w:lineRule="auto"/>
              <w:textAlignment w:val="top"/>
              <w:rPr>
                <w:rFonts w:eastAsia="Times New Roman" w:cs="Arial"/>
                <w:color w:val="000000"/>
                <w:kern w:val="24"/>
                <w:sz w:val="16"/>
                <w:szCs w:val="18"/>
                <w:lang w:val="en-US" w:eastAsia="en-GB"/>
              </w:rPr>
            </w:pPr>
            <w:r w:rsidRPr="00215B2F">
              <w:rPr>
                <w:rFonts w:eastAsia="Times New Roman" w:cs="Arial"/>
                <w:color w:val="000000"/>
                <w:kern w:val="24"/>
                <w:sz w:val="16"/>
                <w:szCs w:val="18"/>
                <w:lang w:val="en-US" w:eastAsia="en-GB"/>
              </w:rPr>
              <w:t>Revised Regulation 45/2004 in conjunction with Government Regulation No. 3/2008 to regulate the content and scope of acts that may be classified as administrative violations of forest exploitation and their sanctions.</w:t>
            </w:r>
          </w:p>
        </w:tc>
      </w:tr>
      <w:tr w:rsidR="00121BD3" w:rsidRPr="00215B2F" w:rsidTr="002A4F4A">
        <w:trPr>
          <w:trHeight w:val="977"/>
        </w:trPr>
        <w:tc>
          <w:tcPr>
            <w:tcW w:w="13926" w:type="dxa"/>
            <w:tcBorders>
              <w:top w:val="single" w:sz="8" w:space="0" w:color="FFFFFF"/>
              <w:left w:val="single" w:sz="8" w:space="0" w:color="FFFFFF"/>
              <w:bottom w:val="single" w:sz="8" w:space="0" w:color="FFFFFF"/>
              <w:right w:val="single" w:sz="8" w:space="0" w:color="FFFFFF"/>
            </w:tcBorders>
            <w:shd w:val="clear" w:color="auto" w:fill="FFFFFF" w:themeFill="background1"/>
            <w:tcMar>
              <w:top w:w="1" w:type="dxa"/>
              <w:left w:w="1" w:type="dxa"/>
              <w:bottom w:w="0" w:type="dxa"/>
              <w:right w:w="1" w:type="dxa"/>
            </w:tcMar>
            <w:hideMark/>
          </w:tcPr>
          <w:p w:rsidR="00215B2F" w:rsidRPr="00215B2F" w:rsidRDefault="00121BD3" w:rsidP="00374AB5">
            <w:pPr>
              <w:spacing w:after="0" w:line="240" w:lineRule="auto"/>
              <w:textAlignment w:val="top"/>
              <w:rPr>
                <w:rFonts w:eastAsia="Times New Roman" w:cs="Arial"/>
                <w:color w:val="000000"/>
                <w:kern w:val="24"/>
                <w:sz w:val="16"/>
                <w:szCs w:val="18"/>
                <w:lang w:val="en-US" w:eastAsia="en-GB"/>
              </w:rPr>
            </w:pPr>
            <w:r w:rsidRPr="00215B2F">
              <w:rPr>
                <w:rFonts w:eastAsia="Times New Roman" w:cs="Arial"/>
                <w:color w:val="000000"/>
                <w:kern w:val="24"/>
                <w:sz w:val="16"/>
                <w:szCs w:val="18"/>
                <w:lang w:val="en-US" w:eastAsia="en-GB"/>
              </w:rPr>
              <w:t>Revised Regulation of the Minister of Forestry No.39/2008 only to addresses the mechanism to impose sanctions and fines for committing forestry administrative violations as regulated under Regulation No. 45/2004.</w:t>
            </w:r>
          </w:p>
        </w:tc>
      </w:tr>
    </w:tbl>
    <w:p w:rsidR="00511EEE" w:rsidRDefault="00511EEE" w:rsidP="00374AB5">
      <w:pPr>
        <w:spacing w:line="240" w:lineRule="auto"/>
      </w:pPr>
    </w:p>
    <w:sectPr w:rsidR="00511EEE" w:rsidSect="00121BD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BD3" w:rsidRDefault="00121BD3" w:rsidP="00121BD3">
      <w:pPr>
        <w:spacing w:after="0" w:line="240" w:lineRule="auto"/>
      </w:pPr>
      <w:r>
        <w:separator/>
      </w:r>
    </w:p>
  </w:endnote>
  <w:endnote w:type="continuationSeparator" w:id="0">
    <w:p w:rsidR="00121BD3" w:rsidRDefault="00121BD3" w:rsidP="00121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BD3" w:rsidRDefault="00121BD3" w:rsidP="00121BD3">
      <w:pPr>
        <w:spacing w:after="0" w:line="240" w:lineRule="auto"/>
      </w:pPr>
      <w:r>
        <w:separator/>
      </w:r>
    </w:p>
  </w:footnote>
  <w:footnote w:type="continuationSeparator" w:id="0">
    <w:p w:rsidR="00121BD3" w:rsidRDefault="00121BD3" w:rsidP="00121BD3">
      <w:pPr>
        <w:spacing w:after="0" w:line="240" w:lineRule="auto"/>
      </w:pPr>
      <w:r>
        <w:continuationSeparator/>
      </w:r>
    </w:p>
  </w:footnote>
  <w:footnote w:id="1">
    <w:p w:rsidR="00121BD3" w:rsidRDefault="00121BD3" w:rsidP="00121BD3">
      <w:pPr>
        <w:pStyle w:val="FootnoteText"/>
        <w:spacing w:after="0" w:line="360" w:lineRule="auto"/>
        <w:rPr>
          <w:rFonts w:asciiTheme="majorHAnsi" w:hAnsiTheme="majorHAnsi"/>
          <w:bCs/>
          <w:color w:val="000000"/>
          <w:sz w:val="18"/>
          <w:szCs w:val="18"/>
        </w:rPr>
      </w:pPr>
      <w:r w:rsidRPr="006F5228">
        <w:rPr>
          <w:rStyle w:val="FootnoteReference"/>
          <w:rFonts w:asciiTheme="majorHAnsi" w:hAnsiTheme="majorHAnsi"/>
          <w:sz w:val="18"/>
          <w:szCs w:val="18"/>
        </w:rPr>
        <w:footnoteRef/>
      </w:r>
      <w:r w:rsidRPr="006F5228">
        <w:rPr>
          <w:rFonts w:asciiTheme="majorHAnsi" w:hAnsiTheme="majorHAnsi"/>
          <w:sz w:val="18"/>
          <w:szCs w:val="18"/>
        </w:rPr>
        <w:t xml:space="preserve"> This table demonstrates the utilization and preliminary results as of </w:t>
      </w:r>
      <w:r>
        <w:rPr>
          <w:rFonts w:asciiTheme="majorHAnsi" w:hAnsiTheme="majorHAnsi"/>
          <w:sz w:val="18"/>
          <w:szCs w:val="18"/>
        </w:rPr>
        <w:t>June</w:t>
      </w:r>
      <w:r w:rsidRPr="006F5228">
        <w:rPr>
          <w:rFonts w:asciiTheme="majorHAnsi" w:hAnsiTheme="majorHAnsi"/>
          <w:sz w:val="18"/>
          <w:szCs w:val="18"/>
        </w:rPr>
        <w:t xml:space="preserve"> 2014. This table will be updated regularly and will be available </w:t>
      </w:r>
      <w:r>
        <w:rPr>
          <w:rFonts w:asciiTheme="majorHAnsi" w:hAnsiTheme="majorHAnsi"/>
          <w:sz w:val="18"/>
          <w:szCs w:val="18"/>
        </w:rPr>
        <w:t>at</w:t>
      </w:r>
      <w:r w:rsidRPr="006F5228">
        <w:rPr>
          <w:rFonts w:asciiTheme="majorHAnsi" w:hAnsiTheme="majorHAnsi"/>
          <w:sz w:val="18"/>
          <w:szCs w:val="18"/>
        </w:rPr>
        <w:t xml:space="preserve">: </w:t>
      </w:r>
      <w:hyperlink r:id="rId1" w:history="1">
        <w:r w:rsidRPr="00E064F6">
          <w:rPr>
            <w:rStyle w:val="Hyperlink"/>
            <w:rFonts w:asciiTheme="majorHAnsi" w:hAnsiTheme="majorHAnsi"/>
            <w:bCs/>
            <w:sz w:val="18"/>
            <w:szCs w:val="18"/>
          </w:rPr>
          <w:t>http://tinyurl.com/qygqvak</w:t>
        </w:r>
      </w:hyperlink>
      <w:r>
        <w:rPr>
          <w:rFonts w:asciiTheme="majorHAnsi" w:hAnsiTheme="majorHAnsi"/>
          <w:bCs/>
          <w:color w:val="000000"/>
          <w:sz w:val="18"/>
          <w:szCs w:val="18"/>
        </w:rPr>
        <w:t xml:space="preserve">. </w:t>
      </w:r>
    </w:p>
    <w:p w:rsidR="00121BD3" w:rsidRPr="00AD24A9" w:rsidRDefault="00121BD3" w:rsidP="00121BD3">
      <w:pPr>
        <w:pStyle w:val="FootnoteText"/>
        <w:spacing w:after="0" w:line="360" w:lineRule="auto"/>
        <w:jc w:val="right"/>
        <w:rPr>
          <w:rFonts w:asciiTheme="majorHAnsi" w:hAnsiTheme="majorHAnsi"/>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BD3" w:rsidRDefault="00121BD3" w:rsidP="00121BD3">
    <w:pPr>
      <w:pStyle w:val="Header"/>
      <w:jc w:val="right"/>
    </w:pPr>
    <w:r>
      <w:rPr>
        <w:noProof/>
        <w:lang w:eastAsia="en-GB"/>
      </w:rPr>
      <w:drawing>
        <wp:inline distT="0" distB="0" distL="0" distR="0" wp14:anchorId="20277FCD" wp14:editId="265E935F">
          <wp:extent cx="866775" cy="755210"/>
          <wp:effectExtent l="0" t="0" r="0" b="6985"/>
          <wp:docPr id="1" name="Picture 1" descr="C:\Users\tina.hageberg\AppData\Local\Microsoft\Windows\Temporary Internet Files\Content.Outlook\6P1W9YQY\UN-RED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na.hageberg\AppData\Local\Microsoft\Windows\Temporary Internet Files\Content.Outlook\6P1W9YQY\UN-REDD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88" cy="7552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C90F6F"/>
    <w:multiLevelType w:val="hybridMultilevel"/>
    <w:tmpl w:val="9CE4685A"/>
    <w:lvl w:ilvl="0" w:tplc="67A6BD4E">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1661D41"/>
    <w:multiLevelType w:val="hybridMultilevel"/>
    <w:tmpl w:val="5588D910"/>
    <w:lvl w:ilvl="0" w:tplc="67A6BD4E">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C454295"/>
    <w:multiLevelType w:val="hybridMultilevel"/>
    <w:tmpl w:val="2ED85EBA"/>
    <w:lvl w:ilvl="0" w:tplc="67A6BD4E">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BD3"/>
    <w:rsid w:val="00121BD3"/>
    <w:rsid w:val="00374AB5"/>
    <w:rsid w:val="00511EEE"/>
    <w:rsid w:val="00751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B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21BD3"/>
    <w:rPr>
      <w:sz w:val="20"/>
      <w:szCs w:val="20"/>
      <w:lang w:eastAsia="en-GB"/>
    </w:rPr>
  </w:style>
  <w:style w:type="character" w:customStyle="1" w:styleId="FootnoteTextChar">
    <w:name w:val="Footnote Text Char"/>
    <w:basedOn w:val="DefaultParagraphFont"/>
    <w:link w:val="FootnoteText"/>
    <w:uiPriority w:val="99"/>
    <w:rsid w:val="00121BD3"/>
    <w:rPr>
      <w:rFonts w:ascii="Calibri" w:eastAsia="Calibri" w:hAnsi="Calibri" w:cs="Times New Roman"/>
      <w:sz w:val="20"/>
      <w:szCs w:val="20"/>
      <w:lang w:eastAsia="en-GB"/>
    </w:rPr>
  </w:style>
  <w:style w:type="character" w:styleId="FootnoteReference">
    <w:name w:val="footnote reference"/>
    <w:uiPriority w:val="99"/>
    <w:unhideWhenUsed/>
    <w:rsid w:val="00121BD3"/>
    <w:rPr>
      <w:vertAlign w:val="superscript"/>
    </w:rPr>
  </w:style>
  <w:style w:type="character" w:styleId="Hyperlink">
    <w:name w:val="Hyperlink"/>
    <w:uiPriority w:val="99"/>
    <w:unhideWhenUsed/>
    <w:rsid w:val="00121BD3"/>
    <w:rPr>
      <w:color w:val="0000FF"/>
      <w:u w:val="single"/>
    </w:rPr>
  </w:style>
  <w:style w:type="paragraph" w:styleId="Header">
    <w:name w:val="header"/>
    <w:basedOn w:val="Normal"/>
    <w:link w:val="HeaderChar"/>
    <w:uiPriority w:val="99"/>
    <w:unhideWhenUsed/>
    <w:rsid w:val="00121B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BD3"/>
    <w:rPr>
      <w:rFonts w:ascii="Calibri" w:eastAsia="Calibri" w:hAnsi="Calibri" w:cs="Times New Roman"/>
    </w:rPr>
  </w:style>
  <w:style w:type="paragraph" w:styleId="Footer">
    <w:name w:val="footer"/>
    <w:basedOn w:val="Normal"/>
    <w:link w:val="FooterChar"/>
    <w:uiPriority w:val="99"/>
    <w:unhideWhenUsed/>
    <w:rsid w:val="00121B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BD3"/>
    <w:rPr>
      <w:rFonts w:ascii="Calibri" w:eastAsia="Calibri" w:hAnsi="Calibri" w:cs="Times New Roman"/>
    </w:rPr>
  </w:style>
  <w:style w:type="paragraph" w:styleId="BalloonText">
    <w:name w:val="Balloon Text"/>
    <w:basedOn w:val="Normal"/>
    <w:link w:val="BalloonTextChar"/>
    <w:uiPriority w:val="99"/>
    <w:semiHidden/>
    <w:unhideWhenUsed/>
    <w:rsid w:val="00121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BD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B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21BD3"/>
    <w:rPr>
      <w:sz w:val="20"/>
      <w:szCs w:val="20"/>
      <w:lang w:eastAsia="en-GB"/>
    </w:rPr>
  </w:style>
  <w:style w:type="character" w:customStyle="1" w:styleId="FootnoteTextChar">
    <w:name w:val="Footnote Text Char"/>
    <w:basedOn w:val="DefaultParagraphFont"/>
    <w:link w:val="FootnoteText"/>
    <w:uiPriority w:val="99"/>
    <w:rsid w:val="00121BD3"/>
    <w:rPr>
      <w:rFonts w:ascii="Calibri" w:eastAsia="Calibri" w:hAnsi="Calibri" w:cs="Times New Roman"/>
      <w:sz w:val="20"/>
      <w:szCs w:val="20"/>
      <w:lang w:eastAsia="en-GB"/>
    </w:rPr>
  </w:style>
  <w:style w:type="character" w:styleId="FootnoteReference">
    <w:name w:val="footnote reference"/>
    <w:uiPriority w:val="99"/>
    <w:unhideWhenUsed/>
    <w:rsid w:val="00121BD3"/>
    <w:rPr>
      <w:vertAlign w:val="superscript"/>
    </w:rPr>
  </w:style>
  <w:style w:type="character" w:styleId="Hyperlink">
    <w:name w:val="Hyperlink"/>
    <w:uiPriority w:val="99"/>
    <w:unhideWhenUsed/>
    <w:rsid w:val="00121BD3"/>
    <w:rPr>
      <w:color w:val="0000FF"/>
      <w:u w:val="single"/>
    </w:rPr>
  </w:style>
  <w:style w:type="paragraph" w:styleId="Header">
    <w:name w:val="header"/>
    <w:basedOn w:val="Normal"/>
    <w:link w:val="HeaderChar"/>
    <w:uiPriority w:val="99"/>
    <w:unhideWhenUsed/>
    <w:rsid w:val="00121B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BD3"/>
    <w:rPr>
      <w:rFonts w:ascii="Calibri" w:eastAsia="Calibri" w:hAnsi="Calibri" w:cs="Times New Roman"/>
    </w:rPr>
  </w:style>
  <w:style w:type="paragraph" w:styleId="Footer">
    <w:name w:val="footer"/>
    <w:basedOn w:val="Normal"/>
    <w:link w:val="FooterChar"/>
    <w:uiPriority w:val="99"/>
    <w:unhideWhenUsed/>
    <w:rsid w:val="00121B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BD3"/>
    <w:rPr>
      <w:rFonts w:ascii="Calibri" w:eastAsia="Calibri" w:hAnsi="Calibri" w:cs="Times New Roman"/>
    </w:rPr>
  </w:style>
  <w:style w:type="paragraph" w:styleId="BalloonText">
    <w:name w:val="Balloon Text"/>
    <w:basedOn w:val="Normal"/>
    <w:link w:val="BalloonTextChar"/>
    <w:uiPriority w:val="99"/>
    <w:semiHidden/>
    <w:unhideWhenUsed/>
    <w:rsid w:val="00121B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BD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tinyurl.com/qygqva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Solvberg</dc:creator>
  <cp:lastModifiedBy>Tina Solvberg</cp:lastModifiedBy>
  <cp:revision>3</cp:revision>
  <dcterms:created xsi:type="dcterms:W3CDTF">2014-07-18T12:19:00Z</dcterms:created>
  <dcterms:modified xsi:type="dcterms:W3CDTF">2014-07-18T12:22:00Z</dcterms:modified>
</cp:coreProperties>
</file>