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F1" w:rsidRPr="00213097" w:rsidRDefault="00471AF1" w:rsidP="00FA52B6">
      <w:pPr>
        <w:autoSpaceDE w:val="0"/>
        <w:autoSpaceDN w:val="0"/>
        <w:adjustRightInd w:val="0"/>
        <w:spacing w:after="0" w:line="240" w:lineRule="auto"/>
        <w:ind w:left="-142"/>
        <w:jc w:val="right"/>
        <w:rPr>
          <w:rFonts w:ascii="FrutigerLT-Roman" w:hAnsi="FrutigerLT-Roman" w:cs="FrutigerLT-Roman"/>
          <w:color w:val="C00000"/>
          <w:szCs w:val="20"/>
          <w:lang w:val="fr-FR"/>
        </w:rPr>
      </w:pPr>
      <w:r>
        <w:rPr>
          <w:noProof/>
          <w:lang w:eastAsia="en-GB"/>
        </w:rPr>
        <w:drawing>
          <wp:inline distT="0" distB="0" distL="0" distR="0" wp14:anchorId="22071598" wp14:editId="04D42D88">
            <wp:extent cx="1121434" cy="977091"/>
            <wp:effectExtent l="0" t="0" r="0" b="0"/>
            <wp:docPr id="2" name="Picture 2" descr="C:\Users\tina.hageberg\AppData\Local\Microsoft\Windows\Temporary Internet Files\Content.Outlook\6P1W9YQY\UN-RED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a.hageberg\AppData\Local\Microsoft\Windows\Temporary Internet Files\Content.Outlook\6P1W9YQY\UN-REDD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67" cy="979298"/>
                    </a:xfrm>
                    <a:prstGeom prst="rect">
                      <a:avLst/>
                    </a:prstGeom>
                    <a:noFill/>
                    <a:ln>
                      <a:noFill/>
                    </a:ln>
                  </pic:spPr>
                </pic:pic>
              </a:graphicData>
            </a:graphic>
          </wp:inline>
        </w:drawing>
      </w: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Default="00471AF1" w:rsidP="00471AF1">
      <w:pPr>
        <w:rPr>
          <w:lang w:val="fr-FR"/>
        </w:rPr>
      </w:pPr>
    </w:p>
    <w:p w:rsidR="00471AF1" w:rsidRPr="003D6C74" w:rsidRDefault="00471AF1" w:rsidP="00471AF1">
      <w:pPr>
        <w:rPr>
          <w:lang w:val="fr-FR"/>
        </w:rPr>
      </w:pPr>
    </w:p>
    <w:p w:rsidR="00471AF1" w:rsidRPr="003D6C74" w:rsidRDefault="00471AF1" w:rsidP="00471AF1">
      <w:pPr>
        <w:rPr>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281"/>
      </w:tblGrid>
      <w:tr w:rsidR="00471AF1" w:rsidRPr="00B2648D" w:rsidTr="00D44135">
        <w:trPr>
          <w:trHeight w:val="1418"/>
        </w:trPr>
        <w:tc>
          <w:tcPr>
            <w:tcW w:w="0" w:type="auto"/>
            <w:tcBorders>
              <w:top w:val="nil"/>
              <w:left w:val="nil"/>
              <w:bottom w:val="nil"/>
              <w:right w:val="nil"/>
            </w:tcBorders>
            <w:shd w:val="clear" w:color="auto" w:fill="FFFFFF"/>
          </w:tcPr>
          <w:p w:rsidR="00471AF1" w:rsidRPr="00B54719" w:rsidRDefault="00471AF1" w:rsidP="00D44135">
            <w:pPr>
              <w:rPr>
                <w:rFonts w:cs="Arial"/>
                <w:b/>
                <w:sz w:val="44"/>
                <w:szCs w:val="44"/>
              </w:rPr>
            </w:pPr>
            <w:r>
              <w:rPr>
                <w:rFonts w:cs="Arial"/>
                <w:b/>
                <w:sz w:val="44"/>
                <w:szCs w:val="44"/>
              </w:rPr>
              <w:t>Workshop</w:t>
            </w:r>
            <w:r w:rsidR="00082578">
              <w:rPr>
                <w:rFonts w:cs="Arial"/>
                <w:b/>
                <w:sz w:val="44"/>
                <w:szCs w:val="44"/>
              </w:rPr>
              <w:t>/ Meeting</w:t>
            </w:r>
            <w:r>
              <w:rPr>
                <w:rFonts w:cs="Arial"/>
                <w:b/>
                <w:sz w:val="44"/>
                <w:szCs w:val="44"/>
              </w:rPr>
              <w:t xml:space="preserve"> Report</w:t>
            </w:r>
          </w:p>
        </w:tc>
      </w:tr>
      <w:tr w:rsidR="00471AF1" w:rsidRPr="00B2648D" w:rsidTr="00D44135">
        <w:trPr>
          <w:trHeight w:val="390"/>
        </w:trPr>
        <w:tc>
          <w:tcPr>
            <w:tcW w:w="0" w:type="auto"/>
            <w:tcBorders>
              <w:left w:val="nil"/>
              <w:bottom w:val="nil"/>
              <w:right w:val="nil"/>
            </w:tcBorders>
            <w:shd w:val="clear" w:color="auto" w:fill="FFFFFF"/>
          </w:tcPr>
          <w:p w:rsidR="00471AF1" w:rsidRPr="001779C8" w:rsidRDefault="00F61834" w:rsidP="00D44135">
            <w:pPr>
              <w:pStyle w:val="NoSpacing"/>
              <w:rPr>
                <w:bCs/>
                <w:color w:val="548DD4"/>
                <w:sz w:val="32"/>
                <w:szCs w:val="32"/>
              </w:rPr>
            </w:pPr>
            <w:r w:rsidRPr="001779C8">
              <w:rPr>
                <w:bCs/>
                <w:color w:val="548DD4"/>
                <w:sz w:val="32"/>
                <w:szCs w:val="32"/>
              </w:rPr>
              <w:t xml:space="preserve">PGA </w:t>
            </w:r>
            <w:r w:rsidR="00450611" w:rsidRPr="001779C8">
              <w:rPr>
                <w:bCs/>
                <w:color w:val="548DD4"/>
                <w:sz w:val="32"/>
                <w:szCs w:val="32"/>
              </w:rPr>
              <w:t>Team Meeting</w:t>
            </w:r>
          </w:p>
          <w:p w:rsidR="00471AF1" w:rsidRPr="005847E0" w:rsidRDefault="00450611" w:rsidP="00F61834">
            <w:pPr>
              <w:pStyle w:val="NoSpacing"/>
              <w:rPr>
                <w:bCs/>
                <w:color w:val="0070C0"/>
                <w:sz w:val="40"/>
                <w:szCs w:val="40"/>
              </w:rPr>
            </w:pPr>
            <w:r>
              <w:rPr>
                <w:bCs/>
                <w:color w:val="548DD4"/>
                <w:sz w:val="32"/>
                <w:szCs w:val="32"/>
              </w:rPr>
              <w:t>16-17June2014</w:t>
            </w:r>
            <w:r w:rsidR="00471AF1">
              <w:rPr>
                <w:bCs/>
                <w:color w:val="548DD4"/>
                <w:sz w:val="32"/>
                <w:szCs w:val="32"/>
              </w:rPr>
              <w:t xml:space="preserve">, </w:t>
            </w:r>
            <w:r>
              <w:rPr>
                <w:bCs/>
                <w:color w:val="548DD4"/>
                <w:sz w:val="32"/>
                <w:szCs w:val="32"/>
              </w:rPr>
              <w:t>Oslo</w:t>
            </w:r>
            <w:r w:rsidR="00471AF1">
              <w:rPr>
                <w:bCs/>
                <w:color w:val="548DD4"/>
                <w:sz w:val="32"/>
                <w:szCs w:val="32"/>
              </w:rPr>
              <w:t xml:space="preserve">- </w:t>
            </w:r>
            <w:r>
              <w:rPr>
                <w:bCs/>
                <w:color w:val="548DD4"/>
                <w:sz w:val="32"/>
                <w:szCs w:val="32"/>
              </w:rPr>
              <w:t>Norway</w:t>
            </w:r>
          </w:p>
        </w:tc>
      </w:tr>
      <w:tr w:rsidR="00471AF1" w:rsidRPr="00B2648D" w:rsidTr="00D44135">
        <w:trPr>
          <w:trHeight w:val="345"/>
        </w:trPr>
        <w:tc>
          <w:tcPr>
            <w:tcW w:w="0" w:type="auto"/>
            <w:tcBorders>
              <w:left w:val="nil"/>
              <w:bottom w:val="nil"/>
              <w:right w:val="nil"/>
            </w:tcBorders>
            <w:shd w:val="clear" w:color="auto" w:fill="FFFFFF"/>
          </w:tcPr>
          <w:p w:rsidR="00471AF1" w:rsidRPr="00832CBF" w:rsidRDefault="00471AF1" w:rsidP="00D44135">
            <w:pPr>
              <w:pStyle w:val="NoSpacing"/>
              <w:rPr>
                <w:bCs/>
                <w:color w:val="000000"/>
                <w:sz w:val="28"/>
                <w:szCs w:val="28"/>
              </w:rPr>
            </w:pPr>
          </w:p>
        </w:tc>
      </w:tr>
    </w:tbl>
    <w:p w:rsidR="00471AF1" w:rsidRDefault="00471AF1" w:rsidP="00471AF1">
      <w:pPr>
        <w:jc w:val="both"/>
        <w:rPr>
          <w:b/>
          <w:szCs w:val="24"/>
        </w:rPr>
      </w:pPr>
    </w:p>
    <w:p w:rsidR="00471AF1" w:rsidRDefault="00471AF1" w:rsidP="00471AF1">
      <w:pPr>
        <w:jc w:val="both"/>
        <w:rPr>
          <w:b/>
          <w:szCs w:val="24"/>
        </w:rPr>
      </w:pPr>
    </w:p>
    <w:p w:rsidR="00471AF1" w:rsidRDefault="00471AF1" w:rsidP="00471AF1">
      <w:pPr>
        <w:jc w:val="both"/>
        <w:rPr>
          <w:b/>
          <w:szCs w:val="24"/>
        </w:rPr>
      </w:pPr>
    </w:p>
    <w:p w:rsidR="00471AF1" w:rsidRDefault="00471AF1" w:rsidP="00471AF1">
      <w:pPr>
        <w:jc w:val="both"/>
        <w:rPr>
          <w:b/>
          <w:szCs w:val="24"/>
        </w:rPr>
      </w:pPr>
    </w:p>
    <w:p w:rsidR="00471AF1" w:rsidRDefault="00471AF1" w:rsidP="00471AF1">
      <w:pPr>
        <w:jc w:val="both"/>
        <w:rPr>
          <w:b/>
          <w:szCs w:val="24"/>
        </w:rPr>
      </w:pPr>
    </w:p>
    <w:p w:rsidR="00471AF1" w:rsidRDefault="00471AF1" w:rsidP="00471AF1">
      <w:pPr>
        <w:jc w:val="both"/>
        <w:rPr>
          <w:b/>
          <w:szCs w:val="24"/>
        </w:rPr>
      </w:pPr>
    </w:p>
    <w:p w:rsidR="00471AF1" w:rsidRDefault="00471AF1" w:rsidP="00471AF1">
      <w:pPr>
        <w:jc w:val="both"/>
        <w:rPr>
          <w:b/>
          <w:szCs w:val="24"/>
        </w:rPr>
      </w:pPr>
    </w:p>
    <w:p w:rsidR="00DE07D6" w:rsidRDefault="00635A01" w:rsidP="00CE2DB3">
      <w:pPr>
        <w:pStyle w:val="Heading1"/>
      </w:pPr>
      <w:r>
        <w:lastRenderedPageBreak/>
        <w:t>Workshop R</w:t>
      </w:r>
      <w:r w:rsidR="00CE2DB3" w:rsidRPr="00CE2DB3">
        <w:t>eport</w:t>
      </w:r>
    </w:p>
    <w:p w:rsidR="00CE2DB3" w:rsidRDefault="00CE2DB3" w:rsidP="00CE2DB3"/>
    <w:p w:rsidR="00CE2DB3" w:rsidRDefault="00CE2DB3" w:rsidP="004846B9">
      <w:pPr>
        <w:pStyle w:val="Subtitle"/>
        <w:numPr>
          <w:ilvl w:val="0"/>
          <w:numId w:val="15"/>
        </w:numPr>
      </w:pPr>
      <w:r>
        <w:t>Background for this meeting</w:t>
      </w:r>
    </w:p>
    <w:p w:rsidR="00827438" w:rsidRPr="00E0052B" w:rsidRDefault="00827438" w:rsidP="00827438">
      <w:pPr>
        <w:spacing w:after="100" w:afterAutospacing="1" w:line="240" w:lineRule="auto"/>
        <w:rPr>
          <w:sz w:val="18"/>
          <w:szCs w:val="20"/>
        </w:rPr>
      </w:pPr>
      <w:r w:rsidRPr="00E0052B">
        <w:rPr>
          <w:sz w:val="18"/>
          <w:szCs w:val="20"/>
        </w:rPr>
        <w:t xml:space="preserve">The PGA Community of Practice was established in Bogor, Indonesia, in April 2012, and have since been updated on progress in the PGA pilots, relevant approaches and new publications through semi-annual updates and exchanges/ missions directly between countries. The South-South Exchange in 2012 was seen as a useful and effective way of exchanging experience and allowing for in-depth discussions between practitioners from different pilot countries. However, such exchanges require a lot of resources, and for practical purposes it </w:t>
      </w:r>
      <w:r w:rsidR="00DF3837">
        <w:rPr>
          <w:sz w:val="18"/>
          <w:szCs w:val="20"/>
        </w:rPr>
        <w:t xml:space="preserve">was seen as </w:t>
      </w:r>
      <w:r w:rsidRPr="00E0052B">
        <w:rPr>
          <w:sz w:val="18"/>
          <w:szCs w:val="20"/>
        </w:rPr>
        <w:t xml:space="preserve"> useful to convene a smaller group of practitioners - i.e. the PGA coordinators and UN-REDD colleagues</w:t>
      </w:r>
      <w:r w:rsidR="00133140">
        <w:rPr>
          <w:sz w:val="18"/>
          <w:szCs w:val="20"/>
        </w:rPr>
        <w:t xml:space="preserve"> directly</w:t>
      </w:r>
      <w:r w:rsidRPr="00E0052B">
        <w:rPr>
          <w:sz w:val="18"/>
          <w:szCs w:val="20"/>
        </w:rPr>
        <w:t xml:space="preserve"> involved in the PGA – to allow for more in-depth technical discussion</w:t>
      </w:r>
      <w:r w:rsidR="00DF3837">
        <w:rPr>
          <w:sz w:val="18"/>
          <w:szCs w:val="20"/>
        </w:rPr>
        <w:t>s and exchange of experience and lessons learned</w:t>
      </w:r>
      <w:r w:rsidRPr="00E0052B">
        <w:rPr>
          <w:sz w:val="18"/>
          <w:szCs w:val="20"/>
        </w:rPr>
        <w:t xml:space="preserve"> on pertinent matters as two of the pilots are launching their first report this year and will be disseminating this back to stakeholders (Nigeria and Vietnam), whereas the third country (Indonesia) will be launching their second report and have specific examples of how the PGA data is being used since the launch last year.</w:t>
      </w:r>
    </w:p>
    <w:p w:rsidR="00827438" w:rsidRDefault="00827438" w:rsidP="00827438">
      <w:pPr>
        <w:spacing w:after="100" w:afterAutospacing="1" w:line="240" w:lineRule="auto"/>
        <w:rPr>
          <w:sz w:val="18"/>
          <w:szCs w:val="20"/>
        </w:rPr>
      </w:pPr>
      <w:r w:rsidRPr="00E0052B">
        <w:rPr>
          <w:sz w:val="18"/>
          <w:szCs w:val="20"/>
        </w:rPr>
        <w:t xml:space="preserve">Having the PGA coordinators in Oslo was </w:t>
      </w:r>
      <w:r w:rsidR="00DF3837">
        <w:rPr>
          <w:sz w:val="18"/>
          <w:szCs w:val="20"/>
        </w:rPr>
        <w:t>also a good</w:t>
      </w:r>
      <w:r w:rsidRPr="00E0052B">
        <w:rPr>
          <w:sz w:val="18"/>
          <w:szCs w:val="20"/>
        </w:rPr>
        <w:t xml:space="preserve"> opportunity to engage with Norwegian counterparts, both from within the </w:t>
      </w:r>
      <w:r w:rsidR="00DF3837">
        <w:rPr>
          <w:sz w:val="18"/>
          <w:szCs w:val="20"/>
        </w:rPr>
        <w:t xml:space="preserve">Norwegian </w:t>
      </w:r>
      <w:r w:rsidRPr="00E0052B">
        <w:rPr>
          <w:sz w:val="18"/>
          <w:szCs w:val="20"/>
        </w:rPr>
        <w:t>government</w:t>
      </w:r>
      <w:r w:rsidR="00DF3837">
        <w:rPr>
          <w:sz w:val="18"/>
          <w:szCs w:val="20"/>
        </w:rPr>
        <w:t>,</w:t>
      </w:r>
      <w:r w:rsidRPr="00E0052B">
        <w:rPr>
          <w:sz w:val="18"/>
          <w:szCs w:val="20"/>
        </w:rPr>
        <w:t xml:space="preserve"> but also REDD+ actors within civil society and academia, to </w:t>
      </w:r>
      <w:r w:rsidR="00DF3837">
        <w:rPr>
          <w:sz w:val="18"/>
          <w:szCs w:val="20"/>
        </w:rPr>
        <w:t>raise the</w:t>
      </w:r>
      <w:r w:rsidRPr="00E0052B">
        <w:rPr>
          <w:sz w:val="18"/>
          <w:szCs w:val="20"/>
        </w:rPr>
        <w:t xml:space="preserve"> awareness of the PGA approach, provide details from both findings in the report (Indonesia and Vietnam forthcoming – report in final stages), and present some of the challenges </w:t>
      </w:r>
      <w:r w:rsidR="00DF3837">
        <w:rPr>
          <w:sz w:val="18"/>
          <w:szCs w:val="20"/>
        </w:rPr>
        <w:t>encountered</w:t>
      </w:r>
      <w:r w:rsidR="00DF3837" w:rsidRPr="00E0052B">
        <w:rPr>
          <w:sz w:val="18"/>
          <w:szCs w:val="20"/>
        </w:rPr>
        <w:t xml:space="preserve"> </w:t>
      </w:r>
      <w:r w:rsidRPr="00E0052B">
        <w:rPr>
          <w:sz w:val="18"/>
          <w:szCs w:val="20"/>
        </w:rPr>
        <w:t xml:space="preserve">and how they </w:t>
      </w:r>
      <w:r w:rsidR="00DF3837">
        <w:rPr>
          <w:sz w:val="18"/>
          <w:szCs w:val="20"/>
        </w:rPr>
        <w:t>have been</w:t>
      </w:r>
      <w:r w:rsidR="00DF3837" w:rsidRPr="00E0052B">
        <w:rPr>
          <w:sz w:val="18"/>
          <w:szCs w:val="20"/>
        </w:rPr>
        <w:t xml:space="preserve"> </w:t>
      </w:r>
      <w:r w:rsidRPr="00E0052B">
        <w:rPr>
          <w:sz w:val="18"/>
          <w:szCs w:val="20"/>
        </w:rPr>
        <w:t xml:space="preserve">overcome. In addition, shedding light on how the policy uptake and use of the PGA data in Indonesia will also provide details on information that NICFI has been requesting in general from all grant recipients with Norwegian REDD+ support. Therefore, a mini-seminar with detailed and country-specific information on the PGA pilots coupled with a launch of the PGA </w:t>
      </w:r>
      <w:r w:rsidR="00DF3837">
        <w:rPr>
          <w:sz w:val="18"/>
          <w:szCs w:val="20"/>
        </w:rPr>
        <w:t xml:space="preserve">practical guide was prepared in close collaboration with </w:t>
      </w:r>
      <w:proofErr w:type="spellStart"/>
      <w:proofErr w:type="gramStart"/>
      <w:r w:rsidR="00DF3837">
        <w:rPr>
          <w:sz w:val="18"/>
          <w:szCs w:val="20"/>
        </w:rPr>
        <w:t>Norad</w:t>
      </w:r>
      <w:proofErr w:type="spellEnd"/>
      <w:proofErr w:type="gramEnd"/>
      <w:r w:rsidR="00DF3837">
        <w:rPr>
          <w:sz w:val="18"/>
          <w:szCs w:val="20"/>
        </w:rPr>
        <w:t xml:space="preserve">/ NICFI (Tore Langhelle). </w:t>
      </w:r>
    </w:p>
    <w:p w:rsidR="00DF3837" w:rsidRDefault="00DF3837" w:rsidP="00827438">
      <w:pPr>
        <w:spacing w:after="100" w:afterAutospacing="1" w:line="240" w:lineRule="auto"/>
        <w:rPr>
          <w:sz w:val="18"/>
          <w:szCs w:val="20"/>
        </w:rPr>
      </w:pPr>
    </w:p>
    <w:p w:rsidR="00CE2DB3" w:rsidRDefault="00CE2DB3" w:rsidP="00DF3837">
      <w:pPr>
        <w:pStyle w:val="Subtitle"/>
        <w:numPr>
          <w:ilvl w:val="0"/>
          <w:numId w:val="0"/>
        </w:numPr>
        <w:ind w:left="720"/>
      </w:pPr>
      <w:r>
        <w:t>Objectives</w:t>
      </w:r>
    </w:p>
    <w:p w:rsidR="00827438" w:rsidRPr="00E0052B" w:rsidRDefault="00827438" w:rsidP="00E0052B">
      <w:pPr>
        <w:rPr>
          <w:sz w:val="18"/>
          <w:szCs w:val="20"/>
        </w:rPr>
      </w:pPr>
      <w:r w:rsidRPr="00E0052B">
        <w:rPr>
          <w:sz w:val="18"/>
          <w:szCs w:val="20"/>
          <w:u w:val="single"/>
        </w:rPr>
        <w:t>Team meeting</w:t>
      </w:r>
      <w:r w:rsidRPr="00E0052B">
        <w:rPr>
          <w:sz w:val="18"/>
          <w:szCs w:val="20"/>
        </w:rPr>
        <w:t>: Convene PGA coordinators from the pilot countries and PGA colleagues within the UN-REDD Programme (SNA: UNDP and FAO) to allow for in-depth technical discussions and exchange of expertise and experience, and also facilitate regular communication directly between the PGA coordinators through networking</w:t>
      </w:r>
    </w:p>
    <w:p w:rsidR="00827438" w:rsidRPr="00E0052B" w:rsidRDefault="00827438" w:rsidP="00E0052B">
      <w:pPr>
        <w:rPr>
          <w:sz w:val="18"/>
          <w:szCs w:val="20"/>
        </w:rPr>
      </w:pPr>
      <w:r w:rsidRPr="00E0052B">
        <w:rPr>
          <w:sz w:val="18"/>
          <w:szCs w:val="20"/>
          <w:u w:val="single"/>
        </w:rPr>
        <w:t>Seminar/ launch</w:t>
      </w:r>
      <w:r w:rsidRPr="00E0052B">
        <w:rPr>
          <w:sz w:val="18"/>
          <w:szCs w:val="20"/>
        </w:rPr>
        <w:t>: Raise awareness of the PGA approach among Norwegian REDD+ counterparts and actors, provide country specific examples and details on the status of the PGA pilots, lessons learned, challenges, and preliminary results (the latter from Indonesia based on the follow up work after the launch in 2013). This was also seen as a good opportunity to present the Practical Guide to PGAs</w:t>
      </w:r>
      <w:r w:rsidR="00E0052B">
        <w:rPr>
          <w:sz w:val="18"/>
          <w:szCs w:val="20"/>
        </w:rPr>
        <w:t>.</w:t>
      </w:r>
    </w:p>
    <w:p w:rsidR="00CE2DB3" w:rsidRDefault="00CE2DB3" w:rsidP="004846B9">
      <w:pPr>
        <w:pStyle w:val="Subtitle"/>
        <w:numPr>
          <w:ilvl w:val="0"/>
          <w:numId w:val="15"/>
        </w:numPr>
      </w:pPr>
      <w:r>
        <w:t>Participants</w:t>
      </w:r>
    </w:p>
    <w:p w:rsidR="0094441C" w:rsidRPr="00A32BCD" w:rsidRDefault="008034F5" w:rsidP="00827438">
      <w:pPr>
        <w:rPr>
          <w:rFonts w:ascii="Calibri" w:eastAsia="Calibri" w:hAnsi="Calibri"/>
          <w:sz w:val="18"/>
          <w:szCs w:val="20"/>
        </w:rPr>
      </w:pPr>
      <w:r w:rsidRPr="00A32BCD">
        <w:rPr>
          <w:rFonts w:ascii="Calibri" w:eastAsia="Calibri" w:hAnsi="Calibri"/>
          <w:sz w:val="18"/>
          <w:szCs w:val="20"/>
        </w:rPr>
        <w:t xml:space="preserve">In total, </w:t>
      </w:r>
      <w:r w:rsidR="00827438" w:rsidRPr="00A32BCD">
        <w:rPr>
          <w:rFonts w:ascii="Calibri" w:eastAsia="Calibri" w:hAnsi="Calibri"/>
          <w:sz w:val="18"/>
          <w:szCs w:val="20"/>
        </w:rPr>
        <w:t>7</w:t>
      </w:r>
      <w:r w:rsidRPr="00A32BCD">
        <w:rPr>
          <w:rFonts w:ascii="Calibri" w:eastAsia="Calibri" w:hAnsi="Calibri"/>
          <w:sz w:val="18"/>
          <w:szCs w:val="20"/>
        </w:rPr>
        <w:t xml:space="preserve"> participants </w:t>
      </w:r>
      <w:r w:rsidR="00927E32">
        <w:rPr>
          <w:rFonts w:ascii="Calibri" w:eastAsia="Calibri" w:hAnsi="Calibri"/>
          <w:sz w:val="18"/>
          <w:szCs w:val="20"/>
        </w:rPr>
        <w:t>joined this meeting</w:t>
      </w:r>
      <w:r w:rsidR="00827438" w:rsidRPr="00A32BCD">
        <w:rPr>
          <w:rFonts w:ascii="Calibri" w:eastAsia="Calibri" w:hAnsi="Calibri"/>
          <w:sz w:val="18"/>
          <w:szCs w:val="20"/>
        </w:rPr>
        <w:t xml:space="preserve">: three </w:t>
      </w:r>
      <w:r w:rsidR="00827438" w:rsidRPr="00A32BCD">
        <w:rPr>
          <w:sz w:val="18"/>
          <w:szCs w:val="20"/>
        </w:rPr>
        <w:t xml:space="preserve">PGA coordinators </w:t>
      </w:r>
      <w:r w:rsidR="00927E32">
        <w:rPr>
          <w:sz w:val="18"/>
          <w:szCs w:val="20"/>
        </w:rPr>
        <w:t xml:space="preserve">(Rosemary </w:t>
      </w:r>
      <w:proofErr w:type="spellStart"/>
      <w:r w:rsidR="00927E32">
        <w:rPr>
          <w:sz w:val="18"/>
          <w:szCs w:val="20"/>
        </w:rPr>
        <w:t>Oboh</w:t>
      </w:r>
      <w:proofErr w:type="spellEnd"/>
      <w:r w:rsidR="00927E32">
        <w:rPr>
          <w:sz w:val="18"/>
          <w:szCs w:val="20"/>
        </w:rPr>
        <w:t xml:space="preserve">, Abdul </w:t>
      </w:r>
      <w:proofErr w:type="spellStart"/>
      <w:r w:rsidR="00927E32">
        <w:rPr>
          <w:sz w:val="18"/>
          <w:szCs w:val="20"/>
        </w:rPr>
        <w:t>Wahib</w:t>
      </w:r>
      <w:proofErr w:type="spellEnd"/>
      <w:r w:rsidR="00927E32">
        <w:rPr>
          <w:sz w:val="18"/>
          <w:szCs w:val="20"/>
        </w:rPr>
        <w:t xml:space="preserve"> Situmorang and Thao Do) </w:t>
      </w:r>
      <w:r w:rsidR="00827438" w:rsidRPr="00A32BCD">
        <w:rPr>
          <w:sz w:val="18"/>
          <w:szCs w:val="20"/>
        </w:rPr>
        <w:t xml:space="preserve">and four UN-REDD Global Programme colleagues </w:t>
      </w:r>
      <w:r w:rsidR="00927E32">
        <w:rPr>
          <w:sz w:val="18"/>
          <w:szCs w:val="20"/>
        </w:rPr>
        <w:t xml:space="preserve">(Estelle Fach, Kristin </w:t>
      </w:r>
      <w:proofErr w:type="spellStart"/>
      <w:r w:rsidR="00927E32">
        <w:rPr>
          <w:sz w:val="18"/>
          <w:szCs w:val="20"/>
        </w:rPr>
        <w:t>DeValue</w:t>
      </w:r>
      <w:proofErr w:type="spellEnd"/>
      <w:r w:rsidR="00927E32">
        <w:rPr>
          <w:sz w:val="18"/>
          <w:szCs w:val="20"/>
        </w:rPr>
        <w:t xml:space="preserve">, Danae Issa and Tina Sølvberg) </w:t>
      </w:r>
      <w:r w:rsidR="00827438" w:rsidRPr="00A32BCD">
        <w:rPr>
          <w:sz w:val="18"/>
          <w:szCs w:val="20"/>
        </w:rPr>
        <w:t>involved in PGA</w:t>
      </w:r>
      <w:r w:rsidR="00927E32">
        <w:rPr>
          <w:sz w:val="18"/>
          <w:szCs w:val="20"/>
        </w:rPr>
        <w:t xml:space="preserve"> work</w:t>
      </w:r>
      <w:r w:rsidR="00827438" w:rsidRPr="00A32BCD">
        <w:rPr>
          <w:sz w:val="18"/>
          <w:szCs w:val="20"/>
        </w:rPr>
        <w:t xml:space="preserve"> joined this meeting. </w:t>
      </w:r>
    </w:p>
    <w:p w:rsidR="00D90826" w:rsidRPr="00D90826" w:rsidRDefault="00D90826" w:rsidP="00D90826"/>
    <w:p w:rsidR="00CE2DB3" w:rsidRDefault="00E022EB" w:rsidP="004846B9">
      <w:pPr>
        <w:pStyle w:val="Subtitle"/>
        <w:numPr>
          <w:ilvl w:val="0"/>
          <w:numId w:val="15"/>
        </w:numPr>
      </w:pPr>
      <w:r>
        <w:t>Key i</w:t>
      </w:r>
      <w:r w:rsidR="00CE2DB3">
        <w:t xml:space="preserve">ssues </w:t>
      </w:r>
      <w:r w:rsidR="00D90826">
        <w:t xml:space="preserve">addressed </w:t>
      </w:r>
      <w:r w:rsidR="008C30F9">
        <w:t xml:space="preserve">and </w:t>
      </w:r>
      <w:r>
        <w:t>discussed</w:t>
      </w:r>
      <w:r w:rsidR="00CE2DB3">
        <w:t xml:space="preserve"> during the workshop</w:t>
      </w:r>
    </w:p>
    <w:p w:rsidR="001F5C47" w:rsidRDefault="00690603" w:rsidP="00DB292F">
      <w:pPr>
        <w:ind w:left="360"/>
        <w:rPr>
          <w:rStyle w:val="SubtleEmphasis"/>
        </w:rPr>
      </w:pPr>
      <w:r>
        <w:rPr>
          <w:rStyle w:val="SubtleEmphasis"/>
        </w:rPr>
        <w:t>Key points from session</w:t>
      </w:r>
      <w:r w:rsidR="00827438">
        <w:rPr>
          <w:rStyle w:val="SubtleEmphasis"/>
        </w:rPr>
        <w:t xml:space="preserve"> 1: Stock-taking of the PGA work</w:t>
      </w:r>
    </w:p>
    <w:p w:rsidR="00E0052B" w:rsidRDefault="00927E32" w:rsidP="00927E32">
      <w:pPr>
        <w:rPr>
          <w:rStyle w:val="SubtleEmphasis"/>
          <w:i w:val="0"/>
          <w:color w:val="auto"/>
          <w:sz w:val="18"/>
        </w:rPr>
      </w:pPr>
      <w:r>
        <w:rPr>
          <w:rStyle w:val="SubtleEmphasis"/>
          <w:i w:val="0"/>
          <w:color w:val="auto"/>
          <w:sz w:val="18"/>
        </w:rPr>
        <w:t>Updates were given from each of the PGA pilots</w:t>
      </w:r>
      <w:r w:rsidR="0044636F">
        <w:rPr>
          <w:rStyle w:val="SubtleEmphasis"/>
          <w:i w:val="0"/>
          <w:color w:val="auto"/>
          <w:sz w:val="18"/>
        </w:rPr>
        <w:t xml:space="preserve">. </w:t>
      </w:r>
      <w:r w:rsidR="0044636F" w:rsidRPr="0044636F">
        <w:rPr>
          <w:rStyle w:val="SubtleEmphasis"/>
          <w:b/>
          <w:i w:val="0"/>
          <w:color w:val="auto"/>
          <w:sz w:val="18"/>
        </w:rPr>
        <w:t>V</w:t>
      </w:r>
      <w:r w:rsidRPr="0044636F">
        <w:rPr>
          <w:rStyle w:val="SubtleEmphasis"/>
          <w:b/>
          <w:i w:val="0"/>
          <w:color w:val="auto"/>
          <w:sz w:val="18"/>
        </w:rPr>
        <w:t>ietnam</w:t>
      </w:r>
      <w:r>
        <w:rPr>
          <w:rStyle w:val="SubtleEmphasis"/>
          <w:i w:val="0"/>
          <w:color w:val="auto"/>
          <w:sz w:val="18"/>
        </w:rPr>
        <w:t xml:space="preserve"> ha</w:t>
      </w:r>
      <w:r w:rsidR="0044636F">
        <w:rPr>
          <w:rStyle w:val="SubtleEmphasis"/>
          <w:i w:val="0"/>
          <w:color w:val="auto"/>
          <w:sz w:val="18"/>
        </w:rPr>
        <w:t>s</w:t>
      </w:r>
      <w:r>
        <w:rPr>
          <w:rStyle w:val="SubtleEmphasis"/>
          <w:i w:val="0"/>
          <w:color w:val="auto"/>
          <w:sz w:val="18"/>
        </w:rPr>
        <w:t xml:space="preserve"> undergone a change of how their PGA process is structured earlier this year to allow for a better balance between general and expertise inputs into the PGA, and recently having validated collected data and preparing for a launch </w:t>
      </w:r>
      <w:r w:rsidR="0044636F">
        <w:rPr>
          <w:rStyle w:val="SubtleEmphasis"/>
          <w:i w:val="0"/>
          <w:color w:val="auto"/>
          <w:sz w:val="18"/>
        </w:rPr>
        <w:t xml:space="preserve">of the PGA report in late July. One of the key challenges has been to get the PGA properly embedded within the UN-REDD Phase 2 as some resistance is faced at the moment. </w:t>
      </w:r>
      <w:r w:rsidRPr="0044636F">
        <w:rPr>
          <w:rStyle w:val="SubtleEmphasis"/>
          <w:b/>
          <w:i w:val="0"/>
          <w:color w:val="auto"/>
          <w:sz w:val="18"/>
        </w:rPr>
        <w:t>Indonesia</w:t>
      </w:r>
      <w:r>
        <w:rPr>
          <w:rStyle w:val="SubtleEmphasis"/>
          <w:i w:val="0"/>
          <w:color w:val="auto"/>
          <w:sz w:val="18"/>
        </w:rPr>
        <w:t xml:space="preserve"> with a number of concrete and preliminary results since the launch of the report last year in terms of how government institutions (such as the Ministry of Forestry, </w:t>
      </w:r>
      <w:r w:rsidR="0044636F">
        <w:rPr>
          <w:rStyle w:val="SubtleEmphasis"/>
          <w:i w:val="0"/>
          <w:color w:val="auto"/>
          <w:sz w:val="18"/>
        </w:rPr>
        <w:t>UKP4</w:t>
      </w:r>
      <w:r>
        <w:rPr>
          <w:rStyle w:val="SubtleEmphasis"/>
          <w:i w:val="0"/>
          <w:color w:val="auto"/>
          <w:sz w:val="18"/>
        </w:rPr>
        <w:t xml:space="preserve"> and REDD</w:t>
      </w:r>
      <w:r w:rsidR="0044636F">
        <w:rPr>
          <w:rStyle w:val="SubtleEmphasis"/>
          <w:i w:val="0"/>
          <w:color w:val="auto"/>
          <w:sz w:val="18"/>
        </w:rPr>
        <w:t xml:space="preserve"> + Agency) have acted upon the recommendations and data available to improve and how civil society is engaging with the </w:t>
      </w:r>
      <w:proofErr w:type="spellStart"/>
      <w:r w:rsidR="0044636F">
        <w:rPr>
          <w:rStyle w:val="SubtleEmphasis"/>
          <w:i w:val="0"/>
          <w:color w:val="auto"/>
          <w:sz w:val="18"/>
        </w:rPr>
        <w:t>GoI</w:t>
      </w:r>
      <w:proofErr w:type="spellEnd"/>
      <w:r w:rsidR="0044636F">
        <w:rPr>
          <w:rStyle w:val="SubtleEmphasis"/>
          <w:i w:val="0"/>
          <w:color w:val="auto"/>
          <w:sz w:val="18"/>
        </w:rPr>
        <w:t xml:space="preserve"> on governance-related issues and how the PGA report </w:t>
      </w:r>
      <w:r w:rsidR="0044636F">
        <w:rPr>
          <w:rStyle w:val="SubtleEmphasis"/>
          <w:i w:val="0"/>
          <w:color w:val="auto"/>
          <w:sz w:val="18"/>
        </w:rPr>
        <w:lastRenderedPageBreak/>
        <w:t xml:space="preserve">has been used for strategic planning (for NGOs such as AMAN and </w:t>
      </w:r>
      <w:proofErr w:type="spellStart"/>
      <w:r w:rsidR="0044636F">
        <w:rPr>
          <w:rStyle w:val="SubtleEmphasis"/>
          <w:i w:val="0"/>
          <w:color w:val="auto"/>
          <w:sz w:val="18"/>
        </w:rPr>
        <w:t>Walhi</w:t>
      </w:r>
      <w:proofErr w:type="spellEnd"/>
      <w:r w:rsidR="0044636F">
        <w:rPr>
          <w:rStyle w:val="SubtleEmphasis"/>
          <w:i w:val="0"/>
          <w:color w:val="auto"/>
          <w:sz w:val="18"/>
        </w:rPr>
        <w:t xml:space="preserve">). The indicator set has also been refined, now including 35 indicators as opposed to 117 previously, and two provinces – North Sumatra and West Sumatra are added to the PGA. Key milestones this year will be a new draft report to be presented in October upon the request of the Head of the REDD+ Agency in Indonesia. The presidential elections later this year are exciting for various reasons, and the timing of the proper launch of the </w:t>
      </w:r>
      <w:r w:rsidR="00CE640D">
        <w:rPr>
          <w:rStyle w:val="SubtleEmphasis"/>
          <w:i w:val="0"/>
          <w:color w:val="auto"/>
          <w:sz w:val="18"/>
        </w:rPr>
        <w:t xml:space="preserve">second PGA report will done with careful considerations in terms of the new landscape following the inauguration of the new President come October. </w:t>
      </w:r>
      <w:r w:rsidR="0044636F">
        <w:rPr>
          <w:rStyle w:val="SubtleEmphasis"/>
          <w:i w:val="0"/>
          <w:color w:val="auto"/>
          <w:sz w:val="18"/>
        </w:rPr>
        <w:t xml:space="preserve">For </w:t>
      </w:r>
      <w:r w:rsidR="0044636F" w:rsidRPr="0044636F">
        <w:rPr>
          <w:rStyle w:val="SubtleEmphasis"/>
          <w:b/>
          <w:i w:val="0"/>
          <w:color w:val="auto"/>
          <w:sz w:val="18"/>
        </w:rPr>
        <w:t>Nigeria</w:t>
      </w:r>
      <w:r w:rsidR="0044636F">
        <w:rPr>
          <w:rStyle w:val="SubtleEmphasis"/>
          <w:i w:val="0"/>
          <w:color w:val="auto"/>
          <w:sz w:val="18"/>
        </w:rPr>
        <w:t xml:space="preserve">, momentum is regained with a new PGA coordinator in place, agreements on a new road map, and trainings on </w:t>
      </w:r>
      <w:r w:rsidR="00263675">
        <w:rPr>
          <w:rStyle w:val="SubtleEmphasis"/>
          <w:i w:val="0"/>
          <w:color w:val="auto"/>
          <w:sz w:val="18"/>
        </w:rPr>
        <w:t xml:space="preserve">governance </w:t>
      </w:r>
      <w:r w:rsidR="0044636F">
        <w:rPr>
          <w:rStyle w:val="SubtleEmphasis"/>
          <w:i w:val="0"/>
          <w:color w:val="auto"/>
          <w:sz w:val="18"/>
        </w:rPr>
        <w:t xml:space="preserve">indicator development </w:t>
      </w:r>
      <w:r w:rsidR="00263675">
        <w:rPr>
          <w:rStyle w:val="SubtleEmphasis"/>
          <w:i w:val="0"/>
          <w:color w:val="auto"/>
          <w:sz w:val="18"/>
        </w:rPr>
        <w:t xml:space="preserve">and data collection methods </w:t>
      </w:r>
      <w:r w:rsidR="0044636F">
        <w:rPr>
          <w:rStyle w:val="SubtleEmphasis"/>
          <w:i w:val="0"/>
          <w:color w:val="auto"/>
          <w:sz w:val="18"/>
        </w:rPr>
        <w:t xml:space="preserve">have taken place, and an ambitious plan to launch the PGA report by November this year. Particular </w:t>
      </w:r>
      <w:r w:rsidR="00263675">
        <w:rPr>
          <w:rStyle w:val="SubtleEmphasis"/>
          <w:i w:val="0"/>
          <w:color w:val="auto"/>
          <w:sz w:val="18"/>
        </w:rPr>
        <w:t xml:space="preserve">emphasis has been put on engaging a wide range of stakeholders </w:t>
      </w:r>
      <w:r w:rsidR="00FA52B6">
        <w:rPr>
          <w:rStyle w:val="SubtleEmphasis"/>
          <w:i w:val="0"/>
          <w:color w:val="auto"/>
          <w:sz w:val="18"/>
        </w:rPr>
        <w:t>–</w:t>
      </w:r>
      <w:r w:rsidR="00263675">
        <w:rPr>
          <w:rStyle w:val="SubtleEmphasis"/>
          <w:i w:val="0"/>
          <w:color w:val="auto"/>
          <w:sz w:val="18"/>
        </w:rPr>
        <w:t xml:space="preserve"> </w:t>
      </w:r>
      <w:r w:rsidR="00FA52B6">
        <w:rPr>
          <w:rStyle w:val="SubtleEmphasis"/>
          <w:i w:val="0"/>
          <w:color w:val="auto"/>
          <w:sz w:val="18"/>
        </w:rPr>
        <w:t xml:space="preserve">such as </w:t>
      </w:r>
      <w:r w:rsidR="00263675">
        <w:rPr>
          <w:rStyle w:val="SubtleEmphasis"/>
          <w:i w:val="0"/>
          <w:color w:val="auto"/>
          <w:sz w:val="18"/>
        </w:rPr>
        <w:t>CSOs, local communities, local government</w:t>
      </w:r>
      <w:r w:rsidR="00FA52B6">
        <w:rPr>
          <w:rStyle w:val="SubtleEmphasis"/>
          <w:i w:val="0"/>
          <w:color w:val="auto"/>
          <w:sz w:val="18"/>
        </w:rPr>
        <w:t xml:space="preserve"> actors</w:t>
      </w:r>
      <w:r w:rsidR="00263675">
        <w:rPr>
          <w:rStyle w:val="SubtleEmphasis"/>
          <w:i w:val="0"/>
          <w:color w:val="auto"/>
          <w:sz w:val="18"/>
        </w:rPr>
        <w:t xml:space="preserve">... - in the PGA process through a bottom-up approach, with certain </w:t>
      </w:r>
      <w:r w:rsidR="0044636F">
        <w:rPr>
          <w:rStyle w:val="SubtleEmphasis"/>
          <w:i w:val="0"/>
          <w:color w:val="auto"/>
          <w:sz w:val="18"/>
        </w:rPr>
        <w:t>challenges relat</w:t>
      </w:r>
      <w:r w:rsidR="00263675">
        <w:rPr>
          <w:rStyle w:val="SubtleEmphasis"/>
          <w:i w:val="0"/>
          <w:color w:val="auto"/>
          <w:sz w:val="18"/>
        </w:rPr>
        <w:t>ing</w:t>
      </w:r>
      <w:r w:rsidR="0044636F">
        <w:rPr>
          <w:rStyle w:val="SubtleEmphasis"/>
          <w:i w:val="0"/>
          <w:color w:val="auto"/>
          <w:sz w:val="18"/>
        </w:rPr>
        <w:t xml:space="preserve"> to </w:t>
      </w:r>
      <w:r w:rsidR="00CE640D">
        <w:rPr>
          <w:rStyle w:val="SubtleEmphasis"/>
          <w:i w:val="0"/>
          <w:color w:val="auto"/>
          <w:sz w:val="18"/>
        </w:rPr>
        <w:t>reaching local stakeholders</w:t>
      </w:r>
      <w:r w:rsidR="00DC1427">
        <w:rPr>
          <w:rStyle w:val="SubtleEmphasis"/>
          <w:i w:val="0"/>
          <w:color w:val="auto"/>
          <w:sz w:val="18"/>
        </w:rPr>
        <w:t xml:space="preserve"> and building their capacity</w:t>
      </w:r>
      <w:r w:rsidR="00CE640D">
        <w:rPr>
          <w:rStyle w:val="SubtleEmphasis"/>
          <w:i w:val="0"/>
          <w:color w:val="auto"/>
          <w:sz w:val="18"/>
        </w:rPr>
        <w:t xml:space="preserve">, and how this affects planning. </w:t>
      </w:r>
    </w:p>
    <w:p w:rsidR="00217826" w:rsidRPr="00927E32" w:rsidRDefault="00217826" w:rsidP="00927E32">
      <w:pPr>
        <w:rPr>
          <w:rStyle w:val="SubtleEmphasis"/>
          <w:i w:val="0"/>
          <w:color w:val="auto"/>
          <w:sz w:val="18"/>
        </w:rPr>
      </w:pPr>
      <w:r>
        <w:rPr>
          <w:rStyle w:val="SubtleEmphasis"/>
          <w:i w:val="0"/>
          <w:color w:val="auto"/>
          <w:sz w:val="18"/>
        </w:rPr>
        <w:t xml:space="preserve">From the </w:t>
      </w:r>
      <w:r w:rsidRPr="008A79E5">
        <w:rPr>
          <w:rStyle w:val="SubtleEmphasis"/>
          <w:b/>
          <w:i w:val="0"/>
          <w:color w:val="auto"/>
          <w:sz w:val="18"/>
        </w:rPr>
        <w:t>global perspective</w:t>
      </w:r>
      <w:r>
        <w:rPr>
          <w:rStyle w:val="SubtleEmphasis"/>
          <w:i w:val="0"/>
          <w:color w:val="auto"/>
          <w:sz w:val="18"/>
        </w:rPr>
        <w:t>, the launches of the first PGA reports in Vietnam and Nigeria, in addition to the second PGA report from Indonesia, are key priorities</w:t>
      </w:r>
      <w:r w:rsidR="008A79E5">
        <w:rPr>
          <w:rStyle w:val="SubtleEmphasis"/>
          <w:i w:val="0"/>
          <w:color w:val="auto"/>
          <w:sz w:val="18"/>
        </w:rPr>
        <w:t xml:space="preserve"> this year</w:t>
      </w:r>
      <w:r>
        <w:rPr>
          <w:rStyle w:val="SubtleEmphasis"/>
          <w:i w:val="0"/>
          <w:color w:val="auto"/>
          <w:sz w:val="18"/>
        </w:rPr>
        <w:t>.</w:t>
      </w:r>
      <w:r w:rsidR="008A79E5">
        <w:rPr>
          <w:rStyle w:val="SubtleEmphasis"/>
          <w:i w:val="0"/>
          <w:color w:val="auto"/>
          <w:sz w:val="18"/>
        </w:rPr>
        <w:t xml:space="preserve"> Also, there is a need to work to integrate the PGA process and the belonging governance data into the larger national REDD+ processes, such as feeding into the nationally developed Safeguards Information Systems under relevant safeguards components, feeding into and informing policy- and decision-making. </w:t>
      </w:r>
      <w:r>
        <w:rPr>
          <w:rStyle w:val="SubtleEmphasis"/>
          <w:i w:val="0"/>
          <w:color w:val="auto"/>
          <w:sz w:val="18"/>
        </w:rPr>
        <w:t xml:space="preserve">In addition, and from a broader governance perspective, there is a need to more carefully consider and understand the drivers of deforestation and forest degradation. </w:t>
      </w:r>
      <w:r w:rsidR="008A79E5">
        <w:rPr>
          <w:rStyle w:val="SubtleEmphasis"/>
          <w:i w:val="0"/>
          <w:color w:val="auto"/>
          <w:sz w:val="18"/>
        </w:rPr>
        <w:t xml:space="preserve">In the pipeline we have Paraguay to commence a PGA later this year as indicated, and there may be a PGA in Ivory Coast eventually. As a heads up, we are also considering to organize a South-South Exchange more broadly on governance issues early next year. </w:t>
      </w:r>
    </w:p>
    <w:p w:rsidR="00827438" w:rsidRDefault="00690603" w:rsidP="0055593D">
      <w:pPr>
        <w:spacing w:after="120"/>
        <w:ind w:firstLine="360"/>
        <w:rPr>
          <w:rStyle w:val="SubtleEmphasis"/>
        </w:rPr>
      </w:pPr>
      <w:r>
        <w:rPr>
          <w:rStyle w:val="SubtleEmphasis"/>
        </w:rPr>
        <w:t xml:space="preserve">Key points from session </w:t>
      </w:r>
      <w:r w:rsidR="00827438">
        <w:rPr>
          <w:rStyle w:val="SubtleEmphasis"/>
        </w:rPr>
        <w:t>2: How to ensure a smooth start-up of a PGA</w:t>
      </w:r>
      <w:r w:rsidR="00263675">
        <w:rPr>
          <w:rStyle w:val="SubtleEmphasis"/>
        </w:rPr>
        <w:t>?</w:t>
      </w:r>
    </w:p>
    <w:p w:rsidR="001E0C20" w:rsidRPr="001E0C20" w:rsidRDefault="001E0C20" w:rsidP="0055593D">
      <w:pPr>
        <w:spacing w:before="60" w:after="0" w:line="240" w:lineRule="auto"/>
        <w:contextualSpacing/>
        <w:rPr>
          <w:b/>
          <w:i/>
          <w:sz w:val="18"/>
          <w:szCs w:val="18"/>
        </w:rPr>
      </w:pPr>
      <w:r w:rsidRPr="001E0C20">
        <w:rPr>
          <w:b/>
          <w:i/>
          <w:sz w:val="18"/>
          <w:szCs w:val="18"/>
        </w:rPr>
        <w:t>PARTICIPATION</w:t>
      </w:r>
    </w:p>
    <w:p w:rsidR="001E0C20" w:rsidRPr="001E0C20" w:rsidRDefault="001E0C20" w:rsidP="0055593D">
      <w:pPr>
        <w:pStyle w:val="ListParagraph"/>
        <w:numPr>
          <w:ilvl w:val="0"/>
          <w:numId w:val="38"/>
        </w:numPr>
        <w:spacing w:after="0" w:line="240" w:lineRule="auto"/>
        <w:ind w:left="270" w:hanging="212"/>
        <w:jc w:val="both"/>
        <w:rPr>
          <w:sz w:val="18"/>
          <w:szCs w:val="18"/>
        </w:rPr>
      </w:pPr>
      <w:r w:rsidRPr="001E0C20">
        <w:rPr>
          <w:sz w:val="18"/>
          <w:szCs w:val="18"/>
        </w:rPr>
        <w:t xml:space="preserve">Participation is the starting and guiding principle of the entire PGA. Ensuring effective and inclusive participation by gathering </w:t>
      </w:r>
      <w:r w:rsidRPr="001E0C20">
        <w:rPr>
          <w:b/>
          <w:sz w:val="18"/>
          <w:szCs w:val="18"/>
        </w:rPr>
        <w:t>all relevant actors</w:t>
      </w:r>
      <w:r w:rsidRPr="001E0C20">
        <w:rPr>
          <w:sz w:val="18"/>
          <w:szCs w:val="18"/>
        </w:rPr>
        <w:t xml:space="preserve"> from different levels of government, civil society, IP, private sector, academia and other around the PGA table right from the start is critical when setting up the process. The future uptake of the PGA results will also depend on having all the right actors in the process since the beginning. </w:t>
      </w:r>
    </w:p>
    <w:p w:rsidR="001E0C20" w:rsidRPr="001E0C20" w:rsidRDefault="001E0C20" w:rsidP="0055593D">
      <w:pPr>
        <w:spacing w:before="60" w:after="0" w:line="240" w:lineRule="auto"/>
        <w:contextualSpacing/>
        <w:rPr>
          <w:b/>
          <w:i/>
          <w:sz w:val="18"/>
          <w:szCs w:val="18"/>
        </w:rPr>
      </w:pPr>
      <w:r w:rsidRPr="001E0C20">
        <w:rPr>
          <w:b/>
          <w:i/>
          <w:sz w:val="18"/>
          <w:szCs w:val="18"/>
        </w:rPr>
        <w:t>POLITICAL STRATEGY</w:t>
      </w:r>
    </w:p>
    <w:p w:rsidR="001E0C20" w:rsidRPr="001E0C20" w:rsidRDefault="001E0C20" w:rsidP="0055593D">
      <w:pPr>
        <w:pStyle w:val="ListParagraph"/>
        <w:numPr>
          <w:ilvl w:val="0"/>
          <w:numId w:val="39"/>
        </w:numPr>
        <w:tabs>
          <w:tab w:val="left" w:pos="450"/>
        </w:tabs>
        <w:spacing w:after="0" w:line="240" w:lineRule="auto"/>
        <w:ind w:left="270" w:hanging="270"/>
        <w:jc w:val="both"/>
        <w:rPr>
          <w:sz w:val="18"/>
          <w:szCs w:val="18"/>
        </w:rPr>
      </w:pPr>
      <w:r w:rsidRPr="001E0C20">
        <w:rPr>
          <w:sz w:val="18"/>
          <w:szCs w:val="18"/>
        </w:rPr>
        <w:t>Beyond getting "everyone" around the table, one needs to be politically sensitive and smart, with the following considerations in mind:</w:t>
      </w:r>
    </w:p>
    <w:p w:rsidR="001E0C20" w:rsidRPr="001E0C20" w:rsidRDefault="001E0C20" w:rsidP="0055593D">
      <w:pPr>
        <w:spacing w:after="0" w:line="240" w:lineRule="auto"/>
        <w:ind w:left="270"/>
        <w:contextualSpacing/>
        <w:rPr>
          <w:sz w:val="18"/>
          <w:szCs w:val="18"/>
        </w:rPr>
      </w:pPr>
      <w:r w:rsidRPr="001E0C20">
        <w:rPr>
          <w:sz w:val="18"/>
          <w:szCs w:val="18"/>
        </w:rPr>
        <w:t xml:space="preserve">-  make sure to include at least one </w:t>
      </w:r>
      <w:r w:rsidRPr="001E0C20">
        <w:rPr>
          <w:b/>
          <w:sz w:val="18"/>
          <w:szCs w:val="18"/>
        </w:rPr>
        <w:t>influential person</w:t>
      </w:r>
      <w:r w:rsidRPr="001E0C20">
        <w:rPr>
          <w:sz w:val="18"/>
          <w:szCs w:val="18"/>
        </w:rPr>
        <w:t xml:space="preserve"> from each one of the groups involved;</w:t>
      </w:r>
    </w:p>
    <w:p w:rsidR="001E0C20" w:rsidRPr="001E0C20" w:rsidRDefault="001E0C20" w:rsidP="0055593D">
      <w:pPr>
        <w:spacing w:after="0" w:line="240" w:lineRule="auto"/>
        <w:ind w:left="270"/>
        <w:contextualSpacing/>
        <w:rPr>
          <w:sz w:val="18"/>
          <w:szCs w:val="18"/>
        </w:rPr>
      </w:pPr>
      <w:r w:rsidRPr="001E0C20">
        <w:rPr>
          <w:sz w:val="18"/>
          <w:szCs w:val="18"/>
        </w:rPr>
        <w:t xml:space="preserve">-  </w:t>
      </w:r>
      <w:proofErr w:type="gramStart"/>
      <w:r w:rsidRPr="001E0C20">
        <w:rPr>
          <w:sz w:val="18"/>
          <w:szCs w:val="18"/>
        </w:rPr>
        <w:t>make</w:t>
      </w:r>
      <w:proofErr w:type="gramEnd"/>
      <w:r w:rsidRPr="001E0C20">
        <w:rPr>
          <w:sz w:val="18"/>
          <w:szCs w:val="18"/>
        </w:rPr>
        <w:t xml:space="preserve"> sure to </w:t>
      </w:r>
      <w:r w:rsidRPr="001E0C20">
        <w:rPr>
          <w:b/>
          <w:sz w:val="18"/>
          <w:szCs w:val="18"/>
        </w:rPr>
        <w:t xml:space="preserve">bring potential opponents in </w:t>
      </w:r>
      <w:r w:rsidRPr="001E0C20">
        <w:rPr>
          <w:sz w:val="18"/>
          <w:szCs w:val="18"/>
        </w:rPr>
        <w:t xml:space="preserve">as well - organizations and persons who would otherwise risk opposing and hampering the process; </w:t>
      </w:r>
    </w:p>
    <w:p w:rsidR="001E0C20" w:rsidRPr="001E0C20" w:rsidRDefault="001E0C20" w:rsidP="0055593D">
      <w:pPr>
        <w:spacing w:after="0" w:line="240" w:lineRule="auto"/>
        <w:ind w:left="270"/>
        <w:contextualSpacing/>
        <w:rPr>
          <w:sz w:val="18"/>
          <w:szCs w:val="18"/>
        </w:rPr>
      </w:pPr>
      <w:r w:rsidRPr="001E0C20">
        <w:rPr>
          <w:sz w:val="18"/>
          <w:szCs w:val="18"/>
        </w:rPr>
        <w:t xml:space="preserve">- need to get champions in, but only </w:t>
      </w:r>
      <w:r w:rsidRPr="001E0C20">
        <w:rPr>
          <w:b/>
          <w:sz w:val="18"/>
          <w:szCs w:val="18"/>
        </w:rPr>
        <w:t>one champion is not enough</w:t>
      </w:r>
      <w:r w:rsidRPr="001E0C20">
        <w:rPr>
          <w:sz w:val="18"/>
          <w:szCs w:val="18"/>
        </w:rPr>
        <w:t>, there needs to be a significant group of champions to ensure the sustainability of the process beyond political turnover;</w:t>
      </w:r>
    </w:p>
    <w:p w:rsidR="001E0C20" w:rsidRPr="001E0C20" w:rsidRDefault="001E0C20" w:rsidP="0055593D">
      <w:pPr>
        <w:spacing w:after="0" w:line="240" w:lineRule="auto"/>
        <w:ind w:left="270"/>
        <w:contextualSpacing/>
        <w:rPr>
          <w:sz w:val="18"/>
          <w:szCs w:val="18"/>
        </w:rPr>
      </w:pPr>
      <w:r w:rsidRPr="001E0C20">
        <w:rPr>
          <w:sz w:val="18"/>
          <w:szCs w:val="18"/>
        </w:rPr>
        <w:t xml:space="preserve">- don't forget to ensure the </w:t>
      </w:r>
      <w:r w:rsidRPr="001E0C20">
        <w:rPr>
          <w:b/>
          <w:sz w:val="18"/>
          <w:szCs w:val="18"/>
        </w:rPr>
        <w:t>buy-in of local communities</w:t>
      </w:r>
      <w:r w:rsidRPr="001E0C20">
        <w:rPr>
          <w:sz w:val="18"/>
          <w:szCs w:val="18"/>
        </w:rPr>
        <w:t xml:space="preserve"> as well. </w:t>
      </w:r>
    </w:p>
    <w:p w:rsidR="001E0C20" w:rsidRPr="001E0C20" w:rsidRDefault="001E0C20" w:rsidP="0055593D">
      <w:pPr>
        <w:pStyle w:val="ListParagraph"/>
        <w:numPr>
          <w:ilvl w:val="0"/>
          <w:numId w:val="40"/>
        </w:numPr>
        <w:spacing w:after="0" w:line="240" w:lineRule="auto"/>
        <w:ind w:left="270" w:hanging="270"/>
        <w:jc w:val="both"/>
        <w:rPr>
          <w:sz w:val="18"/>
          <w:szCs w:val="18"/>
        </w:rPr>
      </w:pPr>
      <w:r w:rsidRPr="001E0C20">
        <w:rPr>
          <w:sz w:val="18"/>
          <w:szCs w:val="18"/>
        </w:rPr>
        <w:t xml:space="preserve">Putting this political strategy in place and getting it right, identifying the right actors, getting their buy-in and organizing them adequately </w:t>
      </w:r>
      <w:r w:rsidRPr="001E0C20">
        <w:rPr>
          <w:b/>
          <w:sz w:val="18"/>
          <w:szCs w:val="18"/>
        </w:rPr>
        <w:t>takes time</w:t>
      </w:r>
      <w:r w:rsidRPr="001E0C20">
        <w:rPr>
          <w:sz w:val="18"/>
          <w:szCs w:val="18"/>
        </w:rPr>
        <w:t xml:space="preserve"> - several months…sometimes a year! It is necessary to take the time to do it in the preparatory stage, while balancing the need for swift progress in the process at the same time. </w:t>
      </w:r>
    </w:p>
    <w:p w:rsidR="001E0C20" w:rsidRPr="001E0C20" w:rsidRDefault="001E0C20" w:rsidP="0055593D">
      <w:pPr>
        <w:spacing w:before="60" w:after="0" w:line="240" w:lineRule="auto"/>
        <w:contextualSpacing/>
        <w:rPr>
          <w:b/>
          <w:i/>
          <w:sz w:val="18"/>
          <w:szCs w:val="18"/>
        </w:rPr>
      </w:pPr>
      <w:proofErr w:type="gramStart"/>
      <w:r w:rsidRPr="001E0C20">
        <w:rPr>
          <w:b/>
          <w:i/>
          <w:sz w:val="18"/>
          <w:szCs w:val="18"/>
        </w:rPr>
        <w:t>UN(</w:t>
      </w:r>
      <w:proofErr w:type="gramEnd"/>
      <w:r w:rsidRPr="001E0C20">
        <w:rPr>
          <w:b/>
          <w:i/>
          <w:sz w:val="18"/>
          <w:szCs w:val="18"/>
        </w:rPr>
        <w:t xml:space="preserve">DP)'s STRATEGIC ADVANTAGE </w:t>
      </w:r>
    </w:p>
    <w:p w:rsidR="001E0C20" w:rsidRPr="001E0C20" w:rsidRDefault="001E0C20" w:rsidP="0055593D">
      <w:pPr>
        <w:pStyle w:val="ListParagraph"/>
        <w:numPr>
          <w:ilvl w:val="0"/>
          <w:numId w:val="41"/>
        </w:numPr>
        <w:spacing w:after="0" w:line="240" w:lineRule="auto"/>
        <w:ind w:left="270" w:hanging="270"/>
        <w:jc w:val="both"/>
        <w:rPr>
          <w:sz w:val="18"/>
          <w:szCs w:val="18"/>
        </w:rPr>
      </w:pPr>
      <w:r w:rsidRPr="001E0C20">
        <w:rPr>
          <w:sz w:val="18"/>
          <w:szCs w:val="18"/>
        </w:rPr>
        <w:t>The UN/UNDP benefits from a vantage point that it should use in the preparation and set-up of the PGA:</w:t>
      </w:r>
    </w:p>
    <w:p w:rsidR="001E0C20" w:rsidRPr="001E0C20" w:rsidRDefault="001E0C20" w:rsidP="0055593D">
      <w:pPr>
        <w:spacing w:after="0" w:line="240" w:lineRule="auto"/>
        <w:ind w:left="270"/>
        <w:contextualSpacing/>
        <w:rPr>
          <w:sz w:val="18"/>
          <w:szCs w:val="18"/>
        </w:rPr>
      </w:pPr>
      <w:r w:rsidRPr="001E0C20">
        <w:rPr>
          <w:sz w:val="18"/>
          <w:szCs w:val="18"/>
        </w:rPr>
        <w:t xml:space="preserve">- </w:t>
      </w:r>
      <w:proofErr w:type="gramStart"/>
      <w:r w:rsidRPr="001E0C20">
        <w:rPr>
          <w:sz w:val="18"/>
          <w:szCs w:val="18"/>
        </w:rPr>
        <w:t>as</w:t>
      </w:r>
      <w:proofErr w:type="gramEnd"/>
      <w:r w:rsidRPr="001E0C20">
        <w:rPr>
          <w:sz w:val="18"/>
          <w:szCs w:val="18"/>
        </w:rPr>
        <w:t xml:space="preserve"> </w:t>
      </w:r>
      <w:r w:rsidRPr="001E0C20">
        <w:rPr>
          <w:b/>
          <w:sz w:val="18"/>
          <w:szCs w:val="18"/>
        </w:rPr>
        <w:t>a facilitator, a convener, a trusted intermediary</w:t>
      </w:r>
      <w:r w:rsidRPr="001E0C20">
        <w:rPr>
          <w:sz w:val="18"/>
          <w:szCs w:val="18"/>
        </w:rPr>
        <w:t xml:space="preserve"> through whom the different actors (who may not otherwise speak together) will feel confident enough to participate fully in the process;</w:t>
      </w:r>
    </w:p>
    <w:p w:rsidR="001E0C20" w:rsidRPr="001E0C20" w:rsidRDefault="001E0C20" w:rsidP="0055593D">
      <w:pPr>
        <w:spacing w:after="0" w:line="240" w:lineRule="auto"/>
        <w:ind w:left="270"/>
        <w:contextualSpacing/>
        <w:rPr>
          <w:sz w:val="18"/>
          <w:szCs w:val="18"/>
        </w:rPr>
      </w:pPr>
      <w:r w:rsidRPr="001E0C20">
        <w:rPr>
          <w:sz w:val="18"/>
          <w:szCs w:val="18"/>
        </w:rPr>
        <w:t xml:space="preserve">- </w:t>
      </w:r>
      <w:proofErr w:type="gramStart"/>
      <w:r w:rsidRPr="001E0C20">
        <w:rPr>
          <w:sz w:val="18"/>
          <w:szCs w:val="18"/>
        </w:rPr>
        <w:t>to</w:t>
      </w:r>
      <w:proofErr w:type="gramEnd"/>
      <w:r w:rsidRPr="001E0C20">
        <w:rPr>
          <w:sz w:val="18"/>
          <w:szCs w:val="18"/>
        </w:rPr>
        <w:t xml:space="preserve"> </w:t>
      </w:r>
      <w:proofErr w:type="spellStart"/>
      <w:r w:rsidRPr="001E0C20">
        <w:rPr>
          <w:sz w:val="18"/>
          <w:szCs w:val="18"/>
        </w:rPr>
        <w:t>analyze</w:t>
      </w:r>
      <w:proofErr w:type="spellEnd"/>
      <w:r w:rsidRPr="001E0C20">
        <w:rPr>
          <w:sz w:val="18"/>
          <w:szCs w:val="18"/>
        </w:rPr>
        <w:t xml:space="preserve"> and select or </w:t>
      </w:r>
      <w:r w:rsidRPr="001E0C20">
        <w:rPr>
          <w:b/>
          <w:sz w:val="18"/>
          <w:szCs w:val="18"/>
        </w:rPr>
        <w:t>suggest civil society actors</w:t>
      </w:r>
      <w:r w:rsidRPr="001E0C20">
        <w:rPr>
          <w:sz w:val="18"/>
          <w:szCs w:val="18"/>
        </w:rPr>
        <w:t xml:space="preserve"> to bring into the process together with government.</w:t>
      </w:r>
    </w:p>
    <w:p w:rsidR="001E0C20" w:rsidRPr="001E0C20" w:rsidRDefault="001E0C20" w:rsidP="0055593D">
      <w:pPr>
        <w:spacing w:before="60" w:after="0" w:line="240" w:lineRule="auto"/>
        <w:contextualSpacing/>
        <w:rPr>
          <w:b/>
          <w:i/>
          <w:sz w:val="18"/>
          <w:szCs w:val="18"/>
        </w:rPr>
      </w:pPr>
      <w:r w:rsidRPr="001E0C20">
        <w:rPr>
          <w:b/>
          <w:i/>
          <w:sz w:val="18"/>
          <w:szCs w:val="18"/>
        </w:rPr>
        <w:t>PGA COORDINATOR</w:t>
      </w:r>
    </w:p>
    <w:p w:rsidR="001E0C20" w:rsidRPr="001E0C20" w:rsidRDefault="001E0C20" w:rsidP="0055593D">
      <w:pPr>
        <w:pStyle w:val="ListParagraph"/>
        <w:numPr>
          <w:ilvl w:val="0"/>
          <w:numId w:val="42"/>
        </w:numPr>
        <w:spacing w:after="0" w:line="240" w:lineRule="auto"/>
        <w:ind w:left="270" w:hanging="270"/>
        <w:jc w:val="both"/>
        <w:rPr>
          <w:sz w:val="18"/>
          <w:szCs w:val="18"/>
        </w:rPr>
      </w:pPr>
      <w:r w:rsidRPr="001E0C20">
        <w:rPr>
          <w:sz w:val="18"/>
          <w:szCs w:val="18"/>
        </w:rPr>
        <w:t xml:space="preserve">The PGA coordinator is </w:t>
      </w:r>
      <w:proofErr w:type="gramStart"/>
      <w:r w:rsidRPr="001E0C20">
        <w:rPr>
          <w:sz w:val="18"/>
          <w:szCs w:val="18"/>
        </w:rPr>
        <w:t>key</w:t>
      </w:r>
      <w:proofErr w:type="gramEnd"/>
      <w:r w:rsidRPr="001E0C20">
        <w:rPr>
          <w:sz w:val="18"/>
          <w:szCs w:val="18"/>
        </w:rPr>
        <w:t xml:space="preserve"> to the successful start-up and conduction of the process. He/she needs to be there since the beginning and throughout, to be from the country itself in order to know the actors and the politics, and to have the skills required to bring all the right people on board.</w:t>
      </w:r>
    </w:p>
    <w:p w:rsidR="001E0C20" w:rsidRPr="001E0C20" w:rsidRDefault="001E0C20" w:rsidP="0055593D">
      <w:pPr>
        <w:spacing w:before="60" w:after="0" w:line="240" w:lineRule="auto"/>
        <w:contextualSpacing/>
        <w:rPr>
          <w:b/>
          <w:i/>
          <w:sz w:val="18"/>
          <w:szCs w:val="18"/>
        </w:rPr>
      </w:pPr>
      <w:r w:rsidRPr="001E0C20">
        <w:rPr>
          <w:b/>
          <w:i/>
          <w:sz w:val="18"/>
          <w:szCs w:val="18"/>
        </w:rPr>
        <w:t>CLARIFY GOVERNANCE</w:t>
      </w:r>
    </w:p>
    <w:p w:rsidR="001E0C20" w:rsidRPr="001E0C20" w:rsidRDefault="001E0C20" w:rsidP="0055593D">
      <w:pPr>
        <w:pStyle w:val="ListParagraph"/>
        <w:numPr>
          <w:ilvl w:val="0"/>
          <w:numId w:val="43"/>
        </w:numPr>
        <w:spacing w:after="0" w:line="240" w:lineRule="auto"/>
        <w:ind w:left="270" w:hanging="270"/>
        <w:rPr>
          <w:sz w:val="18"/>
          <w:szCs w:val="18"/>
        </w:rPr>
      </w:pPr>
      <w:r w:rsidRPr="001E0C20">
        <w:rPr>
          <w:sz w:val="18"/>
          <w:szCs w:val="18"/>
        </w:rPr>
        <w:t xml:space="preserve">Country stakeholders often have preconceived ideas on what REDD/REDD+ is and implies. It is thus important to </w:t>
      </w:r>
      <w:r w:rsidRPr="001E0C20">
        <w:rPr>
          <w:b/>
          <w:sz w:val="18"/>
          <w:szCs w:val="18"/>
        </w:rPr>
        <w:t>make the PGA message very clear</w:t>
      </w:r>
      <w:r w:rsidRPr="001E0C20">
        <w:rPr>
          <w:sz w:val="18"/>
          <w:szCs w:val="18"/>
        </w:rPr>
        <w:t xml:space="preserve"> since the beginning to manage expectations: explain the PGA approach and what we mean by participation and by governance. </w:t>
      </w:r>
    </w:p>
    <w:p w:rsidR="001E0C20" w:rsidRPr="001E0C20" w:rsidRDefault="001E0C20" w:rsidP="00B71921">
      <w:pPr>
        <w:pStyle w:val="ListParagraph"/>
        <w:numPr>
          <w:ilvl w:val="0"/>
          <w:numId w:val="43"/>
        </w:numPr>
        <w:spacing w:after="0" w:line="240" w:lineRule="auto"/>
        <w:ind w:left="270" w:hanging="270"/>
        <w:jc w:val="both"/>
        <w:rPr>
          <w:sz w:val="18"/>
          <w:szCs w:val="18"/>
        </w:rPr>
      </w:pPr>
      <w:r w:rsidRPr="001E0C20">
        <w:rPr>
          <w:sz w:val="18"/>
          <w:szCs w:val="18"/>
        </w:rPr>
        <w:t xml:space="preserve">Do not overestimate actors' understanding of governance: they are usually not governance experts, so </w:t>
      </w:r>
      <w:r w:rsidRPr="001E0C20">
        <w:rPr>
          <w:b/>
          <w:sz w:val="18"/>
          <w:szCs w:val="18"/>
        </w:rPr>
        <w:t>governance needs to be defined</w:t>
      </w:r>
      <w:r w:rsidRPr="001E0C20">
        <w:rPr>
          <w:sz w:val="18"/>
          <w:szCs w:val="18"/>
        </w:rPr>
        <w:t xml:space="preserve"> at the beginning of the process, and this needs to be repeated constantly in every meeting.</w:t>
      </w:r>
    </w:p>
    <w:p w:rsidR="001E0C20" w:rsidRPr="001E0C20" w:rsidRDefault="001E0C20" w:rsidP="00B71921">
      <w:pPr>
        <w:pStyle w:val="ListParagraph"/>
        <w:numPr>
          <w:ilvl w:val="0"/>
          <w:numId w:val="43"/>
        </w:numPr>
        <w:spacing w:after="0" w:line="240" w:lineRule="auto"/>
        <w:ind w:left="270" w:hanging="270"/>
        <w:jc w:val="both"/>
        <w:rPr>
          <w:sz w:val="18"/>
          <w:szCs w:val="18"/>
        </w:rPr>
      </w:pPr>
      <w:r w:rsidRPr="001E0C20">
        <w:rPr>
          <w:sz w:val="18"/>
          <w:szCs w:val="18"/>
        </w:rPr>
        <w:t xml:space="preserve">An </w:t>
      </w:r>
      <w:r w:rsidRPr="001E0C20">
        <w:rPr>
          <w:b/>
          <w:sz w:val="18"/>
          <w:szCs w:val="18"/>
        </w:rPr>
        <w:t>initial mapping of governance issues in the country</w:t>
      </w:r>
      <w:r w:rsidRPr="001E0C20">
        <w:rPr>
          <w:sz w:val="18"/>
          <w:szCs w:val="18"/>
        </w:rPr>
        <w:t xml:space="preserve"> can be a good starting point to provide substance for the PGA discussion. </w:t>
      </w:r>
    </w:p>
    <w:p w:rsidR="001E0C20" w:rsidRPr="001E0C20" w:rsidRDefault="001E0C20" w:rsidP="0055593D">
      <w:pPr>
        <w:spacing w:before="60" w:after="0" w:line="240" w:lineRule="auto"/>
        <w:contextualSpacing/>
        <w:rPr>
          <w:b/>
          <w:i/>
          <w:sz w:val="18"/>
          <w:szCs w:val="18"/>
        </w:rPr>
      </w:pPr>
      <w:r w:rsidRPr="001E0C20">
        <w:rPr>
          <w:b/>
          <w:i/>
          <w:sz w:val="18"/>
          <w:szCs w:val="18"/>
        </w:rPr>
        <w:t>TECHNICAL QUALITY</w:t>
      </w:r>
    </w:p>
    <w:p w:rsidR="001E0C20" w:rsidRPr="001E0C20" w:rsidRDefault="001E0C20" w:rsidP="0055593D">
      <w:pPr>
        <w:pStyle w:val="ListParagraph"/>
        <w:numPr>
          <w:ilvl w:val="0"/>
          <w:numId w:val="44"/>
        </w:numPr>
        <w:spacing w:after="0" w:line="240" w:lineRule="auto"/>
        <w:ind w:left="270" w:hanging="270"/>
        <w:jc w:val="both"/>
        <w:rPr>
          <w:sz w:val="18"/>
          <w:szCs w:val="18"/>
        </w:rPr>
      </w:pPr>
      <w:r w:rsidRPr="001E0C20">
        <w:rPr>
          <w:sz w:val="18"/>
          <w:szCs w:val="18"/>
        </w:rPr>
        <w:lastRenderedPageBreak/>
        <w:t xml:space="preserve">Besides the participatory element, the </w:t>
      </w:r>
      <w:r w:rsidRPr="001E0C20">
        <w:rPr>
          <w:b/>
          <w:sz w:val="18"/>
          <w:szCs w:val="18"/>
        </w:rPr>
        <w:t>technical solidity</w:t>
      </w:r>
      <w:r w:rsidRPr="001E0C20">
        <w:rPr>
          <w:sz w:val="18"/>
          <w:szCs w:val="18"/>
        </w:rPr>
        <w:t xml:space="preserve"> of the work also needs to be guaranteed, by bringing in sufficient expertise through an expert group, research team or similar. </w:t>
      </w:r>
    </w:p>
    <w:p w:rsidR="001E0C20" w:rsidRPr="001E0C20" w:rsidRDefault="001E0C20" w:rsidP="0055593D">
      <w:pPr>
        <w:pStyle w:val="ListParagraph"/>
        <w:numPr>
          <w:ilvl w:val="0"/>
          <w:numId w:val="44"/>
        </w:numPr>
        <w:spacing w:after="0" w:line="240" w:lineRule="auto"/>
        <w:ind w:left="270" w:hanging="270"/>
        <w:jc w:val="both"/>
        <w:rPr>
          <w:sz w:val="18"/>
          <w:szCs w:val="18"/>
        </w:rPr>
      </w:pPr>
      <w:r w:rsidRPr="001E0C20">
        <w:rPr>
          <w:sz w:val="18"/>
          <w:szCs w:val="18"/>
        </w:rPr>
        <w:t xml:space="preserve">This technical requirement needs to be </w:t>
      </w:r>
      <w:r w:rsidRPr="001E0C20">
        <w:rPr>
          <w:b/>
          <w:sz w:val="18"/>
          <w:szCs w:val="18"/>
        </w:rPr>
        <w:t>carefully balanced with inclusive participation</w:t>
      </w:r>
      <w:r w:rsidRPr="001E0C20">
        <w:rPr>
          <w:sz w:val="18"/>
          <w:szCs w:val="18"/>
        </w:rPr>
        <w:t xml:space="preserve">: to ensure full ownership, the realization of the need for technical experts to conduct part of the work should come from the stakeholders themselves and not be imposed. </w:t>
      </w:r>
    </w:p>
    <w:p w:rsidR="001E0C20" w:rsidRPr="001E0C20" w:rsidRDefault="001E0C20" w:rsidP="0055593D">
      <w:pPr>
        <w:spacing w:before="60" w:after="0" w:line="240" w:lineRule="auto"/>
        <w:contextualSpacing/>
        <w:rPr>
          <w:b/>
          <w:i/>
          <w:sz w:val="18"/>
          <w:szCs w:val="18"/>
        </w:rPr>
      </w:pPr>
      <w:r w:rsidRPr="001E0C20">
        <w:rPr>
          <w:b/>
          <w:i/>
          <w:sz w:val="18"/>
          <w:szCs w:val="18"/>
        </w:rPr>
        <w:t>CLARITY OF STRUCTURE, ROLES AND RESPONSIBILITIES</w:t>
      </w:r>
    </w:p>
    <w:p w:rsidR="001E0C20" w:rsidRPr="001E0C20" w:rsidRDefault="001E0C20" w:rsidP="0055593D">
      <w:pPr>
        <w:pStyle w:val="ListParagraph"/>
        <w:numPr>
          <w:ilvl w:val="0"/>
          <w:numId w:val="45"/>
        </w:numPr>
        <w:spacing w:after="0" w:line="240" w:lineRule="auto"/>
        <w:ind w:left="270" w:hanging="270"/>
        <w:jc w:val="both"/>
        <w:rPr>
          <w:sz w:val="18"/>
          <w:szCs w:val="18"/>
        </w:rPr>
      </w:pPr>
      <w:r w:rsidRPr="001E0C20">
        <w:rPr>
          <w:sz w:val="18"/>
          <w:szCs w:val="18"/>
        </w:rPr>
        <w:t xml:space="preserve">A clear assignment of roles and responsibilities among all entities involved - the participatory group leading the process, the technical experts, the UN agencies supporting the process, the PGA coordinator - should be defined from the start, in order to avoid confusions, delays and other obstacles in the course of the process.  </w:t>
      </w:r>
    </w:p>
    <w:p w:rsidR="001E0C20" w:rsidRPr="001E0C20" w:rsidRDefault="001E0C20" w:rsidP="0055593D">
      <w:pPr>
        <w:spacing w:before="60" w:after="0" w:line="240" w:lineRule="auto"/>
        <w:contextualSpacing/>
        <w:rPr>
          <w:b/>
          <w:i/>
          <w:sz w:val="18"/>
          <w:szCs w:val="18"/>
        </w:rPr>
      </w:pPr>
      <w:r w:rsidRPr="001E0C20">
        <w:rPr>
          <w:b/>
          <w:i/>
          <w:sz w:val="18"/>
          <w:szCs w:val="18"/>
        </w:rPr>
        <w:t>UN SUPPORT</w:t>
      </w:r>
    </w:p>
    <w:p w:rsidR="001E0C20" w:rsidRPr="001E0C20" w:rsidRDefault="001E0C20" w:rsidP="0055593D">
      <w:pPr>
        <w:pStyle w:val="ListParagraph"/>
        <w:numPr>
          <w:ilvl w:val="0"/>
          <w:numId w:val="46"/>
        </w:numPr>
        <w:spacing w:after="0" w:line="240" w:lineRule="auto"/>
        <w:ind w:left="270" w:hanging="270"/>
        <w:jc w:val="both"/>
        <w:rPr>
          <w:b/>
          <w:i/>
          <w:sz w:val="18"/>
          <w:szCs w:val="18"/>
        </w:rPr>
      </w:pPr>
      <w:r w:rsidRPr="001E0C20">
        <w:rPr>
          <w:sz w:val="18"/>
          <w:szCs w:val="18"/>
        </w:rPr>
        <w:t xml:space="preserve">In concerned UNDP Country Offices, the environment units and governance units should work together on this to build on each other's strengths. </w:t>
      </w:r>
    </w:p>
    <w:p w:rsidR="001E0C20" w:rsidRPr="001E0C20" w:rsidRDefault="001E0C20" w:rsidP="0055593D">
      <w:pPr>
        <w:pStyle w:val="ListParagraph"/>
        <w:numPr>
          <w:ilvl w:val="0"/>
          <w:numId w:val="46"/>
        </w:numPr>
        <w:spacing w:after="0" w:line="240" w:lineRule="auto"/>
        <w:ind w:left="270" w:hanging="270"/>
        <w:jc w:val="both"/>
        <w:rPr>
          <w:sz w:val="18"/>
          <w:szCs w:val="18"/>
        </w:rPr>
      </w:pPr>
      <w:r w:rsidRPr="001E0C20">
        <w:rPr>
          <w:sz w:val="18"/>
          <w:szCs w:val="18"/>
        </w:rPr>
        <w:t>The usefulness of Country Offices of UN-REDD agencies in support of the process varies highly from a country to another, from very useful to…technically absent!</w:t>
      </w:r>
    </w:p>
    <w:p w:rsidR="001E0C20" w:rsidRPr="001E0C20" w:rsidRDefault="001E0C20" w:rsidP="0055593D">
      <w:pPr>
        <w:pStyle w:val="ListParagraph"/>
        <w:numPr>
          <w:ilvl w:val="0"/>
          <w:numId w:val="46"/>
        </w:numPr>
        <w:spacing w:after="0" w:line="240" w:lineRule="auto"/>
        <w:ind w:left="270" w:hanging="270"/>
        <w:jc w:val="both"/>
        <w:rPr>
          <w:sz w:val="18"/>
          <w:szCs w:val="18"/>
        </w:rPr>
      </w:pPr>
      <w:r w:rsidRPr="001E0C20">
        <w:rPr>
          <w:sz w:val="18"/>
          <w:szCs w:val="18"/>
        </w:rPr>
        <w:t xml:space="preserve">There tends to be a discrepancy between the global support to the PGA, as an SNA activity, and in-country support and coordination among UN-REDD agencies. There too, buy-in, roles definition and coordination needs to be improved. </w:t>
      </w:r>
    </w:p>
    <w:p w:rsidR="001E0C20" w:rsidRDefault="001E0C20" w:rsidP="00DB292F">
      <w:pPr>
        <w:ind w:firstLine="360"/>
        <w:rPr>
          <w:rStyle w:val="SubtleEmphasis"/>
        </w:rPr>
      </w:pPr>
    </w:p>
    <w:p w:rsidR="00827438" w:rsidRDefault="00690603" w:rsidP="001779C8">
      <w:pPr>
        <w:ind w:left="360"/>
        <w:rPr>
          <w:rStyle w:val="SubtleEmphasis"/>
        </w:rPr>
      </w:pPr>
      <w:r>
        <w:rPr>
          <w:rStyle w:val="SubtleEmphasis"/>
        </w:rPr>
        <w:t>Key points from session</w:t>
      </w:r>
      <w:r w:rsidR="00827438">
        <w:rPr>
          <w:rStyle w:val="SubtleEmphasis"/>
        </w:rPr>
        <w:t xml:space="preserve"> 3: How to ensure ownership of </w:t>
      </w:r>
      <w:r w:rsidR="00E0052B">
        <w:rPr>
          <w:rStyle w:val="SubtleEmphasis"/>
        </w:rPr>
        <w:t>the PGA scope and methodological selections?</w:t>
      </w:r>
    </w:p>
    <w:p w:rsidR="00927E32" w:rsidRPr="00A32BCD" w:rsidRDefault="00927E32" w:rsidP="00927E32">
      <w:pPr>
        <w:pStyle w:val="NoteLevel1"/>
        <w:numPr>
          <w:ilvl w:val="0"/>
          <w:numId w:val="32"/>
        </w:numPr>
        <w:tabs>
          <w:tab w:val="left" w:pos="720"/>
        </w:tabs>
        <w:rPr>
          <w:rFonts w:asciiTheme="minorHAnsi" w:hAnsiTheme="minorHAnsi"/>
          <w:sz w:val="18"/>
          <w:szCs w:val="22"/>
          <w:lang w:val="en-US"/>
        </w:rPr>
      </w:pPr>
      <w:r w:rsidRPr="00A32BCD">
        <w:rPr>
          <w:rFonts w:asciiTheme="minorHAnsi" w:hAnsiTheme="minorHAnsi"/>
          <w:sz w:val="18"/>
          <w:szCs w:val="22"/>
          <w:lang w:val="en-US"/>
        </w:rPr>
        <w:t>Multi-stakeholder process is one of the strengths of the PGA in promoting ownership, especially on Expert Panel/Expert Group/PGA Committee – they disseminate the information, start using the results of the PGA in their strategic planning processes</w:t>
      </w:r>
    </w:p>
    <w:p w:rsidR="00927E32" w:rsidRPr="00A32BCD" w:rsidRDefault="00927E32" w:rsidP="00927E32">
      <w:pPr>
        <w:pStyle w:val="NoteLevel1"/>
        <w:numPr>
          <w:ilvl w:val="0"/>
          <w:numId w:val="32"/>
        </w:numPr>
        <w:tabs>
          <w:tab w:val="left" w:pos="720"/>
        </w:tabs>
        <w:rPr>
          <w:rFonts w:asciiTheme="minorHAnsi" w:hAnsiTheme="minorHAnsi"/>
          <w:sz w:val="18"/>
          <w:szCs w:val="22"/>
          <w:lang w:val="en-US"/>
        </w:rPr>
      </w:pPr>
      <w:r w:rsidRPr="00A32BCD">
        <w:rPr>
          <w:rFonts w:asciiTheme="minorHAnsi" w:hAnsiTheme="minorHAnsi"/>
          <w:sz w:val="18"/>
          <w:szCs w:val="22"/>
          <w:lang w:val="en-US"/>
        </w:rPr>
        <w:t>Ownership is also increased through the capacity development and increased capacity of stakeholders in country</w:t>
      </w:r>
    </w:p>
    <w:p w:rsidR="00927E32" w:rsidRPr="00A32BCD" w:rsidRDefault="00927E32" w:rsidP="00927E32">
      <w:pPr>
        <w:pStyle w:val="NoteLevel1"/>
        <w:numPr>
          <w:ilvl w:val="0"/>
          <w:numId w:val="32"/>
        </w:numPr>
        <w:tabs>
          <w:tab w:val="left" w:pos="720"/>
        </w:tabs>
        <w:rPr>
          <w:rFonts w:asciiTheme="minorHAnsi" w:hAnsiTheme="minorHAnsi"/>
          <w:sz w:val="18"/>
          <w:szCs w:val="22"/>
          <w:lang w:val="en-US"/>
        </w:rPr>
      </w:pPr>
      <w:r w:rsidRPr="00A32BCD">
        <w:rPr>
          <w:rFonts w:asciiTheme="minorHAnsi" w:hAnsiTheme="minorHAnsi"/>
          <w:sz w:val="18"/>
          <w:szCs w:val="22"/>
          <w:lang w:val="en-US"/>
        </w:rPr>
        <w:t>The selection process of scope, indicators, methods is generally sufficient as is, and people feel included; there’s a need to emphasize broader communication on the final selection (for instance, okay for Research Team to develop, but need to validate)</w:t>
      </w:r>
    </w:p>
    <w:p w:rsidR="00927E32" w:rsidRPr="00A32BCD" w:rsidRDefault="00927E32" w:rsidP="00927E32">
      <w:pPr>
        <w:pStyle w:val="NoteLevel1"/>
        <w:numPr>
          <w:ilvl w:val="0"/>
          <w:numId w:val="32"/>
        </w:numPr>
        <w:tabs>
          <w:tab w:val="left" w:pos="720"/>
        </w:tabs>
        <w:rPr>
          <w:rFonts w:asciiTheme="minorHAnsi" w:hAnsiTheme="minorHAnsi"/>
          <w:sz w:val="18"/>
          <w:szCs w:val="22"/>
          <w:lang w:val="en-US"/>
        </w:rPr>
      </w:pPr>
      <w:r w:rsidRPr="00A32BCD">
        <w:rPr>
          <w:rFonts w:asciiTheme="minorHAnsi" w:hAnsiTheme="minorHAnsi"/>
          <w:sz w:val="18"/>
          <w:szCs w:val="22"/>
          <w:lang w:val="en-US"/>
        </w:rPr>
        <w:t>Trainings on indicators, data collection methods, etc. are very targeted, valuable, embedded within the process, and in demand à need for increased technical capacity</w:t>
      </w:r>
    </w:p>
    <w:p w:rsidR="00927E32" w:rsidRPr="00A32BCD" w:rsidRDefault="00927E32" w:rsidP="00927E32">
      <w:pPr>
        <w:pStyle w:val="NoteLevel1"/>
        <w:numPr>
          <w:ilvl w:val="0"/>
          <w:numId w:val="32"/>
        </w:numPr>
        <w:tabs>
          <w:tab w:val="left" w:pos="720"/>
        </w:tabs>
        <w:rPr>
          <w:rFonts w:asciiTheme="minorHAnsi" w:hAnsiTheme="minorHAnsi"/>
          <w:sz w:val="18"/>
          <w:szCs w:val="22"/>
          <w:lang w:val="en-US"/>
        </w:rPr>
      </w:pPr>
      <w:r w:rsidRPr="00A32BCD">
        <w:rPr>
          <w:rFonts w:asciiTheme="minorHAnsi" w:hAnsiTheme="minorHAnsi"/>
          <w:sz w:val="18"/>
          <w:szCs w:val="22"/>
          <w:lang w:val="en-US"/>
        </w:rPr>
        <w:t>South-South exchange, especially of data collectors and trainers going to other countries and sharing experiences is very valuable</w:t>
      </w:r>
    </w:p>
    <w:p w:rsidR="00927E32" w:rsidRPr="00A32BCD" w:rsidRDefault="00927E32" w:rsidP="00927E32">
      <w:pPr>
        <w:pStyle w:val="NoteLevel1"/>
        <w:numPr>
          <w:ilvl w:val="0"/>
          <w:numId w:val="32"/>
        </w:numPr>
        <w:tabs>
          <w:tab w:val="left" w:pos="720"/>
        </w:tabs>
        <w:rPr>
          <w:rFonts w:asciiTheme="minorHAnsi" w:hAnsiTheme="minorHAnsi"/>
          <w:sz w:val="18"/>
          <w:szCs w:val="22"/>
          <w:lang w:val="en-US"/>
        </w:rPr>
      </w:pPr>
      <w:r w:rsidRPr="00A32BCD">
        <w:rPr>
          <w:rFonts w:asciiTheme="minorHAnsi" w:hAnsiTheme="minorHAnsi"/>
          <w:sz w:val="18"/>
          <w:szCs w:val="22"/>
          <w:lang w:val="en-US"/>
        </w:rPr>
        <w:t>Need for a balance between the participatory and technical aspects of the PGA</w:t>
      </w:r>
    </w:p>
    <w:p w:rsidR="00927E32" w:rsidRPr="00A32BCD" w:rsidRDefault="00927E32" w:rsidP="00927E32">
      <w:pPr>
        <w:pStyle w:val="NoteLevel1"/>
        <w:numPr>
          <w:ilvl w:val="0"/>
          <w:numId w:val="32"/>
        </w:numPr>
        <w:tabs>
          <w:tab w:val="left" w:pos="720"/>
        </w:tabs>
        <w:rPr>
          <w:rFonts w:asciiTheme="minorHAnsi" w:hAnsiTheme="minorHAnsi"/>
          <w:sz w:val="18"/>
          <w:szCs w:val="22"/>
          <w:lang w:val="en-US"/>
        </w:rPr>
      </w:pPr>
      <w:r w:rsidRPr="00A32BCD">
        <w:rPr>
          <w:rFonts w:asciiTheme="minorHAnsi" w:hAnsiTheme="minorHAnsi"/>
          <w:sz w:val="18"/>
          <w:szCs w:val="22"/>
          <w:lang w:val="en-US"/>
        </w:rPr>
        <w:t>More resources now available to provide a flexible framework of how to collect forest governance data in a systematic way (Assessing Forest Governance: A Guide to Data Collection, Analysis and Use, Practical Guide to the PGA)</w:t>
      </w:r>
    </w:p>
    <w:p w:rsidR="00927E32" w:rsidRPr="00A32BCD" w:rsidRDefault="00927E32" w:rsidP="00927E32">
      <w:pPr>
        <w:pStyle w:val="NoteLevel1"/>
        <w:rPr>
          <w:rFonts w:asciiTheme="minorHAnsi" w:hAnsiTheme="minorHAnsi"/>
          <w:sz w:val="18"/>
          <w:szCs w:val="22"/>
          <w:lang w:val="en-US"/>
        </w:rPr>
      </w:pPr>
    </w:p>
    <w:p w:rsidR="00927E32" w:rsidRPr="00A32BCD" w:rsidRDefault="00927E32" w:rsidP="00927E32">
      <w:pPr>
        <w:pStyle w:val="NoteLevel1"/>
        <w:rPr>
          <w:rFonts w:asciiTheme="minorHAnsi" w:hAnsiTheme="minorHAnsi"/>
          <w:b/>
          <w:bCs/>
          <w:sz w:val="18"/>
          <w:szCs w:val="22"/>
          <w:lang w:val="en-US"/>
        </w:rPr>
      </w:pPr>
      <w:r w:rsidRPr="00A32BCD">
        <w:rPr>
          <w:rFonts w:asciiTheme="minorHAnsi" w:hAnsiTheme="minorHAnsi"/>
          <w:b/>
          <w:bCs/>
          <w:sz w:val="18"/>
          <w:szCs w:val="22"/>
          <w:lang w:val="en-US"/>
        </w:rPr>
        <w:t>Suggestions for improvement</w:t>
      </w:r>
      <w:r>
        <w:rPr>
          <w:rFonts w:asciiTheme="minorHAnsi" w:hAnsiTheme="minorHAnsi"/>
          <w:b/>
          <w:bCs/>
          <w:sz w:val="18"/>
          <w:szCs w:val="22"/>
          <w:lang w:val="en-US"/>
        </w:rPr>
        <w:t>:</w:t>
      </w:r>
    </w:p>
    <w:p w:rsidR="00927E32" w:rsidRPr="00A32BCD" w:rsidRDefault="00927E32" w:rsidP="00927E32">
      <w:pPr>
        <w:pStyle w:val="NoteLevel1"/>
        <w:numPr>
          <w:ilvl w:val="0"/>
          <w:numId w:val="33"/>
        </w:numPr>
        <w:rPr>
          <w:rFonts w:asciiTheme="minorHAnsi" w:hAnsiTheme="minorHAnsi"/>
          <w:sz w:val="18"/>
          <w:szCs w:val="22"/>
          <w:lang w:val="en-US"/>
        </w:rPr>
      </w:pPr>
      <w:r w:rsidRPr="00A32BCD">
        <w:rPr>
          <w:rFonts w:asciiTheme="minorHAnsi" w:hAnsiTheme="minorHAnsi"/>
          <w:sz w:val="18"/>
          <w:szCs w:val="22"/>
          <w:lang w:val="en-US"/>
        </w:rPr>
        <w:t xml:space="preserve">Effort from UN-REDD Global </w:t>
      </w:r>
      <w:proofErr w:type="spellStart"/>
      <w:r w:rsidRPr="00A32BCD">
        <w:rPr>
          <w:rFonts w:asciiTheme="minorHAnsi" w:hAnsiTheme="minorHAnsi"/>
          <w:sz w:val="18"/>
          <w:szCs w:val="22"/>
          <w:lang w:val="en-US"/>
        </w:rPr>
        <w:t>Programme</w:t>
      </w:r>
      <w:proofErr w:type="spellEnd"/>
      <w:r w:rsidRPr="00A32BCD">
        <w:rPr>
          <w:rFonts w:asciiTheme="minorHAnsi" w:hAnsiTheme="minorHAnsi"/>
          <w:sz w:val="18"/>
          <w:szCs w:val="22"/>
          <w:lang w:val="en-US"/>
        </w:rPr>
        <w:t xml:space="preserve"> to look at similarities and differences of indicators, scope, providing context on methodology</w:t>
      </w:r>
    </w:p>
    <w:p w:rsidR="00927E32" w:rsidRPr="00A32BCD" w:rsidRDefault="00927E32" w:rsidP="00927E32">
      <w:pPr>
        <w:pStyle w:val="NoteLevel1"/>
        <w:numPr>
          <w:ilvl w:val="0"/>
          <w:numId w:val="34"/>
        </w:numPr>
        <w:rPr>
          <w:rFonts w:asciiTheme="minorHAnsi" w:hAnsiTheme="minorHAnsi"/>
          <w:sz w:val="18"/>
          <w:szCs w:val="22"/>
          <w:lang w:val="en-US"/>
        </w:rPr>
      </w:pPr>
      <w:r w:rsidRPr="00A32BCD">
        <w:rPr>
          <w:rFonts w:asciiTheme="minorHAnsi" w:hAnsiTheme="minorHAnsi"/>
          <w:sz w:val="18"/>
          <w:szCs w:val="22"/>
          <w:lang w:val="en-US"/>
        </w:rPr>
        <w:t>Important to assist South-South exchange of experiences and implementation – learning from other countries can be more valuable than reading a theoretical report from Oslo, Rome, etc.</w:t>
      </w:r>
    </w:p>
    <w:p w:rsidR="00927E32" w:rsidRPr="00A32BCD" w:rsidRDefault="00927E32" w:rsidP="00927E32">
      <w:pPr>
        <w:pStyle w:val="NoteLevel1"/>
        <w:numPr>
          <w:ilvl w:val="0"/>
          <w:numId w:val="34"/>
        </w:numPr>
        <w:rPr>
          <w:rFonts w:asciiTheme="minorHAnsi" w:hAnsiTheme="minorHAnsi"/>
          <w:sz w:val="18"/>
          <w:szCs w:val="22"/>
          <w:lang w:val="en-US"/>
        </w:rPr>
      </w:pPr>
      <w:r w:rsidRPr="00A32BCD">
        <w:rPr>
          <w:rFonts w:asciiTheme="minorHAnsi" w:hAnsiTheme="minorHAnsi"/>
          <w:sz w:val="18"/>
          <w:szCs w:val="22"/>
          <w:lang w:val="en-US"/>
        </w:rPr>
        <w:t xml:space="preserve">Suggest looking into establishing a generic format for data storage. </w:t>
      </w:r>
    </w:p>
    <w:p w:rsidR="00E0052B" w:rsidRPr="00927E32" w:rsidRDefault="00E0052B" w:rsidP="0082001C">
      <w:pPr>
        <w:ind w:left="720"/>
        <w:rPr>
          <w:lang w:val="en-US"/>
        </w:rPr>
      </w:pPr>
    </w:p>
    <w:p w:rsidR="00E0052B" w:rsidRDefault="00690603" w:rsidP="001779C8">
      <w:pPr>
        <w:ind w:left="360"/>
        <w:rPr>
          <w:rStyle w:val="SubtleEmphasis"/>
        </w:rPr>
      </w:pPr>
      <w:r>
        <w:rPr>
          <w:rStyle w:val="SubtleEmphasis"/>
        </w:rPr>
        <w:t>Key points from session</w:t>
      </w:r>
      <w:r w:rsidR="00E0052B">
        <w:rPr>
          <w:rStyle w:val="SubtleEmphasis"/>
        </w:rPr>
        <w:t xml:space="preserve"> 4: How to ensure active use of the PGA data and space created by the PGAs?</w:t>
      </w:r>
    </w:p>
    <w:p w:rsidR="002E3A96" w:rsidRPr="005508EF" w:rsidRDefault="002E3A96" w:rsidP="002E3A96">
      <w:pPr>
        <w:pStyle w:val="ListParagraph"/>
        <w:numPr>
          <w:ilvl w:val="0"/>
          <w:numId w:val="37"/>
        </w:numPr>
        <w:rPr>
          <w:sz w:val="18"/>
          <w:szCs w:val="18"/>
          <w:lang w:val="en-US"/>
        </w:rPr>
      </w:pPr>
      <w:r w:rsidRPr="005508EF">
        <w:rPr>
          <w:sz w:val="18"/>
          <w:szCs w:val="18"/>
          <w:lang w:val="en-US"/>
        </w:rPr>
        <w:t xml:space="preserve">Indonesian experience shows that it is important to be </w:t>
      </w:r>
      <w:r w:rsidRPr="005508EF">
        <w:rPr>
          <w:sz w:val="18"/>
          <w:szCs w:val="18"/>
          <w:u w:val="single"/>
          <w:lang w:val="en-US"/>
        </w:rPr>
        <w:t xml:space="preserve">proactive </w:t>
      </w:r>
      <w:r w:rsidRPr="005508EF">
        <w:rPr>
          <w:sz w:val="18"/>
          <w:szCs w:val="18"/>
          <w:lang w:val="en-US"/>
        </w:rPr>
        <w:t xml:space="preserve">and </w:t>
      </w:r>
      <w:r w:rsidRPr="005508EF">
        <w:rPr>
          <w:sz w:val="18"/>
          <w:szCs w:val="18"/>
          <w:u w:val="single"/>
          <w:lang w:val="en-US"/>
        </w:rPr>
        <w:t>political smart</w:t>
      </w:r>
      <w:r w:rsidRPr="005508EF">
        <w:rPr>
          <w:sz w:val="18"/>
          <w:szCs w:val="18"/>
          <w:lang w:val="en-US"/>
        </w:rPr>
        <w:t>. PGA is a participatory process which creates a good ground for the utilization of results (for example the part of foreword in the main report written by high ranking official/leader of Ministry of Forestry, pre-launch was organized before the official launch so main points were agreed upon)</w:t>
      </w:r>
    </w:p>
    <w:p w:rsidR="002E3A96" w:rsidRPr="005508EF" w:rsidRDefault="002E3A96" w:rsidP="002E3A96">
      <w:pPr>
        <w:pStyle w:val="ListParagraph"/>
        <w:numPr>
          <w:ilvl w:val="0"/>
          <w:numId w:val="37"/>
        </w:numPr>
        <w:rPr>
          <w:sz w:val="18"/>
          <w:szCs w:val="18"/>
          <w:lang w:val="en-US"/>
        </w:rPr>
      </w:pPr>
      <w:r w:rsidRPr="005508EF">
        <w:rPr>
          <w:sz w:val="18"/>
          <w:szCs w:val="18"/>
          <w:lang w:val="en-US"/>
        </w:rPr>
        <w:t xml:space="preserve">The way to present data and showing how data can be useful is one of the keys, for example showing how </w:t>
      </w:r>
      <w:r w:rsidRPr="005508EF">
        <w:rPr>
          <w:sz w:val="18"/>
          <w:szCs w:val="18"/>
          <w:u w:val="single"/>
          <w:lang w:val="en-US"/>
        </w:rPr>
        <w:t>valuable</w:t>
      </w:r>
      <w:r w:rsidRPr="005508EF">
        <w:rPr>
          <w:sz w:val="18"/>
          <w:szCs w:val="18"/>
          <w:lang w:val="en-US"/>
        </w:rPr>
        <w:t xml:space="preserve"> the actual results are. More concretely is the case of Indonesia where 21 policies have been revised based on recommendation from the PGA report in </w:t>
      </w:r>
      <w:proofErr w:type="gramStart"/>
      <w:r w:rsidRPr="005508EF">
        <w:rPr>
          <w:sz w:val="18"/>
          <w:szCs w:val="18"/>
          <w:lang w:val="en-US"/>
        </w:rPr>
        <w:t>Indonesia.</w:t>
      </w:r>
      <w:proofErr w:type="gramEnd"/>
    </w:p>
    <w:p w:rsidR="002E3A96" w:rsidRPr="005508EF" w:rsidRDefault="002E3A96" w:rsidP="002E3A96">
      <w:pPr>
        <w:pStyle w:val="ListParagraph"/>
        <w:numPr>
          <w:ilvl w:val="0"/>
          <w:numId w:val="37"/>
        </w:numPr>
        <w:rPr>
          <w:sz w:val="18"/>
          <w:szCs w:val="18"/>
          <w:lang w:val="en-US"/>
        </w:rPr>
      </w:pPr>
      <w:r w:rsidRPr="005508EF">
        <w:rPr>
          <w:sz w:val="18"/>
          <w:szCs w:val="18"/>
          <w:lang w:val="en-US"/>
        </w:rPr>
        <w:t xml:space="preserve">All PGA data and information (including PGA process, indicators, data and analysis) should be made available systematically via an </w:t>
      </w:r>
      <w:r w:rsidRPr="005508EF">
        <w:rPr>
          <w:sz w:val="18"/>
          <w:szCs w:val="18"/>
          <w:u w:val="single"/>
          <w:lang w:val="en-US"/>
        </w:rPr>
        <w:t>online system</w:t>
      </w:r>
      <w:r w:rsidRPr="005508EF">
        <w:rPr>
          <w:sz w:val="18"/>
          <w:szCs w:val="18"/>
          <w:lang w:val="en-US"/>
        </w:rPr>
        <w:t xml:space="preserve"> where anybody can track information and the system can show: who use PGA </w:t>
      </w:r>
      <w:r w:rsidRPr="005508EF">
        <w:rPr>
          <w:sz w:val="18"/>
          <w:szCs w:val="18"/>
          <w:lang w:val="en-US"/>
        </w:rPr>
        <w:lastRenderedPageBreak/>
        <w:t>and how many times people quote PGA using the evidences. In Indonesia, there’s a link on the website where NGOs and journalists can check information.</w:t>
      </w:r>
    </w:p>
    <w:p w:rsidR="002E3A96" w:rsidRPr="005508EF" w:rsidRDefault="002E3A96" w:rsidP="002E3A96">
      <w:pPr>
        <w:pStyle w:val="ListParagraph"/>
        <w:numPr>
          <w:ilvl w:val="0"/>
          <w:numId w:val="37"/>
        </w:numPr>
        <w:rPr>
          <w:sz w:val="18"/>
          <w:szCs w:val="18"/>
          <w:lang w:val="en-US"/>
        </w:rPr>
      </w:pPr>
      <w:r w:rsidRPr="005508EF">
        <w:rPr>
          <w:sz w:val="18"/>
          <w:szCs w:val="18"/>
          <w:lang w:val="en-US"/>
        </w:rPr>
        <w:t xml:space="preserve">It is also necessary to communicate back to the people who’ve been interviewed during PGA process (for example local communities). The possible methods for getting </w:t>
      </w:r>
      <w:r w:rsidRPr="005508EF">
        <w:rPr>
          <w:sz w:val="18"/>
          <w:szCs w:val="18"/>
          <w:u w:val="single"/>
          <w:lang w:val="en-US"/>
        </w:rPr>
        <w:t>feedbacks</w:t>
      </w:r>
      <w:r w:rsidRPr="005508EF">
        <w:rPr>
          <w:sz w:val="18"/>
          <w:szCs w:val="18"/>
          <w:lang w:val="en-US"/>
        </w:rPr>
        <w:t xml:space="preserve"> on the report should be considered including traditional methods like meeting or reaching to religious leaders to connect to local communities, as well as using modern technologies like apps, social media, email, telephone, etc.</w:t>
      </w:r>
    </w:p>
    <w:p w:rsidR="002E3A96" w:rsidRPr="005508EF" w:rsidRDefault="002E3A96" w:rsidP="002E3A96">
      <w:pPr>
        <w:pStyle w:val="ListParagraph"/>
        <w:numPr>
          <w:ilvl w:val="0"/>
          <w:numId w:val="37"/>
        </w:numPr>
        <w:rPr>
          <w:sz w:val="18"/>
          <w:szCs w:val="18"/>
          <w:lang w:val="en-US"/>
        </w:rPr>
      </w:pPr>
      <w:r w:rsidRPr="005508EF">
        <w:rPr>
          <w:sz w:val="18"/>
          <w:szCs w:val="18"/>
          <w:lang w:val="en-US"/>
        </w:rPr>
        <w:t xml:space="preserve">The importance of </w:t>
      </w:r>
      <w:r w:rsidRPr="005508EF">
        <w:rPr>
          <w:sz w:val="18"/>
          <w:szCs w:val="18"/>
          <w:u w:val="single"/>
          <w:lang w:val="en-US"/>
        </w:rPr>
        <w:t>involving the right people</w:t>
      </w:r>
      <w:r w:rsidRPr="005508EF">
        <w:rPr>
          <w:sz w:val="18"/>
          <w:szCs w:val="18"/>
          <w:lang w:val="en-US"/>
        </w:rPr>
        <w:t xml:space="preserve"> from the beginning and a good plan beforehand in order to integrate PGA results into the Safeguards Information System</w:t>
      </w:r>
    </w:p>
    <w:p w:rsidR="002E3A96" w:rsidRPr="005508EF" w:rsidRDefault="002E3A96" w:rsidP="002E3A96">
      <w:pPr>
        <w:pStyle w:val="ListParagraph"/>
        <w:numPr>
          <w:ilvl w:val="0"/>
          <w:numId w:val="37"/>
        </w:numPr>
        <w:rPr>
          <w:sz w:val="18"/>
          <w:szCs w:val="18"/>
          <w:lang w:val="en-US"/>
        </w:rPr>
      </w:pPr>
      <w:r w:rsidRPr="005508EF">
        <w:rPr>
          <w:sz w:val="18"/>
          <w:szCs w:val="18"/>
          <w:lang w:val="en-US"/>
        </w:rPr>
        <w:t xml:space="preserve">It is good to keep in mind that </w:t>
      </w:r>
      <w:r w:rsidRPr="005508EF">
        <w:rPr>
          <w:sz w:val="18"/>
          <w:szCs w:val="18"/>
          <w:u w:val="single"/>
          <w:lang w:val="en-US"/>
        </w:rPr>
        <w:t>the process</w:t>
      </w:r>
      <w:r w:rsidRPr="005508EF">
        <w:rPr>
          <w:sz w:val="18"/>
          <w:szCs w:val="18"/>
          <w:lang w:val="en-US"/>
        </w:rPr>
        <w:t xml:space="preserve"> should be documented well because it is not only the end result that plays an important role but also the process and the method of getting different stakeholders involved.</w:t>
      </w:r>
    </w:p>
    <w:p w:rsidR="002E3A96" w:rsidRPr="005508EF" w:rsidRDefault="002E3A96" w:rsidP="002E3A96">
      <w:pPr>
        <w:pStyle w:val="ListParagraph"/>
        <w:numPr>
          <w:ilvl w:val="0"/>
          <w:numId w:val="37"/>
        </w:numPr>
        <w:rPr>
          <w:sz w:val="18"/>
          <w:szCs w:val="18"/>
          <w:lang w:val="en-US"/>
        </w:rPr>
      </w:pPr>
      <w:r w:rsidRPr="005508EF">
        <w:rPr>
          <w:sz w:val="18"/>
          <w:szCs w:val="18"/>
          <w:u w:val="single"/>
          <w:lang w:val="en-US"/>
        </w:rPr>
        <w:t>Parliamentary members</w:t>
      </w:r>
      <w:r w:rsidRPr="005508EF">
        <w:rPr>
          <w:sz w:val="18"/>
          <w:szCs w:val="18"/>
          <w:lang w:val="en-US"/>
        </w:rPr>
        <w:t xml:space="preserve"> should be considered as they are key actors to holding policy makers to account.                                                                        </w:t>
      </w:r>
    </w:p>
    <w:p w:rsidR="00E0052B" w:rsidRPr="002E3A96" w:rsidRDefault="00E0052B" w:rsidP="0082001C">
      <w:pPr>
        <w:ind w:left="720"/>
        <w:rPr>
          <w:rStyle w:val="SubtleEmphasis"/>
          <w:lang w:val="en-US"/>
        </w:rPr>
      </w:pPr>
    </w:p>
    <w:p w:rsidR="00E0052B" w:rsidRDefault="00690603" w:rsidP="00DB292F">
      <w:pPr>
        <w:ind w:firstLine="360"/>
        <w:rPr>
          <w:rStyle w:val="SubtleEmphasis"/>
        </w:rPr>
      </w:pPr>
      <w:r>
        <w:rPr>
          <w:rStyle w:val="SubtleEmphasis"/>
        </w:rPr>
        <w:t>Key points from s</w:t>
      </w:r>
      <w:r w:rsidR="00E0052B">
        <w:rPr>
          <w:rStyle w:val="SubtleEmphasis"/>
        </w:rPr>
        <w:t>ession 5: Linking the PGAs properly with the national REDD+ processes</w:t>
      </w:r>
    </w:p>
    <w:p w:rsidR="00A17A7F" w:rsidRPr="002E3A96" w:rsidRDefault="00A17A7F" w:rsidP="00A17A7F">
      <w:pPr>
        <w:pStyle w:val="ListParagraph"/>
        <w:numPr>
          <w:ilvl w:val="0"/>
          <w:numId w:val="35"/>
        </w:numPr>
        <w:contextualSpacing w:val="0"/>
        <w:rPr>
          <w:sz w:val="18"/>
          <w:lang w:val="en-US"/>
        </w:rPr>
      </w:pPr>
      <w:r w:rsidRPr="00690603">
        <w:rPr>
          <w:sz w:val="18"/>
          <w:lang w:val="en-US"/>
        </w:rPr>
        <w:t xml:space="preserve">New focus on how governance data </w:t>
      </w:r>
      <w:r w:rsidRPr="002E3A96">
        <w:rPr>
          <w:sz w:val="18"/>
          <w:lang w:val="en-US"/>
        </w:rPr>
        <w:t>can inform the understanding of drivers of D&amp;D, the prioritization of policies and measures to address them sequentially, how PGA process can feed into the inclusive development of national REDD+  strategies, and how PGA indicators and datasets can be integral part of safeguards information systems for governance aspects</w:t>
      </w:r>
      <w:bookmarkStart w:id="0" w:name="_GoBack"/>
      <w:bookmarkEnd w:id="0"/>
      <w:r w:rsidRPr="002E3A96">
        <w:rPr>
          <w:sz w:val="18"/>
          <w:lang w:val="en-US"/>
        </w:rPr>
        <w:t xml:space="preserve"> </w:t>
      </w:r>
    </w:p>
    <w:p w:rsidR="00A17A7F" w:rsidRPr="00690603" w:rsidRDefault="00A17A7F" w:rsidP="00A17A7F">
      <w:pPr>
        <w:pStyle w:val="ListParagraph"/>
        <w:numPr>
          <w:ilvl w:val="0"/>
          <w:numId w:val="35"/>
        </w:numPr>
        <w:contextualSpacing w:val="0"/>
        <w:rPr>
          <w:sz w:val="18"/>
          <w:lang w:val="en-US"/>
        </w:rPr>
      </w:pPr>
      <w:r w:rsidRPr="00690603">
        <w:rPr>
          <w:sz w:val="18"/>
          <w:lang w:val="en-US"/>
        </w:rPr>
        <w:t>In Nigeria, this link is obvious in principle and core to the government’s vision, but has not been explicitly articulated nor followed by practical considerations of what it entails (due also to different timing of different initiatives) ; in the upcoming TS on safeguards, there is an understanding and agreement that the PGA indicators and data will represent (part of) the governance safeguards</w:t>
      </w:r>
    </w:p>
    <w:p w:rsidR="00A17A7F" w:rsidRPr="00690603" w:rsidRDefault="00A17A7F" w:rsidP="00A17A7F">
      <w:pPr>
        <w:pStyle w:val="ListParagraph"/>
        <w:numPr>
          <w:ilvl w:val="0"/>
          <w:numId w:val="35"/>
        </w:numPr>
        <w:contextualSpacing w:val="0"/>
        <w:rPr>
          <w:sz w:val="18"/>
          <w:lang w:val="en-US"/>
        </w:rPr>
      </w:pPr>
      <w:r w:rsidRPr="00690603">
        <w:rPr>
          <w:sz w:val="18"/>
          <w:lang w:val="en-US"/>
        </w:rPr>
        <w:t xml:space="preserve">In Indonesia, requests have been made to highlight explicitly how much forest carbon emission reduction could be expected if the PGA recommendations are implemented ; waiting for the opportune time (after the elections) to feed the PGA data into the SIS – still in discussions on whether ownership of SIS will be through </w:t>
      </w:r>
      <w:proofErr w:type="spellStart"/>
      <w:r w:rsidRPr="00690603">
        <w:rPr>
          <w:sz w:val="18"/>
          <w:lang w:val="en-US"/>
        </w:rPr>
        <w:t>MoFoR</w:t>
      </w:r>
      <w:proofErr w:type="spellEnd"/>
      <w:r w:rsidRPr="00690603">
        <w:rPr>
          <w:sz w:val="18"/>
          <w:lang w:val="en-US"/>
        </w:rPr>
        <w:t xml:space="preserve"> or the REDD+ Agency  </w:t>
      </w:r>
    </w:p>
    <w:p w:rsidR="00A17A7F" w:rsidRPr="00690603" w:rsidRDefault="00A17A7F" w:rsidP="00A17A7F">
      <w:pPr>
        <w:pStyle w:val="ListParagraph"/>
        <w:numPr>
          <w:ilvl w:val="0"/>
          <w:numId w:val="35"/>
        </w:numPr>
        <w:contextualSpacing w:val="0"/>
        <w:rPr>
          <w:sz w:val="18"/>
          <w:lang w:val="en-US"/>
        </w:rPr>
      </w:pPr>
      <w:r w:rsidRPr="00690603">
        <w:rPr>
          <w:sz w:val="18"/>
          <w:lang w:val="en-US"/>
        </w:rPr>
        <w:t>In VN the PGA only indirectly points to drivers, and the country’s conversation on safeguards is still ongoing – but the Phase II Focal Point has requested information on how the PGA and other governance data initiatives contribute to Phase II. They could have had national processes in the back of their minds when developing the PGA rather than being so focused on the governance issues.</w:t>
      </w:r>
    </w:p>
    <w:p w:rsidR="00A17A7F" w:rsidRPr="00690603" w:rsidRDefault="00A17A7F" w:rsidP="00A17A7F">
      <w:pPr>
        <w:pStyle w:val="ListParagraph"/>
        <w:numPr>
          <w:ilvl w:val="0"/>
          <w:numId w:val="35"/>
        </w:numPr>
        <w:contextualSpacing w:val="0"/>
        <w:rPr>
          <w:sz w:val="18"/>
          <w:lang w:val="en-US"/>
        </w:rPr>
      </w:pPr>
      <w:r w:rsidRPr="00690603">
        <w:rPr>
          <w:sz w:val="18"/>
          <w:lang w:val="en-US"/>
        </w:rPr>
        <w:t xml:space="preserve">PGA process can serve as a model for how the SIS can be developed, or the PGA can be integrated directly into SIS. Try to find out what is being done/ has been done on safeguards before PGA set up. Create an organizational structure that complements PGA and SIS. This is also strategic, as countries have to report on SIS to UNFCCC. Safeguards are complex and can seem abstract, but many new tools and resources are being made available to help countries develop an SIS (and after Warsaw there is more clarity), such as the CAST (Country Approach to Safeguards Tool). </w:t>
      </w:r>
    </w:p>
    <w:p w:rsidR="00A17A7F" w:rsidRPr="00690603" w:rsidRDefault="00A17A7F" w:rsidP="00A17A7F">
      <w:pPr>
        <w:pStyle w:val="ListParagraph"/>
        <w:numPr>
          <w:ilvl w:val="0"/>
          <w:numId w:val="35"/>
        </w:numPr>
        <w:contextualSpacing w:val="0"/>
        <w:rPr>
          <w:sz w:val="18"/>
          <w:lang w:val="en-US"/>
        </w:rPr>
      </w:pPr>
      <w:r w:rsidRPr="00690603">
        <w:rPr>
          <w:sz w:val="18"/>
          <w:lang w:val="en-US"/>
        </w:rPr>
        <w:t>Sequencing of the different initiatives matters for their integration. In Indonesia, Viet Nam, and Nigeria, all have been dealing with different initiatives (looking at drivers, PGA, SIS, anti-corruption, national strategies, MRV, etc.) at different stages of NPs. The right time to emphasize linkages, show country counterparts how linkages can be made.</w:t>
      </w:r>
    </w:p>
    <w:p w:rsidR="00A17A7F" w:rsidRPr="00E0052B" w:rsidRDefault="00A17A7F" w:rsidP="0082001C">
      <w:pPr>
        <w:ind w:left="720"/>
        <w:rPr>
          <w:rStyle w:val="SubtleEmphasis"/>
          <w:lang w:val="en-US"/>
        </w:rPr>
      </w:pPr>
    </w:p>
    <w:p w:rsidR="00E0052B" w:rsidRDefault="00690603" w:rsidP="00DB292F">
      <w:pPr>
        <w:ind w:left="720"/>
        <w:rPr>
          <w:rStyle w:val="SubtleEmphasis"/>
        </w:rPr>
      </w:pPr>
      <w:r>
        <w:rPr>
          <w:rStyle w:val="SubtleEmphasis"/>
        </w:rPr>
        <w:t>Key points from session</w:t>
      </w:r>
      <w:r w:rsidR="00E0052B">
        <w:rPr>
          <w:rStyle w:val="SubtleEmphasis"/>
        </w:rPr>
        <w:t xml:space="preserve"> 6: How can we build on additional work and resource persons within the UN-REDD Programme?</w:t>
      </w:r>
    </w:p>
    <w:p w:rsidR="004A57E3" w:rsidRPr="00E0052B" w:rsidRDefault="004A57E3" w:rsidP="004A57E3">
      <w:pPr>
        <w:pStyle w:val="ListParagraph"/>
        <w:numPr>
          <w:ilvl w:val="0"/>
          <w:numId w:val="27"/>
        </w:numPr>
        <w:ind w:left="709" w:hanging="283"/>
        <w:rPr>
          <w:sz w:val="18"/>
          <w:lang w:val="en-US"/>
        </w:rPr>
      </w:pPr>
      <w:r w:rsidRPr="00E0052B">
        <w:rPr>
          <w:sz w:val="18"/>
          <w:lang w:val="en-US"/>
        </w:rPr>
        <w:t xml:space="preserve">There are a number of governance work streams within the UN-REDD </w:t>
      </w:r>
      <w:proofErr w:type="spellStart"/>
      <w:r w:rsidRPr="00E0052B">
        <w:rPr>
          <w:sz w:val="18"/>
          <w:lang w:val="en-US"/>
        </w:rPr>
        <w:t>Programme</w:t>
      </w:r>
      <w:proofErr w:type="spellEnd"/>
      <w:r w:rsidRPr="00E0052B">
        <w:rPr>
          <w:sz w:val="18"/>
          <w:lang w:val="en-US"/>
        </w:rPr>
        <w:t xml:space="preserve"> SNA and in National </w:t>
      </w:r>
      <w:proofErr w:type="spellStart"/>
      <w:r w:rsidRPr="00E0052B">
        <w:rPr>
          <w:sz w:val="18"/>
          <w:lang w:val="en-US"/>
        </w:rPr>
        <w:t>Programmes</w:t>
      </w:r>
      <w:proofErr w:type="spellEnd"/>
      <w:r w:rsidRPr="00E0052B">
        <w:rPr>
          <w:sz w:val="18"/>
          <w:lang w:val="en-US"/>
        </w:rPr>
        <w:t xml:space="preserve">, most of which can at some point inform the PGA. In some cases these linkages have been made, but not systematically. Tina and the PGA support team can help in identifying these linkages. </w:t>
      </w:r>
    </w:p>
    <w:p w:rsidR="004A57E3" w:rsidRPr="00E0052B" w:rsidRDefault="004A57E3" w:rsidP="004A57E3">
      <w:pPr>
        <w:pStyle w:val="ListParagraph"/>
        <w:numPr>
          <w:ilvl w:val="0"/>
          <w:numId w:val="27"/>
        </w:numPr>
        <w:ind w:left="709" w:hanging="283"/>
        <w:rPr>
          <w:sz w:val="18"/>
          <w:lang w:val="en-US"/>
        </w:rPr>
      </w:pPr>
      <w:r w:rsidRPr="00E0052B">
        <w:rPr>
          <w:sz w:val="18"/>
          <w:lang w:val="en-US"/>
        </w:rPr>
        <w:lastRenderedPageBreak/>
        <w:t xml:space="preserve">Reciprocally, the PGA processes, indicators and datasets (for example on gender, anti-corruption, tenure, legal aspects, FPIC, IP and CSO engagement and capacities) can enrich these </w:t>
      </w:r>
      <w:proofErr w:type="spellStart"/>
      <w:r w:rsidRPr="00E0052B">
        <w:rPr>
          <w:sz w:val="18"/>
          <w:lang w:val="en-US"/>
        </w:rPr>
        <w:t>workstreams</w:t>
      </w:r>
      <w:proofErr w:type="spellEnd"/>
      <w:r w:rsidRPr="00E0052B">
        <w:rPr>
          <w:sz w:val="18"/>
          <w:lang w:val="en-US"/>
        </w:rPr>
        <w:t>, both the normative work (</w:t>
      </w:r>
      <w:proofErr w:type="spellStart"/>
      <w:r w:rsidRPr="00E0052B">
        <w:rPr>
          <w:sz w:val="18"/>
          <w:lang w:val="en-US"/>
        </w:rPr>
        <w:t>guidances</w:t>
      </w:r>
      <w:proofErr w:type="spellEnd"/>
      <w:r w:rsidRPr="00E0052B">
        <w:rPr>
          <w:sz w:val="18"/>
          <w:lang w:val="en-US"/>
        </w:rPr>
        <w:t>, knowledge products) and in-country support</w:t>
      </w:r>
    </w:p>
    <w:p w:rsidR="004A57E3" w:rsidRPr="00E0052B" w:rsidRDefault="004A57E3" w:rsidP="004A57E3">
      <w:pPr>
        <w:pStyle w:val="ListParagraph"/>
        <w:numPr>
          <w:ilvl w:val="0"/>
          <w:numId w:val="27"/>
        </w:numPr>
        <w:ind w:left="709" w:hanging="283"/>
        <w:rPr>
          <w:sz w:val="18"/>
          <w:lang w:val="en-US"/>
        </w:rPr>
      </w:pPr>
      <w:r w:rsidRPr="00E0052B">
        <w:rPr>
          <w:sz w:val="18"/>
          <w:lang w:val="en-US"/>
        </w:rPr>
        <w:t xml:space="preserve">Information is accessible, to various degrees, on the workspace, website, and annual reports (available on the Policy Board page of the web site), but mostly through the technical people who lead those </w:t>
      </w:r>
      <w:proofErr w:type="spellStart"/>
      <w:r w:rsidRPr="00E0052B">
        <w:rPr>
          <w:sz w:val="18"/>
          <w:lang w:val="en-US"/>
        </w:rPr>
        <w:t>workstreams</w:t>
      </w:r>
      <w:proofErr w:type="spellEnd"/>
      <w:r w:rsidRPr="00E0052B">
        <w:rPr>
          <w:sz w:val="18"/>
          <w:lang w:val="en-US"/>
        </w:rPr>
        <w:t xml:space="preserve">. </w:t>
      </w:r>
    </w:p>
    <w:p w:rsidR="004A57E3" w:rsidRPr="00E0052B" w:rsidRDefault="004A57E3" w:rsidP="004A57E3">
      <w:pPr>
        <w:pStyle w:val="ListParagraph"/>
        <w:numPr>
          <w:ilvl w:val="0"/>
          <w:numId w:val="28"/>
        </w:numPr>
        <w:ind w:left="709" w:hanging="283"/>
        <w:rPr>
          <w:sz w:val="18"/>
          <w:lang w:val="en-US"/>
        </w:rPr>
      </w:pPr>
      <w:r w:rsidRPr="00E0052B">
        <w:rPr>
          <w:sz w:val="18"/>
          <w:lang w:val="en-US"/>
        </w:rPr>
        <w:t>Linkages are best made “organically” at the country level rather than conceptually at global level</w:t>
      </w:r>
    </w:p>
    <w:p w:rsidR="00E0052B" w:rsidRPr="004A57E3" w:rsidRDefault="00E0052B" w:rsidP="0082001C">
      <w:pPr>
        <w:ind w:left="720"/>
        <w:rPr>
          <w:rStyle w:val="SubtleEmphasis"/>
          <w:lang w:val="en-US"/>
        </w:rPr>
      </w:pPr>
    </w:p>
    <w:p w:rsidR="00E0052B" w:rsidRDefault="00690603" w:rsidP="0082001C">
      <w:pPr>
        <w:ind w:left="720"/>
        <w:rPr>
          <w:rStyle w:val="SubtleEmphasis"/>
        </w:rPr>
      </w:pPr>
      <w:r>
        <w:rPr>
          <w:rStyle w:val="SubtleEmphasis"/>
        </w:rPr>
        <w:t>Key points from session</w:t>
      </w:r>
      <w:r w:rsidR="00E0052B">
        <w:rPr>
          <w:rStyle w:val="SubtleEmphasis"/>
        </w:rPr>
        <w:t xml:space="preserve"> 7: The importance of documenting our work and results</w:t>
      </w:r>
    </w:p>
    <w:p w:rsidR="004846B9" w:rsidRDefault="008A79E5" w:rsidP="00D90826">
      <w:pPr>
        <w:rPr>
          <w:sz w:val="18"/>
          <w:szCs w:val="18"/>
        </w:rPr>
      </w:pPr>
      <w:r w:rsidRPr="008A79E5">
        <w:rPr>
          <w:sz w:val="18"/>
          <w:szCs w:val="18"/>
        </w:rPr>
        <w:t xml:space="preserve">There is a need to </w:t>
      </w:r>
      <w:r>
        <w:rPr>
          <w:sz w:val="18"/>
          <w:szCs w:val="18"/>
        </w:rPr>
        <w:t>document our progress through good workshop reports (emphasizing conclusions made and concrete outputs after meetings) and the coordinators are responsible here, with support from the global level as/ if needed. Although the UN-REDD workspace is far from perfect, this is a good way to systematically share and store information, but also to share information between practitioners in different countries/ locations. Further, the mini round-up and newsletter articles are also good “channels” to share progress, so we will continue to discuss when these should be pursued.</w:t>
      </w:r>
    </w:p>
    <w:p w:rsidR="0033505F" w:rsidRPr="008A79E5" w:rsidRDefault="008A79E5" w:rsidP="00D90826">
      <w:pPr>
        <w:rPr>
          <w:sz w:val="18"/>
          <w:szCs w:val="18"/>
        </w:rPr>
      </w:pPr>
      <w:r>
        <w:rPr>
          <w:sz w:val="18"/>
          <w:szCs w:val="18"/>
        </w:rPr>
        <w:t xml:space="preserve">After the launches of the PGA report, it is important to keep track of how the PGA data is being used and how it informs policy- and decision-making. Indonesia now has this tracking in place, and the document is </w:t>
      </w:r>
      <w:r w:rsidR="0033505F">
        <w:rPr>
          <w:sz w:val="18"/>
          <w:szCs w:val="18"/>
        </w:rPr>
        <w:t>being continuously updated. This should be in place for the other PGA countries eventually as well.</w:t>
      </w:r>
    </w:p>
    <w:p w:rsidR="00CE2DB3" w:rsidRDefault="008C30F9" w:rsidP="002774D0">
      <w:pPr>
        <w:pStyle w:val="Subtitle"/>
        <w:numPr>
          <w:ilvl w:val="0"/>
          <w:numId w:val="25"/>
        </w:numPr>
      </w:pPr>
      <w:r>
        <w:t>Follow-</w:t>
      </w:r>
      <w:r w:rsidR="00CE2DB3">
        <w:t>up</w:t>
      </w:r>
    </w:p>
    <w:p w:rsidR="00DB292F" w:rsidRPr="00E0052B" w:rsidRDefault="00DB292F" w:rsidP="00DB292F">
      <w:pPr>
        <w:ind w:firstLine="720"/>
        <w:rPr>
          <w:b/>
          <w:bCs/>
          <w:sz w:val="18"/>
          <w:lang w:val="en-US"/>
        </w:rPr>
      </w:pPr>
      <w:r w:rsidRPr="00E0052B">
        <w:rPr>
          <w:b/>
          <w:bCs/>
          <w:sz w:val="18"/>
          <w:lang w:val="en-US"/>
        </w:rPr>
        <w:t>Action points</w:t>
      </w:r>
      <w:r w:rsidR="00227141">
        <w:rPr>
          <w:b/>
          <w:bCs/>
          <w:sz w:val="18"/>
          <w:lang w:val="en-US"/>
        </w:rPr>
        <w:t xml:space="preserve"> agreed after the discussions</w:t>
      </w:r>
      <w:r>
        <w:rPr>
          <w:b/>
          <w:bCs/>
          <w:sz w:val="18"/>
          <w:lang w:val="en-US"/>
        </w:rPr>
        <w:t>:</w:t>
      </w:r>
    </w:p>
    <w:p w:rsidR="00DB292F" w:rsidRPr="00E0052B" w:rsidRDefault="00DB292F" w:rsidP="00DB292F">
      <w:pPr>
        <w:pStyle w:val="ListParagraph"/>
        <w:numPr>
          <w:ilvl w:val="0"/>
          <w:numId w:val="28"/>
        </w:numPr>
        <w:rPr>
          <w:sz w:val="18"/>
          <w:lang w:val="en-US"/>
        </w:rPr>
      </w:pPr>
      <w:r w:rsidRPr="00E0052B">
        <w:rPr>
          <w:sz w:val="18"/>
          <w:lang w:val="en-US"/>
        </w:rPr>
        <w:t>Estelle or Tina to circulate names associated with each work area – contacts may then be found on the workspace (</w:t>
      </w:r>
      <w:hyperlink r:id="rId10" w:history="1">
        <w:r w:rsidRPr="00E0052B">
          <w:rPr>
            <w:rStyle w:val="Hyperlink"/>
            <w:sz w:val="18"/>
            <w:lang w:val="en-US"/>
          </w:rPr>
          <w:t>www.unredd.net</w:t>
        </w:r>
      </w:hyperlink>
      <w:r w:rsidRPr="00E0052B">
        <w:rPr>
          <w:sz w:val="18"/>
          <w:lang w:val="en-US"/>
        </w:rPr>
        <w:t>)</w:t>
      </w:r>
    </w:p>
    <w:p w:rsidR="00DB292F" w:rsidRPr="00E0052B" w:rsidRDefault="00DB292F" w:rsidP="00DB292F">
      <w:pPr>
        <w:pStyle w:val="ListParagraph"/>
        <w:numPr>
          <w:ilvl w:val="0"/>
          <w:numId w:val="28"/>
        </w:numPr>
        <w:rPr>
          <w:sz w:val="18"/>
          <w:lang w:val="en-US"/>
        </w:rPr>
      </w:pPr>
      <w:r w:rsidRPr="00E0052B">
        <w:rPr>
          <w:sz w:val="18"/>
          <w:lang w:val="en-US"/>
        </w:rPr>
        <w:t>PGA coordinators and support team to exam</w:t>
      </w:r>
      <w:r w:rsidR="00D9539D">
        <w:rPr>
          <w:sz w:val="18"/>
          <w:lang w:val="en-US"/>
        </w:rPr>
        <w:t xml:space="preserve">ine where they need support </w:t>
      </w:r>
      <w:r w:rsidRPr="00E0052B">
        <w:rPr>
          <w:sz w:val="18"/>
          <w:lang w:val="en-US"/>
        </w:rPr>
        <w:t>or establish contact with relevant technical SNA team</w:t>
      </w:r>
    </w:p>
    <w:p w:rsidR="00A17A7F" w:rsidRPr="00F362F8" w:rsidRDefault="00A17A7F" w:rsidP="00A17A7F">
      <w:pPr>
        <w:pStyle w:val="ListParagraph"/>
        <w:numPr>
          <w:ilvl w:val="0"/>
          <w:numId w:val="36"/>
        </w:numPr>
        <w:contextualSpacing w:val="0"/>
        <w:rPr>
          <w:sz w:val="18"/>
          <w:lang w:val="en-US"/>
        </w:rPr>
      </w:pPr>
      <w:r w:rsidRPr="00F362F8">
        <w:rPr>
          <w:sz w:val="18"/>
          <w:lang w:val="en-US"/>
        </w:rPr>
        <w:t>PGA coordinators and support team to start integrating the relevance of PGA to drivers, policies and measures and safeguards when they present the PGA</w:t>
      </w:r>
    </w:p>
    <w:p w:rsidR="00A17A7F" w:rsidRPr="00F362F8" w:rsidRDefault="00A17A7F" w:rsidP="00A17A7F">
      <w:pPr>
        <w:pStyle w:val="ListParagraph"/>
        <w:numPr>
          <w:ilvl w:val="0"/>
          <w:numId w:val="36"/>
        </w:numPr>
        <w:contextualSpacing w:val="0"/>
        <w:rPr>
          <w:sz w:val="18"/>
          <w:lang w:val="en-US"/>
        </w:rPr>
      </w:pPr>
      <w:proofErr w:type="spellStart"/>
      <w:r w:rsidRPr="00F362F8">
        <w:rPr>
          <w:sz w:val="18"/>
          <w:lang w:val="en-US"/>
        </w:rPr>
        <w:t>Ucok</w:t>
      </w:r>
      <w:proofErr w:type="spellEnd"/>
      <w:r w:rsidRPr="00F362F8">
        <w:rPr>
          <w:sz w:val="18"/>
          <w:lang w:val="en-US"/>
        </w:rPr>
        <w:t xml:space="preserve"> (with support) to develop a slide demonstrating the linkage between ER and PGA recommendations</w:t>
      </w:r>
    </w:p>
    <w:p w:rsidR="00A17A7F" w:rsidRDefault="00A17A7F" w:rsidP="00A17A7F">
      <w:pPr>
        <w:pStyle w:val="ListParagraph"/>
        <w:numPr>
          <w:ilvl w:val="0"/>
          <w:numId w:val="36"/>
        </w:numPr>
        <w:contextualSpacing w:val="0"/>
        <w:rPr>
          <w:sz w:val="18"/>
          <w:lang w:val="en-US"/>
        </w:rPr>
      </w:pPr>
      <w:r w:rsidRPr="00F362F8">
        <w:rPr>
          <w:sz w:val="18"/>
          <w:lang w:val="en-US"/>
        </w:rPr>
        <w:t>UN-REDD PGA team to continue conversation with safeguards coordination group (Kristin, Tina), and keep an eye out on SIS t</w:t>
      </w:r>
      <w:r w:rsidR="00D9539D">
        <w:rPr>
          <w:sz w:val="18"/>
          <w:lang w:val="en-US"/>
        </w:rPr>
        <w:t>hat the PGA could feed into it</w:t>
      </w:r>
    </w:p>
    <w:p w:rsidR="00B71921" w:rsidRDefault="00B71921" w:rsidP="00A17A7F">
      <w:pPr>
        <w:pStyle w:val="ListParagraph"/>
        <w:numPr>
          <w:ilvl w:val="0"/>
          <w:numId w:val="36"/>
        </w:numPr>
        <w:contextualSpacing w:val="0"/>
        <w:rPr>
          <w:sz w:val="18"/>
          <w:lang w:val="en-US"/>
        </w:rPr>
      </w:pPr>
      <w:r>
        <w:rPr>
          <w:sz w:val="18"/>
          <w:lang w:val="en-US"/>
        </w:rPr>
        <w:t xml:space="preserve">PGA Coordinators to look at </w:t>
      </w:r>
      <w:proofErr w:type="spellStart"/>
      <w:r w:rsidRPr="00FA52B6">
        <w:rPr>
          <w:i/>
          <w:sz w:val="18"/>
          <w:lang w:val="en-US"/>
        </w:rPr>
        <w:t>if</w:t>
      </w:r>
      <w:proofErr w:type="spellEnd"/>
      <w:r>
        <w:rPr>
          <w:sz w:val="18"/>
          <w:lang w:val="en-US"/>
        </w:rPr>
        <w:t xml:space="preserve"> and </w:t>
      </w:r>
      <w:r w:rsidRPr="00FA52B6">
        <w:rPr>
          <w:i/>
          <w:sz w:val="18"/>
          <w:lang w:val="en-US"/>
        </w:rPr>
        <w:t>how</w:t>
      </w:r>
      <w:r>
        <w:rPr>
          <w:sz w:val="18"/>
          <w:lang w:val="en-US"/>
        </w:rPr>
        <w:t xml:space="preserve"> Statistical Institutes could be included in the PGA process, in order to explore possible institutionalization of part of the PGA within regular statistical work in countries, for national ownership and sustainability purposes</w:t>
      </w:r>
    </w:p>
    <w:p w:rsidR="0033505F" w:rsidRDefault="0033505F" w:rsidP="00A17A7F">
      <w:pPr>
        <w:pStyle w:val="ListParagraph"/>
        <w:numPr>
          <w:ilvl w:val="0"/>
          <w:numId w:val="36"/>
        </w:numPr>
        <w:contextualSpacing w:val="0"/>
        <w:rPr>
          <w:sz w:val="18"/>
          <w:lang w:val="en-US"/>
        </w:rPr>
      </w:pPr>
      <w:r>
        <w:rPr>
          <w:sz w:val="18"/>
          <w:lang w:val="en-US"/>
        </w:rPr>
        <w:t xml:space="preserve">Continue to document progress through reports and sharing background information on relevant folders on the UN-REDD workspace. Tina will assist in creating new folders as needed. </w:t>
      </w:r>
    </w:p>
    <w:p w:rsidR="0033505F" w:rsidRDefault="0033505F" w:rsidP="0033505F">
      <w:pPr>
        <w:pStyle w:val="ListParagraph"/>
        <w:ind w:left="1080"/>
        <w:contextualSpacing w:val="0"/>
        <w:rPr>
          <w:sz w:val="18"/>
          <w:lang w:val="en-US"/>
        </w:rPr>
      </w:pPr>
    </w:p>
    <w:p w:rsidR="00CE2DB3" w:rsidRPr="00D90826" w:rsidRDefault="00CE2DB3">
      <w:pPr>
        <w:rPr>
          <w:rStyle w:val="IntenseEmphasis"/>
        </w:rPr>
      </w:pPr>
      <w:proofErr w:type="gramStart"/>
      <w:r w:rsidRPr="00D90826">
        <w:rPr>
          <w:rStyle w:val="IntenseEmphasis"/>
        </w:rPr>
        <w:t>Annex</w:t>
      </w:r>
      <w:r w:rsidR="0038121A" w:rsidRPr="0038121A">
        <w:rPr>
          <w:rStyle w:val="IntenseEmphasis"/>
          <w:b w:val="0"/>
        </w:rPr>
        <w:t>(</w:t>
      </w:r>
      <w:proofErr w:type="gramEnd"/>
      <w:r w:rsidR="0038121A" w:rsidRPr="0038121A">
        <w:rPr>
          <w:rStyle w:val="IntenseEmphasis"/>
          <w:b w:val="0"/>
        </w:rPr>
        <w:t>hyperlink)</w:t>
      </w:r>
    </w:p>
    <w:p w:rsidR="003E3B7D" w:rsidRPr="002E3A96" w:rsidRDefault="00F01AF3" w:rsidP="00CE2DB3">
      <w:pPr>
        <w:pStyle w:val="ListParagraph"/>
        <w:numPr>
          <w:ilvl w:val="0"/>
          <w:numId w:val="2"/>
        </w:numPr>
        <w:rPr>
          <w:rStyle w:val="Hyperlink"/>
        </w:rPr>
      </w:pPr>
      <w:r>
        <w:fldChar w:fldCharType="begin"/>
      </w:r>
      <w:r w:rsidR="002E3A96">
        <w:instrText xml:space="preserve"> HYPERLINK "http://www.unredd.net/index.php?option=com_docman&amp;task=doc_download&amp;gid=12843&amp;Itemid=53" </w:instrText>
      </w:r>
      <w:r>
        <w:fldChar w:fldCharType="separate"/>
      </w:r>
      <w:r w:rsidR="00827438" w:rsidRPr="002E3A96">
        <w:rPr>
          <w:rStyle w:val="Hyperlink"/>
        </w:rPr>
        <w:t>Meeting agenda</w:t>
      </w:r>
    </w:p>
    <w:p w:rsidR="00827438" w:rsidRDefault="00F01AF3" w:rsidP="00827438">
      <w:pPr>
        <w:ind w:left="360"/>
      </w:pPr>
      <w:r>
        <w:fldChar w:fldCharType="end"/>
      </w:r>
    </w:p>
    <w:p w:rsidR="003E3B7D" w:rsidRDefault="003E3B7D" w:rsidP="003E3B7D"/>
    <w:p w:rsidR="00CE2DB3" w:rsidRDefault="00CE2DB3" w:rsidP="00CE2DB3">
      <w:pPr>
        <w:pStyle w:val="ListParagraph"/>
      </w:pPr>
    </w:p>
    <w:sectPr w:rsidR="00CE2DB3" w:rsidSect="00A62B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230" w:rsidRDefault="00971230" w:rsidP="0038121A">
      <w:pPr>
        <w:spacing w:after="0" w:line="240" w:lineRule="auto"/>
      </w:pPr>
      <w:r>
        <w:separator/>
      </w:r>
    </w:p>
  </w:endnote>
  <w:endnote w:type="continuationSeparator" w:id="0">
    <w:p w:rsidR="00971230" w:rsidRDefault="00971230" w:rsidP="0038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utigerLT-Roman">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230" w:rsidRDefault="00971230" w:rsidP="0038121A">
      <w:pPr>
        <w:spacing w:after="0" w:line="240" w:lineRule="auto"/>
      </w:pPr>
      <w:r>
        <w:separator/>
      </w:r>
    </w:p>
  </w:footnote>
  <w:footnote w:type="continuationSeparator" w:id="0">
    <w:p w:rsidR="00971230" w:rsidRDefault="00971230" w:rsidP="00381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AC4C5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Times New Roman"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Times New Roman"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6661EE6"/>
    <w:multiLevelType w:val="hybridMultilevel"/>
    <w:tmpl w:val="B1000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6DE2BFA"/>
    <w:multiLevelType w:val="hybridMultilevel"/>
    <w:tmpl w:val="73E4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51217B"/>
    <w:multiLevelType w:val="hybridMultilevel"/>
    <w:tmpl w:val="58CAA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421C53"/>
    <w:multiLevelType w:val="hybridMultilevel"/>
    <w:tmpl w:val="8856E728"/>
    <w:lvl w:ilvl="0" w:tplc="300A0001">
      <w:start w:val="1"/>
      <w:numFmt w:val="bullet"/>
      <w:lvlText w:val=""/>
      <w:lvlJc w:val="left"/>
      <w:pPr>
        <w:ind w:left="765" w:hanging="360"/>
      </w:pPr>
      <w:rPr>
        <w:rFonts w:ascii="Symbol" w:hAnsi="Symbol" w:hint="default"/>
      </w:rPr>
    </w:lvl>
    <w:lvl w:ilvl="1" w:tplc="300A0003">
      <w:start w:val="1"/>
      <w:numFmt w:val="decimal"/>
      <w:lvlText w:val="%2."/>
      <w:lvlJc w:val="left"/>
      <w:pPr>
        <w:tabs>
          <w:tab w:val="num" w:pos="1440"/>
        </w:tabs>
        <w:ind w:left="1440" w:hanging="360"/>
      </w:pPr>
    </w:lvl>
    <w:lvl w:ilvl="2" w:tplc="300A0005">
      <w:start w:val="1"/>
      <w:numFmt w:val="decimal"/>
      <w:lvlText w:val="%3."/>
      <w:lvlJc w:val="left"/>
      <w:pPr>
        <w:tabs>
          <w:tab w:val="num" w:pos="2160"/>
        </w:tabs>
        <w:ind w:left="2160" w:hanging="360"/>
      </w:pPr>
    </w:lvl>
    <w:lvl w:ilvl="3" w:tplc="300A0001">
      <w:start w:val="1"/>
      <w:numFmt w:val="decimal"/>
      <w:lvlText w:val="%4."/>
      <w:lvlJc w:val="left"/>
      <w:pPr>
        <w:tabs>
          <w:tab w:val="num" w:pos="2880"/>
        </w:tabs>
        <w:ind w:left="2880" w:hanging="360"/>
      </w:pPr>
    </w:lvl>
    <w:lvl w:ilvl="4" w:tplc="300A0003">
      <w:start w:val="1"/>
      <w:numFmt w:val="decimal"/>
      <w:lvlText w:val="%5."/>
      <w:lvlJc w:val="left"/>
      <w:pPr>
        <w:tabs>
          <w:tab w:val="num" w:pos="3600"/>
        </w:tabs>
        <w:ind w:left="3600" w:hanging="360"/>
      </w:pPr>
    </w:lvl>
    <w:lvl w:ilvl="5" w:tplc="300A0005">
      <w:start w:val="1"/>
      <w:numFmt w:val="decimal"/>
      <w:lvlText w:val="%6."/>
      <w:lvlJc w:val="left"/>
      <w:pPr>
        <w:tabs>
          <w:tab w:val="num" w:pos="4320"/>
        </w:tabs>
        <w:ind w:left="4320" w:hanging="360"/>
      </w:pPr>
    </w:lvl>
    <w:lvl w:ilvl="6" w:tplc="300A0001">
      <w:start w:val="1"/>
      <w:numFmt w:val="decimal"/>
      <w:lvlText w:val="%7."/>
      <w:lvlJc w:val="left"/>
      <w:pPr>
        <w:tabs>
          <w:tab w:val="num" w:pos="5040"/>
        </w:tabs>
        <w:ind w:left="5040" w:hanging="360"/>
      </w:pPr>
    </w:lvl>
    <w:lvl w:ilvl="7" w:tplc="300A0003">
      <w:start w:val="1"/>
      <w:numFmt w:val="decimal"/>
      <w:lvlText w:val="%8."/>
      <w:lvlJc w:val="left"/>
      <w:pPr>
        <w:tabs>
          <w:tab w:val="num" w:pos="5760"/>
        </w:tabs>
        <w:ind w:left="5760" w:hanging="360"/>
      </w:pPr>
    </w:lvl>
    <w:lvl w:ilvl="8" w:tplc="300A0005">
      <w:start w:val="1"/>
      <w:numFmt w:val="decimal"/>
      <w:lvlText w:val="%9."/>
      <w:lvlJc w:val="left"/>
      <w:pPr>
        <w:tabs>
          <w:tab w:val="num" w:pos="6480"/>
        </w:tabs>
        <w:ind w:left="6480" w:hanging="360"/>
      </w:pPr>
    </w:lvl>
  </w:abstractNum>
  <w:abstractNum w:abstractNumId="5">
    <w:nsid w:val="11911447"/>
    <w:multiLevelType w:val="hybridMultilevel"/>
    <w:tmpl w:val="4D7E6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02C81"/>
    <w:multiLevelType w:val="hybridMultilevel"/>
    <w:tmpl w:val="358CB216"/>
    <w:lvl w:ilvl="0" w:tplc="300A0001">
      <w:start w:val="1"/>
      <w:numFmt w:val="bullet"/>
      <w:lvlText w:val=""/>
      <w:lvlJc w:val="left"/>
      <w:pPr>
        <w:ind w:left="765" w:hanging="360"/>
      </w:pPr>
      <w:rPr>
        <w:rFonts w:ascii="Symbol" w:hAnsi="Symbol" w:hint="default"/>
      </w:rPr>
    </w:lvl>
    <w:lvl w:ilvl="1" w:tplc="300A0003">
      <w:start w:val="1"/>
      <w:numFmt w:val="decimal"/>
      <w:lvlText w:val="%2."/>
      <w:lvlJc w:val="left"/>
      <w:pPr>
        <w:tabs>
          <w:tab w:val="num" w:pos="1440"/>
        </w:tabs>
        <w:ind w:left="1440" w:hanging="360"/>
      </w:pPr>
    </w:lvl>
    <w:lvl w:ilvl="2" w:tplc="300A0005">
      <w:start w:val="1"/>
      <w:numFmt w:val="decimal"/>
      <w:lvlText w:val="%3."/>
      <w:lvlJc w:val="left"/>
      <w:pPr>
        <w:tabs>
          <w:tab w:val="num" w:pos="2160"/>
        </w:tabs>
        <w:ind w:left="2160" w:hanging="360"/>
      </w:pPr>
    </w:lvl>
    <w:lvl w:ilvl="3" w:tplc="300A0001">
      <w:start w:val="1"/>
      <w:numFmt w:val="decimal"/>
      <w:lvlText w:val="%4."/>
      <w:lvlJc w:val="left"/>
      <w:pPr>
        <w:tabs>
          <w:tab w:val="num" w:pos="2880"/>
        </w:tabs>
        <w:ind w:left="2880" w:hanging="360"/>
      </w:pPr>
    </w:lvl>
    <w:lvl w:ilvl="4" w:tplc="300A0003">
      <w:start w:val="1"/>
      <w:numFmt w:val="decimal"/>
      <w:lvlText w:val="%5."/>
      <w:lvlJc w:val="left"/>
      <w:pPr>
        <w:tabs>
          <w:tab w:val="num" w:pos="3600"/>
        </w:tabs>
        <w:ind w:left="3600" w:hanging="360"/>
      </w:pPr>
    </w:lvl>
    <w:lvl w:ilvl="5" w:tplc="300A0005">
      <w:start w:val="1"/>
      <w:numFmt w:val="decimal"/>
      <w:lvlText w:val="%6."/>
      <w:lvlJc w:val="left"/>
      <w:pPr>
        <w:tabs>
          <w:tab w:val="num" w:pos="4320"/>
        </w:tabs>
        <w:ind w:left="4320" w:hanging="360"/>
      </w:pPr>
    </w:lvl>
    <w:lvl w:ilvl="6" w:tplc="300A0001">
      <w:start w:val="1"/>
      <w:numFmt w:val="decimal"/>
      <w:lvlText w:val="%7."/>
      <w:lvlJc w:val="left"/>
      <w:pPr>
        <w:tabs>
          <w:tab w:val="num" w:pos="5040"/>
        </w:tabs>
        <w:ind w:left="5040" w:hanging="360"/>
      </w:pPr>
    </w:lvl>
    <w:lvl w:ilvl="7" w:tplc="300A0003">
      <w:start w:val="1"/>
      <w:numFmt w:val="decimal"/>
      <w:lvlText w:val="%8."/>
      <w:lvlJc w:val="left"/>
      <w:pPr>
        <w:tabs>
          <w:tab w:val="num" w:pos="5760"/>
        </w:tabs>
        <w:ind w:left="5760" w:hanging="360"/>
      </w:pPr>
    </w:lvl>
    <w:lvl w:ilvl="8" w:tplc="300A0005">
      <w:start w:val="1"/>
      <w:numFmt w:val="decimal"/>
      <w:lvlText w:val="%9."/>
      <w:lvlJc w:val="left"/>
      <w:pPr>
        <w:tabs>
          <w:tab w:val="num" w:pos="6480"/>
        </w:tabs>
        <w:ind w:left="6480" w:hanging="360"/>
      </w:pPr>
    </w:lvl>
  </w:abstractNum>
  <w:abstractNum w:abstractNumId="7">
    <w:nsid w:val="14B521D2"/>
    <w:multiLevelType w:val="hybridMultilevel"/>
    <w:tmpl w:val="FA6A5822"/>
    <w:lvl w:ilvl="0" w:tplc="0AC0D7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85091"/>
    <w:multiLevelType w:val="hybridMultilevel"/>
    <w:tmpl w:val="2DA2E7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nsid w:val="15F76398"/>
    <w:multiLevelType w:val="hybridMultilevel"/>
    <w:tmpl w:val="34B68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9F0B51"/>
    <w:multiLevelType w:val="hybridMultilevel"/>
    <w:tmpl w:val="1EC02008"/>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1">
    <w:nsid w:val="1C7F766E"/>
    <w:multiLevelType w:val="hybridMultilevel"/>
    <w:tmpl w:val="51327332"/>
    <w:lvl w:ilvl="0" w:tplc="100C0001">
      <w:start w:val="1"/>
      <w:numFmt w:val="bulle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start w:val="1"/>
      <w:numFmt w:val="bullet"/>
      <w:lvlText w:val=""/>
      <w:lvlJc w:val="left"/>
      <w:pPr>
        <w:ind w:left="3240" w:hanging="360"/>
      </w:pPr>
      <w:rPr>
        <w:rFonts w:ascii="Symbol" w:hAnsi="Symbol" w:hint="default"/>
      </w:rPr>
    </w:lvl>
    <w:lvl w:ilvl="4" w:tplc="100C0003">
      <w:start w:val="1"/>
      <w:numFmt w:val="bullet"/>
      <w:lvlText w:val="o"/>
      <w:lvlJc w:val="left"/>
      <w:pPr>
        <w:ind w:left="3960" w:hanging="360"/>
      </w:pPr>
      <w:rPr>
        <w:rFonts w:ascii="Courier New" w:hAnsi="Courier New" w:cs="Courier New" w:hint="default"/>
      </w:rPr>
    </w:lvl>
    <w:lvl w:ilvl="5" w:tplc="100C0005">
      <w:start w:val="1"/>
      <w:numFmt w:val="bullet"/>
      <w:lvlText w:val=""/>
      <w:lvlJc w:val="left"/>
      <w:pPr>
        <w:ind w:left="4680" w:hanging="360"/>
      </w:pPr>
      <w:rPr>
        <w:rFonts w:ascii="Wingdings" w:hAnsi="Wingdings" w:hint="default"/>
      </w:rPr>
    </w:lvl>
    <w:lvl w:ilvl="6" w:tplc="100C0001">
      <w:start w:val="1"/>
      <w:numFmt w:val="bullet"/>
      <w:lvlText w:val=""/>
      <w:lvlJc w:val="left"/>
      <w:pPr>
        <w:ind w:left="5400" w:hanging="360"/>
      </w:pPr>
      <w:rPr>
        <w:rFonts w:ascii="Symbol" w:hAnsi="Symbol" w:hint="default"/>
      </w:rPr>
    </w:lvl>
    <w:lvl w:ilvl="7" w:tplc="100C0003">
      <w:start w:val="1"/>
      <w:numFmt w:val="bullet"/>
      <w:lvlText w:val="o"/>
      <w:lvlJc w:val="left"/>
      <w:pPr>
        <w:ind w:left="6120" w:hanging="360"/>
      </w:pPr>
      <w:rPr>
        <w:rFonts w:ascii="Courier New" w:hAnsi="Courier New" w:cs="Courier New" w:hint="default"/>
      </w:rPr>
    </w:lvl>
    <w:lvl w:ilvl="8" w:tplc="100C0005">
      <w:start w:val="1"/>
      <w:numFmt w:val="bullet"/>
      <w:lvlText w:val=""/>
      <w:lvlJc w:val="left"/>
      <w:pPr>
        <w:ind w:left="6840" w:hanging="360"/>
      </w:pPr>
      <w:rPr>
        <w:rFonts w:ascii="Wingdings" w:hAnsi="Wingdings" w:hint="default"/>
      </w:rPr>
    </w:lvl>
  </w:abstractNum>
  <w:abstractNum w:abstractNumId="12">
    <w:nsid w:val="1FC459E0"/>
    <w:multiLevelType w:val="hybridMultilevel"/>
    <w:tmpl w:val="7E2252B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nsid w:val="24964252"/>
    <w:multiLevelType w:val="hybridMultilevel"/>
    <w:tmpl w:val="005E5F60"/>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14">
    <w:nsid w:val="2694472E"/>
    <w:multiLevelType w:val="hybridMultilevel"/>
    <w:tmpl w:val="0634315C"/>
    <w:lvl w:ilvl="0" w:tplc="0652BE14">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99E51C7"/>
    <w:multiLevelType w:val="hybridMultilevel"/>
    <w:tmpl w:val="018A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F27558"/>
    <w:multiLevelType w:val="hybridMultilevel"/>
    <w:tmpl w:val="0126705E"/>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7">
    <w:nsid w:val="2B65031F"/>
    <w:multiLevelType w:val="hybridMultilevel"/>
    <w:tmpl w:val="C0C4B916"/>
    <w:lvl w:ilvl="0" w:tplc="0AC0D7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771240"/>
    <w:multiLevelType w:val="hybridMultilevel"/>
    <w:tmpl w:val="D888526E"/>
    <w:lvl w:ilvl="0" w:tplc="100C0001">
      <w:start w:val="1"/>
      <w:numFmt w:val="bulle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start w:val="1"/>
      <w:numFmt w:val="bullet"/>
      <w:lvlText w:val=""/>
      <w:lvlJc w:val="left"/>
      <w:pPr>
        <w:ind w:left="3240" w:hanging="360"/>
      </w:pPr>
      <w:rPr>
        <w:rFonts w:ascii="Symbol" w:hAnsi="Symbol" w:hint="default"/>
      </w:rPr>
    </w:lvl>
    <w:lvl w:ilvl="4" w:tplc="100C0003">
      <w:start w:val="1"/>
      <w:numFmt w:val="bullet"/>
      <w:lvlText w:val="o"/>
      <w:lvlJc w:val="left"/>
      <w:pPr>
        <w:ind w:left="3960" w:hanging="360"/>
      </w:pPr>
      <w:rPr>
        <w:rFonts w:ascii="Courier New" w:hAnsi="Courier New" w:cs="Courier New" w:hint="default"/>
      </w:rPr>
    </w:lvl>
    <w:lvl w:ilvl="5" w:tplc="100C0005">
      <w:start w:val="1"/>
      <w:numFmt w:val="bullet"/>
      <w:lvlText w:val=""/>
      <w:lvlJc w:val="left"/>
      <w:pPr>
        <w:ind w:left="4680" w:hanging="360"/>
      </w:pPr>
      <w:rPr>
        <w:rFonts w:ascii="Wingdings" w:hAnsi="Wingdings" w:hint="default"/>
      </w:rPr>
    </w:lvl>
    <w:lvl w:ilvl="6" w:tplc="100C0001">
      <w:start w:val="1"/>
      <w:numFmt w:val="bullet"/>
      <w:lvlText w:val=""/>
      <w:lvlJc w:val="left"/>
      <w:pPr>
        <w:ind w:left="5400" w:hanging="360"/>
      </w:pPr>
      <w:rPr>
        <w:rFonts w:ascii="Symbol" w:hAnsi="Symbol" w:hint="default"/>
      </w:rPr>
    </w:lvl>
    <w:lvl w:ilvl="7" w:tplc="100C0003">
      <w:start w:val="1"/>
      <w:numFmt w:val="bullet"/>
      <w:lvlText w:val="o"/>
      <w:lvlJc w:val="left"/>
      <w:pPr>
        <w:ind w:left="6120" w:hanging="360"/>
      </w:pPr>
      <w:rPr>
        <w:rFonts w:ascii="Courier New" w:hAnsi="Courier New" w:cs="Courier New" w:hint="default"/>
      </w:rPr>
    </w:lvl>
    <w:lvl w:ilvl="8" w:tplc="100C0005">
      <w:start w:val="1"/>
      <w:numFmt w:val="bullet"/>
      <w:lvlText w:val=""/>
      <w:lvlJc w:val="left"/>
      <w:pPr>
        <w:ind w:left="6840" w:hanging="360"/>
      </w:pPr>
      <w:rPr>
        <w:rFonts w:ascii="Wingdings" w:hAnsi="Wingdings" w:hint="default"/>
      </w:rPr>
    </w:lvl>
  </w:abstractNum>
  <w:abstractNum w:abstractNumId="19">
    <w:nsid w:val="30572C55"/>
    <w:multiLevelType w:val="hybridMultilevel"/>
    <w:tmpl w:val="E88021A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nsid w:val="32C601AF"/>
    <w:multiLevelType w:val="hybridMultilevel"/>
    <w:tmpl w:val="8A94C8C4"/>
    <w:lvl w:ilvl="0" w:tplc="300A0001">
      <w:start w:val="1"/>
      <w:numFmt w:val="bullet"/>
      <w:lvlText w:val=""/>
      <w:lvlJc w:val="left"/>
      <w:pPr>
        <w:ind w:left="720" w:hanging="360"/>
      </w:pPr>
      <w:rPr>
        <w:rFonts w:ascii="Symbol" w:hAnsi="Symbol" w:hint="default"/>
      </w:rPr>
    </w:lvl>
    <w:lvl w:ilvl="1" w:tplc="300A0003">
      <w:start w:val="1"/>
      <w:numFmt w:val="decimal"/>
      <w:lvlText w:val="%2."/>
      <w:lvlJc w:val="left"/>
      <w:pPr>
        <w:tabs>
          <w:tab w:val="num" w:pos="1440"/>
        </w:tabs>
        <w:ind w:left="1440" w:hanging="360"/>
      </w:pPr>
    </w:lvl>
    <w:lvl w:ilvl="2" w:tplc="300A0005">
      <w:start w:val="1"/>
      <w:numFmt w:val="decimal"/>
      <w:lvlText w:val="%3."/>
      <w:lvlJc w:val="left"/>
      <w:pPr>
        <w:tabs>
          <w:tab w:val="num" w:pos="2160"/>
        </w:tabs>
        <w:ind w:left="2160" w:hanging="360"/>
      </w:pPr>
    </w:lvl>
    <w:lvl w:ilvl="3" w:tplc="300A0001">
      <w:start w:val="1"/>
      <w:numFmt w:val="decimal"/>
      <w:lvlText w:val="%4."/>
      <w:lvlJc w:val="left"/>
      <w:pPr>
        <w:tabs>
          <w:tab w:val="num" w:pos="2880"/>
        </w:tabs>
        <w:ind w:left="2880" w:hanging="360"/>
      </w:pPr>
    </w:lvl>
    <w:lvl w:ilvl="4" w:tplc="300A0003">
      <w:start w:val="1"/>
      <w:numFmt w:val="decimal"/>
      <w:lvlText w:val="%5."/>
      <w:lvlJc w:val="left"/>
      <w:pPr>
        <w:tabs>
          <w:tab w:val="num" w:pos="3600"/>
        </w:tabs>
        <w:ind w:left="3600" w:hanging="360"/>
      </w:pPr>
    </w:lvl>
    <w:lvl w:ilvl="5" w:tplc="300A0005">
      <w:start w:val="1"/>
      <w:numFmt w:val="decimal"/>
      <w:lvlText w:val="%6."/>
      <w:lvlJc w:val="left"/>
      <w:pPr>
        <w:tabs>
          <w:tab w:val="num" w:pos="4320"/>
        </w:tabs>
        <w:ind w:left="4320" w:hanging="360"/>
      </w:pPr>
    </w:lvl>
    <w:lvl w:ilvl="6" w:tplc="300A0001">
      <w:start w:val="1"/>
      <w:numFmt w:val="decimal"/>
      <w:lvlText w:val="%7."/>
      <w:lvlJc w:val="left"/>
      <w:pPr>
        <w:tabs>
          <w:tab w:val="num" w:pos="5040"/>
        </w:tabs>
        <w:ind w:left="5040" w:hanging="360"/>
      </w:pPr>
    </w:lvl>
    <w:lvl w:ilvl="7" w:tplc="300A0003">
      <w:start w:val="1"/>
      <w:numFmt w:val="decimal"/>
      <w:lvlText w:val="%8."/>
      <w:lvlJc w:val="left"/>
      <w:pPr>
        <w:tabs>
          <w:tab w:val="num" w:pos="5760"/>
        </w:tabs>
        <w:ind w:left="5760" w:hanging="360"/>
      </w:pPr>
    </w:lvl>
    <w:lvl w:ilvl="8" w:tplc="300A0005">
      <w:start w:val="1"/>
      <w:numFmt w:val="decimal"/>
      <w:lvlText w:val="%9."/>
      <w:lvlJc w:val="left"/>
      <w:pPr>
        <w:tabs>
          <w:tab w:val="num" w:pos="6480"/>
        </w:tabs>
        <w:ind w:left="6480" w:hanging="360"/>
      </w:pPr>
    </w:lvl>
  </w:abstractNum>
  <w:abstractNum w:abstractNumId="21">
    <w:nsid w:val="35F24638"/>
    <w:multiLevelType w:val="multilevel"/>
    <w:tmpl w:val="1E1A0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E9A607D"/>
    <w:multiLevelType w:val="hybridMultilevel"/>
    <w:tmpl w:val="7B24B504"/>
    <w:lvl w:ilvl="0" w:tplc="04090001">
      <w:start w:val="1"/>
      <w:numFmt w:val="bullet"/>
      <w:lvlText w:val=""/>
      <w:lvlJc w:val="left"/>
      <w:pPr>
        <w:ind w:left="778" w:hanging="360"/>
      </w:pPr>
      <w:rPr>
        <w:rFonts w:ascii="Symbol" w:hAnsi="Symbol" w:hint="default"/>
      </w:rPr>
    </w:lvl>
    <w:lvl w:ilvl="1" w:tplc="D5827808">
      <w:numFmt w:val="bullet"/>
      <w:lvlText w:val="-"/>
      <w:lvlJc w:val="left"/>
      <w:pPr>
        <w:ind w:left="1498" w:hanging="360"/>
      </w:pPr>
      <w:rPr>
        <w:rFonts w:ascii="Calibri" w:eastAsiaTheme="minorHAnsi" w:hAnsi="Calibri" w:cstheme="minorBidi"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nsid w:val="403B61B1"/>
    <w:multiLevelType w:val="multilevel"/>
    <w:tmpl w:val="2ABA7CD4"/>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40D61178"/>
    <w:multiLevelType w:val="hybridMultilevel"/>
    <w:tmpl w:val="A0EE33A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5">
    <w:nsid w:val="42BF6A7F"/>
    <w:multiLevelType w:val="multilevel"/>
    <w:tmpl w:val="B9904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88E30BC"/>
    <w:multiLevelType w:val="hybridMultilevel"/>
    <w:tmpl w:val="B748B2B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nsid w:val="546607CE"/>
    <w:multiLevelType w:val="hybridMultilevel"/>
    <w:tmpl w:val="44E46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83112F"/>
    <w:multiLevelType w:val="hybridMultilevel"/>
    <w:tmpl w:val="E022121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9">
    <w:nsid w:val="5A1F21F5"/>
    <w:multiLevelType w:val="hybridMultilevel"/>
    <w:tmpl w:val="BC885D60"/>
    <w:lvl w:ilvl="0" w:tplc="0AC0D7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664223"/>
    <w:multiLevelType w:val="multilevel"/>
    <w:tmpl w:val="FD44DD5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5A8B56F4"/>
    <w:multiLevelType w:val="hybridMultilevel"/>
    <w:tmpl w:val="2746F4FA"/>
    <w:lvl w:ilvl="0" w:tplc="100C0001">
      <w:start w:val="1"/>
      <w:numFmt w:val="bulle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start w:val="1"/>
      <w:numFmt w:val="bullet"/>
      <w:lvlText w:val=""/>
      <w:lvlJc w:val="left"/>
      <w:pPr>
        <w:ind w:left="3240" w:hanging="360"/>
      </w:pPr>
      <w:rPr>
        <w:rFonts w:ascii="Symbol" w:hAnsi="Symbol" w:hint="default"/>
      </w:rPr>
    </w:lvl>
    <w:lvl w:ilvl="4" w:tplc="100C0003">
      <w:start w:val="1"/>
      <w:numFmt w:val="bullet"/>
      <w:lvlText w:val="o"/>
      <w:lvlJc w:val="left"/>
      <w:pPr>
        <w:ind w:left="3960" w:hanging="360"/>
      </w:pPr>
      <w:rPr>
        <w:rFonts w:ascii="Courier New" w:hAnsi="Courier New" w:cs="Courier New" w:hint="default"/>
      </w:rPr>
    </w:lvl>
    <w:lvl w:ilvl="5" w:tplc="100C0005">
      <w:start w:val="1"/>
      <w:numFmt w:val="bullet"/>
      <w:lvlText w:val=""/>
      <w:lvlJc w:val="left"/>
      <w:pPr>
        <w:ind w:left="4680" w:hanging="360"/>
      </w:pPr>
      <w:rPr>
        <w:rFonts w:ascii="Wingdings" w:hAnsi="Wingdings" w:hint="default"/>
      </w:rPr>
    </w:lvl>
    <w:lvl w:ilvl="6" w:tplc="100C0001">
      <w:start w:val="1"/>
      <w:numFmt w:val="bullet"/>
      <w:lvlText w:val=""/>
      <w:lvlJc w:val="left"/>
      <w:pPr>
        <w:ind w:left="5400" w:hanging="360"/>
      </w:pPr>
      <w:rPr>
        <w:rFonts w:ascii="Symbol" w:hAnsi="Symbol" w:hint="default"/>
      </w:rPr>
    </w:lvl>
    <w:lvl w:ilvl="7" w:tplc="100C0003">
      <w:start w:val="1"/>
      <w:numFmt w:val="bullet"/>
      <w:lvlText w:val="o"/>
      <w:lvlJc w:val="left"/>
      <w:pPr>
        <w:ind w:left="6120" w:hanging="360"/>
      </w:pPr>
      <w:rPr>
        <w:rFonts w:ascii="Courier New" w:hAnsi="Courier New" w:cs="Courier New" w:hint="default"/>
      </w:rPr>
    </w:lvl>
    <w:lvl w:ilvl="8" w:tplc="100C0005">
      <w:start w:val="1"/>
      <w:numFmt w:val="bullet"/>
      <w:lvlText w:val=""/>
      <w:lvlJc w:val="left"/>
      <w:pPr>
        <w:ind w:left="6840" w:hanging="360"/>
      </w:pPr>
      <w:rPr>
        <w:rFonts w:ascii="Wingdings" w:hAnsi="Wingdings" w:hint="default"/>
      </w:rPr>
    </w:lvl>
  </w:abstractNum>
  <w:abstractNum w:abstractNumId="32">
    <w:nsid w:val="5EC86258"/>
    <w:multiLevelType w:val="hybridMultilevel"/>
    <w:tmpl w:val="DDEC253E"/>
    <w:lvl w:ilvl="0" w:tplc="82BE5928">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FEF2869"/>
    <w:multiLevelType w:val="hybridMultilevel"/>
    <w:tmpl w:val="03F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E024A0"/>
    <w:multiLevelType w:val="hybridMultilevel"/>
    <w:tmpl w:val="A8402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EB266E"/>
    <w:multiLevelType w:val="hybridMultilevel"/>
    <w:tmpl w:val="FD18090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nsid w:val="6A452102"/>
    <w:multiLevelType w:val="hybridMultilevel"/>
    <w:tmpl w:val="29D067F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nsid w:val="6CA710CA"/>
    <w:multiLevelType w:val="hybridMultilevel"/>
    <w:tmpl w:val="F3EAD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9105D8"/>
    <w:multiLevelType w:val="hybridMultilevel"/>
    <w:tmpl w:val="A76E93DE"/>
    <w:lvl w:ilvl="0" w:tplc="21C4DAC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3228C5"/>
    <w:multiLevelType w:val="multilevel"/>
    <w:tmpl w:val="7504B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4744639"/>
    <w:multiLevelType w:val="hybridMultilevel"/>
    <w:tmpl w:val="865AB0E4"/>
    <w:lvl w:ilvl="0" w:tplc="08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5F1029B"/>
    <w:multiLevelType w:val="multilevel"/>
    <w:tmpl w:val="4CC47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6CD73A5"/>
    <w:multiLevelType w:val="multilevel"/>
    <w:tmpl w:val="C8F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DF6079A"/>
    <w:multiLevelType w:val="hybridMultilevel"/>
    <w:tmpl w:val="E63E8C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10"/>
  </w:num>
  <w:num w:numId="4">
    <w:abstractNumId w:val="27"/>
  </w:num>
  <w:num w:numId="5">
    <w:abstractNumId w:val="34"/>
  </w:num>
  <w:num w:numId="6">
    <w:abstractNumId w:val="21"/>
  </w:num>
  <w:num w:numId="7">
    <w:abstractNumId w:val="42"/>
  </w:num>
  <w:num w:numId="8">
    <w:abstractNumId w:val="41"/>
  </w:num>
  <w:num w:numId="9">
    <w:abstractNumId w:val="39"/>
  </w:num>
  <w:num w:numId="10">
    <w:abstractNumId w:val="25"/>
  </w:num>
  <w:num w:numId="11">
    <w:abstractNumId w:val="7"/>
  </w:num>
  <w:num w:numId="12">
    <w:abstractNumId w:val="17"/>
  </w:num>
  <w:num w:numId="13">
    <w:abstractNumId w:val="29"/>
  </w:num>
  <w:num w:numId="14">
    <w:abstractNumId w:val="5"/>
  </w:num>
  <w:num w:numId="15">
    <w:abstractNumId w:val="30"/>
  </w:num>
  <w:num w:numId="16">
    <w:abstractNumId w:val="2"/>
  </w:num>
  <w:num w:numId="17">
    <w:abstractNumId w:val="38"/>
  </w:num>
  <w:num w:numId="18">
    <w:abstractNumId w:val="14"/>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43"/>
  </w:num>
  <w:num w:numId="25">
    <w:abstractNumId w:val="23"/>
  </w:num>
  <w:num w:numId="26">
    <w:abstractNumId w:val="37"/>
  </w:num>
  <w:num w:numId="27">
    <w:abstractNumId w:val="11"/>
  </w:num>
  <w:num w:numId="28">
    <w:abstractNumId w:val="18"/>
  </w:num>
  <w:num w:numId="29">
    <w:abstractNumId w:val="0"/>
  </w:num>
  <w:num w:numId="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40"/>
  </w:num>
  <w:num w:numId="33">
    <w:abstractNumId w:val="15"/>
  </w:num>
  <w:num w:numId="34">
    <w:abstractNumId w:val="33"/>
  </w:num>
  <w:num w:numId="35">
    <w:abstractNumId w:val="24"/>
  </w:num>
  <w:num w:numId="36">
    <w:abstractNumId w:val="31"/>
  </w:num>
  <w:num w:numId="37">
    <w:abstractNumId w:val="16"/>
  </w:num>
  <w:num w:numId="38">
    <w:abstractNumId w:val="13"/>
  </w:num>
  <w:num w:numId="39">
    <w:abstractNumId w:val="26"/>
  </w:num>
  <w:num w:numId="40">
    <w:abstractNumId w:val="35"/>
  </w:num>
  <w:num w:numId="41">
    <w:abstractNumId w:val="36"/>
  </w:num>
  <w:num w:numId="42">
    <w:abstractNumId w:val="12"/>
  </w:num>
  <w:num w:numId="43">
    <w:abstractNumId w:val="19"/>
  </w:num>
  <w:num w:numId="44">
    <w:abstractNumId w:val="8"/>
  </w:num>
  <w:num w:numId="45">
    <w:abstractNumId w:val="22"/>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B3"/>
    <w:rsid w:val="0003501D"/>
    <w:rsid w:val="00045B60"/>
    <w:rsid w:val="00082578"/>
    <w:rsid w:val="00092360"/>
    <w:rsid w:val="000B000F"/>
    <w:rsid w:val="000E2790"/>
    <w:rsid w:val="000E35BD"/>
    <w:rsid w:val="00133140"/>
    <w:rsid w:val="0016075C"/>
    <w:rsid w:val="001779C8"/>
    <w:rsid w:val="001E0C20"/>
    <w:rsid w:val="001F5C47"/>
    <w:rsid w:val="001F6FCE"/>
    <w:rsid w:val="00217826"/>
    <w:rsid w:val="00227141"/>
    <w:rsid w:val="002424CB"/>
    <w:rsid w:val="00246141"/>
    <w:rsid w:val="00263675"/>
    <w:rsid w:val="002774D0"/>
    <w:rsid w:val="002C5FF0"/>
    <w:rsid w:val="002D6898"/>
    <w:rsid w:val="002E3A96"/>
    <w:rsid w:val="0033505F"/>
    <w:rsid w:val="00341F61"/>
    <w:rsid w:val="0038121A"/>
    <w:rsid w:val="003E3B7D"/>
    <w:rsid w:val="0044636F"/>
    <w:rsid w:val="00450611"/>
    <w:rsid w:val="00471AF1"/>
    <w:rsid w:val="004846B9"/>
    <w:rsid w:val="004A57E3"/>
    <w:rsid w:val="004B7CF8"/>
    <w:rsid w:val="004D54CF"/>
    <w:rsid w:val="005508EF"/>
    <w:rsid w:val="0055593D"/>
    <w:rsid w:val="005958F8"/>
    <w:rsid w:val="00596E56"/>
    <w:rsid w:val="005A28B6"/>
    <w:rsid w:val="005A7EBD"/>
    <w:rsid w:val="005D7104"/>
    <w:rsid w:val="00635A01"/>
    <w:rsid w:val="00645282"/>
    <w:rsid w:val="00690603"/>
    <w:rsid w:val="00697E50"/>
    <w:rsid w:val="006D0CF1"/>
    <w:rsid w:val="00746887"/>
    <w:rsid w:val="00794834"/>
    <w:rsid w:val="007C3032"/>
    <w:rsid w:val="007F5EEC"/>
    <w:rsid w:val="008034F5"/>
    <w:rsid w:val="00805E62"/>
    <w:rsid w:val="0082001C"/>
    <w:rsid w:val="008263A5"/>
    <w:rsid w:val="00827438"/>
    <w:rsid w:val="008A79E5"/>
    <w:rsid w:val="008C30F9"/>
    <w:rsid w:val="008D591A"/>
    <w:rsid w:val="008E29B3"/>
    <w:rsid w:val="008F2386"/>
    <w:rsid w:val="00915A7A"/>
    <w:rsid w:val="00927E32"/>
    <w:rsid w:val="0094441C"/>
    <w:rsid w:val="00971230"/>
    <w:rsid w:val="009D68DF"/>
    <w:rsid w:val="009E631F"/>
    <w:rsid w:val="009E70FB"/>
    <w:rsid w:val="00A17A7F"/>
    <w:rsid w:val="00A257DF"/>
    <w:rsid w:val="00A32BCD"/>
    <w:rsid w:val="00A62B31"/>
    <w:rsid w:val="00AE542A"/>
    <w:rsid w:val="00B006FD"/>
    <w:rsid w:val="00B25832"/>
    <w:rsid w:val="00B71921"/>
    <w:rsid w:val="00B93C6E"/>
    <w:rsid w:val="00BC10EE"/>
    <w:rsid w:val="00C70983"/>
    <w:rsid w:val="00CD017C"/>
    <w:rsid w:val="00CE2DB3"/>
    <w:rsid w:val="00CE640D"/>
    <w:rsid w:val="00CF744B"/>
    <w:rsid w:val="00D44135"/>
    <w:rsid w:val="00D90826"/>
    <w:rsid w:val="00D9539D"/>
    <w:rsid w:val="00D96686"/>
    <w:rsid w:val="00DB292F"/>
    <w:rsid w:val="00DC1427"/>
    <w:rsid w:val="00DE0535"/>
    <w:rsid w:val="00DE07D6"/>
    <w:rsid w:val="00DE330B"/>
    <w:rsid w:val="00DF3213"/>
    <w:rsid w:val="00DF3837"/>
    <w:rsid w:val="00E0052B"/>
    <w:rsid w:val="00E022EB"/>
    <w:rsid w:val="00E12259"/>
    <w:rsid w:val="00E27E89"/>
    <w:rsid w:val="00E513AF"/>
    <w:rsid w:val="00E75E25"/>
    <w:rsid w:val="00ED24AA"/>
    <w:rsid w:val="00F01AF3"/>
    <w:rsid w:val="00F01CEC"/>
    <w:rsid w:val="00F26F35"/>
    <w:rsid w:val="00F362F8"/>
    <w:rsid w:val="00F61834"/>
    <w:rsid w:val="00F76636"/>
    <w:rsid w:val="00FA52B6"/>
    <w:rsid w:val="00FB5214"/>
    <w:rsid w:val="00FC2C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DB3"/>
    <w:pPr>
      <w:ind w:left="720"/>
      <w:contextualSpacing/>
    </w:pPr>
  </w:style>
  <w:style w:type="paragraph" w:styleId="Subtitle">
    <w:name w:val="Subtitle"/>
    <w:basedOn w:val="Normal"/>
    <w:next w:val="Normal"/>
    <w:link w:val="SubtitleChar"/>
    <w:uiPriority w:val="11"/>
    <w:qFormat/>
    <w:rsid w:val="00CE2D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2DB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CE2DB3"/>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D90826"/>
    <w:rPr>
      <w:b/>
      <w:bCs/>
      <w:i/>
      <w:iCs/>
      <w:color w:val="4F81BD" w:themeColor="accent1"/>
    </w:rPr>
  </w:style>
  <w:style w:type="paragraph" w:styleId="NoSpacing">
    <w:name w:val="No Spacing"/>
    <w:link w:val="NoSpacingChar"/>
    <w:uiPriority w:val="1"/>
    <w:qFormat/>
    <w:rsid w:val="00471AF1"/>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471AF1"/>
    <w:rPr>
      <w:rFonts w:eastAsiaTheme="minorEastAsia"/>
      <w:lang w:eastAsia="en-GB"/>
    </w:rPr>
  </w:style>
  <w:style w:type="paragraph" w:styleId="BalloonText">
    <w:name w:val="Balloon Text"/>
    <w:basedOn w:val="Normal"/>
    <w:link w:val="BalloonTextChar"/>
    <w:uiPriority w:val="99"/>
    <w:semiHidden/>
    <w:unhideWhenUsed/>
    <w:rsid w:val="00471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F1"/>
    <w:rPr>
      <w:rFonts w:ascii="Tahoma" w:hAnsi="Tahoma" w:cs="Tahoma"/>
      <w:sz w:val="16"/>
      <w:szCs w:val="16"/>
    </w:rPr>
  </w:style>
  <w:style w:type="character" w:styleId="CommentReference">
    <w:name w:val="annotation reference"/>
    <w:basedOn w:val="DefaultParagraphFont"/>
    <w:uiPriority w:val="99"/>
    <w:semiHidden/>
    <w:unhideWhenUsed/>
    <w:rsid w:val="00A257DF"/>
    <w:rPr>
      <w:sz w:val="16"/>
      <w:szCs w:val="16"/>
    </w:rPr>
  </w:style>
  <w:style w:type="paragraph" w:styleId="CommentText">
    <w:name w:val="annotation text"/>
    <w:basedOn w:val="Normal"/>
    <w:link w:val="CommentTextChar"/>
    <w:uiPriority w:val="99"/>
    <w:semiHidden/>
    <w:unhideWhenUsed/>
    <w:rsid w:val="00A257DF"/>
    <w:pPr>
      <w:spacing w:line="240" w:lineRule="auto"/>
    </w:pPr>
    <w:rPr>
      <w:sz w:val="20"/>
      <w:szCs w:val="20"/>
    </w:rPr>
  </w:style>
  <w:style w:type="character" w:customStyle="1" w:styleId="CommentTextChar">
    <w:name w:val="Comment Text Char"/>
    <w:basedOn w:val="DefaultParagraphFont"/>
    <w:link w:val="CommentText"/>
    <w:uiPriority w:val="99"/>
    <w:semiHidden/>
    <w:rsid w:val="00A257DF"/>
    <w:rPr>
      <w:sz w:val="20"/>
      <w:szCs w:val="20"/>
    </w:rPr>
  </w:style>
  <w:style w:type="paragraph" w:styleId="CommentSubject">
    <w:name w:val="annotation subject"/>
    <w:basedOn w:val="CommentText"/>
    <w:next w:val="CommentText"/>
    <w:link w:val="CommentSubjectChar"/>
    <w:uiPriority w:val="99"/>
    <w:semiHidden/>
    <w:unhideWhenUsed/>
    <w:rsid w:val="00A257DF"/>
    <w:rPr>
      <w:b/>
      <w:bCs/>
    </w:rPr>
  </w:style>
  <w:style w:type="character" w:customStyle="1" w:styleId="CommentSubjectChar">
    <w:name w:val="Comment Subject Char"/>
    <w:basedOn w:val="CommentTextChar"/>
    <w:link w:val="CommentSubject"/>
    <w:uiPriority w:val="99"/>
    <w:semiHidden/>
    <w:rsid w:val="00A257DF"/>
    <w:rPr>
      <w:b/>
      <w:bCs/>
      <w:sz w:val="20"/>
      <w:szCs w:val="20"/>
    </w:rPr>
  </w:style>
  <w:style w:type="character" w:styleId="SubtleEmphasis">
    <w:name w:val="Subtle Emphasis"/>
    <w:basedOn w:val="DefaultParagraphFont"/>
    <w:uiPriority w:val="19"/>
    <w:qFormat/>
    <w:rsid w:val="001F5C47"/>
    <w:rPr>
      <w:i/>
      <w:iCs/>
      <w:color w:val="808080" w:themeColor="text1" w:themeTint="7F"/>
    </w:rPr>
  </w:style>
  <w:style w:type="character" w:styleId="Hyperlink">
    <w:name w:val="Hyperlink"/>
    <w:basedOn w:val="DefaultParagraphFont"/>
    <w:uiPriority w:val="99"/>
    <w:unhideWhenUsed/>
    <w:rsid w:val="005A28B6"/>
    <w:rPr>
      <w:color w:val="0000FF" w:themeColor="hyperlink"/>
      <w:u w:val="single"/>
    </w:rPr>
  </w:style>
  <w:style w:type="paragraph" w:styleId="FootnoteText">
    <w:name w:val="footnote text"/>
    <w:basedOn w:val="Normal"/>
    <w:link w:val="FootnoteTextChar"/>
    <w:uiPriority w:val="99"/>
    <w:semiHidden/>
    <w:unhideWhenUsed/>
    <w:rsid w:val="003812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21A"/>
    <w:rPr>
      <w:sz w:val="20"/>
      <w:szCs w:val="20"/>
    </w:rPr>
  </w:style>
  <w:style w:type="character" w:styleId="FootnoteReference">
    <w:name w:val="footnote reference"/>
    <w:basedOn w:val="DefaultParagraphFont"/>
    <w:uiPriority w:val="99"/>
    <w:semiHidden/>
    <w:unhideWhenUsed/>
    <w:rsid w:val="0038121A"/>
    <w:rPr>
      <w:vertAlign w:val="superscript"/>
    </w:rPr>
  </w:style>
  <w:style w:type="paragraph" w:customStyle="1" w:styleId="Default">
    <w:name w:val="Default"/>
    <w:rsid w:val="00092360"/>
    <w:pPr>
      <w:autoSpaceDE w:val="0"/>
      <w:autoSpaceDN w:val="0"/>
      <w:adjustRightInd w:val="0"/>
      <w:spacing w:after="0" w:line="240" w:lineRule="auto"/>
    </w:pPr>
    <w:rPr>
      <w:rFonts w:ascii="Calibri" w:hAnsi="Calibri" w:cs="Calibri"/>
      <w:color w:val="000000"/>
      <w:sz w:val="24"/>
      <w:szCs w:val="24"/>
    </w:rPr>
  </w:style>
  <w:style w:type="paragraph" w:customStyle="1" w:styleId="NoteLevel1">
    <w:name w:val="Note Level 1"/>
    <w:basedOn w:val="Normal"/>
    <w:uiPriority w:val="99"/>
    <w:rsid w:val="00A32BCD"/>
    <w:pPr>
      <w:keepNext/>
      <w:numPr>
        <w:numId w:val="29"/>
      </w:numPr>
      <w:spacing w:after="0" w:line="240" w:lineRule="auto"/>
    </w:pPr>
    <w:rPr>
      <w:rFonts w:ascii="Verdana" w:hAnsi="Verdana" w:cs="Times New Roman"/>
      <w:sz w:val="24"/>
      <w:szCs w:val="24"/>
      <w:lang w:eastAsia="en-GB"/>
    </w:rPr>
  </w:style>
  <w:style w:type="paragraph" w:customStyle="1" w:styleId="NoteLevel2">
    <w:name w:val="Note Level 2"/>
    <w:basedOn w:val="Normal"/>
    <w:uiPriority w:val="99"/>
    <w:rsid w:val="00A32BCD"/>
    <w:pPr>
      <w:keepNext/>
      <w:numPr>
        <w:ilvl w:val="1"/>
        <w:numId w:val="29"/>
      </w:numPr>
      <w:spacing w:after="0" w:line="240" w:lineRule="auto"/>
    </w:pPr>
    <w:rPr>
      <w:rFonts w:ascii="Verdana" w:hAnsi="Verdana" w:cs="Times New Roman"/>
      <w:sz w:val="24"/>
      <w:szCs w:val="24"/>
      <w:lang w:eastAsia="en-GB"/>
    </w:rPr>
  </w:style>
  <w:style w:type="paragraph" w:customStyle="1" w:styleId="NoteLevel3">
    <w:name w:val="Note Level 3"/>
    <w:basedOn w:val="Normal"/>
    <w:uiPriority w:val="99"/>
    <w:rsid w:val="00A32BCD"/>
    <w:pPr>
      <w:keepNext/>
      <w:numPr>
        <w:ilvl w:val="2"/>
        <w:numId w:val="29"/>
      </w:numPr>
      <w:spacing w:after="0" w:line="240" w:lineRule="auto"/>
    </w:pPr>
    <w:rPr>
      <w:rFonts w:ascii="Verdana" w:hAnsi="Verdana" w:cs="Times New Roman"/>
      <w:sz w:val="24"/>
      <w:szCs w:val="24"/>
      <w:lang w:eastAsia="en-GB"/>
    </w:rPr>
  </w:style>
  <w:style w:type="paragraph" w:customStyle="1" w:styleId="NoteLevel4">
    <w:name w:val="Note Level 4"/>
    <w:basedOn w:val="Normal"/>
    <w:uiPriority w:val="99"/>
    <w:rsid w:val="00A32BCD"/>
    <w:pPr>
      <w:keepNext/>
      <w:numPr>
        <w:ilvl w:val="3"/>
        <w:numId w:val="29"/>
      </w:numPr>
      <w:spacing w:after="0" w:line="240" w:lineRule="auto"/>
    </w:pPr>
    <w:rPr>
      <w:rFonts w:ascii="Verdana" w:hAnsi="Verdana" w:cs="Times New Roman"/>
      <w:sz w:val="24"/>
      <w:szCs w:val="24"/>
      <w:lang w:eastAsia="en-GB"/>
    </w:rPr>
  </w:style>
  <w:style w:type="paragraph" w:customStyle="1" w:styleId="NoteLevel5">
    <w:name w:val="Note Level 5"/>
    <w:basedOn w:val="Normal"/>
    <w:uiPriority w:val="99"/>
    <w:rsid w:val="00A32BCD"/>
    <w:pPr>
      <w:keepNext/>
      <w:numPr>
        <w:ilvl w:val="4"/>
        <w:numId w:val="29"/>
      </w:numPr>
      <w:spacing w:after="0" w:line="240" w:lineRule="auto"/>
    </w:pPr>
    <w:rPr>
      <w:rFonts w:ascii="Verdana" w:hAnsi="Verdana" w:cs="Times New Roman"/>
      <w:sz w:val="24"/>
      <w:szCs w:val="24"/>
      <w:lang w:eastAsia="en-GB"/>
    </w:rPr>
  </w:style>
  <w:style w:type="paragraph" w:customStyle="1" w:styleId="NoteLevel6">
    <w:name w:val="Note Level 6"/>
    <w:basedOn w:val="Normal"/>
    <w:uiPriority w:val="99"/>
    <w:rsid w:val="00A32BCD"/>
    <w:pPr>
      <w:keepNext/>
      <w:numPr>
        <w:ilvl w:val="5"/>
        <w:numId w:val="29"/>
      </w:numPr>
      <w:spacing w:after="0" w:line="240" w:lineRule="auto"/>
    </w:pPr>
    <w:rPr>
      <w:rFonts w:ascii="Verdana" w:hAnsi="Verdana" w:cs="Times New Roman"/>
      <w:sz w:val="24"/>
      <w:szCs w:val="24"/>
      <w:lang w:eastAsia="en-GB"/>
    </w:rPr>
  </w:style>
  <w:style w:type="paragraph" w:customStyle="1" w:styleId="NoteLevel7">
    <w:name w:val="Note Level 7"/>
    <w:basedOn w:val="Normal"/>
    <w:uiPriority w:val="99"/>
    <w:rsid w:val="00A32BCD"/>
    <w:pPr>
      <w:keepNext/>
      <w:numPr>
        <w:ilvl w:val="6"/>
        <w:numId w:val="29"/>
      </w:numPr>
      <w:spacing w:after="0" w:line="240" w:lineRule="auto"/>
    </w:pPr>
    <w:rPr>
      <w:rFonts w:ascii="Verdana" w:hAnsi="Verdana" w:cs="Times New Roman"/>
      <w:sz w:val="24"/>
      <w:szCs w:val="24"/>
      <w:lang w:eastAsia="en-GB"/>
    </w:rPr>
  </w:style>
  <w:style w:type="paragraph" w:customStyle="1" w:styleId="NoteLevel8">
    <w:name w:val="Note Level 8"/>
    <w:basedOn w:val="Normal"/>
    <w:uiPriority w:val="99"/>
    <w:rsid w:val="00A32BCD"/>
    <w:pPr>
      <w:keepNext/>
      <w:numPr>
        <w:ilvl w:val="7"/>
        <w:numId w:val="29"/>
      </w:numPr>
      <w:spacing w:after="0" w:line="240" w:lineRule="auto"/>
    </w:pPr>
    <w:rPr>
      <w:rFonts w:ascii="Verdana" w:hAnsi="Verdana" w:cs="Times New Roman"/>
      <w:sz w:val="24"/>
      <w:szCs w:val="24"/>
      <w:lang w:eastAsia="en-GB"/>
    </w:rPr>
  </w:style>
  <w:style w:type="paragraph" w:customStyle="1" w:styleId="NoteLevel9">
    <w:name w:val="Note Level 9"/>
    <w:basedOn w:val="Normal"/>
    <w:uiPriority w:val="99"/>
    <w:rsid w:val="00A32BCD"/>
    <w:pPr>
      <w:keepNext/>
      <w:numPr>
        <w:ilvl w:val="8"/>
        <w:numId w:val="29"/>
      </w:numPr>
      <w:spacing w:after="0" w:line="240" w:lineRule="auto"/>
    </w:pPr>
    <w:rPr>
      <w:rFonts w:ascii="Verdana" w:hAnsi="Verdana"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DB3"/>
    <w:pPr>
      <w:ind w:left="720"/>
      <w:contextualSpacing/>
    </w:pPr>
  </w:style>
  <w:style w:type="paragraph" w:styleId="Subtitle">
    <w:name w:val="Subtitle"/>
    <w:basedOn w:val="Normal"/>
    <w:next w:val="Normal"/>
    <w:link w:val="SubtitleChar"/>
    <w:uiPriority w:val="11"/>
    <w:qFormat/>
    <w:rsid w:val="00CE2D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2DB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CE2DB3"/>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D90826"/>
    <w:rPr>
      <w:b/>
      <w:bCs/>
      <w:i/>
      <w:iCs/>
      <w:color w:val="4F81BD" w:themeColor="accent1"/>
    </w:rPr>
  </w:style>
  <w:style w:type="paragraph" w:styleId="NoSpacing">
    <w:name w:val="No Spacing"/>
    <w:link w:val="NoSpacingChar"/>
    <w:uiPriority w:val="1"/>
    <w:qFormat/>
    <w:rsid w:val="00471AF1"/>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471AF1"/>
    <w:rPr>
      <w:rFonts w:eastAsiaTheme="minorEastAsia"/>
      <w:lang w:eastAsia="en-GB"/>
    </w:rPr>
  </w:style>
  <w:style w:type="paragraph" w:styleId="BalloonText">
    <w:name w:val="Balloon Text"/>
    <w:basedOn w:val="Normal"/>
    <w:link w:val="BalloonTextChar"/>
    <w:uiPriority w:val="99"/>
    <w:semiHidden/>
    <w:unhideWhenUsed/>
    <w:rsid w:val="00471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F1"/>
    <w:rPr>
      <w:rFonts w:ascii="Tahoma" w:hAnsi="Tahoma" w:cs="Tahoma"/>
      <w:sz w:val="16"/>
      <w:szCs w:val="16"/>
    </w:rPr>
  </w:style>
  <w:style w:type="character" w:styleId="CommentReference">
    <w:name w:val="annotation reference"/>
    <w:basedOn w:val="DefaultParagraphFont"/>
    <w:uiPriority w:val="99"/>
    <w:semiHidden/>
    <w:unhideWhenUsed/>
    <w:rsid w:val="00A257DF"/>
    <w:rPr>
      <w:sz w:val="16"/>
      <w:szCs w:val="16"/>
    </w:rPr>
  </w:style>
  <w:style w:type="paragraph" w:styleId="CommentText">
    <w:name w:val="annotation text"/>
    <w:basedOn w:val="Normal"/>
    <w:link w:val="CommentTextChar"/>
    <w:uiPriority w:val="99"/>
    <w:semiHidden/>
    <w:unhideWhenUsed/>
    <w:rsid w:val="00A257DF"/>
    <w:pPr>
      <w:spacing w:line="240" w:lineRule="auto"/>
    </w:pPr>
    <w:rPr>
      <w:sz w:val="20"/>
      <w:szCs w:val="20"/>
    </w:rPr>
  </w:style>
  <w:style w:type="character" w:customStyle="1" w:styleId="CommentTextChar">
    <w:name w:val="Comment Text Char"/>
    <w:basedOn w:val="DefaultParagraphFont"/>
    <w:link w:val="CommentText"/>
    <w:uiPriority w:val="99"/>
    <w:semiHidden/>
    <w:rsid w:val="00A257DF"/>
    <w:rPr>
      <w:sz w:val="20"/>
      <w:szCs w:val="20"/>
    </w:rPr>
  </w:style>
  <w:style w:type="paragraph" w:styleId="CommentSubject">
    <w:name w:val="annotation subject"/>
    <w:basedOn w:val="CommentText"/>
    <w:next w:val="CommentText"/>
    <w:link w:val="CommentSubjectChar"/>
    <w:uiPriority w:val="99"/>
    <w:semiHidden/>
    <w:unhideWhenUsed/>
    <w:rsid w:val="00A257DF"/>
    <w:rPr>
      <w:b/>
      <w:bCs/>
    </w:rPr>
  </w:style>
  <w:style w:type="character" w:customStyle="1" w:styleId="CommentSubjectChar">
    <w:name w:val="Comment Subject Char"/>
    <w:basedOn w:val="CommentTextChar"/>
    <w:link w:val="CommentSubject"/>
    <w:uiPriority w:val="99"/>
    <w:semiHidden/>
    <w:rsid w:val="00A257DF"/>
    <w:rPr>
      <w:b/>
      <w:bCs/>
      <w:sz w:val="20"/>
      <w:szCs w:val="20"/>
    </w:rPr>
  </w:style>
  <w:style w:type="character" w:styleId="SubtleEmphasis">
    <w:name w:val="Subtle Emphasis"/>
    <w:basedOn w:val="DefaultParagraphFont"/>
    <w:uiPriority w:val="19"/>
    <w:qFormat/>
    <w:rsid w:val="001F5C47"/>
    <w:rPr>
      <w:i/>
      <w:iCs/>
      <w:color w:val="808080" w:themeColor="text1" w:themeTint="7F"/>
    </w:rPr>
  </w:style>
  <w:style w:type="character" w:styleId="Hyperlink">
    <w:name w:val="Hyperlink"/>
    <w:basedOn w:val="DefaultParagraphFont"/>
    <w:uiPriority w:val="99"/>
    <w:unhideWhenUsed/>
    <w:rsid w:val="005A28B6"/>
    <w:rPr>
      <w:color w:val="0000FF" w:themeColor="hyperlink"/>
      <w:u w:val="single"/>
    </w:rPr>
  </w:style>
  <w:style w:type="paragraph" w:styleId="FootnoteText">
    <w:name w:val="footnote text"/>
    <w:basedOn w:val="Normal"/>
    <w:link w:val="FootnoteTextChar"/>
    <w:uiPriority w:val="99"/>
    <w:semiHidden/>
    <w:unhideWhenUsed/>
    <w:rsid w:val="003812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21A"/>
    <w:rPr>
      <w:sz w:val="20"/>
      <w:szCs w:val="20"/>
    </w:rPr>
  </w:style>
  <w:style w:type="character" w:styleId="FootnoteReference">
    <w:name w:val="footnote reference"/>
    <w:basedOn w:val="DefaultParagraphFont"/>
    <w:uiPriority w:val="99"/>
    <w:semiHidden/>
    <w:unhideWhenUsed/>
    <w:rsid w:val="0038121A"/>
    <w:rPr>
      <w:vertAlign w:val="superscript"/>
    </w:rPr>
  </w:style>
  <w:style w:type="paragraph" w:customStyle="1" w:styleId="Default">
    <w:name w:val="Default"/>
    <w:rsid w:val="00092360"/>
    <w:pPr>
      <w:autoSpaceDE w:val="0"/>
      <w:autoSpaceDN w:val="0"/>
      <w:adjustRightInd w:val="0"/>
      <w:spacing w:after="0" w:line="240" w:lineRule="auto"/>
    </w:pPr>
    <w:rPr>
      <w:rFonts w:ascii="Calibri" w:hAnsi="Calibri" w:cs="Calibri"/>
      <w:color w:val="000000"/>
      <w:sz w:val="24"/>
      <w:szCs w:val="24"/>
    </w:rPr>
  </w:style>
  <w:style w:type="paragraph" w:customStyle="1" w:styleId="NoteLevel1">
    <w:name w:val="Note Level 1"/>
    <w:basedOn w:val="Normal"/>
    <w:uiPriority w:val="99"/>
    <w:rsid w:val="00A32BCD"/>
    <w:pPr>
      <w:keepNext/>
      <w:numPr>
        <w:numId w:val="29"/>
      </w:numPr>
      <w:spacing w:after="0" w:line="240" w:lineRule="auto"/>
    </w:pPr>
    <w:rPr>
      <w:rFonts w:ascii="Verdana" w:hAnsi="Verdana" w:cs="Times New Roman"/>
      <w:sz w:val="24"/>
      <w:szCs w:val="24"/>
      <w:lang w:eastAsia="en-GB"/>
    </w:rPr>
  </w:style>
  <w:style w:type="paragraph" w:customStyle="1" w:styleId="NoteLevel2">
    <w:name w:val="Note Level 2"/>
    <w:basedOn w:val="Normal"/>
    <w:uiPriority w:val="99"/>
    <w:rsid w:val="00A32BCD"/>
    <w:pPr>
      <w:keepNext/>
      <w:numPr>
        <w:ilvl w:val="1"/>
        <w:numId w:val="29"/>
      </w:numPr>
      <w:spacing w:after="0" w:line="240" w:lineRule="auto"/>
    </w:pPr>
    <w:rPr>
      <w:rFonts w:ascii="Verdana" w:hAnsi="Verdana" w:cs="Times New Roman"/>
      <w:sz w:val="24"/>
      <w:szCs w:val="24"/>
      <w:lang w:eastAsia="en-GB"/>
    </w:rPr>
  </w:style>
  <w:style w:type="paragraph" w:customStyle="1" w:styleId="NoteLevel3">
    <w:name w:val="Note Level 3"/>
    <w:basedOn w:val="Normal"/>
    <w:uiPriority w:val="99"/>
    <w:rsid w:val="00A32BCD"/>
    <w:pPr>
      <w:keepNext/>
      <w:numPr>
        <w:ilvl w:val="2"/>
        <w:numId w:val="29"/>
      </w:numPr>
      <w:spacing w:after="0" w:line="240" w:lineRule="auto"/>
    </w:pPr>
    <w:rPr>
      <w:rFonts w:ascii="Verdana" w:hAnsi="Verdana" w:cs="Times New Roman"/>
      <w:sz w:val="24"/>
      <w:szCs w:val="24"/>
      <w:lang w:eastAsia="en-GB"/>
    </w:rPr>
  </w:style>
  <w:style w:type="paragraph" w:customStyle="1" w:styleId="NoteLevel4">
    <w:name w:val="Note Level 4"/>
    <w:basedOn w:val="Normal"/>
    <w:uiPriority w:val="99"/>
    <w:rsid w:val="00A32BCD"/>
    <w:pPr>
      <w:keepNext/>
      <w:numPr>
        <w:ilvl w:val="3"/>
        <w:numId w:val="29"/>
      </w:numPr>
      <w:spacing w:after="0" w:line="240" w:lineRule="auto"/>
    </w:pPr>
    <w:rPr>
      <w:rFonts w:ascii="Verdana" w:hAnsi="Verdana" w:cs="Times New Roman"/>
      <w:sz w:val="24"/>
      <w:szCs w:val="24"/>
      <w:lang w:eastAsia="en-GB"/>
    </w:rPr>
  </w:style>
  <w:style w:type="paragraph" w:customStyle="1" w:styleId="NoteLevel5">
    <w:name w:val="Note Level 5"/>
    <w:basedOn w:val="Normal"/>
    <w:uiPriority w:val="99"/>
    <w:rsid w:val="00A32BCD"/>
    <w:pPr>
      <w:keepNext/>
      <w:numPr>
        <w:ilvl w:val="4"/>
        <w:numId w:val="29"/>
      </w:numPr>
      <w:spacing w:after="0" w:line="240" w:lineRule="auto"/>
    </w:pPr>
    <w:rPr>
      <w:rFonts w:ascii="Verdana" w:hAnsi="Verdana" w:cs="Times New Roman"/>
      <w:sz w:val="24"/>
      <w:szCs w:val="24"/>
      <w:lang w:eastAsia="en-GB"/>
    </w:rPr>
  </w:style>
  <w:style w:type="paragraph" w:customStyle="1" w:styleId="NoteLevel6">
    <w:name w:val="Note Level 6"/>
    <w:basedOn w:val="Normal"/>
    <w:uiPriority w:val="99"/>
    <w:rsid w:val="00A32BCD"/>
    <w:pPr>
      <w:keepNext/>
      <w:numPr>
        <w:ilvl w:val="5"/>
        <w:numId w:val="29"/>
      </w:numPr>
      <w:spacing w:after="0" w:line="240" w:lineRule="auto"/>
    </w:pPr>
    <w:rPr>
      <w:rFonts w:ascii="Verdana" w:hAnsi="Verdana" w:cs="Times New Roman"/>
      <w:sz w:val="24"/>
      <w:szCs w:val="24"/>
      <w:lang w:eastAsia="en-GB"/>
    </w:rPr>
  </w:style>
  <w:style w:type="paragraph" w:customStyle="1" w:styleId="NoteLevel7">
    <w:name w:val="Note Level 7"/>
    <w:basedOn w:val="Normal"/>
    <w:uiPriority w:val="99"/>
    <w:rsid w:val="00A32BCD"/>
    <w:pPr>
      <w:keepNext/>
      <w:numPr>
        <w:ilvl w:val="6"/>
        <w:numId w:val="29"/>
      </w:numPr>
      <w:spacing w:after="0" w:line="240" w:lineRule="auto"/>
    </w:pPr>
    <w:rPr>
      <w:rFonts w:ascii="Verdana" w:hAnsi="Verdana" w:cs="Times New Roman"/>
      <w:sz w:val="24"/>
      <w:szCs w:val="24"/>
      <w:lang w:eastAsia="en-GB"/>
    </w:rPr>
  </w:style>
  <w:style w:type="paragraph" w:customStyle="1" w:styleId="NoteLevel8">
    <w:name w:val="Note Level 8"/>
    <w:basedOn w:val="Normal"/>
    <w:uiPriority w:val="99"/>
    <w:rsid w:val="00A32BCD"/>
    <w:pPr>
      <w:keepNext/>
      <w:numPr>
        <w:ilvl w:val="7"/>
        <w:numId w:val="29"/>
      </w:numPr>
      <w:spacing w:after="0" w:line="240" w:lineRule="auto"/>
    </w:pPr>
    <w:rPr>
      <w:rFonts w:ascii="Verdana" w:hAnsi="Verdana" w:cs="Times New Roman"/>
      <w:sz w:val="24"/>
      <w:szCs w:val="24"/>
      <w:lang w:eastAsia="en-GB"/>
    </w:rPr>
  </w:style>
  <w:style w:type="paragraph" w:customStyle="1" w:styleId="NoteLevel9">
    <w:name w:val="Note Level 9"/>
    <w:basedOn w:val="Normal"/>
    <w:uiPriority w:val="99"/>
    <w:rsid w:val="00A32BCD"/>
    <w:pPr>
      <w:keepNext/>
      <w:numPr>
        <w:ilvl w:val="8"/>
        <w:numId w:val="29"/>
      </w:numPr>
      <w:spacing w:after="0" w:line="240" w:lineRule="auto"/>
    </w:pPr>
    <w:rPr>
      <w:rFonts w:ascii="Verdana" w:hAnsi="Verdan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19335">
      <w:bodyDiv w:val="1"/>
      <w:marLeft w:val="0"/>
      <w:marRight w:val="0"/>
      <w:marTop w:val="0"/>
      <w:marBottom w:val="0"/>
      <w:divBdr>
        <w:top w:val="none" w:sz="0" w:space="0" w:color="auto"/>
        <w:left w:val="none" w:sz="0" w:space="0" w:color="auto"/>
        <w:bottom w:val="none" w:sz="0" w:space="0" w:color="auto"/>
        <w:right w:val="none" w:sz="0" w:space="0" w:color="auto"/>
      </w:divBdr>
    </w:div>
    <w:div w:id="1327323088">
      <w:bodyDiv w:val="1"/>
      <w:marLeft w:val="0"/>
      <w:marRight w:val="0"/>
      <w:marTop w:val="0"/>
      <w:marBottom w:val="0"/>
      <w:divBdr>
        <w:top w:val="none" w:sz="0" w:space="0" w:color="auto"/>
        <w:left w:val="none" w:sz="0" w:space="0" w:color="auto"/>
        <w:bottom w:val="none" w:sz="0" w:space="0" w:color="auto"/>
        <w:right w:val="none" w:sz="0" w:space="0" w:color="auto"/>
      </w:divBdr>
      <w:divsChild>
        <w:div w:id="328949645">
          <w:marLeft w:val="0"/>
          <w:marRight w:val="0"/>
          <w:marTop w:val="0"/>
          <w:marBottom w:val="0"/>
          <w:divBdr>
            <w:top w:val="none" w:sz="0" w:space="0" w:color="auto"/>
            <w:left w:val="none" w:sz="0" w:space="0" w:color="auto"/>
            <w:bottom w:val="none" w:sz="0" w:space="0" w:color="auto"/>
            <w:right w:val="none" w:sz="0" w:space="0" w:color="auto"/>
          </w:divBdr>
          <w:divsChild>
            <w:div w:id="1668944651">
              <w:marLeft w:val="0"/>
              <w:marRight w:val="0"/>
              <w:marTop w:val="0"/>
              <w:marBottom w:val="0"/>
              <w:divBdr>
                <w:top w:val="none" w:sz="0" w:space="0" w:color="auto"/>
                <w:left w:val="none" w:sz="0" w:space="0" w:color="auto"/>
                <w:bottom w:val="none" w:sz="0" w:space="0" w:color="auto"/>
                <w:right w:val="none" w:sz="0" w:space="0" w:color="auto"/>
              </w:divBdr>
              <w:divsChild>
                <w:div w:id="1697190716">
                  <w:marLeft w:val="0"/>
                  <w:marRight w:val="0"/>
                  <w:marTop w:val="0"/>
                  <w:marBottom w:val="0"/>
                  <w:divBdr>
                    <w:top w:val="none" w:sz="0" w:space="0" w:color="auto"/>
                    <w:left w:val="none" w:sz="0" w:space="0" w:color="auto"/>
                    <w:bottom w:val="none" w:sz="0" w:space="0" w:color="auto"/>
                    <w:right w:val="none" w:sz="0" w:space="0" w:color="auto"/>
                  </w:divBdr>
                  <w:divsChild>
                    <w:div w:id="1977294466">
                      <w:marLeft w:val="0"/>
                      <w:marRight w:val="0"/>
                      <w:marTop w:val="0"/>
                      <w:marBottom w:val="0"/>
                      <w:divBdr>
                        <w:top w:val="none" w:sz="0" w:space="0" w:color="auto"/>
                        <w:left w:val="none" w:sz="0" w:space="0" w:color="auto"/>
                        <w:bottom w:val="none" w:sz="0" w:space="0" w:color="auto"/>
                        <w:right w:val="none" w:sz="0" w:space="0" w:color="auto"/>
                      </w:divBdr>
                      <w:divsChild>
                        <w:div w:id="908883319">
                          <w:marLeft w:val="0"/>
                          <w:marRight w:val="0"/>
                          <w:marTop w:val="0"/>
                          <w:marBottom w:val="0"/>
                          <w:divBdr>
                            <w:top w:val="none" w:sz="0" w:space="0" w:color="auto"/>
                            <w:left w:val="none" w:sz="0" w:space="0" w:color="auto"/>
                            <w:bottom w:val="none" w:sz="0" w:space="0" w:color="auto"/>
                            <w:right w:val="none" w:sz="0" w:space="0" w:color="auto"/>
                          </w:divBdr>
                          <w:divsChild>
                            <w:div w:id="573510235">
                              <w:marLeft w:val="0"/>
                              <w:marRight w:val="0"/>
                              <w:marTop w:val="150"/>
                              <w:marBottom w:val="0"/>
                              <w:divBdr>
                                <w:top w:val="none" w:sz="0" w:space="0" w:color="auto"/>
                                <w:left w:val="none" w:sz="0" w:space="0" w:color="auto"/>
                                <w:bottom w:val="none" w:sz="0" w:space="0" w:color="auto"/>
                                <w:right w:val="none" w:sz="0" w:space="0" w:color="auto"/>
                              </w:divBdr>
                              <w:divsChild>
                                <w:div w:id="8356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1034">
      <w:bodyDiv w:val="1"/>
      <w:marLeft w:val="0"/>
      <w:marRight w:val="0"/>
      <w:marTop w:val="0"/>
      <w:marBottom w:val="0"/>
      <w:divBdr>
        <w:top w:val="none" w:sz="0" w:space="0" w:color="auto"/>
        <w:left w:val="none" w:sz="0" w:space="0" w:color="auto"/>
        <w:bottom w:val="none" w:sz="0" w:space="0" w:color="auto"/>
        <w:right w:val="none" w:sz="0" w:space="0" w:color="auto"/>
      </w:divBdr>
    </w:div>
    <w:div w:id="1540314000">
      <w:bodyDiv w:val="1"/>
      <w:marLeft w:val="0"/>
      <w:marRight w:val="0"/>
      <w:marTop w:val="0"/>
      <w:marBottom w:val="0"/>
      <w:divBdr>
        <w:top w:val="none" w:sz="0" w:space="0" w:color="auto"/>
        <w:left w:val="none" w:sz="0" w:space="0" w:color="auto"/>
        <w:bottom w:val="none" w:sz="0" w:space="0" w:color="auto"/>
        <w:right w:val="none" w:sz="0" w:space="0" w:color="auto"/>
      </w:divBdr>
    </w:div>
    <w:div w:id="1649817301">
      <w:bodyDiv w:val="1"/>
      <w:marLeft w:val="0"/>
      <w:marRight w:val="0"/>
      <w:marTop w:val="0"/>
      <w:marBottom w:val="0"/>
      <w:divBdr>
        <w:top w:val="none" w:sz="0" w:space="0" w:color="auto"/>
        <w:left w:val="none" w:sz="0" w:space="0" w:color="auto"/>
        <w:bottom w:val="none" w:sz="0" w:space="0" w:color="auto"/>
        <w:right w:val="none" w:sz="0" w:space="0" w:color="auto"/>
      </w:divBdr>
    </w:div>
    <w:div w:id="1737821993">
      <w:bodyDiv w:val="1"/>
      <w:marLeft w:val="0"/>
      <w:marRight w:val="0"/>
      <w:marTop w:val="0"/>
      <w:marBottom w:val="0"/>
      <w:divBdr>
        <w:top w:val="none" w:sz="0" w:space="0" w:color="auto"/>
        <w:left w:val="none" w:sz="0" w:space="0" w:color="auto"/>
        <w:bottom w:val="none" w:sz="0" w:space="0" w:color="auto"/>
        <w:right w:val="none" w:sz="0" w:space="0" w:color="auto"/>
      </w:divBdr>
      <w:divsChild>
        <w:div w:id="1943301394">
          <w:marLeft w:val="0"/>
          <w:marRight w:val="0"/>
          <w:marTop w:val="0"/>
          <w:marBottom w:val="0"/>
          <w:divBdr>
            <w:top w:val="none" w:sz="0" w:space="0" w:color="auto"/>
            <w:left w:val="none" w:sz="0" w:space="0" w:color="auto"/>
            <w:bottom w:val="none" w:sz="0" w:space="0" w:color="auto"/>
            <w:right w:val="none" w:sz="0" w:space="0" w:color="auto"/>
          </w:divBdr>
          <w:divsChild>
            <w:div w:id="1082067631">
              <w:marLeft w:val="0"/>
              <w:marRight w:val="0"/>
              <w:marTop w:val="0"/>
              <w:marBottom w:val="0"/>
              <w:divBdr>
                <w:top w:val="none" w:sz="0" w:space="0" w:color="auto"/>
                <w:left w:val="none" w:sz="0" w:space="0" w:color="auto"/>
                <w:bottom w:val="none" w:sz="0" w:space="0" w:color="auto"/>
                <w:right w:val="none" w:sz="0" w:space="0" w:color="auto"/>
              </w:divBdr>
              <w:divsChild>
                <w:div w:id="1914001519">
                  <w:marLeft w:val="0"/>
                  <w:marRight w:val="0"/>
                  <w:marTop w:val="0"/>
                  <w:marBottom w:val="0"/>
                  <w:divBdr>
                    <w:top w:val="none" w:sz="0" w:space="0" w:color="auto"/>
                    <w:left w:val="none" w:sz="0" w:space="0" w:color="auto"/>
                    <w:bottom w:val="none" w:sz="0" w:space="0" w:color="auto"/>
                    <w:right w:val="none" w:sz="0" w:space="0" w:color="auto"/>
                  </w:divBdr>
                  <w:divsChild>
                    <w:div w:id="1704091998">
                      <w:marLeft w:val="0"/>
                      <w:marRight w:val="0"/>
                      <w:marTop w:val="0"/>
                      <w:marBottom w:val="0"/>
                      <w:divBdr>
                        <w:top w:val="none" w:sz="0" w:space="0" w:color="auto"/>
                        <w:left w:val="none" w:sz="0" w:space="0" w:color="auto"/>
                        <w:bottom w:val="none" w:sz="0" w:space="0" w:color="auto"/>
                        <w:right w:val="none" w:sz="0" w:space="0" w:color="auto"/>
                      </w:divBdr>
                      <w:divsChild>
                        <w:div w:id="384305352">
                          <w:marLeft w:val="0"/>
                          <w:marRight w:val="0"/>
                          <w:marTop w:val="0"/>
                          <w:marBottom w:val="0"/>
                          <w:divBdr>
                            <w:top w:val="none" w:sz="0" w:space="0" w:color="auto"/>
                            <w:left w:val="none" w:sz="0" w:space="0" w:color="auto"/>
                            <w:bottom w:val="none" w:sz="0" w:space="0" w:color="auto"/>
                            <w:right w:val="none" w:sz="0" w:space="0" w:color="auto"/>
                          </w:divBdr>
                          <w:divsChild>
                            <w:div w:id="1492256832">
                              <w:marLeft w:val="0"/>
                              <w:marRight w:val="0"/>
                              <w:marTop w:val="150"/>
                              <w:marBottom w:val="0"/>
                              <w:divBdr>
                                <w:top w:val="none" w:sz="0" w:space="0" w:color="auto"/>
                                <w:left w:val="none" w:sz="0" w:space="0" w:color="auto"/>
                                <w:bottom w:val="none" w:sz="0" w:space="0" w:color="auto"/>
                                <w:right w:val="none" w:sz="0" w:space="0" w:color="auto"/>
                              </w:divBdr>
                              <w:divsChild>
                                <w:div w:id="21268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860131">
      <w:bodyDiv w:val="1"/>
      <w:marLeft w:val="0"/>
      <w:marRight w:val="0"/>
      <w:marTop w:val="0"/>
      <w:marBottom w:val="0"/>
      <w:divBdr>
        <w:top w:val="none" w:sz="0" w:space="0" w:color="auto"/>
        <w:left w:val="none" w:sz="0" w:space="0" w:color="auto"/>
        <w:bottom w:val="none" w:sz="0" w:space="0" w:color="auto"/>
        <w:right w:val="none" w:sz="0" w:space="0" w:color="auto"/>
      </w:divBdr>
    </w:div>
    <w:div w:id="21359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unredd.ne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5E0C0-6230-4746-8BFF-779E5B00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20082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tina.hageberg</dc:creator>
  <cp:lastModifiedBy>Tina Solvberg</cp:lastModifiedBy>
  <cp:revision>3</cp:revision>
  <cp:lastPrinted>2012-05-16T21:07:00Z</cp:lastPrinted>
  <dcterms:created xsi:type="dcterms:W3CDTF">2014-06-30T17:29:00Z</dcterms:created>
  <dcterms:modified xsi:type="dcterms:W3CDTF">2014-07-02T17:42:00Z</dcterms:modified>
</cp:coreProperties>
</file>