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89" w:rsidRPr="00E814EF" w:rsidRDefault="00185D89" w:rsidP="00185D89">
      <w:pPr>
        <w:jc w:val="center"/>
        <w:outlineLvl w:val="0"/>
        <w:rPr>
          <w:b/>
        </w:rPr>
      </w:pPr>
      <w:r w:rsidRPr="00E814EF">
        <w:rPr>
          <w:b/>
        </w:rPr>
        <w:t xml:space="preserve">GOUVERNANCE ET </w:t>
      </w:r>
      <w:r>
        <w:rPr>
          <w:b/>
        </w:rPr>
        <w:t>LUTTE  ANTI</w:t>
      </w:r>
      <w:r w:rsidRPr="00E814EF">
        <w:rPr>
          <w:b/>
        </w:rPr>
        <w:t>CORRUPTION DANS LE PROCESSUS REDD EN RDC</w:t>
      </w:r>
    </w:p>
    <w:p w:rsidR="00185D89" w:rsidRDefault="00185D89" w:rsidP="00185D89">
      <w:pPr>
        <w:outlineLvl w:val="0"/>
        <w:rPr>
          <w:b/>
        </w:rPr>
      </w:pPr>
      <w:r w:rsidRPr="00EC5A1F">
        <w:rPr>
          <w:b/>
        </w:rPr>
        <w:t xml:space="preserve">I. </w:t>
      </w:r>
      <w:r>
        <w:rPr>
          <w:b/>
        </w:rPr>
        <w:t>Problématique</w:t>
      </w:r>
    </w:p>
    <w:p w:rsidR="00185D89" w:rsidRDefault="00185D89" w:rsidP="00684172">
      <w:pPr>
        <w:spacing w:after="0" w:line="240" w:lineRule="auto"/>
      </w:pPr>
      <w:r>
        <w:t>La R</w:t>
      </w:r>
      <w:r w:rsidR="00DB631F">
        <w:t xml:space="preserve">épublique Démocratique du Congo (RDC) </w:t>
      </w:r>
      <w:r>
        <w:t xml:space="preserve">est un vaste pays de 2.345.000 Km2 </w:t>
      </w:r>
      <w:r w:rsidR="00AE18DA">
        <w:t>disposant d’une couverture</w:t>
      </w:r>
      <w:r>
        <w:t xml:space="preserve"> forestière de plus de 6</w:t>
      </w:r>
      <w:r w:rsidR="00366F63">
        <w:t>2</w:t>
      </w:r>
      <w:r>
        <w:t xml:space="preserve">% de son territoire </w:t>
      </w:r>
      <w:r w:rsidR="00C750C5">
        <w:t>e</w:t>
      </w:r>
      <w:r w:rsidR="00AE18DA">
        <w:t xml:space="preserve">t dotée d’une </w:t>
      </w:r>
      <w:r>
        <w:t>riche biodiversité. C'est le deuxième réservoir d</w:t>
      </w:r>
      <w:r w:rsidR="00AE18DA">
        <w:t>e</w:t>
      </w:r>
      <w:r>
        <w:t xml:space="preserve"> carbone forestier au monde après l</w:t>
      </w:r>
      <w:r w:rsidR="00AE18DA">
        <w:t xml:space="preserve">e Brésil </w:t>
      </w:r>
      <w:r w:rsidR="00C60388">
        <w:t>jouant ainsi</w:t>
      </w:r>
      <w:r>
        <w:t xml:space="preserve"> un rôle très important dans la réduction des émissions de </w:t>
      </w:r>
      <w:r w:rsidR="00DB631F">
        <w:t>gaz</w:t>
      </w:r>
      <w:r>
        <w:t xml:space="preserve"> à effets de serres (GES). </w:t>
      </w:r>
      <w:r w:rsidR="00C60388">
        <w:t>L</w:t>
      </w:r>
      <w:r>
        <w:t xml:space="preserve">a RDC s'est engagée </w:t>
      </w:r>
      <w:r w:rsidR="00C60388">
        <w:t xml:space="preserve"> depuis 2009 </w:t>
      </w:r>
      <w:r>
        <w:t>dans le processus REDD dans un contexte de gouvernance très difficile</w:t>
      </w:r>
      <w:r w:rsidR="00C60388">
        <w:t xml:space="preserve"> caractérisé par</w:t>
      </w:r>
      <w:r>
        <w:t xml:space="preserve">: </w:t>
      </w:r>
      <w:r w:rsidR="00DE6504">
        <w:t>(i)</w:t>
      </w:r>
      <w:r>
        <w:t xml:space="preserve"> </w:t>
      </w:r>
      <w:r w:rsidR="00684172">
        <w:t xml:space="preserve">la </w:t>
      </w:r>
      <w:r w:rsidR="00DE6504">
        <w:t xml:space="preserve">persistance des conflits; </w:t>
      </w:r>
      <w:r>
        <w:t xml:space="preserve"> </w:t>
      </w:r>
      <w:r w:rsidR="00DE6504">
        <w:t xml:space="preserve">(ii) </w:t>
      </w:r>
      <w:r w:rsidR="00684172">
        <w:t>l’</w:t>
      </w:r>
      <w:r>
        <w:t>instabilité politique</w:t>
      </w:r>
      <w:r w:rsidR="00DE6504">
        <w:t xml:space="preserve"> et</w:t>
      </w:r>
      <w:r>
        <w:t xml:space="preserve"> </w:t>
      </w:r>
      <w:r w:rsidR="00C60388">
        <w:t xml:space="preserve">la </w:t>
      </w:r>
      <w:r>
        <w:t xml:space="preserve">fragilité des institutions </w:t>
      </w:r>
      <w:r w:rsidR="00DE6504">
        <w:t>publiques</w:t>
      </w:r>
      <w:r>
        <w:t xml:space="preserve">; </w:t>
      </w:r>
      <w:r w:rsidR="00DE6504">
        <w:t xml:space="preserve">(iii) </w:t>
      </w:r>
      <w:r w:rsidR="00684172">
        <w:t xml:space="preserve">la </w:t>
      </w:r>
      <w:r>
        <w:t>dégradation d</w:t>
      </w:r>
      <w:r w:rsidR="00366F63">
        <w:t>u</w:t>
      </w:r>
      <w:r>
        <w:t xml:space="preserve"> niveau de vie de la population</w:t>
      </w:r>
      <w:r w:rsidR="00727BF7">
        <w:t xml:space="preserve"> et </w:t>
      </w:r>
      <w:r w:rsidR="00684172">
        <w:t xml:space="preserve">le </w:t>
      </w:r>
      <w:r w:rsidR="00727BF7">
        <w:t xml:space="preserve">chômage très élevé; </w:t>
      </w:r>
      <w:r w:rsidR="00684172">
        <w:t xml:space="preserve">(iv) </w:t>
      </w:r>
      <w:r w:rsidR="00C60388">
        <w:t>un</w:t>
      </w:r>
      <w:r w:rsidR="00684172">
        <w:t xml:space="preserve"> </w:t>
      </w:r>
      <w:r w:rsidR="00727BF7">
        <w:t xml:space="preserve">cadre juridique et réglementaire peu transparent; (v) </w:t>
      </w:r>
      <w:r w:rsidR="00C60388">
        <w:t>d</w:t>
      </w:r>
      <w:r w:rsidR="00684172">
        <w:t xml:space="preserve">es </w:t>
      </w:r>
      <w:r w:rsidR="00727BF7">
        <w:t xml:space="preserve">institutions de régulation et </w:t>
      </w:r>
      <w:r w:rsidR="00684172">
        <w:t xml:space="preserve">de </w:t>
      </w:r>
      <w:r w:rsidR="00727BF7">
        <w:t>lutte contre la fraude dysfonctionnelles; (v</w:t>
      </w:r>
      <w:r w:rsidR="00684172">
        <w:t>i</w:t>
      </w:r>
      <w:r w:rsidR="00727BF7">
        <w:t>)</w:t>
      </w:r>
      <w:r w:rsidR="00684172">
        <w:t xml:space="preserve"> </w:t>
      </w:r>
      <w:r w:rsidR="00C60388">
        <w:t xml:space="preserve">un </w:t>
      </w:r>
      <w:r w:rsidR="00684172">
        <w:t>environnement des affaires opaque</w:t>
      </w:r>
      <w:r w:rsidR="00C60388">
        <w:t> et</w:t>
      </w:r>
      <w:r w:rsidR="00D17D5B">
        <w:t xml:space="preserve"> (vii)</w:t>
      </w:r>
      <w:r>
        <w:t xml:space="preserve"> </w:t>
      </w:r>
      <w:r w:rsidR="00C60388" w:rsidRPr="00C60388">
        <w:t xml:space="preserve">un faible niveau de développement humain : en 2011 la RDC s’est classée au dernier rang </w:t>
      </w:r>
      <w:r w:rsidR="00366F63">
        <w:t xml:space="preserve">mondial </w:t>
      </w:r>
      <w:r w:rsidR="00C60388" w:rsidRPr="00C60388">
        <w:t xml:space="preserve">en ce qui concerne le niveau de son IDH. </w:t>
      </w:r>
      <w:r w:rsidR="00C60388">
        <w:t xml:space="preserve"> </w:t>
      </w:r>
    </w:p>
    <w:p w:rsidR="00185D89" w:rsidRDefault="00185D89" w:rsidP="001F610C">
      <w:pPr>
        <w:spacing w:after="0" w:line="240" w:lineRule="auto"/>
        <w:jc w:val="right"/>
      </w:pPr>
    </w:p>
    <w:p w:rsidR="00185D89" w:rsidRDefault="00185D89" w:rsidP="00185D89">
      <w:r>
        <w:t xml:space="preserve">Dans ce contexte, </w:t>
      </w:r>
      <w:r w:rsidR="00DE294E">
        <w:t xml:space="preserve">les risques de </w:t>
      </w:r>
      <w:r>
        <w:t xml:space="preserve">corruption </w:t>
      </w:r>
      <w:r w:rsidR="00DE294E">
        <w:t xml:space="preserve">sont très élevés </w:t>
      </w:r>
      <w:r w:rsidR="00366F63">
        <w:t>car le mécanisme REDD engage non seulement</w:t>
      </w:r>
      <w:r w:rsidR="00DE294E">
        <w:t xml:space="preserve"> le secteur forestier </w:t>
      </w:r>
      <w:r w:rsidR="00366F63">
        <w:t>mais aussi</w:t>
      </w:r>
      <w:r>
        <w:t xml:space="preserve"> </w:t>
      </w:r>
      <w:r w:rsidR="00A24486">
        <w:t xml:space="preserve">les autres secteurs d’activité économiques </w:t>
      </w:r>
      <w:r>
        <w:t>(Minier, Pétrolier, Foncier, Environnent, Agriculture et Développement Rural)</w:t>
      </w:r>
      <w:r w:rsidR="00DE294E">
        <w:t xml:space="preserve">. </w:t>
      </w:r>
      <w:r w:rsidR="00447844">
        <w:t xml:space="preserve"> Pour ce faire, i</w:t>
      </w:r>
      <w:r>
        <w:t xml:space="preserve">l est impérieux qu’un </w:t>
      </w:r>
      <w:r w:rsidR="0003336B">
        <w:t>P</w:t>
      </w:r>
      <w:r w:rsidR="00A24486">
        <w:t>lan d’</w:t>
      </w:r>
      <w:r w:rsidR="0003336B">
        <w:t>A</w:t>
      </w:r>
      <w:r w:rsidR="00A24486">
        <w:t xml:space="preserve">ction </w:t>
      </w:r>
      <w:r w:rsidR="00B147CC">
        <w:t xml:space="preserve">Gouvernance et </w:t>
      </w:r>
      <w:r w:rsidR="0003336B">
        <w:t>L</w:t>
      </w:r>
      <w:r>
        <w:t xml:space="preserve">utte </w:t>
      </w:r>
      <w:r w:rsidR="0003336B">
        <w:t>C</w:t>
      </w:r>
      <w:r>
        <w:t xml:space="preserve">ontre la corruption </w:t>
      </w:r>
      <w:r w:rsidR="00A24486">
        <w:t>(</w:t>
      </w:r>
      <w:bookmarkStart w:id="0" w:name="OLE_LINK3"/>
      <w:bookmarkStart w:id="1" w:name="OLE_LINK4"/>
      <w:r w:rsidR="00366F63">
        <w:t>PG</w:t>
      </w:r>
      <w:r w:rsidR="00A24486">
        <w:t>LC-REDD</w:t>
      </w:r>
      <w:bookmarkEnd w:id="0"/>
      <w:bookmarkEnd w:id="1"/>
      <w:r w:rsidR="00A24486">
        <w:t xml:space="preserve">) </w:t>
      </w:r>
      <w:r>
        <w:t xml:space="preserve">soit initié pour </w:t>
      </w:r>
      <w:r w:rsidR="00447844">
        <w:t>rédu</w:t>
      </w:r>
      <w:r w:rsidR="00477BF4">
        <w:t xml:space="preserve">ire les risques de détournement, </w:t>
      </w:r>
      <w:r w:rsidR="00447844">
        <w:t>gagner la confiance</w:t>
      </w:r>
      <w:r w:rsidR="00A24486">
        <w:t xml:space="preserve"> du public </w:t>
      </w:r>
      <w:r w:rsidR="00477BF4">
        <w:t>et assurer la réussite de</w:t>
      </w:r>
      <w:r w:rsidR="00A24486">
        <w:t xml:space="preserve"> cette initiative</w:t>
      </w:r>
      <w:r w:rsidR="00447844">
        <w:t xml:space="preserve">. </w:t>
      </w:r>
    </w:p>
    <w:p w:rsidR="00185D89" w:rsidRDefault="00185D89" w:rsidP="00185D89">
      <w:pPr>
        <w:outlineLvl w:val="0"/>
        <w:rPr>
          <w:b/>
        </w:rPr>
      </w:pPr>
      <w:r>
        <w:rPr>
          <w:b/>
        </w:rPr>
        <w:t>II. Objectif</w:t>
      </w:r>
      <w:r w:rsidR="00A520D2">
        <w:rPr>
          <w:b/>
        </w:rPr>
        <w:t>s</w:t>
      </w:r>
      <w:r>
        <w:rPr>
          <w:b/>
        </w:rPr>
        <w:t xml:space="preserve"> du </w:t>
      </w:r>
      <w:r w:rsidR="0003336B">
        <w:rPr>
          <w:b/>
        </w:rPr>
        <w:t>PALC-REDD</w:t>
      </w:r>
    </w:p>
    <w:p w:rsidR="003D1E7A" w:rsidRDefault="003D1E7A" w:rsidP="00185D89">
      <w:pPr>
        <w:outlineLvl w:val="0"/>
        <w:rPr>
          <w:b/>
        </w:rPr>
      </w:pPr>
      <w:r>
        <w:rPr>
          <w:b/>
        </w:rPr>
        <w:t>II.1. Objectif principal</w:t>
      </w:r>
    </w:p>
    <w:p w:rsidR="003D1E7A" w:rsidRDefault="00185D89" w:rsidP="00185D89">
      <w:pPr>
        <w:outlineLvl w:val="0"/>
      </w:pPr>
      <w:r>
        <w:t>L</w:t>
      </w:r>
      <w:r w:rsidR="00DE0EB4">
        <w:t>a mauvaise</w:t>
      </w:r>
      <w:r>
        <w:t xml:space="preserve"> gouvernance et la corruption </w:t>
      </w:r>
      <w:r w:rsidR="003D1E7A">
        <w:t xml:space="preserve">constituent </w:t>
      </w:r>
      <w:r>
        <w:t>des grands obstacles à la réalisation des objectifs du processus</w:t>
      </w:r>
      <w:r w:rsidRPr="00053F52">
        <w:t xml:space="preserve"> </w:t>
      </w:r>
      <w:r>
        <w:t xml:space="preserve">REDD. </w:t>
      </w:r>
      <w:r w:rsidR="00DE0EB4">
        <w:t>L’</w:t>
      </w:r>
      <w:r w:rsidR="003D1E7A">
        <w:t xml:space="preserve">objectif </w:t>
      </w:r>
      <w:r w:rsidR="00DE0EB4">
        <w:t>de PGLC-REDD est de</w:t>
      </w:r>
      <w:r w:rsidR="003D1E7A">
        <w:t xml:space="preserve"> </w:t>
      </w:r>
      <w:r w:rsidR="00140948" w:rsidRPr="00140948">
        <w:rPr>
          <w:b/>
        </w:rPr>
        <w:t xml:space="preserve">mitiger les risques de corruption afin </w:t>
      </w:r>
      <w:r w:rsidR="00DE0EB4">
        <w:rPr>
          <w:b/>
        </w:rPr>
        <w:t xml:space="preserve">d’assurer la réussite </w:t>
      </w:r>
      <w:r w:rsidR="00140948" w:rsidRPr="00140948">
        <w:rPr>
          <w:b/>
        </w:rPr>
        <w:t>du processus REDD</w:t>
      </w:r>
      <w:r w:rsidRPr="00246A0F">
        <w:rPr>
          <w:b/>
        </w:rPr>
        <w:t xml:space="preserve"> en RDC</w:t>
      </w:r>
      <w:r w:rsidR="00DE0EB4">
        <w:rPr>
          <w:b/>
        </w:rPr>
        <w:t xml:space="preserve"> et garantir son intégrité</w:t>
      </w:r>
      <w:r>
        <w:t xml:space="preserve">. </w:t>
      </w:r>
      <w:r w:rsidR="003D1E7A">
        <w:t>Ce plan d’action</w:t>
      </w:r>
      <w:r>
        <w:t xml:space="preserve"> </w:t>
      </w:r>
      <w:r w:rsidR="009A492B" w:rsidRPr="009A492B">
        <w:t xml:space="preserve">s’inscrit dans le cadre de </w:t>
      </w:r>
      <w:r w:rsidR="00DE0EB4">
        <w:t xml:space="preserve">la préparation de la RDC à la </w:t>
      </w:r>
      <w:r w:rsidR="009A492B" w:rsidRPr="009A492B">
        <w:t>REDD</w:t>
      </w:r>
      <w:r>
        <w:t xml:space="preserve">. </w:t>
      </w:r>
    </w:p>
    <w:p w:rsidR="003D1E7A" w:rsidRDefault="003D1E7A" w:rsidP="003D1E7A">
      <w:pPr>
        <w:outlineLvl w:val="0"/>
        <w:rPr>
          <w:b/>
        </w:rPr>
      </w:pPr>
      <w:r>
        <w:rPr>
          <w:b/>
        </w:rPr>
        <w:t>II.2. Objectifs spécifiques</w:t>
      </w:r>
    </w:p>
    <w:p w:rsidR="00185D89" w:rsidRDefault="003D1E7A" w:rsidP="00185D89">
      <w:pPr>
        <w:outlineLvl w:val="0"/>
      </w:pPr>
      <w:r>
        <w:t xml:space="preserve">Compte tenu de ce qui précède, les </w:t>
      </w:r>
      <w:r w:rsidR="00185D89">
        <w:t>objectif</w:t>
      </w:r>
      <w:r w:rsidR="0070068E">
        <w:t xml:space="preserve">s spécifiques </w:t>
      </w:r>
      <w:r w:rsidR="00B4679A">
        <w:t>de PG</w:t>
      </w:r>
      <w:r>
        <w:t xml:space="preserve">LC-REDD seront </w:t>
      </w:r>
      <w:r w:rsidR="0070068E">
        <w:t>les suivants</w:t>
      </w:r>
      <w:r w:rsidR="00185D89">
        <w:t>:</w:t>
      </w:r>
    </w:p>
    <w:p w:rsidR="00185D89" w:rsidRDefault="00B4679A" w:rsidP="00185D89">
      <w:pPr>
        <w:pStyle w:val="ListParagraph"/>
        <w:numPr>
          <w:ilvl w:val="0"/>
          <w:numId w:val="6"/>
        </w:numPr>
      </w:pPr>
      <w:r>
        <w:t>Prévenir les cas de corruption,</w:t>
      </w:r>
      <w:r w:rsidR="000C670D">
        <w:t xml:space="preserve"> de détournement de fonds REDD</w:t>
      </w:r>
      <w:r>
        <w:t xml:space="preserve"> et de blanchiment d’argent</w:t>
      </w:r>
    </w:p>
    <w:p w:rsidR="00234F55" w:rsidRDefault="00234F55" w:rsidP="00234F55">
      <w:pPr>
        <w:pStyle w:val="ListParagraph"/>
        <w:numPr>
          <w:ilvl w:val="0"/>
          <w:numId w:val="6"/>
        </w:numPr>
      </w:pPr>
      <w:r>
        <w:t>Harmoniser le cadre juridique affectant les activités REDD</w:t>
      </w:r>
    </w:p>
    <w:p w:rsidR="00234F55" w:rsidRDefault="00234F55" w:rsidP="00234F55">
      <w:pPr>
        <w:pStyle w:val="ListParagraph"/>
        <w:numPr>
          <w:ilvl w:val="0"/>
          <w:numId w:val="6"/>
        </w:numPr>
      </w:pPr>
      <w:r>
        <w:t xml:space="preserve">Promouvoir la transparence et </w:t>
      </w:r>
      <w:r w:rsidRPr="00F05013">
        <w:t xml:space="preserve">la reddition de comptes </w:t>
      </w:r>
      <w:r>
        <w:t>dans le développement et la mise en œuvre des projets REDD.</w:t>
      </w:r>
    </w:p>
    <w:p w:rsidR="00185D89" w:rsidRDefault="00185D89" w:rsidP="00185D89">
      <w:pPr>
        <w:pStyle w:val="ListParagraph"/>
        <w:numPr>
          <w:ilvl w:val="0"/>
          <w:numId w:val="6"/>
        </w:numPr>
      </w:pPr>
      <w:r>
        <w:t xml:space="preserve">Renforcer les capacités institutionnelles et humaines </w:t>
      </w:r>
      <w:r w:rsidR="00144C78">
        <w:t>gouvernant ce processus</w:t>
      </w:r>
    </w:p>
    <w:p w:rsidR="00185D89" w:rsidRDefault="00185D89" w:rsidP="00185D89">
      <w:pPr>
        <w:outlineLvl w:val="0"/>
        <w:rPr>
          <w:b/>
        </w:rPr>
      </w:pPr>
      <w:r>
        <w:rPr>
          <w:b/>
        </w:rPr>
        <w:t xml:space="preserve">III. Axes d’intervention </w:t>
      </w:r>
    </w:p>
    <w:p w:rsidR="00185D89" w:rsidRPr="00141393" w:rsidRDefault="003D1E7A" w:rsidP="00185D89">
      <w:pPr>
        <w:outlineLvl w:val="0"/>
      </w:pPr>
      <w:r>
        <w:t>PALC-REDD</w:t>
      </w:r>
      <w:r w:rsidRPr="00141393">
        <w:t xml:space="preserve"> </w:t>
      </w:r>
      <w:r w:rsidR="00185D89" w:rsidRPr="00141393">
        <w:t xml:space="preserve">s’articulera autour des 4 axes </w:t>
      </w:r>
      <w:r w:rsidR="00483BDC">
        <w:t>stratégiques</w:t>
      </w:r>
      <w:r w:rsidR="00185D89" w:rsidRPr="00141393">
        <w:t> à savoir :</w:t>
      </w:r>
      <w:r w:rsidR="00EF2F61">
        <w:t xml:space="preserve"> (i) Sensibilisation et Communication ; (ii) Clarification du cadre juridique ; (iii) Transparence dans la mise en œuvre des projets REDD</w:t>
      </w:r>
      <w:r w:rsidR="008B4DEF">
        <w:t>+</w:t>
      </w:r>
      <w:r w:rsidR="00EF2F61">
        <w:t xml:space="preserve">; et (iv) Mécanisme de gestion des plaintes, dénonciations et sanctions. Les activités autour de ces axes stratégiques s’inscrivent dans le cadre de l’élaboration de la stratégie nationale REDD de la RDC </w:t>
      </w:r>
      <w:r w:rsidR="00CB3546">
        <w:t>en appuyant la vision du</w:t>
      </w:r>
      <w:r w:rsidR="008B4DEF">
        <w:t xml:space="preserve"> plan de préparation à la REDD (</w:t>
      </w:r>
      <w:r w:rsidR="00EF2F61">
        <w:t>R-PP</w:t>
      </w:r>
      <w:r w:rsidR="008B4DEF">
        <w:t>)</w:t>
      </w:r>
      <w:r w:rsidR="00EF2F61">
        <w:t xml:space="preserve">. </w:t>
      </w:r>
      <w:r w:rsidR="001867F9">
        <w:t xml:space="preserve">Ces activités viennent aussi compléter </w:t>
      </w:r>
      <w:r w:rsidR="008B4DEF">
        <w:t>d’autres projets d’a</w:t>
      </w:r>
      <w:r w:rsidR="008B4DEF" w:rsidRPr="008B4DEF">
        <w:t>ppui aux capacités et à la stratégie pour la préparation de la RDC à la REDD+</w:t>
      </w:r>
      <w:r w:rsidR="008B4DEF">
        <w:t xml:space="preserve"> (Tier 2) comme étant contribution du PNUD au UNDAF.</w:t>
      </w:r>
    </w:p>
    <w:p w:rsidR="00185D89" w:rsidRDefault="00185D89" w:rsidP="00185D89">
      <w:pPr>
        <w:outlineLvl w:val="0"/>
        <w:rPr>
          <w:b/>
        </w:rPr>
      </w:pPr>
      <w:r>
        <w:rPr>
          <w:b/>
        </w:rPr>
        <w:lastRenderedPageBreak/>
        <w:t>Axe I : Sensibilisation et Communication</w:t>
      </w:r>
    </w:p>
    <w:p w:rsidR="00573CEC" w:rsidRDefault="0070143A" w:rsidP="00351BE0">
      <w:pPr>
        <w:outlineLvl w:val="0"/>
      </w:pPr>
      <w:r>
        <w:t xml:space="preserve">La réussite du processus REDD </w:t>
      </w:r>
      <w:r w:rsidR="009F7908">
        <w:t xml:space="preserve">passe par </w:t>
      </w:r>
      <w:r>
        <w:t xml:space="preserve">la participation de toutes les parties prenantes et </w:t>
      </w:r>
      <w:r w:rsidR="00215685">
        <w:t>notamment</w:t>
      </w:r>
      <w:r>
        <w:t xml:space="preserve"> celle des populations locales</w:t>
      </w:r>
      <w:r w:rsidR="009F7908">
        <w:t xml:space="preserve"> qui seront </w:t>
      </w:r>
      <w:r w:rsidR="000A24B3">
        <w:t xml:space="preserve">les </w:t>
      </w:r>
      <w:r w:rsidR="009F7908">
        <w:t xml:space="preserve">plus </w:t>
      </w:r>
      <w:r w:rsidR="00215685">
        <w:t xml:space="preserve">mobilisées à travers </w:t>
      </w:r>
      <w:r w:rsidR="009F7908">
        <w:t>les projets REDD</w:t>
      </w:r>
      <w:r>
        <w:t xml:space="preserve">. </w:t>
      </w:r>
      <w:r w:rsidR="009F7908">
        <w:t xml:space="preserve"> </w:t>
      </w:r>
      <w:r w:rsidR="000F744C">
        <w:t xml:space="preserve">Cependant, </w:t>
      </w:r>
      <w:r w:rsidR="000A24B3">
        <w:t xml:space="preserve">les </w:t>
      </w:r>
      <w:r w:rsidR="000F744C">
        <w:t xml:space="preserve">enjeux du </w:t>
      </w:r>
      <w:r w:rsidR="00B419FE">
        <w:t xml:space="preserve">changement climatique </w:t>
      </w:r>
      <w:r w:rsidR="000D2E8B">
        <w:t>sont très peu connu</w:t>
      </w:r>
      <w:r w:rsidR="000F744C">
        <w:t>s</w:t>
      </w:r>
      <w:r w:rsidR="000D2E8B">
        <w:t xml:space="preserve"> </w:t>
      </w:r>
      <w:r w:rsidR="003D1E7A">
        <w:t>de celle</w:t>
      </w:r>
      <w:r w:rsidR="00834333">
        <w:t>s</w:t>
      </w:r>
      <w:r w:rsidR="003D1E7A">
        <w:t>-ci</w:t>
      </w:r>
      <w:r w:rsidR="000F744C">
        <w:t>.</w:t>
      </w:r>
      <w:r w:rsidR="000D2E8B">
        <w:t xml:space="preserve"> </w:t>
      </w:r>
      <w:r w:rsidR="003D1E7A">
        <w:t xml:space="preserve">En outre, toute action </w:t>
      </w:r>
      <w:r w:rsidR="00A74BE9">
        <w:t xml:space="preserve">de lutte contre la corruption ne peut réussir sans </w:t>
      </w:r>
      <w:r w:rsidR="000F1619">
        <w:t>l’imp</w:t>
      </w:r>
      <w:r w:rsidR="00567FDF">
        <w:t>lication</w:t>
      </w:r>
      <w:r w:rsidR="00127D03">
        <w:t xml:space="preserve"> et l’engagement</w:t>
      </w:r>
      <w:r w:rsidR="00567FDF">
        <w:t xml:space="preserve"> des acteurs politiques</w:t>
      </w:r>
      <w:r w:rsidR="00A74BE9">
        <w:t xml:space="preserve">. </w:t>
      </w:r>
      <w:r w:rsidR="00DF05F4">
        <w:t xml:space="preserve">C’est </w:t>
      </w:r>
      <w:r w:rsidR="00127D03">
        <w:t xml:space="preserve">dans cette perspectives </w:t>
      </w:r>
      <w:r w:rsidR="00DF05F4">
        <w:t xml:space="preserve">qu’il est prévu dans cet axe de mettre en place une stratégie de communication visant </w:t>
      </w:r>
      <w:r w:rsidR="00284634">
        <w:t xml:space="preserve">trois </w:t>
      </w:r>
      <w:r w:rsidR="00C750C5">
        <w:t>groupes</w:t>
      </w:r>
      <w:r w:rsidR="00284634">
        <w:t xml:space="preserve"> à savoir</w:t>
      </w:r>
      <w:r w:rsidR="00A74BE9">
        <w:t xml:space="preserve"> : </w:t>
      </w:r>
    </w:p>
    <w:p w:rsidR="00993985" w:rsidRDefault="00A74BE9" w:rsidP="00993985">
      <w:pPr>
        <w:outlineLvl w:val="0"/>
      </w:pPr>
      <w:r w:rsidRPr="009841B8">
        <w:rPr>
          <w:b/>
        </w:rPr>
        <w:t>(i)</w:t>
      </w:r>
      <w:r>
        <w:t xml:space="preserve"> </w:t>
      </w:r>
      <w:r w:rsidR="00573CEC" w:rsidRPr="009841B8">
        <w:rPr>
          <w:b/>
        </w:rPr>
        <w:t>L</w:t>
      </w:r>
      <w:r w:rsidRPr="009841B8">
        <w:rPr>
          <w:b/>
        </w:rPr>
        <w:t>es acteurs politiques</w:t>
      </w:r>
      <w:r w:rsidR="00443C7B">
        <w:t>: un dialogue permanent, en terme de plaidoyer</w:t>
      </w:r>
      <w:r w:rsidR="00567FDF">
        <w:t xml:space="preserve"> sur</w:t>
      </w:r>
      <w:r w:rsidR="00443C7B">
        <w:t xml:space="preserve"> la gouvernance</w:t>
      </w:r>
      <w:r w:rsidR="00567FDF">
        <w:t>,</w:t>
      </w:r>
      <w:r w:rsidR="00443C7B">
        <w:t xml:space="preserve"> sera </w:t>
      </w:r>
      <w:r w:rsidR="00B80509">
        <w:t>mené</w:t>
      </w:r>
      <w:r w:rsidR="00443C7B">
        <w:t xml:space="preserve"> </w:t>
      </w:r>
      <w:r w:rsidR="00284634">
        <w:t xml:space="preserve">auprès de ce groupe </w:t>
      </w:r>
      <w:r w:rsidR="00443C7B">
        <w:t xml:space="preserve">afin d’assurer </w:t>
      </w:r>
      <w:r w:rsidR="00C750C5">
        <w:t>son</w:t>
      </w:r>
      <w:r w:rsidR="00443C7B">
        <w:t xml:space="preserve"> adhésion à la </w:t>
      </w:r>
      <w:r w:rsidR="00993985">
        <w:t xml:space="preserve">transparence </w:t>
      </w:r>
      <w:r w:rsidR="00B80509" w:rsidRPr="00B80509">
        <w:t xml:space="preserve">et la reddition de comptes </w:t>
      </w:r>
      <w:r w:rsidR="00993985">
        <w:t>dans la gestion des qu</w:t>
      </w:r>
      <w:r w:rsidR="00C10E9C">
        <w:t>estions liées à la</w:t>
      </w:r>
      <w:r w:rsidR="00993985">
        <w:t xml:space="preserve"> REDD.</w:t>
      </w:r>
    </w:p>
    <w:p w:rsidR="00567FDF" w:rsidRDefault="00A74BE9" w:rsidP="00567FDF">
      <w:pPr>
        <w:outlineLvl w:val="0"/>
      </w:pPr>
      <w:r w:rsidRPr="009841B8">
        <w:rPr>
          <w:b/>
        </w:rPr>
        <w:t xml:space="preserve">(ii) </w:t>
      </w:r>
      <w:r w:rsidR="00443C7B" w:rsidRPr="009841B8">
        <w:rPr>
          <w:b/>
        </w:rPr>
        <w:t>L</w:t>
      </w:r>
      <w:r w:rsidRPr="009841B8">
        <w:rPr>
          <w:b/>
        </w:rPr>
        <w:t>es populations locales</w:t>
      </w:r>
      <w:r w:rsidR="00C750C5">
        <w:rPr>
          <w:b/>
        </w:rPr>
        <w:t xml:space="preserve"> </w:t>
      </w:r>
      <w:r w:rsidR="00C750C5" w:rsidRPr="00C750C5">
        <w:t>à travers leurs associations</w:t>
      </w:r>
      <w:r w:rsidR="00567FDF">
        <w:t xml:space="preserve"> : </w:t>
      </w:r>
      <w:r w:rsidR="00743A79">
        <w:t xml:space="preserve">il s’agit des </w:t>
      </w:r>
      <w:r w:rsidR="00567FDF">
        <w:t>populations</w:t>
      </w:r>
      <w:r w:rsidR="00743A79">
        <w:t xml:space="preserve"> vivant</w:t>
      </w:r>
      <w:r>
        <w:t xml:space="preserve"> dans les territoires o</w:t>
      </w:r>
      <w:r w:rsidR="000F1619">
        <w:t>ù se déroulent les projets REDD</w:t>
      </w:r>
      <w:r w:rsidR="00567FDF">
        <w:t>. L</w:t>
      </w:r>
      <w:r w:rsidR="00F01B6E">
        <w:t>a stratégie sera de</w:t>
      </w:r>
      <w:r w:rsidR="00743A79">
        <w:t xml:space="preserve"> </w:t>
      </w:r>
      <w:r w:rsidR="00567FDF">
        <w:t>renforce</w:t>
      </w:r>
      <w:r w:rsidR="00F01B6E">
        <w:t>r l</w:t>
      </w:r>
      <w:r w:rsidR="00567FDF">
        <w:t xml:space="preserve">es capacités des </w:t>
      </w:r>
      <w:r w:rsidR="00C750C5">
        <w:t>animateurs sociaux</w:t>
      </w:r>
      <w:r w:rsidR="00567FDF">
        <w:t xml:space="preserve"> au niveau local afin </w:t>
      </w:r>
      <w:r w:rsidR="00F01B6E">
        <w:t xml:space="preserve">qu’ils </w:t>
      </w:r>
      <w:r w:rsidR="00567FDF">
        <w:t>vulgarise</w:t>
      </w:r>
      <w:r w:rsidR="00F01B6E">
        <w:t xml:space="preserve">nt le </w:t>
      </w:r>
      <w:r w:rsidR="00567FDF">
        <w:t>processus</w:t>
      </w:r>
      <w:r w:rsidR="00F01B6E">
        <w:t xml:space="preserve"> auprès des populations</w:t>
      </w:r>
      <w:r w:rsidR="00567FDF">
        <w:t>. Les efforts seront concentrés sur les radios communautaires dans les communautés où les projets pilotes sont entrain d’être menés.(</w:t>
      </w:r>
      <w:r w:rsidR="00567FDF">
        <w:rPr>
          <w:rStyle w:val="FootnoteReference"/>
        </w:rPr>
        <w:footnoteReference w:id="1"/>
      </w:r>
      <w:r w:rsidR="00567FDF">
        <w:t>) Le résultat attendu est qu’une population locale bien informée sur les aspects des projets REDD sera vigilante et capable de dénoncer toute tentative de corruption et détournement de fond.</w:t>
      </w:r>
    </w:p>
    <w:p w:rsidR="00993985" w:rsidRDefault="00567FDF" w:rsidP="00C750C5">
      <w:pPr>
        <w:outlineLvl w:val="0"/>
      </w:pPr>
      <w:r>
        <w:t xml:space="preserve"> </w:t>
      </w:r>
      <w:r w:rsidR="00A74BE9" w:rsidRPr="009841B8">
        <w:rPr>
          <w:b/>
        </w:rPr>
        <w:t xml:space="preserve">(iii) </w:t>
      </w:r>
      <w:r w:rsidR="00993985" w:rsidRPr="009841B8">
        <w:rPr>
          <w:b/>
        </w:rPr>
        <w:t>Le grand public</w:t>
      </w:r>
      <w:r w:rsidR="00993985">
        <w:t xml:space="preserve">: </w:t>
      </w:r>
      <w:bookmarkStart w:id="2" w:name="OLE_LINK7"/>
      <w:bookmarkStart w:id="3" w:name="OLE_LINK8"/>
      <w:r w:rsidR="00993985">
        <w:t>En collaboration avec la composante IEC, une campagne</w:t>
      </w:r>
      <w:r w:rsidR="00C750C5">
        <w:t xml:space="preserve"> de lutte contre la corruption </w:t>
      </w:r>
      <w:r w:rsidR="00993985">
        <w:t>sera menée à travers le</w:t>
      </w:r>
      <w:r w:rsidR="00F01B6E">
        <w:t>s</w:t>
      </w:r>
      <w:r w:rsidR="00993985">
        <w:t xml:space="preserve"> média</w:t>
      </w:r>
      <w:r w:rsidR="00F01B6E">
        <w:t>s</w:t>
      </w:r>
      <w:r w:rsidR="00C750C5">
        <w:t>. Les supports de communication (vidéo, musique, théâtre) mettant l’accent sur le risques de corruption dans le processus REDD seront développés</w:t>
      </w:r>
      <w:bookmarkEnd w:id="2"/>
      <w:bookmarkEnd w:id="3"/>
      <w:r w:rsidR="00F01B6E">
        <w:t>.</w:t>
      </w:r>
    </w:p>
    <w:p w:rsidR="00C750C5" w:rsidRDefault="00C750C5" w:rsidP="00185D89">
      <w:pPr>
        <w:outlineLvl w:val="0"/>
        <w:rPr>
          <w:b/>
        </w:rPr>
      </w:pPr>
    </w:p>
    <w:p w:rsidR="00185D89" w:rsidRDefault="00185D89" w:rsidP="00185D89">
      <w:pPr>
        <w:outlineLvl w:val="0"/>
        <w:rPr>
          <w:b/>
        </w:rPr>
      </w:pPr>
      <w:r>
        <w:rPr>
          <w:b/>
        </w:rPr>
        <w:t xml:space="preserve">Axe II : Clarification du cadre juridique </w:t>
      </w:r>
    </w:p>
    <w:p w:rsidR="00127D03" w:rsidRDefault="00DE1743" w:rsidP="00EF5C88">
      <w:r>
        <w:t xml:space="preserve">Certaines études ont été menées </w:t>
      </w:r>
      <w:r w:rsidR="00BF32B4">
        <w:t>sur l’a</w:t>
      </w:r>
      <w:r w:rsidR="008A166D">
        <w:t>nalys</w:t>
      </w:r>
      <w:r w:rsidR="00BF32B4">
        <w:t xml:space="preserve">e du contexte juridique dans lequel se déroulement le processus REDD </w:t>
      </w:r>
      <w:r w:rsidR="008A166D">
        <w:t>en</w:t>
      </w:r>
      <w:r w:rsidR="002A75C0">
        <w:t xml:space="preserve"> RDC, notamment les r</w:t>
      </w:r>
      <w:r w:rsidR="008A166D">
        <w:t>apports PNUE et G</w:t>
      </w:r>
      <w:r w:rsidR="002A75C0">
        <w:t>FLS phase I</w:t>
      </w:r>
      <w:r w:rsidR="008A166D">
        <w:t xml:space="preserve">. </w:t>
      </w:r>
      <w:r w:rsidR="00BF32B4">
        <w:t xml:space="preserve">Il découle de ces études, </w:t>
      </w:r>
      <w:r w:rsidR="002A75C0">
        <w:t>l’</w:t>
      </w:r>
      <w:r w:rsidR="002A75C0" w:rsidRPr="002A75C0">
        <w:t>absence d’une réglementation propre sur la REDD</w:t>
      </w:r>
      <w:r w:rsidR="00EF7629">
        <w:t xml:space="preserve">. </w:t>
      </w:r>
      <w:r w:rsidR="002A75C0">
        <w:t>Pour ce faire, la</w:t>
      </w:r>
      <w:r w:rsidR="00EF7629">
        <w:t xml:space="preserve"> </w:t>
      </w:r>
      <w:r w:rsidR="00127D03">
        <w:t xml:space="preserve">clarification du cadre juridique </w:t>
      </w:r>
      <w:r w:rsidR="0025542F">
        <w:t xml:space="preserve">s’avère important. Cette clarification </w:t>
      </w:r>
      <w:r w:rsidR="00127D03">
        <w:t xml:space="preserve">se fera à deux niveaux : (i) au niveau du diagnostic du cadre juridique qui gouverne les ressources naturelles et (ii) au niveau de son harmonisation </w:t>
      </w:r>
      <w:r w:rsidR="002756CC">
        <w:t xml:space="preserve">et optimisation </w:t>
      </w:r>
      <w:r w:rsidR="00127D03">
        <w:t xml:space="preserve">avec les autres textes. </w:t>
      </w:r>
    </w:p>
    <w:p w:rsidR="00127D03" w:rsidRPr="004E6BF3" w:rsidRDefault="004E6BF3" w:rsidP="00EF5C88">
      <w:pPr>
        <w:rPr>
          <w:b/>
        </w:rPr>
      </w:pPr>
      <w:r w:rsidRPr="004E6BF3">
        <w:rPr>
          <w:b/>
        </w:rPr>
        <w:t xml:space="preserve">II. </w:t>
      </w:r>
      <w:r w:rsidR="00127D03" w:rsidRPr="004E6BF3">
        <w:rPr>
          <w:b/>
        </w:rPr>
        <w:t>1. Diagnostic du cadre juridique</w:t>
      </w:r>
    </w:p>
    <w:p w:rsidR="00EF5C88" w:rsidRDefault="00127D03" w:rsidP="00EF5C88">
      <w:r>
        <w:t xml:space="preserve">Ce diagnostic consistera à faire une lecture critique des codes </w:t>
      </w:r>
      <w:r w:rsidR="00EF5C88">
        <w:t xml:space="preserve">forestier, </w:t>
      </w:r>
      <w:r w:rsidR="00D15653">
        <w:t xml:space="preserve">agricole, </w:t>
      </w:r>
      <w:r w:rsidR="00EF5C88">
        <w:t>minier et foncier en rapport avec les aspects liés au processus REDD</w:t>
      </w:r>
      <w:r>
        <w:t xml:space="preserve"> et ce dans la perspective de faire ressortir leurs manquements et chevauchements et de proposer un cadre juridique pouvant protéger les projets REDD. </w:t>
      </w:r>
      <w:r w:rsidR="00EF5C88">
        <w:t>Ce</w:t>
      </w:r>
      <w:r w:rsidR="00D15653">
        <w:t>tte</w:t>
      </w:r>
      <w:r w:rsidR="00EF5C88">
        <w:t xml:space="preserve"> activité s’aligner</w:t>
      </w:r>
      <w:r w:rsidR="00D15653">
        <w:t>a</w:t>
      </w:r>
      <w:r w:rsidR="00EF5C88">
        <w:t xml:space="preserve"> avec</w:t>
      </w:r>
      <w:r w:rsidR="004E6BF3">
        <w:t xml:space="preserve"> l</w:t>
      </w:r>
      <w:r w:rsidR="00EF5C88">
        <w:t xml:space="preserve">es initiatives en cours pour engager le parlement Congolais dans </w:t>
      </w:r>
      <w:r w:rsidR="00EF5C88">
        <w:lastRenderedPageBreak/>
        <w:t xml:space="preserve">ce type de reforme. </w:t>
      </w:r>
      <w:r w:rsidR="004E6BF3">
        <w:t>A cette fin l</w:t>
      </w:r>
      <w:r w:rsidR="00EF5C88">
        <w:t>e</w:t>
      </w:r>
      <w:r w:rsidR="00EF5C88" w:rsidRPr="004E0025">
        <w:t xml:space="preserve"> partenariat</w:t>
      </w:r>
      <w:r w:rsidR="004E6BF3">
        <w:t xml:space="preserve"> qui s’engage entre </w:t>
      </w:r>
      <w:bookmarkStart w:id="4" w:name="OLE_LINK13"/>
      <w:bookmarkStart w:id="5" w:name="OLE_LINK14"/>
      <w:r w:rsidR="00EF5C88" w:rsidRPr="004E0025">
        <w:t>GLOBE International</w:t>
      </w:r>
      <w:bookmarkEnd w:id="4"/>
      <w:bookmarkEnd w:id="5"/>
      <w:r w:rsidR="00EF5C88" w:rsidRPr="004E0025">
        <w:t xml:space="preserve"> et la Coordination Nationale REDD </w:t>
      </w:r>
      <w:r w:rsidR="004E6BF3">
        <w:t>sera appuyé pour</w:t>
      </w:r>
      <w:r w:rsidR="00EF5C88" w:rsidRPr="004E0025">
        <w:t xml:space="preserve"> promouvoir </w:t>
      </w:r>
      <w:r w:rsidR="00EF5C88">
        <w:t xml:space="preserve">les </w:t>
      </w:r>
      <w:r w:rsidR="00EF5C88" w:rsidRPr="004E0025">
        <w:t>réformes législatives</w:t>
      </w:r>
      <w:r w:rsidR="00EF5C88">
        <w:t>.</w:t>
      </w:r>
    </w:p>
    <w:p w:rsidR="00C65AD8" w:rsidRDefault="00C65AD8" w:rsidP="00E01FC3">
      <w:pPr>
        <w:outlineLvl w:val="0"/>
        <w:rPr>
          <w:b/>
        </w:rPr>
      </w:pPr>
    </w:p>
    <w:p w:rsidR="004E6BF3" w:rsidRPr="004E6BF3" w:rsidRDefault="004E6BF3" w:rsidP="00E01FC3">
      <w:pPr>
        <w:outlineLvl w:val="0"/>
        <w:rPr>
          <w:b/>
        </w:rPr>
      </w:pPr>
      <w:r w:rsidRPr="004E6BF3">
        <w:rPr>
          <w:b/>
        </w:rPr>
        <w:t>II.2. Harmonisation du cadre juridique</w:t>
      </w:r>
    </w:p>
    <w:p w:rsidR="00F65833" w:rsidRDefault="004E6BF3" w:rsidP="00E01FC3">
      <w:pPr>
        <w:outlineLvl w:val="0"/>
      </w:pPr>
      <w:r>
        <w:t>L</w:t>
      </w:r>
      <w:r w:rsidR="003E34DD">
        <w:t xml:space="preserve">es </w:t>
      </w:r>
      <w:r w:rsidR="00151F3B">
        <w:t xml:space="preserve">forêts congolaises </w:t>
      </w:r>
      <w:r w:rsidR="005D5E42">
        <w:t>sur l</w:t>
      </w:r>
      <w:r w:rsidR="00C56EC3">
        <w:t>esquelles les projets REDD</w:t>
      </w:r>
      <w:r w:rsidR="005D5E42">
        <w:t xml:space="preserve"> peuvent </w:t>
      </w:r>
      <w:r w:rsidR="00DC53F5">
        <w:t xml:space="preserve">se développer </w:t>
      </w:r>
      <w:r w:rsidR="00151F3B">
        <w:t>regorgent d’</w:t>
      </w:r>
      <w:r>
        <w:t xml:space="preserve">une multitude de </w:t>
      </w:r>
      <w:r w:rsidR="00151F3B">
        <w:t>ressources naturelles telles que l’or, diamant et le pétrole</w:t>
      </w:r>
      <w:r w:rsidR="00DC53F5">
        <w:t>. Le</w:t>
      </w:r>
      <w:r>
        <w:t>s</w:t>
      </w:r>
      <w:r w:rsidR="00DC53F5">
        <w:t xml:space="preserve"> risque</w:t>
      </w:r>
      <w:r>
        <w:t>s</w:t>
      </w:r>
      <w:r w:rsidR="00DC53F5">
        <w:t xml:space="preserve"> qu</w:t>
      </w:r>
      <w:r>
        <w:t xml:space="preserve">e les </w:t>
      </w:r>
      <w:r w:rsidR="00DC53F5">
        <w:t>projet</w:t>
      </w:r>
      <w:r>
        <w:t>s</w:t>
      </w:r>
      <w:r w:rsidR="00DC53F5">
        <w:t xml:space="preserve"> REDD soi</w:t>
      </w:r>
      <w:r>
        <w:t>en</w:t>
      </w:r>
      <w:r w:rsidR="00DC53F5">
        <w:t>t remplacé</w:t>
      </w:r>
      <w:r>
        <w:t>s</w:t>
      </w:r>
      <w:r w:rsidR="00DC53F5">
        <w:t xml:space="preserve"> par un autre projet d’exploitation </w:t>
      </w:r>
      <w:r w:rsidR="00CF1DBD">
        <w:t>plus lucratif</w:t>
      </w:r>
      <w:r w:rsidR="00374E45">
        <w:t xml:space="preserve"> </w:t>
      </w:r>
      <w:r>
        <w:t>sont</w:t>
      </w:r>
      <w:r w:rsidR="00374E45">
        <w:t xml:space="preserve"> élevé</w:t>
      </w:r>
      <w:r>
        <w:t>s</w:t>
      </w:r>
      <w:r w:rsidR="00CF1DBD">
        <w:t xml:space="preserve">.  </w:t>
      </w:r>
    </w:p>
    <w:p w:rsidR="00F17914" w:rsidRDefault="004E6BF3" w:rsidP="00E01FC3">
      <w:pPr>
        <w:outlineLvl w:val="0"/>
      </w:pPr>
      <w:r>
        <w:t xml:space="preserve">Aussi  </w:t>
      </w:r>
      <w:r w:rsidR="00F65833">
        <w:t>l’</w:t>
      </w:r>
      <w:r w:rsidR="00CF1DBD">
        <w:t xml:space="preserve">harmonisation de code forestier au regard des autres codes (code minier et code foncier) mérite d’être effectuée </w:t>
      </w:r>
      <w:r w:rsidR="00C56EC3">
        <w:t>afin de mettre les projets REDD</w:t>
      </w:r>
      <w:r w:rsidR="00CF1DBD">
        <w:t xml:space="preserve"> aux abris de toute mauvais interprétation</w:t>
      </w:r>
      <w:r w:rsidR="006A06C1">
        <w:t xml:space="preserve"> de la loi</w:t>
      </w:r>
      <w:r w:rsidR="00CF1DBD">
        <w:t xml:space="preserve">. </w:t>
      </w:r>
      <w:r>
        <w:t xml:space="preserve">Plus spécifiquement il s’agira : (a) d’harmoniser les divers codes (forestier, foncier, minier, investissement) et (b) de clarifier la relation Pouvoir Public – Pouvoir Coutumier </w:t>
      </w:r>
      <w:r w:rsidR="00211760">
        <w:t>au</w:t>
      </w:r>
      <w:r>
        <w:t xml:space="preserve"> reg</w:t>
      </w:r>
      <w:r w:rsidR="00C72964">
        <w:t xml:space="preserve">ard du droit foncier </w:t>
      </w:r>
      <w:r w:rsidR="00C72964" w:rsidRPr="00C72964">
        <w:t>et (c) d’appuyer leur adoption par les autorités nationales</w:t>
      </w:r>
      <w:r w:rsidR="008150BB">
        <w:t>.</w:t>
      </w:r>
    </w:p>
    <w:p w:rsidR="00C65AD8" w:rsidRPr="00C65AD8" w:rsidRDefault="00C65AD8" w:rsidP="00185D89">
      <w:pPr>
        <w:outlineLvl w:val="0"/>
        <w:rPr>
          <w:b/>
          <w:sz w:val="16"/>
          <w:szCs w:val="16"/>
        </w:rPr>
      </w:pPr>
    </w:p>
    <w:p w:rsidR="0081078D" w:rsidRDefault="00EE2DC9" w:rsidP="00185D89">
      <w:pPr>
        <w:outlineLvl w:val="0"/>
        <w:rPr>
          <w:b/>
        </w:rPr>
      </w:pPr>
      <w:r>
        <w:rPr>
          <w:b/>
        </w:rPr>
        <w:t>Axe III</w:t>
      </w:r>
      <w:r w:rsidR="00185D89">
        <w:rPr>
          <w:b/>
        </w:rPr>
        <w:t xml:space="preserve">: </w:t>
      </w:r>
      <w:r w:rsidR="006C312C">
        <w:rPr>
          <w:b/>
        </w:rPr>
        <w:t xml:space="preserve">Transparence dans </w:t>
      </w:r>
      <w:r w:rsidR="0081078D">
        <w:rPr>
          <w:b/>
        </w:rPr>
        <w:t>la mise en œuvre des projets REDD</w:t>
      </w:r>
    </w:p>
    <w:p w:rsidR="0047566F" w:rsidRDefault="0075320C" w:rsidP="0075320C">
      <w:pPr>
        <w:outlineLvl w:val="0"/>
      </w:pPr>
      <w:r>
        <w:t>Les risques de fraude sont multiples dans les</w:t>
      </w:r>
      <w:r w:rsidR="00663B4D">
        <w:t xml:space="preserve"> différentes phases de la mise en œuvre d</w:t>
      </w:r>
      <w:r w:rsidR="0075016A">
        <w:t>es</w:t>
      </w:r>
      <w:r w:rsidR="00663B4D">
        <w:t xml:space="preserve"> projet</w:t>
      </w:r>
      <w:r w:rsidR="0075016A">
        <w:t>s</w:t>
      </w:r>
      <w:r w:rsidR="00663B4D">
        <w:t xml:space="preserve"> REDD</w:t>
      </w:r>
      <w:r>
        <w:t>. Il s’agit notamment des risques liés à</w:t>
      </w:r>
      <w:r w:rsidR="00D76622">
        <w:t xml:space="preserve"> l’attribution du droit à la terre, </w:t>
      </w:r>
      <w:r>
        <w:t xml:space="preserve"> la </w:t>
      </w:r>
      <w:r w:rsidR="00DB7A05">
        <w:t xml:space="preserve">manipulation </w:t>
      </w:r>
      <w:r w:rsidR="001662B5">
        <w:t>de</w:t>
      </w:r>
      <w:r w:rsidR="00DB7A05">
        <w:t>s résultats</w:t>
      </w:r>
      <w:r w:rsidR="00D76622">
        <w:t>, le</w:t>
      </w:r>
      <w:r w:rsidR="001662B5">
        <w:t xml:space="preserve"> double comptage </w:t>
      </w:r>
      <w:r w:rsidR="0020420C">
        <w:t>de crédit carbone</w:t>
      </w:r>
      <w:r w:rsidR="00D76622">
        <w:t>, le partage de bénéfices, etc</w:t>
      </w:r>
      <w:r>
        <w:t xml:space="preserve">. </w:t>
      </w:r>
      <w:r w:rsidR="0020420C">
        <w:t xml:space="preserve"> </w:t>
      </w:r>
      <w:r w:rsidR="00D76622">
        <w:t xml:space="preserve">Une cartographie des risques </w:t>
      </w:r>
      <w:r w:rsidR="0047566F">
        <w:t xml:space="preserve">(une sorte de tableau de bord des risques) </w:t>
      </w:r>
      <w:r w:rsidR="00D76622">
        <w:t>sera établie afin de bien cerner les risques</w:t>
      </w:r>
      <w:r w:rsidR="00E11D60">
        <w:t xml:space="preserve"> associés à chaque étape </w:t>
      </w:r>
      <w:r w:rsidR="0047566F">
        <w:t>et élaborer</w:t>
      </w:r>
      <w:r w:rsidR="00D76622">
        <w:t xml:space="preserve"> des </w:t>
      </w:r>
      <w:r w:rsidR="0047566F">
        <w:t xml:space="preserve">actions pour les réduire. </w:t>
      </w:r>
    </w:p>
    <w:p w:rsidR="0094096B" w:rsidRDefault="0090768E" w:rsidP="0075320C">
      <w:pPr>
        <w:outlineLvl w:val="0"/>
      </w:pPr>
      <w:r>
        <w:t>L</w:t>
      </w:r>
      <w:r w:rsidR="0047566F">
        <w:t xml:space="preserve">a réduction des risques de fraude </w:t>
      </w:r>
      <w:r>
        <w:t xml:space="preserve">dans REDD </w:t>
      </w:r>
      <w:r w:rsidR="0047566F">
        <w:t xml:space="preserve">passe aussi à travers un </w:t>
      </w:r>
      <w:r w:rsidR="00897207">
        <w:t>système</w:t>
      </w:r>
      <w:r w:rsidR="001662B5">
        <w:t xml:space="preserve"> MRV </w:t>
      </w:r>
      <w:r w:rsidR="00897207">
        <w:t xml:space="preserve">(Measurement, Reporting and Verification) qui fonctionne de manière effective. </w:t>
      </w:r>
      <w:r w:rsidR="00906FA4">
        <w:t>Dans cet axe</w:t>
      </w:r>
      <w:r w:rsidR="0020420C">
        <w:t xml:space="preserve"> 3</w:t>
      </w:r>
      <w:r w:rsidR="00906FA4">
        <w:t xml:space="preserve"> il est proposé</w:t>
      </w:r>
      <w:r w:rsidR="00C162FE">
        <w:t xml:space="preserve"> de</w:t>
      </w:r>
      <w:r w:rsidR="0020420C">
        <w:t>:</w:t>
      </w:r>
      <w:r w:rsidR="002E5638">
        <w:t xml:space="preserve"> </w:t>
      </w:r>
    </w:p>
    <w:p w:rsidR="00CC69BE" w:rsidRDefault="0094096B" w:rsidP="00CC69BE">
      <w:pPr>
        <w:pStyle w:val="ListParagraph"/>
        <w:numPr>
          <w:ilvl w:val="0"/>
          <w:numId w:val="6"/>
        </w:numPr>
        <w:outlineLvl w:val="0"/>
      </w:pPr>
      <w:r>
        <w:t xml:space="preserve">Faire le suivi de la procédure d’homologation des projets et la promotion de </w:t>
      </w:r>
      <w:r w:rsidR="00320FC5">
        <w:t>l’utilisation du Registrer National REDD</w:t>
      </w:r>
      <w:r w:rsidR="000778DF">
        <w:t xml:space="preserve"> </w:t>
      </w:r>
      <w:r w:rsidR="00D51B76">
        <w:t>(</w:t>
      </w:r>
      <w:r w:rsidR="00320FC5">
        <w:rPr>
          <w:rStyle w:val="FootnoteReference"/>
        </w:rPr>
        <w:footnoteReference w:id="2"/>
      </w:r>
      <w:r w:rsidR="00D51B76">
        <w:t xml:space="preserve">) </w:t>
      </w:r>
      <w:r>
        <w:t>afin d’</w:t>
      </w:r>
      <w:r w:rsidR="004C2C6C">
        <w:t>assurer la transparence</w:t>
      </w:r>
      <w:r w:rsidR="002E7A57">
        <w:t xml:space="preserve"> </w:t>
      </w:r>
      <w:r w:rsidR="00B80509" w:rsidRPr="00B80509">
        <w:t xml:space="preserve">et la reddition de comptes </w:t>
      </w:r>
      <w:r w:rsidR="002E7A57">
        <w:t>dans le processus</w:t>
      </w:r>
      <w:r w:rsidR="00CC69BE">
        <w:t xml:space="preserve"> et</w:t>
      </w:r>
      <w:r w:rsidR="001D6577">
        <w:t xml:space="preserve">; </w:t>
      </w:r>
    </w:p>
    <w:p w:rsidR="006A06C1" w:rsidRDefault="0094096B" w:rsidP="00CC69BE">
      <w:pPr>
        <w:pStyle w:val="ListParagraph"/>
        <w:numPr>
          <w:ilvl w:val="0"/>
          <w:numId w:val="6"/>
        </w:numPr>
        <w:outlineLvl w:val="0"/>
      </w:pPr>
      <w:r>
        <w:t>Promouvoir le s</w:t>
      </w:r>
      <w:r w:rsidRPr="0094096B">
        <w:t xml:space="preserve">ystème de suivi participatif </w:t>
      </w:r>
      <w:r>
        <w:t>de</w:t>
      </w:r>
      <w:r w:rsidRPr="0094096B">
        <w:t xml:space="preserve"> la société civile (ex: Moabi OSFAC/WWF)</w:t>
      </w:r>
    </w:p>
    <w:p w:rsidR="009735C2" w:rsidRDefault="00C162FE" w:rsidP="009735C2">
      <w:r>
        <w:t xml:space="preserve">Les questions liées à la </w:t>
      </w:r>
      <w:bookmarkStart w:id="6" w:name="OLE_LINK21"/>
      <w:bookmarkStart w:id="7" w:name="OLE_LINK22"/>
      <w:r>
        <w:t>c</w:t>
      </w:r>
      <w:r w:rsidR="00954B74" w:rsidRPr="00954B74">
        <w:t>larté des droits</w:t>
      </w:r>
      <w:r>
        <w:t xml:space="preserve"> et </w:t>
      </w:r>
      <w:r w:rsidR="00954B74" w:rsidRPr="00954B74">
        <w:t>responsabilités des parties prenantes</w:t>
      </w:r>
      <w:r w:rsidR="00784A19">
        <w:t xml:space="preserve"> </w:t>
      </w:r>
      <w:bookmarkEnd w:id="6"/>
      <w:bookmarkEnd w:id="7"/>
      <w:r w:rsidR="00784A19">
        <w:t>sont importantes</w:t>
      </w:r>
      <w:r w:rsidR="00E82CFD">
        <w:t xml:space="preserve"> dans la mise en œuvre des projets REDD</w:t>
      </w:r>
      <w:r w:rsidR="00954B74">
        <w:t xml:space="preserve">. </w:t>
      </w:r>
      <w:r w:rsidR="00646DF4">
        <w:t xml:space="preserve">Le partage de revenus est une question </w:t>
      </w:r>
      <w:r w:rsidR="00CC69BE">
        <w:t>fondamentale</w:t>
      </w:r>
      <w:r w:rsidR="00646DF4">
        <w:t xml:space="preserve"> qui déterminera la satisfaction </w:t>
      </w:r>
      <w:r w:rsidR="00596BD2">
        <w:t xml:space="preserve">et </w:t>
      </w:r>
      <w:r w:rsidR="008A735F">
        <w:t>l’</w:t>
      </w:r>
      <w:r w:rsidR="00596BD2">
        <w:t xml:space="preserve">adhésion </w:t>
      </w:r>
      <w:r w:rsidR="00646DF4">
        <w:t>des parties prenantes dans le processus.</w:t>
      </w:r>
      <w:r w:rsidR="00A82D8A">
        <w:t xml:space="preserve"> Pour ce faire, </w:t>
      </w:r>
      <w:r w:rsidR="00783B11">
        <w:t>le renforcement des capacités de la société civile s’avère important pour une participation efficiente dans le processus REDD.</w:t>
      </w:r>
      <w:r w:rsidR="00646DF4">
        <w:t xml:space="preserve"> En ce qui concerne les fonds issus des activités REDD certaines questions méritent d’être posées pour aider au bon fonctionnement du mécanisme. Quelle </w:t>
      </w:r>
      <w:r w:rsidR="00F963BF">
        <w:t>est la structure de gestion de F</w:t>
      </w:r>
      <w:r w:rsidR="00646DF4">
        <w:t>onds</w:t>
      </w:r>
      <w:r w:rsidR="00F963BF">
        <w:t xml:space="preserve"> National</w:t>
      </w:r>
      <w:r w:rsidR="00646DF4">
        <w:t xml:space="preserve"> REDD</w:t>
      </w:r>
      <w:r w:rsidR="007A77AB">
        <w:t>?</w:t>
      </w:r>
      <w:r w:rsidR="007809D2">
        <w:t xml:space="preserve"> </w:t>
      </w:r>
      <w:r w:rsidR="00CD79A2">
        <w:t>Qui a droit au revenu REDD</w:t>
      </w:r>
      <w:r w:rsidR="00646DF4">
        <w:t xml:space="preserve"> et à quelle proportion</w:t>
      </w:r>
      <w:r w:rsidR="007A77AB">
        <w:t>?</w:t>
      </w:r>
      <w:r w:rsidR="007809D2">
        <w:t xml:space="preserve"> </w:t>
      </w:r>
      <w:r w:rsidR="003D3156">
        <w:t>Comment le revenu est distribué</w:t>
      </w:r>
      <w:r w:rsidR="00646DF4">
        <w:t>: espères, infrastructures ou services sociaux?</w:t>
      </w:r>
      <w:r w:rsidR="000D4FB1">
        <w:t xml:space="preserve"> </w:t>
      </w:r>
      <w:bookmarkStart w:id="8" w:name="OLE_LINK11"/>
      <w:bookmarkStart w:id="9" w:name="OLE_LINK12"/>
      <w:r w:rsidR="00753F81">
        <w:t>Ainsi</w:t>
      </w:r>
      <w:r w:rsidR="00AE28DF">
        <w:t xml:space="preserve">, </w:t>
      </w:r>
      <w:r w:rsidR="00633CCD">
        <w:t>l</w:t>
      </w:r>
      <w:r w:rsidR="007809D2">
        <w:t xml:space="preserve">’axe 3 </w:t>
      </w:r>
      <w:r w:rsidR="00AE28DF">
        <w:t xml:space="preserve">participera </w:t>
      </w:r>
      <w:r w:rsidR="00633CCD">
        <w:t xml:space="preserve">au développement des indicateurs de gouvernance </w:t>
      </w:r>
      <w:r w:rsidR="009735C2">
        <w:t xml:space="preserve">de </w:t>
      </w:r>
      <w:r w:rsidR="00AE28DF">
        <w:t>différents mécanismes</w:t>
      </w:r>
      <w:r w:rsidR="009735C2">
        <w:t xml:space="preserve"> de financements REDD, tels que le Fond National REDD et FIP. </w:t>
      </w:r>
    </w:p>
    <w:p w:rsidR="00F27E68" w:rsidRDefault="00F27E68" w:rsidP="009735C2"/>
    <w:bookmarkEnd w:id="8"/>
    <w:bookmarkEnd w:id="9"/>
    <w:p w:rsidR="00BC4175" w:rsidRDefault="00BC4175" w:rsidP="00185D89">
      <w:pPr>
        <w:outlineLvl w:val="0"/>
        <w:rPr>
          <w:b/>
        </w:rPr>
      </w:pPr>
      <w:r>
        <w:rPr>
          <w:b/>
        </w:rPr>
        <w:t>Axe IV :</w:t>
      </w:r>
      <w:r w:rsidR="007A5296">
        <w:rPr>
          <w:b/>
        </w:rPr>
        <w:t xml:space="preserve"> Mécanisme </w:t>
      </w:r>
      <w:r w:rsidR="00596BD2">
        <w:rPr>
          <w:b/>
        </w:rPr>
        <w:t xml:space="preserve">de </w:t>
      </w:r>
      <w:r w:rsidR="00220FBB">
        <w:rPr>
          <w:b/>
        </w:rPr>
        <w:t xml:space="preserve">gestions des plaintes, </w:t>
      </w:r>
      <w:r w:rsidR="007A5296">
        <w:rPr>
          <w:b/>
        </w:rPr>
        <w:t>dénonciation</w:t>
      </w:r>
      <w:r w:rsidR="00220FBB">
        <w:rPr>
          <w:b/>
        </w:rPr>
        <w:t>s</w:t>
      </w:r>
      <w:r w:rsidR="007A5296">
        <w:rPr>
          <w:b/>
        </w:rPr>
        <w:t xml:space="preserve"> et sanctions </w:t>
      </w:r>
    </w:p>
    <w:p w:rsidR="001724EC" w:rsidRDefault="00646DF4" w:rsidP="00646DF4">
      <w:bookmarkStart w:id="10" w:name="OLE_LINK19"/>
      <w:bookmarkStart w:id="11" w:name="OLE_LINK20"/>
      <w:r>
        <w:t>Le processus REDD étant une démarche impliquant des transactions et accords financiers, il est évident que des conflits surgi</w:t>
      </w:r>
      <w:r w:rsidR="00661174">
        <w:t>ro</w:t>
      </w:r>
      <w:r>
        <w:t>nt entre les parti</w:t>
      </w:r>
      <w:r w:rsidR="008A735F">
        <w:t>es prenantes. Il peut s’agir de</w:t>
      </w:r>
      <w:r>
        <w:t xml:space="preserve"> conflits liés à l’exclusion à la participation, au partage de revenu ou à la corruption ou détournement des fonds. </w:t>
      </w:r>
      <w:r w:rsidR="000D2F02" w:rsidRPr="000D2F02">
        <w:t xml:space="preserve">Tous ces conflits feront l’objet de plaintes qu’il faut gérer soit </w:t>
      </w:r>
      <w:r w:rsidR="000D2F02" w:rsidRPr="00F97146">
        <w:rPr>
          <w:b/>
        </w:rPr>
        <w:t>à l’amiable</w:t>
      </w:r>
      <w:r w:rsidR="000D2F02" w:rsidRPr="000D2F02">
        <w:t xml:space="preserve"> ou encore </w:t>
      </w:r>
      <w:r w:rsidR="000D2F02" w:rsidRPr="00F97146">
        <w:rPr>
          <w:b/>
        </w:rPr>
        <w:t>devant les tribunaux</w:t>
      </w:r>
      <w:r w:rsidR="000D2F02" w:rsidRPr="000D2F02">
        <w:t>.</w:t>
      </w:r>
    </w:p>
    <w:bookmarkEnd w:id="10"/>
    <w:bookmarkEnd w:id="11"/>
    <w:p w:rsidR="000D2F02" w:rsidRDefault="001724EC" w:rsidP="00646DF4">
      <w:r>
        <w:t xml:space="preserve">Les analyses du système judiciaire </w:t>
      </w:r>
      <w:r w:rsidR="00E16C46">
        <w:t>Congolais</w:t>
      </w:r>
      <w:r>
        <w:t xml:space="preserve"> révèle</w:t>
      </w:r>
      <w:r w:rsidR="008A735F">
        <w:t>nt</w:t>
      </w:r>
      <w:r>
        <w:t xml:space="preserve"> des</w:t>
      </w:r>
      <w:r w:rsidR="00E16C46">
        <w:t xml:space="preserve"> dysfonctionnements à plusieurs niveaux</w:t>
      </w:r>
      <w:r w:rsidR="00661174">
        <w:t xml:space="preserve"> tels que : </w:t>
      </w:r>
      <w:r w:rsidR="00862C32">
        <w:t xml:space="preserve">violation des procédures judiciaires ; non application des jugements prononcés et </w:t>
      </w:r>
      <w:r w:rsidR="00661174">
        <w:t>impunité</w:t>
      </w:r>
      <w:r w:rsidR="00862C32">
        <w:t>.</w:t>
      </w:r>
      <w:r w:rsidR="00E16C46">
        <w:t xml:space="preserve"> </w:t>
      </w:r>
      <w:r>
        <w:t xml:space="preserve"> </w:t>
      </w:r>
      <w:r w:rsidR="00E16C46">
        <w:t xml:space="preserve">Ainsi </w:t>
      </w:r>
      <w:r w:rsidR="008A735F">
        <w:t>l’</w:t>
      </w:r>
      <w:r w:rsidR="00E16C46">
        <w:t xml:space="preserve">axe 4 se propose </w:t>
      </w:r>
      <w:r w:rsidR="008A735F">
        <w:t>de</w:t>
      </w:r>
      <w:r w:rsidR="00E16C46">
        <w:t xml:space="preserve"> renfo</w:t>
      </w:r>
      <w:r w:rsidR="00D70341">
        <w:t>r</w:t>
      </w:r>
      <w:r w:rsidR="00E16C46">
        <w:t>ce</w:t>
      </w:r>
      <w:r w:rsidR="008A735F">
        <w:t>r</w:t>
      </w:r>
      <w:r w:rsidR="00E16C46">
        <w:t xml:space="preserve"> </w:t>
      </w:r>
      <w:r w:rsidR="008A735F">
        <w:t>l</w:t>
      </w:r>
      <w:r w:rsidR="00E16C46">
        <w:t xml:space="preserve">es capacités des institutions pouvant jouer un rôle dans les réclamations, dénonciations et sanctions d’abus. </w:t>
      </w:r>
    </w:p>
    <w:p w:rsidR="00252FD3" w:rsidRDefault="00E16C46" w:rsidP="00646DF4">
      <w:r>
        <w:t xml:space="preserve">Les efforts </w:t>
      </w:r>
      <w:r w:rsidR="00D70341">
        <w:t>porteront sur</w:t>
      </w:r>
      <w:r w:rsidR="00700467">
        <w:t>: (i)</w:t>
      </w:r>
      <w:r>
        <w:t xml:space="preserve"> </w:t>
      </w:r>
      <w:r w:rsidR="00700467">
        <w:t>L</w:t>
      </w:r>
      <w:r>
        <w:t xml:space="preserve">a formation des </w:t>
      </w:r>
      <w:r w:rsidR="00D70341">
        <w:t xml:space="preserve">professionnels des médias aux techniques de </w:t>
      </w:r>
      <w:r>
        <w:t>journalis</w:t>
      </w:r>
      <w:r w:rsidR="00D70341">
        <w:t>me</w:t>
      </w:r>
      <w:r>
        <w:t xml:space="preserve"> d’inv</w:t>
      </w:r>
      <w:r w:rsidR="002D626C">
        <w:t>estigation</w:t>
      </w:r>
      <w:r w:rsidR="00700467">
        <w:t>; (ii)</w:t>
      </w:r>
      <w:r>
        <w:t xml:space="preserve"> la formation des magistrats et juges d’instruction</w:t>
      </w:r>
      <w:r w:rsidR="00D70341">
        <w:t xml:space="preserve"> sur les éventuels abus et conflits liés au processus REDD</w:t>
      </w:r>
      <w:r>
        <w:t xml:space="preserve">. En </w:t>
      </w:r>
      <w:r w:rsidR="006D3733">
        <w:t>plus</w:t>
      </w:r>
      <w:r>
        <w:t>,</w:t>
      </w:r>
      <w:r w:rsidR="00F4565C">
        <w:t xml:space="preserve"> pour la gestion des plaintes, </w:t>
      </w:r>
      <w:r>
        <w:t xml:space="preserve">cet axe se propose </w:t>
      </w:r>
      <w:r w:rsidR="00F4565C">
        <w:t xml:space="preserve">(i) de créer une créer une rubrique «Plaintes» à travers l’outil en line Moabi RDC et (ii) </w:t>
      </w:r>
      <w:r>
        <w:t>d</w:t>
      </w:r>
      <w:r w:rsidR="008A735F">
        <w:t xml:space="preserve">’analyser les possibilités </w:t>
      </w:r>
      <w:r w:rsidR="00D70341">
        <w:t xml:space="preserve">de mettre en place </w:t>
      </w:r>
      <w:r>
        <w:t>un système anonyme de dénonciations (</w:t>
      </w:r>
      <w:r w:rsidRPr="00E16C46">
        <w:t>whistleblower</w:t>
      </w:r>
      <w:r>
        <w:t xml:space="preserve">) des cas corruptions dans le processus REDD </w:t>
      </w:r>
      <w:r w:rsidR="00252FD3">
        <w:t xml:space="preserve">afin </w:t>
      </w:r>
      <w:r w:rsidR="008A735F">
        <w:t>de servir de base d</w:t>
      </w:r>
      <w:r>
        <w:t>e</w:t>
      </w:r>
      <w:r w:rsidR="00252FD3">
        <w:t xml:space="preserve"> poursuites judiciaires</w:t>
      </w:r>
      <w:r w:rsidR="008A735F">
        <w:t>. Pour ce faire une  «ligne </w:t>
      </w:r>
      <w:r>
        <w:t>ver</w:t>
      </w:r>
      <w:r w:rsidR="00252FD3">
        <w:t>t</w:t>
      </w:r>
      <w:r w:rsidR="008A735F">
        <w:t>e</w:t>
      </w:r>
      <w:r w:rsidR="00252FD3">
        <w:t>»</w:t>
      </w:r>
      <w:r>
        <w:t xml:space="preserve"> d’appel </w:t>
      </w:r>
      <w:r w:rsidR="00E0425B">
        <w:t>pourrait</w:t>
      </w:r>
      <w:r w:rsidR="00252FD3">
        <w:t xml:space="preserve"> </w:t>
      </w:r>
      <w:r>
        <w:t>être établi</w:t>
      </w:r>
      <w:r w:rsidR="008A735F">
        <w:t>e</w:t>
      </w:r>
      <w:r>
        <w:t>.</w:t>
      </w:r>
    </w:p>
    <w:p w:rsidR="00851F4F" w:rsidRDefault="00851F4F" w:rsidP="00646DF4">
      <w:r w:rsidRPr="00C24C36">
        <w:t>Pour qu’</w:t>
      </w:r>
      <w:r w:rsidR="00C24C36">
        <w:t>un système de collette de plaintes et sanctions des abus soit indépendant, il est important qu’il soit doté des moyens financiers suffisants pour son fonctionnement</w:t>
      </w:r>
      <w:r w:rsidR="0090320F">
        <w:t xml:space="preserve"> afin d’éviter toute tentative de corruption ou d’impartialité</w:t>
      </w:r>
      <w:r w:rsidR="00C24C36">
        <w:t xml:space="preserve">. Il est proposé </w:t>
      </w:r>
      <w:r w:rsidR="0090320F">
        <w:t xml:space="preserve">d’analyser </w:t>
      </w:r>
      <w:r w:rsidR="00C24C36">
        <w:t xml:space="preserve">la création </w:t>
      </w:r>
      <w:r w:rsidR="00C24C36" w:rsidRPr="00C24C36">
        <w:t xml:space="preserve">d’un </w:t>
      </w:r>
      <w:r w:rsidR="006657B5">
        <w:t>« </w:t>
      </w:r>
      <w:r w:rsidR="00C24C36" w:rsidRPr="00C24C36">
        <w:t>Fond d’accompagnement des procédures judiciaires REDD</w:t>
      </w:r>
      <w:r w:rsidR="006657B5">
        <w:t>»</w:t>
      </w:r>
      <w:r w:rsidR="00C24C36">
        <w:t xml:space="preserve"> qui sera</w:t>
      </w:r>
      <w:r w:rsidR="006657B5">
        <w:t>it</w:t>
      </w:r>
      <w:r w:rsidR="00C24C36">
        <w:t xml:space="preserve"> alimenté par les transactions du marché de carbone</w:t>
      </w:r>
      <w:r w:rsidR="006657B5">
        <w:t xml:space="preserve"> ou par une taxation. </w:t>
      </w:r>
    </w:p>
    <w:p w:rsidR="00E0425B" w:rsidRDefault="00E0425B" w:rsidP="00646DF4">
      <w:pPr>
        <w:outlineLvl w:val="0"/>
        <w:rPr>
          <w:b/>
        </w:rPr>
      </w:pPr>
    </w:p>
    <w:p w:rsidR="00646DF4" w:rsidRPr="00B75442" w:rsidRDefault="00646DF4" w:rsidP="00646DF4">
      <w:pPr>
        <w:outlineLvl w:val="0"/>
        <w:rPr>
          <w:b/>
        </w:rPr>
      </w:pPr>
      <w:r>
        <w:rPr>
          <w:b/>
        </w:rPr>
        <w:t xml:space="preserve">4. </w:t>
      </w:r>
      <w:r w:rsidRPr="00B75442">
        <w:rPr>
          <w:b/>
        </w:rPr>
        <w:t xml:space="preserve">Risques de la mise en œuvre du </w:t>
      </w:r>
      <w:r w:rsidR="00E0425B">
        <w:rPr>
          <w:b/>
        </w:rPr>
        <w:t>plan d’action</w:t>
      </w:r>
      <w:r w:rsidRPr="00B75442">
        <w:rPr>
          <w:b/>
        </w:rPr>
        <w:t xml:space="preserve"> </w:t>
      </w:r>
    </w:p>
    <w:p w:rsidR="00646DF4" w:rsidRDefault="00646DF4" w:rsidP="00646DF4">
      <w:r>
        <w:t>1- Récupération politique</w:t>
      </w:r>
      <w:r w:rsidR="009C5562">
        <w:t> </w:t>
      </w:r>
      <w:r>
        <w:t>/prise en otage des résolutions par les politiciens</w:t>
      </w:r>
    </w:p>
    <w:p w:rsidR="00646DF4" w:rsidRDefault="00646DF4" w:rsidP="00646DF4">
      <w:r>
        <w:t xml:space="preserve">2- Impunité/non exécution des jugements prononcés </w:t>
      </w:r>
    </w:p>
    <w:p w:rsidR="00646DF4" w:rsidRDefault="00646DF4" w:rsidP="00646DF4">
      <w:r>
        <w:t>3- Facteurs socio-économique/situation sociale médiocre</w:t>
      </w:r>
    </w:p>
    <w:p w:rsidR="00C64204" w:rsidRDefault="00C64204" w:rsidP="00646DF4">
      <w:r>
        <w:t>4- Pressions de</w:t>
      </w:r>
      <w:r w:rsidR="007809D2">
        <w:t>s</w:t>
      </w:r>
      <w:r>
        <w:t xml:space="preserve"> lobby</w:t>
      </w:r>
      <w:r w:rsidR="007809D2">
        <w:t>s</w:t>
      </w:r>
      <w:r>
        <w:t xml:space="preserve"> économique</w:t>
      </w:r>
      <w:r w:rsidR="007809D2">
        <w:t>s</w:t>
      </w:r>
      <w:r>
        <w:t>.</w:t>
      </w:r>
    </w:p>
    <w:p w:rsidR="00AC6E61" w:rsidRDefault="00AC6E61" w:rsidP="00646DF4">
      <w:r>
        <w:t>L’adhésion de toutes les parties dans cette vision de la gouvernance est importante afin de réduire les risques de la mise en œuvre de ce programme. Pour ce faire un dialogue permanent</w:t>
      </w:r>
      <w:r w:rsidR="00DD0409">
        <w:t>,</w:t>
      </w:r>
      <w:r>
        <w:t xml:space="preserve"> sur</w:t>
      </w:r>
      <w:r w:rsidR="00DD0409">
        <w:t xml:space="preserve"> l</w:t>
      </w:r>
      <w:r>
        <w:t>es questions</w:t>
      </w:r>
      <w:r w:rsidR="00DD0409">
        <w:t xml:space="preserve"> de gouvernance REDD,</w:t>
      </w:r>
      <w:r>
        <w:t xml:space="preserve"> </w:t>
      </w:r>
      <w:r w:rsidR="00DD0409">
        <w:t>se</w:t>
      </w:r>
      <w:r>
        <w:t>r</w:t>
      </w:r>
      <w:r w:rsidR="00DD0409">
        <w:t>a</w:t>
      </w:r>
      <w:r>
        <w:t xml:space="preserve"> maintenu avec les acteurs politiques et ceux de la société civile</w:t>
      </w:r>
      <w:r w:rsidR="00E83BF1">
        <w:t>.</w:t>
      </w:r>
    </w:p>
    <w:p w:rsidR="00185D89" w:rsidRDefault="00646DF4" w:rsidP="00185D89">
      <w:r>
        <w:rPr>
          <w:b/>
        </w:rPr>
        <w:br w:type="page"/>
      </w:r>
    </w:p>
    <w:p w:rsidR="00185D89" w:rsidRDefault="00185D89" w:rsidP="00185D89">
      <w:pPr>
        <w:sectPr w:rsidR="00185D89" w:rsidSect="00066F9A">
          <w:footerReference w:type="default" r:id="rId8"/>
          <w:pgSz w:w="11906" w:h="16838"/>
          <w:pgMar w:top="1417" w:right="1417" w:bottom="1417" w:left="1417" w:header="708" w:footer="708" w:gutter="0"/>
          <w:cols w:space="708"/>
          <w:docGrid w:linePitch="360"/>
        </w:sectPr>
      </w:pPr>
    </w:p>
    <w:p w:rsidR="00185D89" w:rsidRDefault="00185D89" w:rsidP="00185D89">
      <w:pPr>
        <w:jc w:val="center"/>
        <w:rPr>
          <w:b/>
        </w:rPr>
      </w:pPr>
      <w:r w:rsidRPr="004A53BF">
        <w:rPr>
          <w:b/>
        </w:rPr>
        <w:t xml:space="preserve">PLAN DE TRAVAIL </w:t>
      </w:r>
    </w:p>
    <w:tbl>
      <w:tblPr>
        <w:tblStyle w:val="TableGrid"/>
        <w:tblW w:w="16160" w:type="dxa"/>
        <w:tblInd w:w="-1026" w:type="dxa"/>
        <w:tblLayout w:type="fixed"/>
        <w:tblLook w:val="04A0"/>
      </w:tblPr>
      <w:tblGrid>
        <w:gridCol w:w="425"/>
        <w:gridCol w:w="1702"/>
        <w:gridCol w:w="2268"/>
        <w:gridCol w:w="850"/>
        <w:gridCol w:w="1559"/>
        <w:gridCol w:w="2552"/>
        <w:gridCol w:w="2268"/>
        <w:gridCol w:w="2410"/>
        <w:gridCol w:w="992"/>
        <w:gridCol w:w="1134"/>
      </w:tblGrid>
      <w:tr w:rsidR="00F27E68" w:rsidTr="0037614E">
        <w:tc>
          <w:tcPr>
            <w:tcW w:w="2127" w:type="dxa"/>
            <w:gridSpan w:val="2"/>
            <w:shd w:val="clear" w:color="auto" w:fill="D9D9D9" w:themeFill="background1" w:themeFillShade="D9"/>
          </w:tcPr>
          <w:p w:rsidR="00F27E68" w:rsidRDefault="00F27E68" w:rsidP="006566CF"/>
        </w:tc>
        <w:tc>
          <w:tcPr>
            <w:tcW w:w="2268" w:type="dxa"/>
            <w:shd w:val="clear" w:color="auto" w:fill="D9D9D9" w:themeFill="background1" w:themeFillShade="D9"/>
          </w:tcPr>
          <w:p w:rsidR="00F27E68" w:rsidRPr="00D35C4F" w:rsidRDefault="00F27E68" w:rsidP="006566CF">
            <w:pPr>
              <w:rPr>
                <w:b/>
              </w:rPr>
            </w:pPr>
            <w:r w:rsidRPr="00D35C4F">
              <w:rPr>
                <w:b/>
              </w:rPr>
              <w:t>Activités</w:t>
            </w:r>
          </w:p>
        </w:tc>
        <w:tc>
          <w:tcPr>
            <w:tcW w:w="2409" w:type="dxa"/>
            <w:gridSpan w:val="2"/>
            <w:shd w:val="clear" w:color="auto" w:fill="D9D9D9" w:themeFill="background1" w:themeFillShade="D9"/>
          </w:tcPr>
          <w:p w:rsidR="00F27E68" w:rsidRPr="00D35C4F" w:rsidRDefault="002E595D" w:rsidP="002E595D">
            <w:pPr>
              <w:rPr>
                <w:b/>
              </w:rPr>
            </w:pPr>
            <w:r>
              <w:rPr>
                <w:b/>
              </w:rPr>
              <w:t>Cibles</w:t>
            </w:r>
          </w:p>
        </w:tc>
        <w:tc>
          <w:tcPr>
            <w:tcW w:w="2552" w:type="dxa"/>
            <w:shd w:val="clear" w:color="auto" w:fill="D9D9D9" w:themeFill="background1" w:themeFillShade="D9"/>
          </w:tcPr>
          <w:p w:rsidR="00F27E68" w:rsidRPr="00D35C4F" w:rsidRDefault="00F27E68" w:rsidP="006566CF">
            <w:pPr>
              <w:rPr>
                <w:b/>
              </w:rPr>
            </w:pPr>
            <w:r w:rsidRPr="00D35C4F">
              <w:rPr>
                <w:b/>
              </w:rPr>
              <w:t>Objectif</w:t>
            </w:r>
            <w:r w:rsidR="002E595D">
              <w:rPr>
                <w:b/>
              </w:rPr>
              <w:t>s</w:t>
            </w:r>
          </w:p>
        </w:tc>
        <w:tc>
          <w:tcPr>
            <w:tcW w:w="2268" w:type="dxa"/>
            <w:shd w:val="clear" w:color="auto" w:fill="D9D9D9" w:themeFill="background1" w:themeFillShade="D9"/>
          </w:tcPr>
          <w:p w:rsidR="00F27E68" w:rsidRPr="00D35C4F" w:rsidRDefault="00F27E68" w:rsidP="00A4150C">
            <w:pPr>
              <w:rPr>
                <w:b/>
              </w:rPr>
            </w:pPr>
            <w:r>
              <w:rPr>
                <w:b/>
              </w:rPr>
              <w:t>Résultat</w:t>
            </w:r>
            <w:r w:rsidR="002E595D">
              <w:rPr>
                <w:b/>
              </w:rPr>
              <w:t>s</w:t>
            </w:r>
            <w:r w:rsidRPr="00D35C4F">
              <w:rPr>
                <w:b/>
              </w:rPr>
              <w:t xml:space="preserve"> attendu</w:t>
            </w:r>
            <w:r w:rsidR="002E595D">
              <w:rPr>
                <w:b/>
              </w:rPr>
              <w:t>s</w:t>
            </w:r>
          </w:p>
        </w:tc>
        <w:tc>
          <w:tcPr>
            <w:tcW w:w="2410" w:type="dxa"/>
            <w:shd w:val="clear" w:color="auto" w:fill="D9D9D9" w:themeFill="background1" w:themeFillShade="D9"/>
          </w:tcPr>
          <w:p w:rsidR="00F27E68" w:rsidRDefault="00F27E68" w:rsidP="0088243A">
            <w:pPr>
              <w:rPr>
                <w:b/>
              </w:rPr>
            </w:pPr>
            <w:r>
              <w:rPr>
                <w:b/>
              </w:rPr>
              <w:t>Indicateur</w:t>
            </w:r>
            <w:r w:rsidR="002E595D">
              <w:rPr>
                <w:b/>
              </w:rPr>
              <w:t>s</w:t>
            </w:r>
          </w:p>
        </w:tc>
        <w:tc>
          <w:tcPr>
            <w:tcW w:w="992" w:type="dxa"/>
            <w:shd w:val="clear" w:color="auto" w:fill="D9D9D9" w:themeFill="background1" w:themeFillShade="D9"/>
          </w:tcPr>
          <w:p w:rsidR="00F27E68" w:rsidRPr="00D35C4F" w:rsidRDefault="00F27E68" w:rsidP="00650266">
            <w:pPr>
              <w:rPr>
                <w:b/>
              </w:rPr>
            </w:pPr>
            <w:r>
              <w:rPr>
                <w:b/>
              </w:rPr>
              <w:t xml:space="preserve">Date </w:t>
            </w:r>
          </w:p>
        </w:tc>
        <w:tc>
          <w:tcPr>
            <w:tcW w:w="1134" w:type="dxa"/>
            <w:shd w:val="clear" w:color="auto" w:fill="D9D9D9" w:themeFill="background1" w:themeFillShade="D9"/>
          </w:tcPr>
          <w:p w:rsidR="00F27E68" w:rsidRDefault="00F27E68" w:rsidP="00F27E68">
            <w:pPr>
              <w:rPr>
                <w:b/>
              </w:rPr>
            </w:pPr>
            <w:r>
              <w:rPr>
                <w:b/>
              </w:rPr>
              <w:t>Coût  $ US</w:t>
            </w:r>
          </w:p>
        </w:tc>
      </w:tr>
      <w:tr w:rsidR="00F27E68" w:rsidTr="0037614E">
        <w:tc>
          <w:tcPr>
            <w:tcW w:w="2127" w:type="dxa"/>
            <w:gridSpan w:val="2"/>
            <w:vMerge w:val="restart"/>
          </w:tcPr>
          <w:p w:rsidR="00F27E68" w:rsidRDefault="00F27E68" w:rsidP="0011558C">
            <w:pPr>
              <w:rPr>
                <w:b/>
                <w:sz w:val="28"/>
                <w:szCs w:val="28"/>
              </w:rPr>
            </w:pPr>
            <w:bookmarkStart w:id="12" w:name="OLE_LINK16"/>
            <w:bookmarkStart w:id="13" w:name="OLE_LINK15"/>
          </w:p>
          <w:p w:rsidR="00F27E68" w:rsidRDefault="00F27E68" w:rsidP="0011558C">
            <w:pPr>
              <w:rPr>
                <w:b/>
                <w:sz w:val="28"/>
                <w:szCs w:val="28"/>
              </w:rPr>
            </w:pPr>
          </w:p>
          <w:p w:rsidR="00F27E68" w:rsidRDefault="00F27E68" w:rsidP="0011558C">
            <w:pPr>
              <w:rPr>
                <w:b/>
                <w:sz w:val="28"/>
                <w:szCs w:val="28"/>
              </w:rPr>
            </w:pPr>
          </w:p>
          <w:p w:rsidR="00F27E68" w:rsidRDefault="00F27E68" w:rsidP="0011558C">
            <w:pPr>
              <w:rPr>
                <w:b/>
                <w:sz w:val="28"/>
                <w:szCs w:val="28"/>
              </w:rPr>
            </w:pPr>
          </w:p>
          <w:p w:rsidR="00F27E68" w:rsidRDefault="00F27E68" w:rsidP="0011558C">
            <w:pPr>
              <w:rPr>
                <w:b/>
                <w:sz w:val="28"/>
                <w:szCs w:val="28"/>
              </w:rPr>
            </w:pPr>
            <w:r>
              <w:rPr>
                <w:b/>
                <w:sz w:val="28"/>
                <w:szCs w:val="28"/>
              </w:rPr>
              <w:t xml:space="preserve">AXE </w:t>
            </w:r>
            <w:bookmarkEnd w:id="12"/>
            <w:bookmarkEnd w:id="13"/>
            <w:r>
              <w:rPr>
                <w:b/>
                <w:sz w:val="28"/>
                <w:szCs w:val="28"/>
              </w:rPr>
              <w:t>1 : Sensibilisation et Communication</w:t>
            </w:r>
          </w:p>
        </w:tc>
        <w:tc>
          <w:tcPr>
            <w:tcW w:w="2268" w:type="dxa"/>
          </w:tcPr>
          <w:p w:rsidR="00F27E68" w:rsidRDefault="00F27E68" w:rsidP="006566CF">
            <w:r>
              <w:t xml:space="preserve">Consultations formelles et informelles avec les acteurs politiques qui ont une influence dans le processus REDD en RDC  </w:t>
            </w:r>
          </w:p>
        </w:tc>
        <w:tc>
          <w:tcPr>
            <w:tcW w:w="2409" w:type="dxa"/>
            <w:gridSpan w:val="2"/>
          </w:tcPr>
          <w:p w:rsidR="00F27E68" w:rsidRDefault="00F27E68" w:rsidP="006566CF">
            <w:r>
              <w:t>Présidence de la République</w:t>
            </w:r>
          </w:p>
          <w:p w:rsidR="00F27E68" w:rsidRDefault="00F27E68" w:rsidP="006566CF">
            <w:r>
              <w:t>Primature</w:t>
            </w:r>
          </w:p>
          <w:p w:rsidR="00F27E68" w:rsidRDefault="00F27E68" w:rsidP="006566CF">
            <w:r>
              <w:t>Parlementaire</w:t>
            </w:r>
          </w:p>
          <w:p w:rsidR="00F27E68" w:rsidRDefault="00F27E68" w:rsidP="006566CF">
            <w:r>
              <w:t>Ministères impliqués dans le processus REDD</w:t>
            </w:r>
          </w:p>
        </w:tc>
        <w:tc>
          <w:tcPr>
            <w:tcW w:w="2552" w:type="dxa"/>
          </w:tcPr>
          <w:p w:rsidR="00F27E68" w:rsidRDefault="00F27E68" w:rsidP="006566CF">
            <w:r>
              <w:t>Promotion  de la transparence et bonne gouvernance dans la gestion des questions liées au processus REDD</w:t>
            </w:r>
          </w:p>
        </w:tc>
        <w:tc>
          <w:tcPr>
            <w:tcW w:w="2268" w:type="dxa"/>
          </w:tcPr>
          <w:p w:rsidR="00F27E68" w:rsidRDefault="00F27E68" w:rsidP="006566CF">
            <w:r>
              <w:t>Adhésion politique dans la vision de la gouvernance et  lutte contre la corruption dans le processus REDD</w:t>
            </w:r>
          </w:p>
        </w:tc>
        <w:tc>
          <w:tcPr>
            <w:tcW w:w="2410" w:type="dxa"/>
          </w:tcPr>
          <w:p w:rsidR="00F27E68" w:rsidRDefault="00F27E68" w:rsidP="006566CF">
            <w:r>
              <w:t xml:space="preserve">Décisions politiques incluant la lutte contre la corruption REDD </w:t>
            </w:r>
          </w:p>
        </w:tc>
        <w:tc>
          <w:tcPr>
            <w:tcW w:w="992" w:type="dxa"/>
          </w:tcPr>
          <w:p w:rsidR="00F27E68" w:rsidRDefault="00F27E68" w:rsidP="006566CF"/>
          <w:p w:rsidR="00F27E68" w:rsidRDefault="00F27E68" w:rsidP="00FA2DA3">
            <w:r>
              <w:t>Juin – Dec 2012</w:t>
            </w:r>
          </w:p>
        </w:tc>
        <w:tc>
          <w:tcPr>
            <w:tcW w:w="1134" w:type="dxa"/>
          </w:tcPr>
          <w:p w:rsidR="00F27E68" w:rsidRDefault="00F27E68" w:rsidP="006566CF"/>
          <w:p w:rsidR="00F27E68" w:rsidRDefault="00F27E68" w:rsidP="006566CF"/>
          <w:p w:rsidR="00F27E68" w:rsidRDefault="00F27E68" w:rsidP="006566CF">
            <w:r>
              <w:t>0</w:t>
            </w:r>
          </w:p>
        </w:tc>
      </w:tr>
      <w:tr w:rsidR="00F27E68" w:rsidTr="0037614E">
        <w:tc>
          <w:tcPr>
            <w:tcW w:w="2127" w:type="dxa"/>
            <w:gridSpan w:val="2"/>
            <w:vMerge/>
          </w:tcPr>
          <w:p w:rsidR="00F27E68" w:rsidRDefault="00F27E68" w:rsidP="0011558C">
            <w:pPr>
              <w:rPr>
                <w:b/>
                <w:sz w:val="28"/>
                <w:szCs w:val="28"/>
              </w:rPr>
            </w:pPr>
          </w:p>
        </w:tc>
        <w:tc>
          <w:tcPr>
            <w:tcW w:w="2268" w:type="dxa"/>
          </w:tcPr>
          <w:p w:rsidR="00F27E68" w:rsidRDefault="00F27E68" w:rsidP="006566CF"/>
          <w:p w:rsidR="00F27E68" w:rsidRDefault="00F27E68" w:rsidP="00D40B74">
            <w:r>
              <w:t xml:space="preserve">Séminaire de formation des communautés locales lutte contre la corruption  </w:t>
            </w:r>
          </w:p>
        </w:tc>
        <w:tc>
          <w:tcPr>
            <w:tcW w:w="2409" w:type="dxa"/>
            <w:gridSpan w:val="2"/>
          </w:tcPr>
          <w:p w:rsidR="00F27E68" w:rsidRDefault="00F27E68" w:rsidP="006566CF">
            <w:r>
              <w:t xml:space="preserve">Radio communautaires des communautés où se déroulent les projets REDD ; leaders des associations villageoises ; </w:t>
            </w:r>
          </w:p>
          <w:p w:rsidR="00F27E68" w:rsidRDefault="00F27E68" w:rsidP="004D4B3C">
            <w:r>
              <w:t xml:space="preserve">Société civile ; </w:t>
            </w:r>
          </w:p>
          <w:p w:rsidR="00F27E68" w:rsidRDefault="00F27E68" w:rsidP="004D4B3C">
            <w:r>
              <w:t xml:space="preserve">Porteurs de projet REDD </w:t>
            </w:r>
          </w:p>
        </w:tc>
        <w:tc>
          <w:tcPr>
            <w:tcW w:w="2552" w:type="dxa"/>
          </w:tcPr>
          <w:p w:rsidR="00F27E68" w:rsidRDefault="00F27E68" w:rsidP="006566CF">
            <w:r>
              <w:t>Renforcer les capacités des animateurs sociaux dans la vulgarisation du processus REDD dans les milieux ruraux et dénonciation des abus</w:t>
            </w:r>
          </w:p>
        </w:tc>
        <w:tc>
          <w:tcPr>
            <w:tcW w:w="2268" w:type="dxa"/>
          </w:tcPr>
          <w:p w:rsidR="00F27E68" w:rsidRDefault="00F27E68" w:rsidP="006566CF">
            <w:r>
              <w:t xml:space="preserve">Capacités de vulgariser le processus REDD accrues dans les milieux ruraux ; </w:t>
            </w:r>
            <w:r w:rsidRPr="004C5BA7">
              <w:t>population vigilante et capable d'enregistrer des plaintes</w:t>
            </w:r>
          </w:p>
        </w:tc>
        <w:tc>
          <w:tcPr>
            <w:tcW w:w="2410" w:type="dxa"/>
          </w:tcPr>
          <w:p w:rsidR="00F27E68" w:rsidRDefault="00F27E68" w:rsidP="006566CF"/>
          <w:p w:rsidR="00F27E68" w:rsidRDefault="00F27E68" w:rsidP="007D7AD0">
            <w:r>
              <w:t xml:space="preserve"> Utilisation des outils de réclamations </w:t>
            </w:r>
          </w:p>
        </w:tc>
        <w:tc>
          <w:tcPr>
            <w:tcW w:w="992" w:type="dxa"/>
            <w:shd w:val="clear" w:color="auto" w:fill="BFBFBF" w:themeFill="background1" w:themeFillShade="BF"/>
          </w:tcPr>
          <w:p w:rsidR="00F27E68" w:rsidRDefault="00F27E68" w:rsidP="00F71317"/>
          <w:p w:rsidR="00F27E68" w:rsidRDefault="00F27E68" w:rsidP="00F71317"/>
          <w:p w:rsidR="00F27E68" w:rsidRDefault="00F27E68" w:rsidP="00F71317"/>
          <w:p w:rsidR="00F27E68" w:rsidRDefault="00F27E68" w:rsidP="00F27E68">
            <w:pPr>
              <w:jc w:val="center"/>
            </w:pPr>
            <w:r w:rsidRPr="000747D2">
              <w:rPr>
                <w:b/>
              </w:rPr>
              <w:t>2013</w:t>
            </w:r>
          </w:p>
        </w:tc>
        <w:tc>
          <w:tcPr>
            <w:tcW w:w="1134" w:type="dxa"/>
            <w:shd w:val="clear" w:color="auto" w:fill="BFBFBF" w:themeFill="background1" w:themeFillShade="BF"/>
          </w:tcPr>
          <w:p w:rsidR="00F27E68" w:rsidRDefault="00F27E68" w:rsidP="00F71317"/>
        </w:tc>
      </w:tr>
      <w:tr w:rsidR="00F27E68" w:rsidTr="0037614E">
        <w:tc>
          <w:tcPr>
            <w:tcW w:w="2127" w:type="dxa"/>
            <w:gridSpan w:val="2"/>
            <w:vMerge/>
          </w:tcPr>
          <w:p w:rsidR="00F27E68" w:rsidRPr="00302D7C" w:rsidRDefault="00F27E68" w:rsidP="0011558C">
            <w:pPr>
              <w:rPr>
                <w:b/>
                <w:sz w:val="28"/>
                <w:szCs w:val="28"/>
              </w:rPr>
            </w:pPr>
          </w:p>
        </w:tc>
        <w:tc>
          <w:tcPr>
            <w:tcW w:w="2268" w:type="dxa"/>
          </w:tcPr>
          <w:p w:rsidR="00F27E68" w:rsidRDefault="00F27E68" w:rsidP="006566CF"/>
          <w:p w:rsidR="00F27E68" w:rsidRDefault="00F27E68" w:rsidP="003F0A2E">
            <w:r>
              <w:t>C</w:t>
            </w:r>
            <w:r w:rsidRPr="007D623A">
              <w:t>ampagne de lutte contre la corruption menée à travers le média</w:t>
            </w:r>
          </w:p>
        </w:tc>
        <w:tc>
          <w:tcPr>
            <w:tcW w:w="2409" w:type="dxa"/>
            <w:gridSpan w:val="2"/>
          </w:tcPr>
          <w:p w:rsidR="00F27E68" w:rsidRDefault="00F27E68" w:rsidP="006566CF"/>
          <w:p w:rsidR="00F27E68" w:rsidRDefault="00F27E68" w:rsidP="008E5342">
            <w:r>
              <w:t>Grand public; Parties prenantes</w:t>
            </w:r>
          </w:p>
        </w:tc>
        <w:tc>
          <w:tcPr>
            <w:tcW w:w="2552" w:type="dxa"/>
          </w:tcPr>
          <w:p w:rsidR="00F27E68" w:rsidRDefault="00F27E68" w:rsidP="006566CF"/>
          <w:p w:rsidR="00F27E68" w:rsidRDefault="00F27E68" w:rsidP="006566CF">
            <w:r>
              <w:t>Information et sensibilisation sur les questions REDD</w:t>
            </w:r>
          </w:p>
        </w:tc>
        <w:tc>
          <w:tcPr>
            <w:tcW w:w="2268" w:type="dxa"/>
          </w:tcPr>
          <w:p w:rsidR="00F27E68" w:rsidRDefault="00F27E68" w:rsidP="006566CF">
            <w:r>
              <w:t>Implication du grand public dans la lutte contre la corruption dans REDD</w:t>
            </w:r>
          </w:p>
        </w:tc>
        <w:tc>
          <w:tcPr>
            <w:tcW w:w="2410" w:type="dxa"/>
          </w:tcPr>
          <w:p w:rsidR="00F27E68" w:rsidRDefault="00F27E68" w:rsidP="006566CF">
            <w:r>
              <w:t>- Publications médiatiques (articles presses)</w:t>
            </w:r>
          </w:p>
          <w:p w:rsidR="00F27E68" w:rsidRDefault="00F27E68" w:rsidP="006566CF">
            <w:r>
              <w:t xml:space="preserve">- Dénonciation des cas de fraudes  </w:t>
            </w:r>
          </w:p>
        </w:tc>
        <w:tc>
          <w:tcPr>
            <w:tcW w:w="992" w:type="dxa"/>
            <w:shd w:val="clear" w:color="auto" w:fill="BFBFBF" w:themeFill="background1" w:themeFillShade="BF"/>
          </w:tcPr>
          <w:p w:rsidR="00F27E68" w:rsidRDefault="00F27E68" w:rsidP="006566CF"/>
          <w:p w:rsidR="00F27E68" w:rsidRDefault="00F27E68" w:rsidP="006566CF"/>
          <w:p w:rsidR="00F27E68" w:rsidRPr="000747D2" w:rsidRDefault="00F27E68" w:rsidP="006566CF">
            <w:pPr>
              <w:rPr>
                <w:b/>
              </w:rPr>
            </w:pPr>
            <w:r>
              <w:t xml:space="preserve">       </w:t>
            </w:r>
            <w:r w:rsidRPr="000747D2">
              <w:rPr>
                <w:b/>
              </w:rPr>
              <w:t>2013</w:t>
            </w:r>
          </w:p>
        </w:tc>
        <w:tc>
          <w:tcPr>
            <w:tcW w:w="1134" w:type="dxa"/>
            <w:shd w:val="clear" w:color="auto" w:fill="BFBFBF" w:themeFill="background1" w:themeFillShade="BF"/>
          </w:tcPr>
          <w:p w:rsidR="00F27E68" w:rsidRDefault="00F27E68" w:rsidP="006566CF"/>
        </w:tc>
      </w:tr>
      <w:tr w:rsidR="00F27E68" w:rsidTr="0037614E">
        <w:tc>
          <w:tcPr>
            <w:tcW w:w="2127" w:type="dxa"/>
            <w:gridSpan w:val="2"/>
            <w:shd w:val="clear" w:color="auto" w:fill="00B050"/>
          </w:tcPr>
          <w:p w:rsidR="00F27E68" w:rsidRPr="00302D7C" w:rsidRDefault="00F27E68" w:rsidP="0011558C">
            <w:pPr>
              <w:rPr>
                <w:b/>
                <w:sz w:val="28"/>
                <w:szCs w:val="28"/>
              </w:rPr>
            </w:pPr>
          </w:p>
        </w:tc>
        <w:tc>
          <w:tcPr>
            <w:tcW w:w="2268" w:type="dxa"/>
            <w:shd w:val="clear" w:color="auto" w:fill="00B050"/>
          </w:tcPr>
          <w:p w:rsidR="00F27E68" w:rsidRDefault="00F27E68" w:rsidP="0011558C"/>
        </w:tc>
        <w:tc>
          <w:tcPr>
            <w:tcW w:w="2409" w:type="dxa"/>
            <w:gridSpan w:val="2"/>
            <w:shd w:val="clear" w:color="auto" w:fill="00B050"/>
          </w:tcPr>
          <w:p w:rsidR="00F27E68" w:rsidRDefault="00F27E68" w:rsidP="0011558C"/>
        </w:tc>
        <w:tc>
          <w:tcPr>
            <w:tcW w:w="2552" w:type="dxa"/>
            <w:shd w:val="clear" w:color="auto" w:fill="00B050"/>
          </w:tcPr>
          <w:p w:rsidR="00F27E68" w:rsidRDefault="00F27E68" w:rsidP="0011558C"/>
        </w:tc>
        <w:tc>
          <w:tcPr>
            <w:tcW w:w="2268" w:type="dxa"/>
            <w:shd w:val="clear" w:color="auto" w:fill="00B050"/>
          </w:tcPr>
          <w:p w:rsidR="00F27E68" w:rsidRDefault="00F27E68" w:rsidP="0011558C"/>
        </w:tc>
        <w:tc>
          <w:tcPr>
            <w:tcW w:w="2410" w:type="dxa"/>
            <w:shd w:val="clear" w:color="auto" w:fill="00B050"/>
          </w:tcPr>
          <w:p w:rsidR="00F27E68" w:rsidRDefault="00F27E68" w:rsidP="0011558C"/>
        </w:tc>
        <w:tc>
          <w:tcPr>
            <w:tcW w:w="992" w:type="dxa"/>
            <w:shd w:val="clear" w:color="auto" w:fill="00B050"/>
          </w:tcPr>
          <w:p w:rsidR="00F27E68" w:rsidRDefault="00F27E68" w:rsidP="0011558C"/>
        </w:tc>
        <w:tc>
          <w:tcPr>
            <w:tcW w:w="1134" w:type="dxa"/>
            <w:shd w:val="clear" w:color="auto" w:fill="00B050"/>
          </w:tcPr>
          <w:p w:rsidR="00F27E68" w:rsidRDefault="00F27E68" w:rsidP="0011558C"/>
        </w:tc>
      </w:tr>
      <w:tr w:rsidR="00F27E68" w:rsidTr="00DD470B">
        <w:tc>
          <w:tcPr>
            <w:tcW w:w="2127" w:type="dxa"/>
            <w:gridSpan w:val="2"/>
            <w:vMerge w:val="restart"/>
          </w:tcPr>
          <w:p w:rsidR="00F27E68" w:rsidRDefault="00F27E68" w:rsidP="00FD3DAA">
            <w:pPr>
              <w:rPr>
                <w:b/>
                <w:sz w:val="28"/>
                <w:szCs w:val="28"/>
              </w:rPr>
            </w:pPr>
            <w:r>
              <w:rPr>
                <w:b/>
                <w:sz w:val="28"/>
                <w:szCs w:val="28"/>
              </w:rPr>
              <w:t xml:space="preserve">AXE </w:t>
            </w:r>
            <w:r w:rsidRPr="00302D7C">
              <w:rPr>
                <w:b/>
                <w:sz w:val="28"/>
                <w:szCs w:val="28"/>
              </w:rPr>
              <w:t xml:space="preserve">2 : </w:t>
            </w:r>
            <w:r w:rsidRPr="000C1A1A">
              <w:rPr>
                <w:b/>
                <w:sz w:val="28"/>
                <w:szCs w:val="28"/>
              </w:rPr>
              <w:t xml:space="preserve">Clarification du cadre juridique </w:t>
            </w:r>
          </w:p>
        </w:tc>
        <w:tc>
          <w:tcPr>
            <w:tcW w:w="2268" w:type="dxa"/>
          </w:tcPr>
          <w:p w:rsidR="00F27E68" w:rsidRDefault="00F27E68" w:rsidP="00BE0387">
            <w:r>
              <w:t xml:space="preserve">Diagnostic du cadre juridique congolais </w:t>
            </w:r>
          </w:p>
        </w:tc>
        <w:tc>
          <w:tcPr>
            <w:tcW w:w="2409" w:type="dxa"/>
            <w:gridSpan w:val="2"/>
          </w:tcPr>
          <w:p w:rsidR="00F27E68" w:rsidRDefault="00F27E68" w:rsidP="00F35D6B">
            <w:r>
              <w:t>Codes et lois (</w:t>
            </w:r>
            <w:r w:rsidRPr="00084B0A">
              <w:t>forestier, foncier,</w:t>
            </w:r>
            <w:r>
              <w:t xml:space="preserve"> code agricole, </w:t>
            </w:r>
            <w:r w:rsidRPr="00084B0A">
              <w:t xml:space="preserve"> minier, investissement</w:t>
            </w:r>
            <w:r>
              <w:t>)</w:t>
            </w:r>
          </w:p>
        </w:tc>
        <w:tc>
          <w:tcPr>
            <w:tcW w:w="2552" w:type="dxa"/>
          </w:tcPr>
          <w:p w:rsidR="00F27E68" w:rsidRDefault="00F27E68" w:rsidP="007C6C36">
            <w:r>
              <w:t xml:space="preserve">Dégager des </w:t>
            </w:r>
            <w:r w:rsidRPr="007C6C36">
              <w:t>manquements</w:t>
            </w:r>
            <w:r>
              <w:t xml:space="preserve">, </w:t>
            </w:r>
            <w:r w:rsidRPr="007C6C36">
              <w:t xml:space="preserve"> chevauchements</w:t>
            </w:r>
            <w:r>
              <w:t xml:space="preserve"> et éventuelles contradictions entre différents  textes</w:t>
            </w:r>
          </w:p>
        </w:tc>
        <w:tc>
          <w:tcPr>
            <w:tcW w:w="2268" w:type="dxa"/>
          </w:tcPr>
          <w:p w:rsidR="00F27E68" w:rsidRDefault="00F27E68" w:rsidP="0037690F">
            <w:r>
              <w:t>Liste des manquements</w:t>
            </w:r>
            <w:r w:rsidR="0037614E">
              <w:t>, contradictions</w:t>
            </w:r>
            <w:r>
              <w:t xml:space="preserve"> et recommandations </w:t>
            </w:r>
          </w:p>
        </w:tc>
        <w:tc>
          <w:tcPr>
            <w:tcW w:w="2410" w:type="dxa"/>
          </w:tcPr>
          <w:p w:rsidR="00F27E68" w:rsidRDefault="00F27E68" w:rsidP="0011558C">
            <w:r>
              <w:t>Rapport du consultant Fin Novembre</w:t>
            </w:r>
          </w:p>
        </w:tc>
        <w:tc>
          <w:tcPr>
            <w:tcW w:w="992" w:type="dxa"/>
            <w:shd w:val="clear" w:color="auto" w:fill="BFBFBF" w:themeFill="background1" w:themeFillShade="BF"/>
          </w:tcPr>
          <w:p w:rsidR="00F27E68" w:rsidRDefault="00F27E68" w:rsidP="00A9227D"/>
          <w:p w:rsidR="00F27E68" w:rsidRDefault="00F27E68" w:rsidP="00A9227D"/>
          <w:p w:rsidR="00F27E68" w:rsidRPr="000747D2" w:rsidRDefault="00F27E68" w:rsidP="00A9227D">
            <w:pPr>
              <w:rPr>
                <w:b/>
              </w:rPr>
            </w:pPr>
            <w:r>
              <w:t xml:space="preserve">       </w:t>
            </w:r>
            <w:r w:rsidR="0037614E">
              <w:rPr>
                <w:b/>
              </w:rPr>
              <w:t>2010</w:t>
            </w:r>
          </w:p>
        </w:tc>
        <w:tc>
          <w:tcPr>
            <w:tcW w:w="1134" w:type="dxa"/>
            <w:shd w:val="clear" w:color="auto" w:fill="D9D9D9" w:themeFill="background1" w:themeFillShade="D9"/>
          </w:tcPr>
          <w:p w:rsidR="0037614E" w:rsidRDefault="0037614E" w:rsidP="0037614E">
            <w:r>
              <w:t xml:space="preserve">Cofinancer </w:t>
            </w:r>
          </w:p>
          <w:p w:rsidR="00F27E68" w:rsidRDefault="0037614E" w:rsidP="0037614E">
            <w:r>
              <w:t xml:space="preserve">10000 (FAO) </w:t>
            </w:r>
          </w:p>
        </w:tc>
      </w:tr>
      <w:tr w:rsidR="00F27E68" w:rsidTr="0037614E">
        <w:tc>
          <w:tcPr>
            <w:tcW w:w="2127" w:type="dxa"/>
            <w:gridSpan w:val="2"/>
            <w:vMerge/>
          </w:tcPr>
          <w:p w:rsidR="00F27E68" w:rsidRPr="00302D7C" w:rsidRDefault="00F27E68" w:rsidP="00FD3DAA">
            <w:pPr>
              <w:rPr>
                <w:b/>
                <w:sz w:val="28"/>
                <w:szCs w:val="28"/>
              </w:rPr>
            </w:pPr>
          </w:p>
        </w:tc>
        <w:tc>
          <w:tcPr>
            <w:tcW w:w="2268" w:type="dxa"/>
          </w:tcPr>
          <w:p w:rsidR="00F27E68" w:rsidRDefault="00F27E68" w:rsidP="0037690F">
            <w:r>
              <w:t>Atelier sur l’harmonisation du cadre juridique congolais aux regards du processus REDD</w:t>
            </w:r>
          </w:p>
        </w:tc>
        <w:tc>
          <w:tcPr>
            <w:tcW w:w="2409" w:type="dxa"/>
            <w:gridSpan w:val="2"/>
          </w:tcPr>
          <w:p w:rsidR="00F27E68" w:rsidRDefault="00F27E68" w:rsidP="00F35D6B">
            <w:r>
              <w:t>Commissions parlementaires, Société civile et ministères concernés</w:t>
            </w:r>
          </w:p>
        </w:tc>
        <w:tc>
          <w:tcPr>
            <w:tcW w:w="2552" w:type="dxa"/>
          </w:tcPr>
          <w:p w:rsidR="00F27E68" w:rsidRDefault="00F27E68" w:rsidP="00F35D6B">
            <w:r>
              <w:t>Harmonisation des contradictions et chevauchements dans les codes forestier, foncier et minier en rapport avec les activités des projets REDD</w:t>
            </w:r>
          </w:p>
        </w:tc>
        <w:tc>
          <w:tcPr>
            <w:tcW w:w="2268" w:type="dxa"/>
          </w:tcPr>
          <w:p w:rsidR="00F27E68" w:rsidRDefault="00F27E68" w:rsidP="00D21851">
            <w:r w:rsidRPr="00D21851">
              <w:t xml:space="preserve">Proposition de loi ou </w:t>
            </w:r>
            <w:r>
              <w:t>décret</w:t>
            </w:r>
            <w:r w:rsidRPr="00D21851">
              <w:t xml:space="preserve"> harmonisant les différents codes </w:t>
            </w:r>
            <w:r>
              <w:t>en rapport avec le</w:t>
            </w:r>
            <w:r w:rsidRPr="00D21851">
              <w:t xml:space="preserve"> processus REDD. </w:t>
            </w:r>
          </w:p>
        </w:tc>
        <w:tc>
          <w:tcPr>
            <w:tcW w:w="2410" w:type="dxa"/>
          </w:tcPr>
          <w:p w:rsidR="00F27E68" w:rsidRDefault="00F27E68" w:rsidP="0011558C">
            <w:r>
              <w:t xml:space="preserve">Signature de la loi ou décret sur les activités REDD </w:t>
            </w:r>
          </w:p>
        </w:tc>
        <w:tc>
          <w:tcPr>
            <w:tcW w:w="992" w:type="dxa"/>
            <w:shd w:val="clear" w:color="auto" w:fill="BFBFBF" w:themeFill="background1" w:themeFillShade="BF"/>
          </w:tcPr>
          <w:p w:rsidR="00F27E68" w:rsidRDefault="00F27E68" w:rsidP="00EB31A7">
            <w:pPr>
              <w:jc w:val="center"/>
            </w:pPr>
          </w:p>
          <w:p w:rsidR="00F27E68" w:rsidRDefault="00F27E68" w:rsidP="00EB31A7">
            <w:pPr>
              <w:jc w:val="center"/>
            </w:pPr>
          </w:p>
          <w:p w:rsidR="00F27E68" w:rsidRPr="00476B72" w:rsidRDefault="00F27E68" w:rsidP="00EB31A7">
            <w:pPr>
              <w:jc w:val="center"/>
              <w:rPr>
                <w:b/>
              </w:rPr>
            </w:pPr>
            <w:r w:rsidRPr="00476B72">
              <w:rPr>
                <w:b/>
              </w:rPr>
              <w:t xml:space="preserve">2013 </w:t>
            </w:r>
          </w:p>
        </w:tc>
        <w:tc>
          <w:tcPr>
            <w:tcW w:w="1134" w:type="dxa"/>
            <w:shd w:val="clear" w:color="auto" w:fill="BFBFBF" w:themeFill="background1" w:themeFillShade="BF"/>
          </w:tcPr>
          <w:p w:rsidR="00F27E68" w:rsidRDefault="00F27E68" w:rsidP="00EB31A7">
            <w:pPr>
              <w:jc w:val="center"/>
            </w:pPr>
          </w:p>
        </w:tc>
      </w:tr>
      <w:tr w:rsidR="00F27E68" w:rsidTr="0037614E">
        <w:tc>
          <w:tcPr>
            <w:tcW w:w="2127" w:type="dxa"/>
            <w:gridSpan w:val="2"/>
            <w:shd w:val="clear" w:color="auto" w:fill="00B050"/>
          </w:tcPr>
          <w:p w:rsidR="00F27E68" w:rsidRDefault="00F27E68" w:rsidP="0011558C"/>
        </w:tc>
        <w:tc>
          <w:tcPr>
            <w:tcW w:w="2268" w:type="dxa"/>
            <w:shd w:val="clear" w:color="auto" w:fill="00B050"/>
          </w:tcPr>
          <w:p w:rsidR="00F27E68" w:rsidRDefault="00F27E68" w:rsidP="0011558C"/>
        </w:tc>
        <w:tc>
          <w:tcPr>
            <w:tcW w:w="2409" w:type="dxa"/>
            <w:gridSpan w:val="2"/>
            <w:shd w:val="clear" w:color="auto" w:fill="00B050"/>
          </w:tcPr>
          <w:p w:rsidR="00F27E68" w:rsidRDefault="00F27E68" w:rsidP="0011558C"/>
        </w:tc>
        <w:tc>
          <w:tcPr>
            <w:tcW w:w="2552" w:type="dxa"/>
            <w:shd w:val="clear" w:color="auto" w:fill="00B050"/>
          </w:tcPr>
          <w:p w:rsidR="00F27E68" w:rsidRDefault="00F27E68" w:rsidP="0011558C"/>
        </w:tc>
        <w:tc>
          <w:tcPr>
            <w:tcW w:w="2268" w:type="dxa"/>
            <w:shd w:val="clear" w:color="auto" w:fill="00B050"/>
          </w:tcPr>
          <w:p w:rsidR="00F27E68" w:rsidRDefault="00F27E68" w:rsidP="0011558C"/>
        </w:tc>
        <w:tc>
          <w:tcPr>
            <w:tcW w:w="2410" w:type="dxa"/>
            <w:shd w:val="clear" w:color="auto" w:fill="00B050"/>
          </w:tcPr>
          <w:p w:rsidR="00F27E68" w:rsidRDefault="00F27E68" w:rsidP="0011558C"/>
        </w:tc>
        <w:tc>
          <w:tcPr>
            <w:tcW w:w="992" w:type="dxa"/>
            <w:shd w:val="clear" w:color="auto" w:fill="00B050"/>
          </w:tcPr>
          <w:p w:rsidR="00F27E68" w:rsidRDefault="00F27E68" w:rsidP="0011558C"/>
        </w:tc>
        <w:tc>
          <w:tcPr>
            <w:tcW w:w="1134" w:type="dxa"/>
            <w:shd w:val="clear" w:color="auto" w:fill="00B050"/>
          </w:tcPr>
          <w:p w:rsidR="00F27E68" w:rsidRDefault="00F27E68" w:rsidP="0011558C"/>
        </w:tc>
      </w:tr>
      <w:tr w:rsidR="00F27E68" w:rsidTr="0037614E">
        <w:tc>
          <w:tcPr>
            <w:tcW w:w="2127" w:type="dxa"/>
            <w:gridSpan w:val="2"/>
            <w:vMerge w:val="restart"/>
          </w:tcPr>
          <w:p w:rsidR="00F27E68" w:rsidRDefault="00F27E68" w:rsidP="001121AC">
            <w:pPr>
              <w:rPr>
                <w:b/>
                <w:sz w:val="28"/>
                <w:szCs w:val="28"/>
              </w:rPr>
            </w:pPr>
            <w:bookmarkStart w:id="14" w:name="OLE_LINK9"/>
            <w:bookmarkStart w:id="15" w:name="OLE_LINK10"/>
          </w:p>
          <w:p w:rsidR="00F27E68" w:rsidRDefault="00F27E68" w:rsidP="001121AC">
            <w:pPr>
              <w:rPr>
                <w:b/>
                <w:sz w:val="28"/>
                <w:szCs w:val="28"/>
              </w:rPr>
            </w:pPr>
          </w:p>
          <w:p w:rsidR="00F27E68" w:rsidRDefault="00F27E68" w:rsidP="001121AC">
            <w:pPr>
              <w:rPr>
                <w:b/>
                <w:sz w:val="28"/>
                <w:szCs w:val="28"/>
              </w:rPr>
            </w:pPr>
          </w:p>
          <w:p w:rsidR="00F27E68" w:rsidRDefault="00F27E68" w:rsidP="001121AC">
            <w:pPr>
              <w:rPr>
                <w:b/>
                <w:sz w:val="28"/>
                <w:szCs w:val="28"/>
              </w:rPr>
            </w:pPr>
          </w:p>
          <w:p w:rsidR="00F27E68" w:rsidRPr="00302D7C" w:rsidRDefault="00F27E68" w:rsidP="006C312C">
            <w:pPr>
              <w:rPr>
                <w:b/>
                <w:sz w:val="28"/>
                <w:szCs w:val="28"/>
              </w:rPr>
            </w:pPr>
            <w:r>
              <w:rPr>
                <w:b/>
                <w:sz w:val="28"/>
                <w:szCs w:val="28"/>
              </w:rPr>
              <w:t xml:space="preserve">Axe </w:t>
            </w:r>
            <w:r w:rsidRPr="00302D7C">
              <w:rPr>
                <w:b/>
                <w:sz w:val="28"/>
                <w:szCs w:val="28"/>
              </w:rPr>
              <w:t xml:space="preserve">3 : </w:t>
            </w:r>
            <w:r>
              <w:rPr>
                <w:b/>
                <w:sz w:val="28"/>
                <w:szCs w:val="28"/>
              </w:rPr>
              <w:t xml:space="preserve">Transparence dans la mise en œuvre des projets REDD </w:t>
            </w:r>
            <w:bookmarkEnd w:id="14"/>
            <w:bookmarkEnd w:id="15"/>
          </w:p>
        </w:tc>
        <w:tc>
          <w:tcPr>
            <w:tcW w:w="2268" w:type="dxa"/>
          </w:tcPr>
          <w:p w:rsidR="00F27E68" w:rsidRDefault="00F27E68" w:rsidP="00C433E4">
            <w:r>
              <w:t xml:space="preserve">Atelier sur l’utilisation du Registre National REDD et de l’outil MOABI Rdc. </w:t>
            </w:r>
          </w:p>
        </w:tc>
        <w:tc>
          <w:tcPr>
            <w:tcW w:w="2409" w:type="dxa"/>
            <w:gridSpan w:val="2"/>
          </w:tcPr>
          <w:p w:rsidR="00F27E68" w:rsidRDefault="00F27E68" w:rsidP="006566CF">
            <w:r>
              <w:t>DIAF, Porteurs de projets REDD et</w:t>
            </w:r>
          </w:p>
          <w:p w:rsidR="00F27E68" w:rsidRDefault="00F27E68" w:rsidP="006566CF">
            <w:r>
              <w:t>Société Civile</w:t>
            </w:r>
          </w:p>
        </w:tc>
        <w:tc>
          <w:tcPr>
            <w:tcW w:w="2552" w:type="dxa"/>
          </w:tcPr>
          <w:p w:rsidR="00F27E68" w:rsidRDefault="00F27E68" w:rsidP="006566CF">
            <w:r>
              <w:t>Renforcement des capacités techniques des institutions MRV et Appropriation des outils de transparence</w:t>
            </w:r>
          </w:p>
        </w:tc>
        <w:tc>
          <w:tcPr>
            <w:tcW w:w="2268" w:type="dxa"/>
          </w:tcPr>
          <w:p w:rsidR="00F27E68" w:rsidRDefault="00F27E68" w:rsidP="005B2C56">
            <w:r>
              <w:t xml:space="preserve">Appropriation et utilisations des outils MRV </w:t>
            </w:r>
          </w:p>
        </w:tc>
        <w:tc>
          <w:tcPr>
            <w:tcW w:w="2410" w:type="dxa"/>
          </w:tcPr>
          <w:p w:rsidR="00F27E68" w:rsidRDefault="00F27E68" w:rsidP="00363B10">
            <w:r>
              <w:t>Augmentation d’information et du nombre de rapports dans le registre REDD</w:t>
            </w:r>
          </w:p>
        </w:tc>
        <w:tc>
          <w:tcPr>
            <w:tcW w:w="992" w:type="dxa"/>
            <w:shd w:val="clear" w:color="auto" w:fill="D9D9D9" w:themeFill="background1" w:themeFillShade="D9"/>
          </w:tcPr>
          <w:p w:rsidR="00F27E68" w:rsidRDefault="00F27E68" w:rsidP="008E522A"/>
          <w:p w:rsidR="00F27E68" w:rsidRDefault="00F27E68" w:rsidP="008E522A"/>
          <w:p w:rsidR="00F27E68" w:rsidRDefault="00F27E68" w:rsidP="003A3F1E">
            <w:pPr>
              <w:jc w:val="center"/>
            </w:pPr>
            <w:r w:rsidRPr="001C3017">
              <w:rPr>
                <w:b/>
              </w:rPr>
              <w:t>2013</w:t>
            </w:r>
          </w:p>
        </w:tc>
        <w:tc>
          <w:tcPr>
            <w:tcW w:w="1134" w:type="dxa"/>
            <w:shd w:val="clear" w:color="auto" w:fill="D9D9D9" w:themeFill="background1" w:themeFillShade="D9"/>
          </w:tcPr>
          <w:p w:rsidR="00F27E68" w:rsidRDefault="00F27E68" w:rsidP="008E522A"/>
        </w:tc>
      </w:tr>
      <w:tr w:rsidR="00F27E68" w:rsidTr="0037614E">
        <w:tc>
          <w:tcPr>
            <w:tcW w:w="2127" w:type="dxa"/>
            <w:gridSpan w:val="2"/>
            <w:vMerge/>
          </w:tcPr>
          <w:p w:rsidR="00F27E68" w:rsidRDefault="00F27E68" w:rsidP="001121AC">
            <w:pPr>
              <w:rPr>
                <w:b/>
                <w:sz w:val="28"/>
                <w:szCs w:val="28"/>
              </w:rPr>
            </w:pPr>
          </w:p>
        </w:tc>
        <w:tc>
          <w:tcPr>
            <w:tcW w:w="2268" w:type="dxa"/>
          </w:tcPr>
          <w:p w:rsidR="00F27E68" w:rsidRDefault="00F27E68" w:rsidP="0010045F">
            <w:r>
              <w:t>Atelier de validation de la c</w:t>
            </w:r>
            <w:r w:rsidRPr="0010045F">
              <w:t>artographie de</w:t>
            </w:r>
            <w:r>
              <w:t xml:space="preserve">s risques de corruption dans le processus </w:t>
            </w:r>
            <w:r w:rsidRPr="0010045F">
              <w:t>REDD</w:t>
            </w:r>
            <w:r>
              <w:t xml:space="preserve"> en RDC</w:t>
            </w:r>
          </w:p>
        </w:tc>
        <w:tc>
          <w:tcPr>
            <w:tcW w:w="2409" w:type="dxa"/>
            <w:gridSpan w:val="2"/>
          </w:tcPr>
          <w:p w:rsidR="00F27E68" w:rsidRDefault="00F27E68" w:rsidP="00B763C8">
            <w:r>
              <w:t>Porteurs de projets REDD+</w:t>
            </w:r>
          </w:p>
          <w:p w:rsidR="00F27E68" w:rsidRDefault="00F27E68" w:rsidP="00B763C8">
            <w:r>
              <w:t>MECNET</w:t>
            </w:r>
          </w:p>
          <w:p w:rsidR="00F27E68" w:rsidRDefault="00F27E68" w:rsidP="006A66B5">
            <w:r>
              <w:t>Société civile</w:t>
            </w:r>
          </w:p>
        </w:tc>
        <w:tc>
          <w:tcPr>
            <w:tcW w:w="2552" w:type="dxa"/>
          </w:tcPr>
          <w:p w:rsidR="00F27E68" w:rsidRDefault="00F27E68" w:rsidP="0090768E">
            <w:r>
              <w:t>Valider les risques des corruptions identifiés dans les différentes étapes du processus REDD</w:t>
            </w:r>
          </w:p>
        </w:tc>
        <w:tc>
          <w:tcPr>
            <w:tcW w:w="2268" w:type="dxa"/>
          </w:tcPr>
          <w:p w:rsidR="00F27E68" w:rsidRDefault="00F27E68" w:rsidP="00D73E8B">
            <w:r>
              <w:t>Cartographie de risques de corruption validée</w:t>
            </w:r>
          </w:p>
        </w:tc>
        <w:tc>
          <w:tcPr>
            <w:tcW w:w="2410" w:type="dxa"/>
          </w:tcPr>
          <w:p w:rsidR="00F27E68" w:rsidRDefault="00F27E68" w:rsidP="00363B10"/>
          <w:p w:rsidR="00F27E68" w:rsidRDefault="00F27E68" w:rsidP="00363B10">
            <w:r>
              <w:t>Rapport de l’atelier</w:t>
            </w:r>
          </w:p>
        </w:tc>
        <w:tc>
          <w:tcPr>
            <w:tcW w:w="992" w:type="dxa"/>
            <w:shd w:val="clear" w:color="auto" w:fill="FFFFFF" w:themeFill="background1"/>
          </w:tcPr>
          <w:p w:rsidR="00F27E68" w:rsidRDefault="00F27E68" w:rsidP="008E522A"/>
          <w:p w:rsidR="00F27E68" w:rsidRDefault="00F27E68" w:rsidP="00D30EF0"/>
          <w:p w:rsidR="0037614E" w:rsidRDefault="00A9227D" w:rsidP="00A9227D">
            <w:r>
              <w:t>15</w:t>
            </w:r>
            <w:r w:rsidR="00F27E68">
              <w:t>/1</w:t>
            </w:r>
            <w:r>
              <w:t>1</w:t>
            </w:r>
            <w:r w:rsidR="00F27E68">
              <w:t>/</w:t>
            </w:r>
          </w:p>
          <w:p w:rsidR="00F27E68" w:rsidRDefault="00F27E68" w:rsidP="00A9227D">
            <w:r>
              <w:t>2012</w:t>
            </w:r>
          </w:p>
        </w:tc>
        <w:tc>
          <w:tcPr>
            <w:tcW w:w="1134" w:type="dxa"/>
            <w:shd w:val="clear" w:color="auto" w:fill="FFFFFF" w:themeFill="background1"/>
          </w:tcPr>
          <w:p w:rsidR="00F27E68" w:rsidRDefault="00F27E68" w:rsidP="008E522A"/>
          <w:p w:rsidR="00F27E68" w:rsidRDefault="00F27E68" w:rsidP="00F27E68"/>
          <w:p w:rsidR="00F27E68" w:rsidRDefault="0037614E" w:rsidP="00F27E68">
            <w:pPr>
              <w:tabs>
                <w:tab w:val="left" w:pos="639"/>
              </w:tabs>
            </w:pPr>
            <w:r>
              <w:t>5400</w:t>
            </w:r>
            <w:r w:rsidR="00F27E68">
              <w:tab/>
            </w:r>
          </w:p>
          <w:p w:rsidR="00F27E68" w:rsidRPr="00F27E68" w:rsidRDefault="00F27E68" w:rsidP="00F27E68">
            <w:pPr>
              <w:tabs>
                <w:tab w:val="left" w:pos="639"/>
              </w:tabs>
            </w:pPr>
          </w:p>
        </w:tc>
      </w:tr>
      <w:tr w:rsidR="00F27E68" w:rsidTr="0037614E">
        <w:tc>
          <w:tcPr>
            <w:tcW w:w="2127" w:type="dxa"/>
            <w:gridSpan w:val="2"/>
            <w:vMerge/>
          </w:tcPr>
          <w:p w:rsidR="00F27E68" w:rsidRDefault="00F27E68" w:rsidP="001121AC">
            <w:pPr>
              <w:rPr>
                <w:b/>
                <w:sz w:val="28"/>
                <w:szCs w:val="28"/>
              </w:rPr>
            </w:pPr>
          </w:p>
        </w:tc>
        <w:tc>
          <w:tcPr>
            <w:tcW w:w="2268" w:type="dxa"/>
          </w:tcPr>
          <w:p w:rsidR="00F27E68" w:rsidRDefault="00F27E68" w:rsidP="006A1550">
            <w:bookmarkStart w:id="16" w:name="OLE_LINK25"/>
            <w:bookmarkStart w:id="17" w:name="OLE_LINK26"/>
            <w:r>
              <w:t xml:space="preserve">Atelier de suivi </w:t>
            </w:r>
            <w:bookmarkEnd w:id="16"/>
            <w:bookmarkEnd w:id="17"/>
            <w:r w:rsidRPr="004D387B">
              <w:t>des normes et systèmes internationaux de surveillance financière</w:t>
            </w:r>
            <w:r>
              <w:t xml:space="preserve"> et </w:t>
            </w:r>
            <w:r w:rsidRPr="004D387B">
              <w:t xml:space="preserve"> la responsabilité et transparence </w:t>
            </w:r>
            <w:r>
              <w:t>dans la gestion de Fond National</w:t>
            </w:r>
            <w:r w:rsidRPr="003F49F5">
              <w:t xml:space="preserve"> REDD</w:t>
            </w:r>
            <w:r>
              <w:t xml:space="preserve"> et FIP</w:t>
            </w:r>
          </w:p>
        </w:tc>
        <w:tc>
          <w:tcPr>
            <w:tcW w:w="2409" w:type="dxa"/>
            <w:gridSpan w:val="2"/>
          </w:tcPr>
          <w:p w:rsidR="00F27E68" w:rsidRDefault="00F27E68" w:rsidP="006A66B5">
            <w:r>
              <w:t>Porteurs de projets REDD</w:t>
            </w:r>
          </w:p>
          <w:p w:rsidR="00F27E68" w:rsidRDefault="00F27E68" w:rsidP="006A66B5">
            <w:r>
              <w:t>MECNET</w:t>
            </w:r>
          </w:p>
          <w:p w:rsidR="00F27E68" w:rsidRDefault="00F27E68" w:rsidP="006A66B5">
            <w:r>
              <w:t>Ministère des Finances</w:t>
            </w:r>
          </w:p>
          <w:p w:rsidR="00F27E68" w:rsidRDefault="00F27E68" w:rsidP="006A66B5"/>
        </w:tc>
        <w:tc>
          <w:tcPr>
            <w:tcW w:w="2552" w:type="dxa"/>
          </w:tcPr>
          <w:p w:rsidR="00F27E68" w:rsidRDefault="00F27E68" w:rsidP="006566CF">
            <w:r>
              <w:t xml:space="preserve">Accompagner les mécanismes de financement REDD </w:t>
            </w:r>
          </w:p>
        </w:tc>
        <w:tc>
          <w:tcPr>
            <w:tcW w:w="2268" w:type="dxa"/>
          </w:tcPr>
          <w:p w:rsidR="00F27E68" w:rsidRDefault="00F27E68" w:rsidP="000D6B92">
            <w:r>
              <w:t>R</w:t>
            </w:r>
            <w:r w:rsidRPr="00450E0E">
              <w:t xml:space="preserve">espect des  </w:t>
            </w:r>
            <w:r>
              <w:t xml:space="preserve">critères ONU-REDD, </w:t>
            </w:r>
            <w:r w:rsidRPr="00450E0E">
              <w:t>standards</w:t>
            </w:r>
            <w:r>
              <w:t xml:space="preserve"> et sauvegardes</w:t>
            </w:r>
            <w:r w:rsidRPr="00450E0E">
              <w:t xml:space="preserve"> notamment en matière de MRV</w:t>
            </w:r>
          </w:p>
        </w:tc>
        <w:tc>
          <w:tcPr>
            <w:tcW w:w="2410" w:type="dxa"/>
          </w:tcPr>
          <w:p w:rsidR="00F27E68" w:rsidRDefault="00F27E68" w:rsidP="00363B10">
            <w:r>
              <w:t>Rapport d’activités financées par le Fond National REDD et FIP</w:t>
            </w:r>
          </w:p>
        </w:tc>
        <w:tc>
          <w:tcPr>
            <w:tcW w:w="992" w:type="dxa"/>
            <w:shd w:val="clear" w:color="auto" w:fill="D9D9D9" w:themeFill="background1" w:themeFillShade="D9"/>
          </w:tcPr>
          <w:p w:rsidR="00F27E68" w:rsidRDefault="00F27E68" w:rsidP="008E522A"/>
          <w:p w:rsidR="00F27E68" w:rsidRDefault="00F27E68" w:rsidP="008E522A"/>
          <w:p w:rsidR="00F27E68" w:rsidRPr="007820E7" w:rsidRDefault="00F27E68" w:rsidP="003C1430">
            <w:pPr>
              <w:jc w:val="center"/>
              <w:rPr>
                <w:b/>
              </w:rPr>
            </w:pPr>
            <w:r w:rsidRPr="007820E7">
              <w:rPr>
                <w:b/>
              </w:rPr>
              <w:t>2013</w:t>
            </w:r>
          </w:p>
        </w:tc>
        <w:tc>
          <w:tcPr>
            <w:tcW w:w="1134" w:type="dxa"/>
            <w:shd w:val="clear" w:color="auto" w:fill="D9D9D9" w:themeFill="background1" w:themeFillShade="D9"/>
          </w:tcPr>
          <w:p w:rsidR="00F27E68" w:rsidRDefault="00F27E68" w:rsidP="008E522A"/>
        </w:tc>
      </w:tr>
      <w:tr w:rsidR="00F27E68" w:rsidTr="0037614E">
        <w:tc>
          <w:tcPr>
            <w:tcW w:w="2127" w:type="dxa"/>
            <w:gridSpan w:val="2"/>
            <w:vMerge/>
          </w:tcPr>
          <w:p w:rsidR="00F27E68" w:rsidRPr="00302D7C" w:rsidRDefault="00F27E68" w:rsidP="0011558C">
            <w:pPr>
              <w:rPr>
                <w:b/>
                <w:sz w:val="28"/>
                <w:szCs w:val="28"/>
              </w:rPr>
            </w:pPr>
          </w:p>
        </w:tc>
        <w:tc>
          <w:tcPr>
            <w:tcW w:w="2268" w:type="dxa"/>
          </w:tcPr>
          <w:p w:rsidR="00F27E68" w:rsidRDefault="00F27E68" w:rsidP="00E4717B">
            <w:r>
              <w:t>Atelier de sur  le partage des bénéfices REDD</w:t>
            </w:r>
          </w:p>
        </w:tc>
        <w:tc>
          <w:tcPr>
            <w:tcW w:w="2409" w:type="dxa"/>
            <w:gridSpan w:val="2"/>
          </w:tcPr>
          <w:p w:rsidR="00F27E68" w:rsidRDefault="00F27E68" w:rsidP="0011558C">
            <w:bookmarkStart w:id="18" w:name="OLE_LINK17"/>
            <w:bookmarkStart w:id="19" w:name="OLE_LINK18"/>
            <w:r>
              <w:t>Porteurs de projets REDD+</w:t>
            </w:r>
          </w:p>
          <w:p w:rsidR="00F27E68" w:rsidRDefault="00F27E68" w:rsidP="008B17DF">
            <w:r>
              <w:t>Société Civile</w:t>
            </w:r>
            <w:bookmarkEnd w:id="18"/>
            <w:bookmarkEnd w:id="19"/>
            <w:r>
              <w:t>, Communautés locales</w:t>
            </w:r>
          </w:p>
        </w:tc>
        <w:tc>
          <w:tcPr>
            <w:tcW w:w="2552" w:type="dxa"/>
          </w:tcPr>
          <w:p w:rsidR="00F27E68" w:rsidRDefault="00F27E68" w:rsidP="0011558C">
            <w:r>
              <w:t>Maitrise des accords de concession et projets REDD</w:t>
            </w:r>
          </w:p>
        </w:tc>
        <w:tc>
          <w:tcPr>
            <w:tcW w:w="2268" w:type="dxa"/>
          </w:tcPr>
          <w:p w:rsidR="00F27E68" w:rsidRDefault="00F27E68" w:rsidP="0054534F">
            <w:r>
              <w:t>Appropriation des droits et responsabilités par les parties prenantes</w:t>
            </w:r>
          </w:p>
        </w:tc>
        <w:tc>
          <w:tcPr>
            <w:tcW w:w="2410" w:type="dxa"/>
          </w:tcPr>
          <w:p w:rsidR="00F27E68" w:rsidRDefault="00F27E68" w:rsidP="00B763C8">
            <w:bookmarkStart w:id="20" w:name="OLE_LINK5"/>
            <w:bookmarkStart w:id="21" w:name="OLE_LINK6"/>
            <w:r>
              <w:t>Document de stratégie de lutte  contre la corruption et  détournement de fonds  dans la REDD</w:t>
            </w:r>
            <w:bookmarkEnd w:id="20"/>
            <w:bookmarkEnd w:id="21"/>
            <w:r>
              <w:t xml:space="preserve"> </w:t>
            </w:r>
            <w:r w:rsidRPr="002C675D">
              <w:t xml:space="preserve">qui établit clairement les rôles et responsabilités de chacun </w:t>
            </w:r>
          </w:p>
        </w:tc>
        <w:tc>
          <w:tcPr>
            <w:tcW w:w="992" w:type="dxa"/>
            <w:shd w:val="clear" w:color="auto" w:fill="D9D9D9" w:themeFill="background1" w:themeFillShade="D9"/>
          </w:tcPr>
          <w:p w:rsidR="00F27E68" w:rsidRDefault="00F27E68" w:rsidP="003A3F1E">
            <w:pPr>
              <w:jc w:val="center"/>
            </w:pPr>
          </w:p>
          <w:p w:rsidR="00F27E68" w:rsidRDefault="00F27E68" w:rsidP="003A3F1E">
            <w:pPr>
              <w:jc w:val="center"/>
            </w:pPr>
          </w:p>
          <w:p w:rsidR="00F27E68" w:rsidRPr="007820E7" w:rsidRDefault="00F27E68" w:rsidP="003A3F1E">
            <w:pPr>
              <w:jc w:val="center"/>
              <w:rPr>
                <w:b/>
              </w:rPr>
            </w:pPr>
            <w:r w:rsidRPr="007820E7">
              <w:rPr>
                <w:b/>
              </w:rPr>
              <w:t>2013</w:t>
            </w:r>
          </w:p>
        </w:tc>
        <w:tc>
          <w:tcPr>
            <w:tcW w:w="1134" w:type="dxa"/>
            <w:shd w:val="clear" w:color="auto" w:fill="D9D9D9" w:themeFill="background1" w:themeFillShade="D9"/>
          </w:tcPr>
          <w:p w:rsidR="00F27E68" w:rsidRDefault="00F27E68" w:rsidP="003A3F1E">
            <w:pPr>
              <w:jc w:val="center"/>
            </w:pPr>
          </w:p>
        </w:tc>
      </w:tr>
      <w:tr w:rsidR="00F27E68" w:rsidTr="0037614E">
        <w:tc>
          <w:tcPr>
            <w:tcW w:w="2127" w:type="dxa"/>
            <w:gridSpan w:val="2"/>
            <w:shd w:val="clear" w:color="auto" w:fill="00B050"/>
          </w:tcPr>
          <w:p w:rsidR="00F27E68" w:rsidRPr="00302D7C" w:rsidRDefault="00F27E68" w:rsidP="0011558C">
            <w:pPr>
              <w:rPr>
                <w:b/>
                <w:sz w:val="28"/>
                <w:szCs w:val="28"/>
              </w:rPr>
            </w:pPr>
          </w:p>
        </w:tc>
        <w:tc>
          <w:tcPr>
            <w:tcW w:w="2268" w:type="dxa"/>
            <w:shd w:val="clear" w:color="auto" w:fill="00B050"/>
          </w:tcPr>
          <w:p w:rsidR="00F27E68" w:rsidRDefault="00F27E68" w:rsidP="0011558C"/>
        </w:tc>
        <w:tc>
          <w:tcPr>
            <w:tcW w:w="2409" w:type="dxa"/>
            <w:gridSpan w:val="2"/>
            <w:shd w:val="clear" w:color="auto" w:fill="00B050"/>
          </w:tcPr>
          <w:p w:rsidR="00F27E68" w:rsidRDefault="00F27E68" w:rsidP="0011558C"/>
        </w:tc>
        <w:tc>
          <w:tcPr>
            <w:tcW w:w="2552" w:type="dxa"/>
            <w:shd w:val="clear" w:color="auto" w:fill="00B050"/>
          </w:tcPr>
          <w:p w:rsidR="00F27E68" w:rsidRDefault="00F27E68" w:rsidP="0011558C"/>
        </w:tc>
        <w:tc>
          <w:tcPr>
            <w:tcW w:w="2268" w:type="dxa"/>
            <w:shd w:val="clear" w:color="auto" w:fill="00B050"/>
          </w:tcPr>
          <w:p w:rsidR="00F27E68" w:rsidRDefault="00F27E68" w:rsidP="0011558C"/>
        </w:tc>
        <w:tc>
          <w:tcPr>
            <w:tcW w:w="2410" w:type="dxa"/>
            <w:shd w:val="clear" w:color="auto" w:fill="00B050"/>
          </w:tcPr>
          <w:p w:rsidR="00F27E68" w:rsidRDefault="00F27E68" w:rsidP="0011558C"/>
        </w:tc>
        <w:tc>
          <w:tcPr>
            <w:tcW w:w="992" w:type="dxa"/>
            <w:shd w:val="clear" w:color="auto" w:fill="00B050"/>
          </w:tcPr>
          <w:p w:rsidR="00F27E68" w:rsidRDefault="00F27E68" w:rsidP="0011558C"/>
        </w:tc>
        <w:tc>
          <w:tcPr>
            <w:tcW w:w="1134" w:type="dxa"/>
            <w:shd w:val="clear" w:color="auto" w:fill="00B050"/>
          </w:tcPr>
          <w:p w:rsidR="00F27E68" w:rsidRDefault="00F27E68" w:rsidP="0011558C"/>
        </w:tc>
      </w:tr>
      <w:tr w:rsidR="00F27E68" w:rsidTr="0037614E">
        <w:trPr>
          <w:trHeight w:val="1161"/>
        </w:trPr>
        <w:tc>
          <w:tcPr>
            <w:tcW w:w="2127" w:type="dxa"/>
            <w:gridSpan w:val="2"/>
            <w:vMerge w:val="restart"/>
          </w:tcPr>
          <w:p w:rsidR="00F27E68" w:rsidRDefault="00F27E68" w:rsidP="0011558C">
            <w:pPr>
              <w:rPr>
                <w:b/>
                <w:sz w:val="28"/>
                <w:szCs w:val="28"/>
              </w:rPr>
            </w:pPr>
          </w:p>
          <w:p w:rsidR="00F27E68" w:rsidRDefault="00F27E68" w:rsidP="0011558C">
            <w:pPr>
              <w:rPr>
                <w:b/>
                <w:sz w:val="28"/>
                <w:szCs w:val="28"/>
              </w:rPr>
            </w:pPr>
          </w:p>
          <w:p w:rsidR="00F27E68" w:rsidRDefault="00F27E68" w:rsidP="0011558C">
            <w:pPr>
              <w:rPr>
                <w:b/>
                <w:sz w:val="28"/>
                <w:szCs w:val="28"/>
              </w:rPr>
            </w:pPr>
          </w:p>
          <w:p w:rsidR="00F27E68" w:rsidRDefault="00F27E68" w:rsidP="0011558C">
            <w:pPr>
              <w:rPr>
                <w:b/>
                <w:sz w:val="28"/>
                <w:szCs w:val="28"/>
              </w:rPr>
            </w:pPr>
          </w:p>
          <w:p w:rsidR="00F27E68" w:rsidRDefault="00F27E68" w:rsidP="0011558C">
            <w:pPr>
              <w:rPr>
                <w:b/>
                <w:sz w:val="28"/>
                <w:szCs w:val="28"/>
              </w:rPr>
            </w:pPr>
          </w:p>
          <w:p w:rsidR="00F27E68" w:rsidRDefault="00F27E68" w:rsidP="0011558C">
            <w:pPr>
              <w:rPr>
                <w:b/>
                <w:sz w:val="28"/>
                <w:szCs w:val="28"/>
              </w:rPr>
            </w:pPr>
          </w:p>
          <w:p w:rsidR="00F27E68" w:rsidRDefault="00F27E68" w:rsidP="0011558C">
            <w:pPr>
              <w:rPr>
                <w:b/>
                <w:sz w:val="28"/>
                <w:szCs w:val="28"/>
              </w:rPr>
            </w:pPr>
          </w:p>
          <w:p w:rsidR="00F27E68" w:rsidRDefault="00F27E68" w:rsidP="0011558C">
            <w:r>
              <w:rPr>
                <w:b/>
                <w:sz w:val="28"/>
                <w:szCs w:val="28"/>
              </w:rPr>
              <w:t xml:space="preserve">Axe </w:t>
            </w:r>
            <w:r w:rsidRPr="00302D7C">
              <w:rPr>
                <w:b/>
                <w:sz w:val="28"/>
                <w:szCs w:val="28"/>
              </w:rPr>
              <w:t xml:space="preserve">4 : </w:t>
            </w:r>
            <w:r w:rsidRPr="000C1A1A">
              <w:rPr>
                <w:b/>
                <w:sz w:val="28"/>
                <w:szCs w:val="28"/>
              </w:rPr>
              <w:t>Mécanisme de réclamation, dénonciation et sanctions</w:t>
            </w:r>
          </w:p>
          <w:p w:rsidR="00F27E68" w:rsidRDefault="00F27E68" w:rsidP="0011558C"/>
        </w:tc>
        <w:tc>
          <w:tcPr>
            <w:tcW w:w="2268" w:type="dxa"/>
          </w:tcPr>
          <w:p w:rsidR="00F27E68" w:rsidRDefault="00F27E68" w:rsidP="0011558C"/>
          <w:p w:rsidR="00F27E68" w:rsidRDefault="00F27E68" w:rsidP="0011558C">
            <w:r>
              <w:t>Séminaire de formation des journalistes d’investigation</w:t>
            </w:r>
          </w:p>
          <w:p w:rsidR="00F27E68" w:rsidRDefault="00F27E68" w:rsidP="0011558C"/>
        </w:tc>
        <w:tc>
          <w:tcPr>
            <w:tcW w:w="2409" w:type="dxa"/>
            <w:gridSpan w:val="2"/>
          </w:tcPr>
          <w:p w:rsidR="00F27E68" w:rsidRDefault="00F27E68" w:rsidP="00F3282A">
            <w:r>
              <w:t>Journalistes de l’environnent ;</w:t>
            </w:r>
          </w:p>
          <w:p w:rsidR="00F27E68" w:rsidRDefault="00F27E68" w:rsidP="00F3282A">
            <w:r>
              <w:t xml:space="preserve">Presse écrite et audiovisuelle </w:t>
            </w:r>
          </w:p>
        </w:tc>
        <w:tc>
          <w:tcPr>
            <w:tcW w:w="2552" w:type="dxa"/>
          </w:tcPr>
          <w:p w:rsidR="00F27E68" w:rsidRDefault="00F27E68" w:rsidP="00F13DC6">
            <w:r>
              <w:t xml:space="preserve">Renforcer les capacités et techniques d’enquête </w:t>
            </w:r>
          </w:p>
        </w:tc>
        <w:tc>
          <w:tcPr>
            <w:tcW w:w="2268" w:type="dxa"/>
          </w:tcPr>
          <w:p w:rsidR="00F27E68" w:rsidRDefault="00F27E68" w:rsidP="00881D15">
            <w:r>
              <w:t xml:space="preserve">Maitrise des  techniques d’investigation et dénonciation des cas de fraude </w:t>
            </w:r>
          </w:p>
        </w:tc>
        <w:tc>
          <w:tcPr>
            <w:tcW w:w="2410" w:type="dxa"/>
          </w:tcPr>
          <w:p w:rsidR="00F27E68" w:rsidRDefault="00F27E68" w:rsidP="00AD5D58">
            <w:r>
              <w:t>Augmentation de nombre de rapports d’investigation</w:t>
            </w:r>
          </w:p>
        </w:tc>
        <w:tc>
          <w:tcPr>
            <w:tcW w:w="992" w:type="dxa"/>
            <w:shd w:val="clear" w:color="auto" w:fill="D9D9D9" w:themeFill="background1" w:themeFillShade="D9"/>
          </w:tcPr>
          <w:p w:rsidR="00F27E68" w:rsidRDefault="00F27E68" w:rsidP="0011558C"/>
          <w:p w:rsidR="00F27E68" w:rsidRDefault="00F27E68" w:rsidP="0011558C">
            <w:r>
              <w:t xml:space="preserve">        2013</w:t>
            </w:r>
          </w:p>
        </w:tc>
        <w:tc>
          <w:tcPr>
            <w:tcW w:w="1134" w:type="dxa"/>
            <w:shd w:val="clear" w:color="auto" w:fill="D9D9D9" w:themeFill="background1" w:themeFillShade="D9"/>
          </w:tcPr>
          <w:p w:rsidR="00F27E68" w:rsidRDefault="00F27E68" w:rsidP="0011558C"/>
        </w:tc>
      </w:tr>
      <w:tr w:rsidR="00F27E68" w:rsidTr="0037614E">
        <w:tc>
          <w:tcPr>
            <w:tcW w:w="2127" w:type="dxa"/>
            <w:gridSpan w:val="2"/>
            <w:vMerge/>
          </w:tcPr>
          <w:p w:rsidR="00F27E68" w:rsidRDefault="00F27E68" w:rsidP="0011558C"/>
        </w:tc>
        <w:tc>
          <w:tcPr>
            <w:tcW w:w="2268" w:type="dxa"/>
          </w:tcPr>
          <w:p w:rsidR="00F27E68" w:rsidRDefault="00F27E68" w:rsidP="00FA75DC">
            <w:r>
              <w:t xml:space="preserve">Table ronde sur la création d’un fond d’accompagnement des procédures judiciaires REDD </w:t>
            </w:r>
          </w:p>
        </w:tc>
        <w:tc>
          <w:tcPr>
            <w:tcW w:w="2409" w:type="dxa"/>
            <w:gridSpan w:val="2"/>
          </w:tcPr>
          <w:p w:rsidR="00F27E68" w:rsidRDefault="00F27E68" w:rsidP="0057744A">
            <w:r>
              <w:t>Bailleurs des fonds REDD en RDC, MECNET, Ministère des finances, Ministère de la justice</w:t>
            </w:r>
          </w:p>
        </w:tc>
        <w:tc>
          <w:tcPr>
            <w:tcW w:w="2552" w:type="dxa"/>
          </w:tcPr>
          <w:p w:rsidR="00F27E68" w:rsidRDefault="00F27E68" w:rsidP="009D2EE7">
            <w:r>
              <w:t>Assurer l’indépendance et l’impartialité des procédures judiciaires REDD</w:t>
            </w:r>
          </w:p>
        </w:tc>
        <w:tc>
          <w:tcPr>
            <w:tcW w:w="2268" w:type="dxa"/>
          </w:tcPr>
          <w:p w:rsidR="00F27E68" w:rsidRDefault="00F27E68" w:rsidP="002A5854">
            <w:r>
              <w:t>Mécanisme d’alimentation du fond d’accompagnement</w:t>
            </w:r>
          </w:p>
        </w:tc>
        <w:tc>
          <w:tcPr>
            <w:tcW w:w="2410" w:type="dxa"/>
          </w:tcPr>
          <w:p w:rsidR="00F27E68" w:rsidRDefault="00F27E68" w:rsidP="002A5854">
            <w:r>
              <w:t>Fonctionnement du fond d’accompagnement des procédures judiciaires REDD</w:t>
            </w:r>
          </w:p>
        </w:tc>
        <w:tc>
          <w:tcPr>
            <w:tcW w:w="992" w:type="dxa"/>
          </w:tcPr>
          <w:p w:rsidR="00F27E68" w:rsidRDefault="00F27E68" w:rsidP="008A4F6C"/>
          <w:p w:rsidR="00F27E68" w:rsidRDefault="00F27E68" w:rsidP="008A4F6C">
            <w:r>
              <w:t>A partir du 1</w:t>
            </w:r>
            <w:r w:rsidRPr="008A4F6C">
              <w:rPr>
                <w:vertAlign w:val="superscript"/>
              </w:rPr>
              <w:t>er</w:t>
            </w:r>
            <w:r>
              <w:t xml:space="preserve"> Octobre </w:t>
            </w:r>
          </w:p>
        </w:tc>
        <w:tc>
          <w:tcPr>
            <w:tcW w:w="1134" w:type="dxa"/>
          </w:tcPr>
          <w:p w:rsidR="00F27E68" w:rsidRDefault="00F27E68" w:rsidP="008A4F6C"/>
          <w:p w:rsidR="00A9227D" w:rsidRDefault="00A9227D" w:rsidP="008A4F6C"/>
          <w:p w:rsidR="00A9227D" w:rsidRDefault="00A9227D" w:rsidP="008A4F6C">
            <w:r>
              <w:t>0</w:t>
            </w:r>
          </w:p>
        </w:tc>
      </w:tr>
      <w:tr w:rsidR="00F27E68" w:rsidTr="0037614E">
        <w:tc>
          <w:tcPr>
            <w:tcW w:w="2127" w:type="dxa"/>
            <w:gridSpan w:val="2"/>
            <w:vMerge/>
          </w:tcPr>
          <w:p w:rsidR="00F27E68" w:rsidRDefault="00F27E68" w:rsidP="0011558C">
            <w:bookmarkStart w:id="22" w:name="_Hlk332193445"/>
          </w:p>
        </w:tc>
        <w:tc>
          <w:tcPr>
            <w:tcW w:w="2268" w:type="dxa"/>
          </w:tcPr>
          <w:p w:rsidR="00F27E68" w:rsidRDefault="00F27E68" w:rsidP="00FA75DC">
            <w:r>
              <w:t>Atelier de validation du mécanisme de gestion des plaintes</w:t>
            </w:r>
          </w:p>
        </w:tc>
        <w:tc>
          <w:tcPr>
            <w:tcW w:w="2409" w:type="dxa"/>
            <w:gridSpan w:val="2"/>
          </w:tcPr>
          <w:p w:rsidR="00F27E68" w:rsidRDefault="00F27E68" w:rsidP="00B763C8">
            <w:r>
              <w:t>Porteurs de projets REDD+</w:t>
            </w:r>
          </w:p>
          <w:p w:rsidR="00F27E68" w:rsidRDefault="00F27E68" w:rsidP="00B763C8">
            <w:r>
              <w:t>MECNET</w:t>
            </w:r>
          </w:p>
          <w:p w:rsidR="00F27E68" w:rsidRDefault="00F27E68" w:rsidP="00B763C8">
            <w:r>
              <w:t>Société civile</w:t>
            </w:r>
          </w:p>
        </w:tc>
        <w:tc>
          <w:tcPr>
            <w:tcW w:w="2552" w:type="dxa"/>
          </w:tcPr>
          <w:p w:rsidR="00F27E68" w:rsidRDefault="00F27E68" w:rsidP="009D2EE7">
            <w:r>
              <w:t>Valider la cartographie de gestion des plaintes</w:t>
            </w:r>
          </w:p>
        </w:tc>
        <w:tc>
          <w:tcPr>
            <w:tcW w:w="2268" w:type="dxa"/>
          </w:tcPr>
          <w:p w:rsidR="00F27E68" w:rsidRDefault="00F27E68" w:rsidP="002A5854">
            <w:r>
              <w:t>Mécanisme de gestion des plaintes validé</w:t>
            </w:r>
          </w:p>
        </w:tc>
        <w:tc>
          <w:tcPr>
            <w:tcW w:w="2410" w:type="dxa"/>
          </w:tcPr>
          <w:p w:rsidR="00F27E68" w:rsidRDefault="00F27E68" w:rsidP="002A5854">
            <w:r>
              <w:t>Rapport de l’atelier</w:t>
            </w:r>
          </w:p>
        </w:tc>
        <w:tc>
          <w:tcPr>
            <w:tcW w:w="992" w:type="dxa"/>
          </w:tcPr>
          <w:p w:rsidR="00F27E68" w:rsidRDefault="00F27E68" w:rsidP="008A4F6C"/>
          <w:p w:rsidR="00F27E68" w:rsidRDefault="00F27E68" w:rsidP="00F27E68">
            <w:r>
              <w:t>29/10/2012</w:t>
            </w:r>
          </w:p>
        </w:tc>
        <w:tc>
          <w:tcPr>
            <w:tcW w:w="1134" w:type="dxa"/>
          </w:tcPr>
          <w:p w:rsidR="00F27E68" w:rsidRDefault="00F27E68" w:rsidP="008A4F6C"/>
          <w:p w:rsidR="0037614E" w:rsidRDefault="0037614E" w:rsidP="008A4F6C">
            <w:r>
              <w:t>5400</w:t>
            </w:r>
          </w:p>
        </w:tc>
      </w:tr>
      <w:bookmarkEnd w:id="22"/>
      <w:tr w:rsidR="002A4039" w:rsidTr="0037614E">
        <w:tc>
          <w:tcPr>
            <w:tcW w:w="2127" w:type="dxa"/>
            <w:gridSpan w:val="2"/>
            <w:vMerge/>
          </w:tcPr>
          <w:p w:rsidR="002A4039" w:rsidRDefault="002A4039" w:rsidP="0011558C"/>
        </w:tc>
        <w:tc>
          <w:tcPr>
            <w:tcW w:w="2268" w:type="dxa"/>
          </w:tcPr>
          <w:p w:rsidR="002A4039" w:rsidRDefault="002A4039" w:rsidP="00FA75DC">
            <w:r w:rsidRPr="00B238F9">
              <w:t>Construction de l’outil d’enregistrement des plaintes Moabi</w:t>
            </w:r>
          </w:p>
        </w:tc>
        <w:tc>
          <w:tcPr>
            <w:tcW w:w="2409" w:type="dxa"/>
            <w:gridSpan w:val="2"/>
          </w:tcPr>
          <w:p w:rsidR="002A4039" w:rsidRDefault="002A4039" w:rsidP="00B763C8">
            <w:bookmarkStart w:id="23" w:name="OLE_LINK33"/>
            <w:bookmarkStart w:id="24" w:name="OLE_LINK34"/>
            <w:r>
              <w:t>Parties prenantes ;  grand public</w:t>
            </w:r>
            <w:bookmarkEnd w:id="23"/>
            <w:bookmarkEnd w:id="24"/>
          </w:p>
        </w:tc>
        <w:tc>
          <w:tcPr>
            <w:tcW w:w="2552" w:type="dxa"/>
          </w:tcPr>
          <w:p w:rsidR="002A4039" w:rsidRDefault="002A4039" w:rsidP="002A4039">
            <w:r w:rsidRPr="002A4039">
              <w:t>Enregistre</w:t>
            </w:r>
            <w:r>
              <w:t>r les plaintes de manière anonyme en ligne</w:t>
            </w:r>
          </w:p>
        </w:tc>
        <w:tc>
          <w:tcPr>
            <w:tcW w:w="2268" w:type="dxa"/>
          </w:tcPr>
          <w:p w:rsidR="002A4039" w:rsidRDefault="002A4039" w:rsidP="002A4039">
            <w:r w:rsidRPr="002A4039">
              <w:t>Enregistre</w:t>
            </w:r>
            <w:r>
              <w:t>ment</w:t>
            </w:r>
            <w:r w:rsidRPr="002A4039">
              <w:t xml:space="preserve"> des  plaintes sans crainte de représailles</w:t>
            </w:r>
          </w:p>
        </w:tc>
        <w:tc>
          <w:tcPr>
            <w:tcW w:w="2410" w:type="dxa"/>
          </w:tcPr>
          <w:p w:rsidR="002A4039" w:rsidRDefault="002A4039" w:rsidP="002A5854">
            <w:r>
              <w:t xml:space="preserve">Nombre des plaintes enregistrées enligne </w:t>
            </w:r>
          </w:p>
        </w:tc>
        <w:tc>
          <w:tcPr>
            <w:tcW w:w="992" w:type="dxa"/>
          </w:tcPr>
          <w:p w:rsidR="002A4039" w:rsidRDefault="002A4039" w:rsidP="008A4F6C">
            <w:r>
              <w:t>09 – 12/2012</w:t>
            </w:r>
          </w:p>
        </w:tc>
        <w:tc>
          <w:tcPr>
            <w:tcW w:w="1134" w:type="dxa"/>
          </w:tcPr>
          <w:p w:rsidR="002A4039" w:rsidRDefault="002A4039" w:rsidP="008A4F6C">
            <w:r>
              <w:t>20000</w:t>
            </w:r>
          </w:p>
        </w:tc>
      </w:tr>
      <w:tr w:rsidR="002A4039" w:rsidTr="0037614E">
        <w:tc>
          <w:tcPr>
            <w:tcW w:w="2127" w:type="dxa"/>
            <w:gridSpan w:val="2"/>
            <w:vMerge/>
          </w:tcPr>
          <w:p w:rsidR="002A4039" w:rsidRDefault="002A4039" w:rsidP="0011558C"/>
        </w:tc>
        <w:tc>
          <w:tcPr>
            <w:tcW w:w="2268" w:type="dxa"/>
          </w:tcPr>
          <w:p w:rsidR="002A4039" w:rsidRDefault="002A4039" w:rsidP="00FA75DC">
            <w:r w:rsidRPr="00B238F9">
              <w:t>Construction de l’outil d’enregistrement des plaintes Ligne verte</w:t>
            </w:r>
          </w:p>
        </w:tc>
        <w:tc>
          <w:tcPr>
            <w:tcW w:w="2409" w:type="dxa"/>
            <w:gridSpan w:val="2"/>
          </w:tcPr>
          <w:p w:rsidR="002A4039" w:rsidRDefault="002A4039" w:rsidP="00B763C8">
            <w:r>
              <w:t>Parties prenantes ;  grand public</w:t>
            </w:r>
          </w:p>
        </w:tc>
        <w:tc>
          <w:tcPr>
            <w:tcW w:w="2552" w:type="dxa"/>
          </w:tcPr>
          <w:p w:rsidR="002A4039" w:rsidRDefault="002A4039" w:rsidP="002A4039">
            <w:r w:rsidRPr="002A4039">
              <w:t>Enregistre</w:t>
            </w:r>
            <w:r>
              <w:t>r les plaintes de manière anonyme par téléphone</w:t>
            </w:r>
          </w:p>
        </w:tc>
        <w:tc>
          <w:tcPr>
            <w:tcW w:w="2268" w:type="dxa"/>
          </w:tcPr>
          <w:p w:rsidR="002A4039" w:rsidRDefault="002A4039" w:rsidP="002A4039">
            <w:r w:rsidRPr="002A4039">
              <w:t>Enregistre</w:t>
            </w:r>
            <w:r>
              <w:t>ment</w:t>
            </w:r>
            <w:r w:rsidRPr="002A4039">
              <w:t xml:space="preserve"> des  plaintes sans crainte de représailles</w:t>
            </w:r>
          </w:p>
        </w:tc>
        <w:tc>
          <w:tcPr>
            <w:tcW w:w="2410" w:type="dxa"/>
          </w:tcPr>
          <w:p w:rsidR="002A4039" w:rsidRDefault="002A4039" w:rsidP="002A5854">
            <w:r>
              <w:t xml:space="preserve">Nombre d’appels reçus </w:t>
            </w:r>
          </w:p>
        </w:tc>
        <w:tc>
          <w:tcPr>
            <w:tcW w:w="992" w:type="dxa"/>
          </w:tcPr>
          <w:p w:rsidR="002A4039" w:rsidRDefault="002A4039" w:rsidP="008A4F6C">
            <w:r>
              <w:t>09 – 12/2012</w:t>
            </w:r>
          </w:p>
        </w:tc>
        <w:tc>
          <w:tcPr>
            <w:tcW w:w="1134" w:type="dxa"/>
          </w:tcPr>
          <w:p w:rsidR="002A4039" w:rsidRDefault="002A4039" w:rsidP="008A4F6C">
            <w:r>
              <w:t>13000</w:t>
            </w:r>
          </w:p>
        </w:tc>
      </w:tr>
      <w:tr w:rsidR="002A4039" w:rsidTr="0037614E">
        <w:tc>
          <w:tcPr>
            <w:tcW w:w="2127" w:type="dxa"/>
            <w:gridSpan w:val="2"/>
            <w:vMerge/>
          </w:tcPr>
          <w:p w:rsidR="002A4039" w:rsidRDefault="002A4039" w:rsidP="0011558C">
            <w:bookmarkStart w:id="25" w:name="_Hlk326923648"/>
          </w:p>
        </w:tc>
        <w:tc>
          <w:tcPr>
            <w:tcW w:w="2268" w:type="dxa"/>
          </w:tcPr>
          <w:p w:rsidR="002A4039" w:rsidRDefault="002A4039" w:rsidP="008E5342"/>
          <w:p w:rsidR="002A4039" w:rsidRDefault="002A4039" w:rsidP="008E5342"/>
          <w:p w:rsidR="002A4039" w:rsidRDefault="002A4039" w:rsidP="008E5342">
            <w:r>
              <w:t>Séminaire de formation des magistrats/Avocats sur la gestion cas de corruption et fraude dans le processus REDD</w:t>
            </w:r>
          </w:p>
        </w:tc>
        <w:tc>
          <w:tcPr>
            <w:tcW w:w="2409" w:type="dxa"/>
            <w:gridSpan w:val="2"/>
          </w:tcPr>
          <w:p w:rsidR="002A4039" w:rsidRDefault="002A4039" w:rsidP="0057744A">
            <w:bookmarkStart w:id="26" w:name="OLE_LINK27"/>
            <w:bookmarkStart w:id="27" w:name="OLE_LINK28"/>
          </w:p>
          <w:p w:rsidR="002A4039" w:rsidRDefault="002A4039" w:rsidP="0057744A"/>
          <w:p w:rsidR="002A4039" w:rsidRDefault="002A4039" w:rsidP="0057744A">
            <w:r>
              <w:t>Magistrats, juges d’instruction et avocats ; société civile droit de l’homme</w:t>
            </w:r>
            <w:bookmarkEnd w:id="26"/>
            <w:bookmarkEnd w:id="27"/>
          </w:p>
        </w:tc>
        <w:tc>
          <w:tcPr>
            <w:tcW w:w="2552" w:type="dxa"/>
          </w:tcPr>
          <w:p w:rsidR="002A4039" w:rsidRDefault="002A4039" w:rsidP="005C6648">
            <w:pPr>
              <w:pStyle w:val="ListParagraph"/>
              <w:numPr>
                <w:ilvl w:val="0"/>
                <w:numId w:val="8"/>
              </w:numPr>
              <w:ind w:left="-108" w:firstLine="0"/>
            </w:pPr>
            <w:r>
              <w:t>Renforcer les capacités en instructions de cas de fraude dans  REDD</w:t>
            </w:r>
          </w:p>
          <w:p w:rsidR="002A4039" w:rsidRDefault="002A4039" w:rsidP="005E40F9">
            <w:pPr>
              <w:pStyle w:val="ListParagraph"/>
              <w:numPr>
                <w:ilvl w:val="0"/>
                <w:numId w:val="8"/>
              </w:numPr>
              <w:ind w:left="-108" w:firstLine="0"/>
            </w:pPr>
            <w:r>
              <w:t>Analyser le fonctionnement du mécanisme de gestion des plaintes</w:t>
            </w:r>
          </w:p>
        </w:tc>
        <w:tc>
          <w:tcPr>
            <w:tcW w:w="2268" w:type="dxa"/>
          </w:tcPr>
          <w:p w:rsidR="002A4039" w:rsidRDefault="002A4039" w:rsidP="005C6648"/>
          <w:p w:rsidR="002A4039" w:rsidRDefault="002A4039" w:rsidP="005C6648"/>
          <w:p w:rsidR="002A4039" w:rsidRDefault="002A4039" w:rsidP="005C6648">
            <w:r>
              <w:t xml:space="preserve">Jugement équitable des cas de corruption et fraude dans le processus REDD </w:t>
            </w:r>
          </w:p>
        </w:tc>
        <w:tc>
          <w:tcPr>
            <w:tcW w:w="2410" w:type="dxa"/>
          </w:tcPr>
          <w:p w:rsidR="002A4039" w:rsidRDefault="002A4039" w:rsidP="005E40F9">
            <w:pPr>
              <w:pStyle w:val="ListParagraph"/>
              <w:numPr>
                <w:ilvl w:val="0"/>
                <w:numId w:val="11"/>
              </w:numPr>
              <w:ind w:left="-108" w:hanging="23"/>
            </w:pPr>
            <w:r w:rsidRPr="005E40F9">
              <w:t>Mise en place d’un mécanisme de gestion des p</w:t>
            </w:r>
            <w:r w:rsidR="004F4D75">
              <w:t xml:space="preserve"> </w:t>
            </w:r>
            <w:r w:rsidRPr="005E40F9">
              <w:t>laintes</w:t>
            </w:r>
          </w:p>
          <w:p w:rsidR="002A4039" w:rsidRDefault="002A4039" w:rsidP="005E40F9">
            <w:pPr>
              <w:pStyle w:val="ListParagraph"/>
              <w:numPr>
                <w:ilvl w:val="0"/>
                <w:numId w:val="11"/>
              </w:numPr>
              <w:ind w:left="-108" w:hanging="23"/>
            </w:pPr>
            <w:r w:rsidRPr="005E40F9">
              <w:rPr>
                <w:rFonts w:ascii="Calibri" w:hAnsi="Calibri" w:cs="Calibri"/>
              </w:rPr>
              <w:t>Un groupe des juristes qui comprennent le processus REDD et sont capables de statuer sur les contentieux REDD</w:t>
            </w:r>
          </w:p>
        </w:tc>
        <w:tc>
          <w:tcPr>
            <w:tcW w:w="992" w:type="dxa"/>
            <w:shd w:val="clear" w:color="auto" w:fill="BFBFBF" w:themeFill="background1" w:themeFillShade="BF"/>
          </w:tcPr>
          <w:p w:rsidR="002A4039" w:rsidRDefault="002A4039" w:rsidP="001077DA"/>
          <w:p w:rsidR="002A4039" w:rsidRDefault="002A4039" w:rsidP="001077DA"/>
          <w:p w:rsidR="002A4039" w:rsidRPr="00F27E68" w:rsidRDefault="002A4039" w:rsidP="00F27E68">
            <w:pPr>
              <w:jc w:val="center"/>
              <w:rPr>
                <w:b/>
              </w:rPr>
            </w:pPr>
            <w:r w:rsidRPr="00F27E68">
              <w:rPr>
                <w:b/>
              </w:rPr>
              <w:t>2013</w:t>
            </w:r>
          </w:p>
        </w:tc>
        <w:tc>
          <w:tcPr>
            <w:tcW w:w="1134" w:type="dxa"/>
            <w:shd w:val="clear" w:color="auto" w:fill="BFBFBF" w:themeFill="background1" w:themeFillShade="BF"/>
          </w:tcPr>
          <w:p w:rsidR="002A4039" w:rsidRDefault="002A4039" w:rsidP="00A27A68"/>
        </w:tc>
      </w:tr>
      <w:bookmarkEnd w:id="25"/>
      <w:tr w:rsidR="002A4039" w:rsidTr="0037614E">
        <w:tc>
          <w:tcPr>
            <w:tcW w:w="2127" w:type="dxa"/>
            <w:gridSpan w:val="2"/>
            <w:vMerge/>
          </w:tcPr>
          <w:p w:rsidR="002A4039" w:rsidRDefault="002A4039" w:rsidP="0011558C"/>
        </w:tc>
        <w:tc>
          <w:tcPr>
            <w:tcW w:w="2268" w:type="dxa"/>
          </w:tcPr>
          <w:p w:rsidR="002A4039" w:rsidRDefault="002A4039" w:rsidP="00F15A43">
            <w:r>
              <w:t>Atelier sur le rôle des institutions financières dans la lutte contre la corruption dans REDD</w:t>
            </w:r>
          </w:p>
        </w:tc>
        <w:tc>
          <w:tcPr>
            <w:tcW w:w="2409" w:type="dxa"/>
            <w:gridSpan w:val="2"/>
          </w:tcPr>
          <w:p w:rsidR="002A4039" w:rsidRDefault="002A4039" w:rsidP="0011558C">
            <w:r>
              <w:t>Banques et institutions financières</w:t>
            </w:r>
          </w:p>
        </w:tc>
        <w:tc>
          <w:tcPr>
            <w:tcW w:w="2552" w:type="dxa"/>
          </w:tcPr>
          <w:p w:rsidR="002A4039" w:rsidRDefault="002A4039" w:rsidP="003A3F1E">
            <w:r>
              <w:t>Renforcer les capacités des banques à traquer l’argent investi dans les projets REDD et à dénicher les détournements des fonds REDD</w:t>
            </w:r>
          </w:p>
        </w:tc>
        <w:tc>
          <w:tcPr>
            <w:tcW w:w="2268" w:type="dxa"/>
          </w:tcPr>
          <w:p w:rsidR="002A4039" w:rsidRDefault="002A4039" w:rsidP="0011558C">
            <w:r>
              <w:t xml:space="preserve">Mitigation des cas de blanchiment d’argent et détournement des fonds REDD </w:t>
            </w:r>
          </w:p>
        </w:tc>
        <w:tc>
          <w:tcPr>
            <w:tcW w:w="2410" w:type="dxa"/>
          </w:tcPr>
          <w:p w:rsidR="002A4039" w:rsidRDefault="002A4039" w:rsidP="00E17FB3">
            <w:r>
              <w:t xml:space="preserve">Elaboration d’un cadre monitoring des transactions illicites </w:t>
            </w:r>
          </w:p>
        </w:tc>
        <w:tc>
          <w:tcPr>
            <w:tcW w:w="992" w:type="dxa"/>
            <w:shd w:val="clear" w:color="auto" w:fill="BFBFBF" w:themeFill="background1" w:themeFillShade="BF"/>
          </w:tcPr>
          <w:p w:rsidR="002A4039" w:rsidRDefault="002A4039" w:rsidP="0011558C"/>
          <w:p w:rsidR="002A4039" w:rsidRDefault="002A4039" w:rsidP="0011558C"/>
          <w:p w:rsidR="002A4039" w:rsidRPr="00CF360E" w:rsidRDefault="002A4039" w:rsidP="0011558C">
            <w:pPr>
              <w:rPr>
                <w:b/>
              </w:rPr>
            </w:pPr>
            <w:r>
              <w:t xml:space="preserve">       </w:t>
            </w:r>
            <w:r w:rsidRPr="00CF360E">
              <w:rPr>
                <w:b/>
              </w:rPr>
              <w:t>2013</w:t>
            </w:r>
          </w:p>
        </w:tc>
        <w:tc>
          <w:tcPr>
            <w:tcW w:w="1134" w:type="dxa"/>
            <w:shd w:val="clear" w:color="auto" w:fill="BFBFBF" w:themeFill="background1" w:themeFillShade="BF"/>
          </w:tcPr>
          <w:p w:rsidR="002A4039" w:rsidRDefault="002A4039" w:rsidP="0011558C"/>
        </w:tc>
      </w:tr>
      <w:tr w:rsidR="002A4039" w:rsidRPr="00E6522C" w:rsidTr="0037614E">
        <w:tc>
          <w:tcPr>
            <w:tcW w:w="15026" w:type="dxa"/>
            <w:gridSpan w:val="9"/>
            <w:shd w:val="clear" w:color="auto" w:fill="auto"/>
          </w:tcPr>
          <w:p w:rsidR="002A4039" w:rsidRDefault="002A4039" w:rsidP="00136425">
            <w:pPr>
              <w:rPr>
                <w:b/>
              </w:rPr>
            </w:pPr>
            <w:r>
              <w:rPr>
                <w:b/>
              </w:rPr>
              <w:t>Total</w:t>
            </w:r>
          </w:p>
        </w:tc>
        <w:tc>
          <w:tcPr>
            <w:tcW w:w="1134" w:type="dxa"/>
            <w:shd w:val="clear" w:color="auto" w:fill="auto"/>
          </w:tcPr>
          <w:p w:rsidR="002A4039" w:rsidRPr="00E6522C" w:rsidRDefault="002A4039" w:rsidP="00136425">
            <w:pPr>
              <w:rPr>
                <w:b/>
              </w:rPr>
            </w:pPr>
            <w:r>
              <w:rPr>
                <w:b/>
              </w:rPr>
              <w:t>10800</w:t>
            </w:r>
          </w:p>
        </w:tc>
      </w:tr>
      <w:tr w:rsidR="002A4039" w:rsidRPr="00E6522C" w:rsidTr="0037614E">
        <w:tc>
          <w:tcPr>
            <w:tcW w:w="15026" w:type="dxa"/>
            <w:gridSpan w:val="9"/>
            <w:shd w:val="clear" w:color="auto" w:fill="D9D9D9" w:themeFill="background1" w:themeFillShade="D9"/>
          </w:tcPr>
          <w:p w:rsidR="002A4039" w:rsidRPr="00E6522C" w:rsidRDefault="002A4039" w:rsidP="00455482">
            <w:pPr>
              <w:jc w:val="center"/>
              <w:rPr>
                <w:b/>
              </w:rPr>
            </w:pPr>
            <w:r>
              <w:rPr>
                <w:b/>
              </w:rPr>
              <w:t>ELEMENT BUDGETAIRE SUPPLEMENTAIRE</w:t>
            </w:r>
          </w:p>
        </w:tc>
        <w:tc>
          <w:tcPr>
            <w:tcW w:w="1134" w:type="dxa"/>
            <w:shd w:val="clear" w:color="auto" w:fill="D9D9D9" w:themeFill="background1" w:themeFillShade="D9"/>
          </w:tcPr>
          <w:p w:rsidR="002A4039" w:rsidRDefault="002A4039" w:rsidP="00136425">
            <w:pPr>
              <w:rPr>
                <w:b/>
              </w:rPr>
            </w:pPr>
          </w:p>
        </w:tc>
      </w:tr>
      <w:tr w:rsidR="002A4039" w:rsidRPr="00405FD8" w:rsidTr="0037614E">
        <w:tc>
          <w:tcPr>
            <w:tcW w:w="425" w:type="dxa"/>
            <w:shd w:val="clear" w:color="auto" w:fill="auto"/>
          </w:tcPr>
          <w:p w:rsidR="002A4039" w:rsidRPr="00405FD8" w:rsidRDefault="002A4039" w:rsidP="00136425">
            <w:pPr>
              <w:rPr>
                <w:b/>
              </w:rPr>
            </w:pPr>
          </w:p>
        </w:tc>
        <w:tc>
          <w:tcPr>
            <w:tcW w:w="4820" w:type="dxa"/>
            <w:gridSpan w:val="3"/>
            <w:shd w:val="clear" w:color="auto" w:fill="auto"/>
          </w:tcPr>
          <w:p w:rsidR="002A4039" w:rsidRPr="00405FD8" w:rsidRDefault="002A4039" w:rsidP="00136425">
            <w:pPr>
              <w:rPr>
                <w:b/>
              </w:rPr>
            </w:pPr>
            <w:r w:rsidRPr="00405FD8">
              <w:rPr>
                <w:b/>
              </w:rPr>
              <w:t>Chantier</w:t>
            </w:r>
          </w:p>
        </w:tc>
        <w:tc>
          <w:tcPr>
            <w:tcW w:w="9781" w:type="dxa"/>
            <w:gridSpan w:val="5"/>
            <w:shd w:val="clear" w:color="auto" w:fill="auto"/>
          </w:tcPr>
          <w:p w:rsidR="002A4039" w:rsidRPr="00405FD8" w:rsidRDefault="002A4039" w:rsidP="00136425">
            <w:pPr>
              <w:rPr>
                <w:b/>
              </w:rPr>
            </w:pPr>
            <w:r w:rsidRPr="00405FD8">
              <w:rPr>
                <w:b/>
              </w:rPr>
              <w:t>Justification</w:t>
            </w:r>
          </w:p>
        </w:tc>
        <w:tc>
          <w:tcPr>
            <w:tcW w:w="1134" w:type="dxa"/>
            <w:shd w:val="clear" w:color="auto" w:fill="auto"/>
          </w:tcPr>
          <w:p w:rsidR="002A4039" w:rsidRPr="00405FD8" w:rsidRDefault="002A4039" w:rsidP="00136425">
            <w:pPr>
              <w:rPr>
                <w:b/>
              </w:rPr>
            </w:pPr>
          </w:p>
        </w:tc>
      </w:tr>
      <w:tr w:rsidR="002A4039" w:rsidRPr="00E6522C" w:rsidTr="0037614E">
        <w:tc>
          <w:tcPr>
            <w:tcW w:w="425" w:type="dxa"/>
            <w:shd w:val="clear" w:color="auto" w:fill="auto"/>
          </w:tcPr>
          <w:p w:rsidR="002A4039" w:rsidRPr="006B574A" w:rsidRDefault="002A4039" w:rsidP="00136425"/>
        </w:tc>
        <w:tc>
          <w:tcPr>
            <w:tcW w:w="4820" w:type="dxa"/>
            <w:gridSpan w:val="3"/>
            <w:shd w:val="clear" w:color="auto" w:fill="auto"/>
          </w:tcPr>
          <w:p w:rsidR="002A4039" w:rsidRPr="006B574A" w:rsidRDefault="002A4039" w:rsidP="00136425">
            <w:r w:rsidRPr="006B574A">
              <w:t>Missions d’évaluation</w:t>
            </w:r>
            <w:r>
              <w:t xml:space="preserve"> et</w:t>
            </w:r>
            <w:r w:rsidRPr="006B574A">
              <w:t xml:space="preserve"> suivi</w:t>
            </w:r>
            <w:r>
              <w:t>e</w:t>
            </w:r>
            <w:r w:rsidRPr="006B574A">
              <w:t xml:space="preserve"> des activités </w:t>
            </w:r>
            <w:r>
              <w:t>en provinces</w:t>
            </w:r>
          </w:p>
        </w:tc>
        <w:tc>
          <w:tcPr>
            <w:tcW w:w="9781" w:type="dxa"/>
            <w:gridSpan w:val="5"/>
            <w:shd w:val="clear" w:color="auto" w:fill="auto"/>
          </w:tcPr>
          <w:p w:rsidR="002A4039" w:rsidRPr="00742FE0" w:rsidRDefault="002A4039" w:rsidP="00F70F6E">
            <w:r w:rsidRPr="00742FE0">
              <w:t>Missions à l’</w:t>
            </w:r>
            <w:r>
              <w:t>intérieur des territoires projets pilots REDD+ : frais de voyage, DSA et logistique</w:t>
            </w:r>
          </w:p>
        </w:tc>
        <w:tc>
          <w:tcPr>
            <w:tcW w:w="1134" w:type="dxa"/>
            <w:shd w:val="clear" w:color="auto" w:fill="auto"/>
          </w:tcPr>
          <w:p w:rsidR="002A4039" w:rsidRDefault="002A4039" w:rsidP="00136425">
            <w:pPr>
              <w:rPr>
                <w:b/>
              </w:rPr>
            </w:pPr>
            <w:r>
              <w:rPr>
                <w:b/>
              </w:rPr>
              <w:t>6000</w:t>
            </w:r>
          </w:p>
        </w:tc>
      </w:tr>
      <w:tr w:rsidR="002A4039" w:rsidRPr="00E6522C" w:rsidTr="0037614E">
        <w:tc>
          <w:tcPr>
            <w:tcW w:w="15026" w:type="dxa"/>
            <w:gridSpan w:val="9"/>
            <w:shd w:val="clear" w:color="auto" w:fill="D9D9D9" w:themeFill="background1" w:themeFillShade="D9"/>
          </w:tcPr>
          <w:p w:rsidR="002A4039" w:rsidRPr="00E6522C" w:rsidRDefault="002A4039" w:rsidP="00136425">
            <w:pPr>
              <w:rPr>
                <w:b/>
              </w:rPr>
            </w:pPr>
            <w:r w:rsidRPr="00E6522C">
              <w:rPr>
                <w:b/>
              </w:rPr>
              <w:t>Budget Total pour activités 2012</w:t>
            </w:r>
            <w:r>
              <w:rPr>
                <w:b/>
              </w:rPr>
              <w:t xml:space="preserve"> </w:t>
            </w:r>
          </w:p>
        </w:tc>
        <w:tc>
          <w:tcPr>
            <w:tcW w:w="1134" w:type="dxa"/>
            <w:shd w:val="clear" w:color="auto" w:fill="D9D9D9" w:themeFill="background1" w:themeFillShade="D9"/>
          </w:tcPr>
          <w:p w:rsidR="002A4039" w:rsidRPr="00E6522C" w:rsidRDefault="002A4039" w:rsidP="00136425">
            <w:pPr>
              <w:rPr>
                <w:b/>
              </w:rPr>
            </w:pPr>
            <w:r>
              <w:rPr>
                <w:b/>
              </w:rPr>
              <w:t>49800</w:t>
            </w:r>
          </w:p>
        </w:tc>
      </w:tr>
    </w:tbl>
    <w:p w:rsidR="0069253B" w:rsidRDefault="0069253B" w:rsidP="00476B72"/>
    <w:p w:rsidR="0069253B" w:rsidRDefault="0069253B" w:rsidP="00476B72">
      <w:pPr>
        <w:sectPr w:rsidR="0069253B" w:rsidSect="00136425">
          <w:pgSz w:w="16838" w:h="11906" w:orient="landscape"/>
          <w:pgMar w:top="709" w:right="1417" w:bottom="1134" w:left="1417" w:header="708" w:footer="708" w:gutter="0"/>
          <w:cols w:space="708"/>
          <w:docGrid w:linePitch="360"/>
        </w:sectPr>
      </w:pPr>
    </w:p>
    <w:p w:rsidR="00A10E78" w:rsidRPr="00A10E78" w:rsidRDefault="00A10E78" w:rsidP="00A10E78">
      <w:pPr>
        <w:jc w:val="center"/>
        <w:rPr>
          <w:rFonts w:cs="Calibri"/>
          <w:b/>
        </w:rPr>
      </w:pPr>
      <w:bookmarkStart w:id="28" w:name="OLE_LINK23"/>
      <w:bookmarkStart w:id="29" w:name="OLE_LINK24"/>
      <w:r w:rsidRPr="00A10E78">
        <w:rPr>
          <w:b/>
        </w:rPr>
        <w:t xml:space="preserve">Annexes I : </w:t>
      </w:r>
      <w:r w:rsidRPr="00A10E78">
        <w:rPr>
          <w:rFonts w:cs="Calibri"/>
          <w:b/>
        </w:rPr>
        <w:t>PREVISIONS BUDGETAIRES, Activité 2, Axe 3</w:t>
      </w:r>
    </w:p>
    <w:bookmarkEnd w:id="28"/>
    <w:bookmarkEnd w:id="29"/>
    <w:p w:rsidR="00A10E78" w:rsidRPr="00CF29A7" w:rsidRDefault="00A10E78" w:rsidP="00A10E78">
      <w:pPr>
        <w:shd w:val="clear" w:color="auto" w:fill="D9D9D9"/>
        <w:jc w:val="center"/>
        <w:rPr>
          <w:rFonts w:cs="Calibri"/>
          <w:b/>
          <w:color w:val="FF0000"/>
          <w:sz w:val="28"/>
          <w:szCs w:val="28"/>
        </w:rPr>
      </w:pPr>
      <w:r w:rsidRPr="0025712D">
        <w:rPr>
          <w:b/>
          <w:sz w:val="28"/>
          <w:szCs w:val="28"/>
        </w:rPr>
        <w:t xml:space="preserve">Atelier </w:t>
      </w:r>
      <w:r>
        <w:rPr>
          <w:b/>
          <w:sz w:val="28"/>
          <w:szCs w:val="28"/>
        </w:rPr>
        <w:t>de validation de la Cartographie des risques de corruption dans le processus REDD en RDC</w:t>
      </w:r>
    </w:p>
    <w:p w:rsidR="00A10E78" w:rsidRDefault="00A10E78" w:rsidP="00A10E78">
      <w:pPr>
        <w:rPr>
          <w:rFonts w:cs="Calibri"/>
          <w:b/>
        </w:rPr>
      </w:pPr>
      <w:r>
        <w:rPr>
          <w:rFonts w:cs="Calibri"/>
          <w:b/>
        </w:rPr>
        <w:t>Nombre de participants: 50</w:t>
      </w:r>
    </w:p>
    <w:p w:rsidR="00A10E78" w:rsidRDefault="00A10E78" w:rsidP="00A10E78">
      <w:pPr>
        <w:rPr>
          <w:rFonts w:cs="Calibri"/>
          <w:b/>
        </w:rPr>
      </w:pPr>
      <w:r>
        <w:rPr>
          <w:rFonts w:cs="Calibri"/>
          <w:b/>
        </w:rPr>
        <w:t>Nombre de jour </w:t>
      </w:r>
      <w:r>
        <w:rPr>
          <w:rFonts w:cs="Calibri"/>
          <w:b/>
        </w:rPr>
        <w:tab/>
        <w:t xml:space="preserve">: </w:t>
      </w:r>
      <w:r w:rsidR="00895082">
        <w:rPr>
          <w:rFonts w:cs="Calibri"/>
          <w:b/>
        </w:rPr>
        <w:t xml:space="preserve"> </w:t>
      </w:r>
      <w:r>
        <w:rPr>
          <w:rFonts w:cs="Calibri"/>
          <w:b/>
        </w:rPr>
        <w:t>1</w:t>
      </w:r>
    </w:p>
    <w:p w:rsidR="00A10E78" w:rsidRDefault="00A10E78" w:rsidP="00A10E78">
      <w:pPr>
        <w:rPr>
          <w:rFonts w:cs="Calibri"/>
          <w:b/>
        </w:rPr>
      </w:pPr>
      <w:r>
        <w:rPr>
          <w:rFonts w:cs="Calibri"/>
          <w:b/>
        </w:rPr>
        <w:t>Date </w:t>
      </w:r>
      <w:r>
        <w:rPr>
          <w:rFonts w:cs="Calibri"/>
          <w:b/>
        </w:rPr>
        <w:tab/>
      </w:r>
      <w:r>
        <w:rPr>
          <w:rFonts w:cs="Calibri"/>
          <w:b/>
        </w:rPr>
        <w:tab/>
      </w:r>
      <w:r>
        <w:rPr>
          <w:rFonts w:cs="Calibri"/>
          <w:b/>
        </w:rPr>
        <w:tab/>
        <w:t xml:space="preserve">: </w:t>
      </w:r>
      <w:r w:rsidR="00895082">
        <w:rPr>
          <w:rFonts w:cs="Calibri"/>
          <w:b/>
        </w:rPr>
        <w:t xml:space="preserve"> </w:t>
      </w:r>
      <w:r>
        <w:rPr>
          <w:rFonts w:cs="Calibri"/>
          <w:b/>
        </w:rPr>
        <w:t>Le 1</w:t>
      </w:r>
      <w:r w:rsidR="00A9227D">
        <w:rPr>
          <w:rFonts w:cs="Calibri"/>
          <w:b/>
        </w:rPr>
        <w:t>5</w:t>
      </w:r>
      <w:r>
        <w:rPr>
          <w:rFonts w:cs="Calibri"/>
          <w:b/>
        </w:rPr>
        <w:t xml:space="preserve"> Novembre 2012</w:t>
      </w:r>
    </w:p>
    <w:tbl>
      <w:tblPr>
        <w:tblW w:w="10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6"/>
        <w:gridCol w:w="5193"/>
        <w:gridCol w:w="1276"/>
        <w:gridCol w:w="707"/>
        <w:gridCol w:w="984"/>
        <w:gridCol w:w="881"/>
      </w:tblGrid>
      <w:tr w:rsidR="00A10E78" w:rsidRPr="008375C6" w:rsidTr="00A10E78">
        <w:tc>
          <w:tcPr>
            <w:tcW w:w="1056" w:type="dxa"/>
          </w:tcPr>
          <w:p w:rsidR="00A10E78" w:rsidRPr="008375C6" w:rsidRDefault="00A10E78" w:rsidP="00A9227D">
            <w:pPr>
              <w:spacing w:after="0" w:line="240" w:lineRule="auto"/>
              <w:rPr>
                <w:rFonts w:cs="Calibri"/>
                <w:b/>
              </w:rPr>
            </w:pPr>
            <w:bookmarkStart w:id="30" w:name="OLE_LINK1"/>
            <w:bookmarkStart w:id="31" w:name="OLE_LINK2"/>
            <w:r w:rsidRPr="008375C6">
              <w:rPr>
                <w:rFonts w:cs="Calibri"/>
                <w:b/>
              </w:rPr>
              <w:t>Rubrique</w:t>
            </w:r>
          </w:p>
        </w:tc>
        <w:tc>
          <w:tcPr>
            <w:tcW w:w="5193" w:type="dxa"/>
          </w:tcPr>
          <w:p w:rsidR="00A10E78" w:rsidRPr="008375C6" w:rsidRDefault="00A10E78" w:rsidP="00A9227D">
            <w:pPr>
              <w:spacing w:after="0" w:line="240" w:lineRule="auto"/>
              <w:rPr>
                <w:rFonts w:cs="Calibri"/>
                <w:b/>
              </w:rPr>
            </w:pPr>
            <w:r w:rsidRPr="008375C6">
              <w:rPr>
                <w:rFonts w:cs="Calibri"/>
                <w:b/>
              </w:rPr>
              <w:t>DESCRIPTION</w:t>
            </w:r>
          </w:p>
        </w:tc>
        <w:tc>
          <w:tcPr>
            <w:tcW w:w="1276" w:type="dxa"/>
          </w:tcPr>
          <w:p w:rsidR="00A10E78" w:rsidRPr="008375C6" w:rsidRDefault="00A10E78" w:rsidP="00A9227D">
            <w:pPr>
              <w:spacing w:after="0" w:line="240" w:lineRule="auto"/>
              <w:rPr>
                <w:rFonts w:cs="Calibri"/>
                <w:b/>
              </w:rPr>
            </w:pPr>
            <w:r w:rsidRPr="008375C6">
              <w:rPr>
                <w:rFonts w:cs="Calibri"/>
                <w:b/>
              </w:rPr>
              <w:t>REFERENCE</w:t>
            </w:r>
          </w:p>
        </w:tc>
        <w:tc>
          <w:tcPr>
            <w:tcW w:w="707" w:type="dxa"/>
          </w:tcPr>
          <w:p w:rsidR="00A10E78" w:rsidRPr="008375C6" w:rsidRDefault="00A10E78" w:rsidP="00A9227D">
            <w:pPr>
              <w:spacing w:after="0" w:line="240" w:lineRule="auto"/>
              <w:rPr>
                <w:rFonts w:cs="Calibri"/>
                <w:b/>
              </w:rPr>
            </w:pPr>
            <w:r w:rsidRPr="008375C6">
              <w:rPr>
                <w:rFonts w:cs="Calibri"/>
                <w:b/>
              </w:rPr>
              <w:t>QTE</w:t>
            </w:r>
          </w:p>
        </w:tc>
        <w:tc>
          <w:tcPr>
            <w:tcW w:w="984" w:type="dxa"/>
          </w:tcPr>
          <w:p w:rsidR="00A10E78" w:rsidRPr="008375C6" w:rsidRDefault="00A10E78" w:rsidP="00A9227D">
            <w:pPr>
              <w:spacing w:after="0" w:line="240" w:lineRule="auto"/>
              <w:rPr>
                <w:rFonts w:cs="Calibri"/>
                <w:b/>
              </w:rPr>
            </w:pPr>
            <w:r w:rsidRPr="008375C6">
              <w:rPr>
                <w:rFonts w:cs="Calibri"/>
                <w:b/>
              </w:rPr>
              <w:t>PU US$</w:t>
            </w:r>
          </w:p>
        </w:tc>
        <w:tc>
          <w:tcPr>
            <w:tcW w:w="881" w:type="dxa"/>
          </w:tcPr>
          <w:p w:rsidR="00A10E78" w:rsidRPr="008375C6" w:rsidRDefault="00A10E78" w:rsidP="00A9227D">
            <w:pPr>
              <w:spacing w:after="0" w:line="240" w:lineRule="auto"/>
              <w:rPr>
                <w:rFonts w:cs="Calibri"/>
                <w:b/>
              </w:rPr>
            </w:pPr>
            <w:r w:rsidRPr="008375C6">
              <w:rPr>
                <w:rFonts w:cs="Calibri"/>
                <w:b/>
              </w:rPr>
              <w:t>PT US$</w:t>
            </w:r>
          </w:p>
        </w:tc>
      </w:tr>
      <w:tr w:rsidR="00A10E78" w:rsidRPr="008375C6" w:rsidTr="00A10E78">
        <w:tc>
          <w:tcPr>
            <w:tcW w:w="1056" w:type="dxa"/>
            <w:vMerge w:val="restart"/>
          </w:tcPr>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r w:rsidRPr="008375C6">
              <w:rPr>
                <w:rFonts w:cs="Calibri"/>
              </w:rPr>
              <w:t>1</w:t>
            </w:r>
          </w:p>
        </w:tc>
        <w:tc>
          <w:tcPr>
            <w:tcW w:w="9041" w:type="dxa"/>
            <w:gridSpan w:val="5"/>
          </w:tcPr>
          <w:p w:rsidR="00A10E78" w:rsidRPr="008375C6" w:rsidRDefault="00A10E78" w:rsidP="00A9227D">
            <w:pPr>
              <w:spacing w:after="0" w:line="240" w:lineRule="auto"/>
              <w:jc w:val="center"/>
              <w:rPr>
                <w:rFonts w:cs="Calibri"/>
                <w:b/>
              </w:rPr>
            </w:pPr>
            <w:r w:rsidRPr="008375C6">
              <w:rPr>
                <w:rFonts w:cs="Calibri"/>
                <w:b/>
              </w:rPr>
              <w:t>RESSOURCES HUMAINES</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Modérateur</w:t>
            </w:r>
            <w:r w:rsidR="002E2411">
              <w:rPr>
                <w:rFonts w:cs="Calibri"/>
              </w:rPr>
              <w:t>s</w:t>
            </w:r>
            <w:r w:rsidRPr="008375C6">
              <w:rPr>
                <w:rFonts w:cs="Calibri"/>
              </w:rPr>
              <w:t>/Facilitateur</w:t>
            </w:r>
            <w:r w:rsidR="002E2411">
              <w:rPr>
                <w:rFonts w:cs="Calibri"/>
              </w:rPr>
              <w:t>s</w:t>
            </w:r>
          </w:p>
        </w:tc>
        <w:tc>
          <w:tcPr>
            <w:tcW w:w="1276" w:type="dxa"/>
          </w:tcPr>
          <w:p w:rsidR="00A10E78" w:rsidRPr="008375C6" w:rsidRDefault="002E2411" w:rsidP="00A9227D">
            <w:pPr>
              <w:spacing w:after="0" w:line="240" w:lineRule="auto"/>
              <w:rPr>
                <w:rFonts w:cs="Calibri"/>
              </w:rPr>
            </w:pPr>
            <w:r>
              <w:rPr>
                <w:rFonts w:cs="Calibri"/>
              </w:rPr>
              <w:t>1</w:t>
            </w:r>
          </w:p>
        </w:tc>
        <w:tc>
          <w:tcPr>
            <w:tcW w:w="707" w:type="dxa"/>
          </w:tcPr>
          <w:p w:rsidR="00A10E78" w:rsidRPr="008375C6" w:rsidRDefault="002E2411" w:rsidP="00A9227D">
            <w:pPr>
              <w:spacing w:after="0" w:line="240" w:lineRule="auto"/>
              <w:jc w:val="right"/>
              <w:rPr>
                <w:rFonts w:cs="Calibri"/>
              </w:rPr>
            </w:pPr>
            <w:r>
              <w:rPr>
                <w:rFonts w:cs="Calibri"/>
              </w:rPr>
              <w:t>3</w:t>
            </w:r>
          </w:p>
        </w:tc>
        <w:tc>
          <w:tcPr>
            <w:tcW w:w="984" w:type="dxa"/>
          </w:tcPr>
          <w:p w:rsidR="00A10E78" w:rsidRPr="008375C6" w:rsidRDefault="00A10E78" w:rsidP="00A9227D">
            <w:pPr>
              <w:spacing w:after="0" w:line="240" w:lineRule="auto"/>
              <w:jc w:val="right"/>
              <w:rPr>
                <w:rFonts w:cs="Calibri"/>
              </w:rPr>
            </w:pPr>
            <w:r w:rsidRPr="008375C6">
              <w:rPr>
                <w:rFonts w:cs="Calibri"/>
              </w:rPr>
              <w:t>100</w:t>
            </w:r>
          </w:p>
        </w:tc>
        <w:tc>
          <w:tcPr>
            <w:tcW w:w="881" w:type="dxa"/>
          </w:tcPr>
          <w:p w:rsidR="00A10E78" w:rsidRPr="008375C6" w:rsidRDefault="00A10E78" w:rsidP="00A9227D">
            <w:pPr>
              <w:spacing w:after="0" w:line="240" w:lineRule="auto"/>
              <w:jc w:val="right"/>
              <w:rPr>
                <w:rFonts w:cs="Calibri"/>
              </w:rPr>
            </w:pPr>
            <w:r w:rsidRPr="008375C6">
              <w:rPr>
                <w:rFonts w:cs="Calibri"/>
              </w:rPr>
              <w:t>300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Intervenant</w:t>
            </w:r>
            <w:r w:rsidR="002E2411">
              <w:rPr>
                <w:rFonts w:cs="Calibri"/>
              </w:rPr>
              <w:t>s</w:t>
            </w:r>
          </w:p>
        </w:tc>
        <w:tc>
          <w:tcPr>
            <w:tcW w:w="1276" w:type="dxa"/>
          </w:tcPr>
          <w:p w:rsidR="00A10E78" w:rsidRPr="008375C6" w:rsidRDefault="002E2411" w:rsidP="00A9227D">
            <w:pPr>
              <w:spacing w:after="0" w:line="240" w:lineRule="auto"/>
              <w:rPr>
                <w:rFonts w:cs="Calibri"/>
              </w:rPr>
            </w:pPr>
            <w:r>
              <w:rPr>
                <w:rFonts w:cs="Calibri"/>
              </w:rPr>
              <w:t>1</w:t>
            </w:r>
          </w:p>
        </w:tc>
        <w:tc>
          <w:tcPr>
            <w:tcW w:w="707" w:type="dxa"/>
          </w:tcPr>
          <w:p w:rsidR="00A10E78" w:rsidRPr="008375C6" w:rsidRDefault="007F45AE" w:rsidP="00A9227D">
            <w:pPr>
              <w:spacing w:after="0" w:line="240" w:lineRule="auto"/>
              <w:jc w:val="right"/>
              <w:rPr>
                <w:rFonts w:cs="Calibri"/>
              </w:rPr>
            </w:pPr>
            <w:r>
              <w:rPr>
                <w:rFonts w:cs="Calibri"/>
              </w:rPr>
              <w:t>3</w:t>
            </w:r>
          </w:p>
        </w:tc>
        <w:tc>
          <w:tcPr>
            <w:tcW w:w="984" w:type="dxa"/>
          </w:tcPr>
          <w:p w:rsidR="00A10E78" w:rsidRPr="008375C6" w:rsidRDefault="00A10E78" w:rsidP="00A9227D">
            <w:pPr>
              <w:spacing w:after="0" w:line="240" w:lineRule="auto"/>
              <w:jc w:val="right"/>
              <w:rPr>
                <w:rFonts w:cs="Calibri"/>
              </w:rPr>
            </w:pPr>
            <w:r w:rsidRPr="008375C6">
              <w:rPr>
                <w:rFonts w:cs="Calibri"/>
              </w:rPr>
              <w:t>100</w:t>
            </w:r>
          </w:p>
        </w:tc>
        <w:tc>
          <w:tcPr>
            <w:tcW w:w="881" w:type="dxa"/>
          </w:tcPr>
          <w:p w:rsidR="00A10E78" w:rsidRPr="008375C6" w:rsidRDefault="007F45AE" w:rsidP="00A9227D">
            <w:pPr>
              <w:spacing w:after="0" w:line="240" w:lineRule="auto"/>
              <w:jc w:val="right"/>
              <w:rPr>
                <w:rFonts w:cs="Calibri"/>
              </w:rPr>
            </w:pPr>
            <w:r>
              <w:rPr>
                <w:rFonts w:cs="Calibri"/>
              </w:rPr>
              <w:t>300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Secrétariat Technique/Rapporteurs</w:t>
            </w:r>
          </w:p>
        </w:tc>
        <w:tc>
          <w:tcPr>
            <w:tcW w:w="1276" w:type="dxa"/>
          </w:tcPr>
          <w:p w:rsidR="00A10E78" w:rsidRPr="008375C6" w:rsidRDefault="00A10E78" w:rsidP="00A9227D">
            <w:pPr>
              <w:spacing w:after="0" w:line="240" w:lineRule="auto"/>
              <w:rPr>
                <w:rFonts w:cs="Calibri"/>
              </w:rPr>
            </w:pPr>
            <w:r>
              <w:rPr>
                <w:rFonts w:cs="Calibri"/>
              </w:rPr>
              <w:t>1</w:t>
            </w:r>
          </w:p>
        </w:tc>
        <w:tc>
          <w:tcPr>
            <w:tcW w:w="707" w:type="dxa"/>
          </w:tcPr>
          <w:p w:rsidR="00A10E78" w:rsidRPr="008375C6" w:rsidRDefault="00A10E78" w:rsidP="00A9227D">
            <w:pPr>
              <w:spacing w:after="0" w:line="240" w:lineRule="auto"/>
              <w:jc w:val="right"/>
              <w:rPr>
                <w:rFonts w:cs="Calibri"/>
              </w:rPr>
            </w:pPr>
            <w:r w:rsidRPr="008375C6">
              <w:rPr>
                <w:rFonts w:cs="Calibri"/>
              </w:rPr>
              <w:t>3</w:t>
            </w:r>
          </w:p>
        </w:tc>
        <w:tc>
          <w:tcPr>
            <w:tcW w:w="984" w:type="dxa"/>
          </w:tcPr>
          <w:p w:rsidR="00A10E78" w:rsidRPr="008375C6" w:rsidRDefault="00A10E78" w:rsidP="00A9227D">
            <w:pPr>
              <w:spacing w:after="0" w:line="240" w:lineRule="auto"/>
              <w:jc w:val="right"/>
              <w:rPr>
                <w:rFonts w:cs="Calibri"/>
              </w:rPr>
            </w:pPr>
            <w:r w:rsidRPr="008375C6">
              <w:rPr>
                <w:rFonts w:cs="Calibri"/>
              </w:rPr>
              <w:t>60</w:t>
            </w:r>
          </w:p>
        </w:tc>
        <w:tc>
          <w:tcPr>
            <w:tcW w:w="881" w:type="dxa"/>
          </w:tcPr>
          <w:p w:rsidR="00A10E78" w:rsidRPr="008375C6" w:rsidRDefault="00A10E78" w:rsidP="00A9227D">
            <w:pPr>
              <w:spacing w:after="0" w:line="240" w:lineRule="auto"/>
              <w:jc w:val="right"/>
              <w:rPr>
                <w:rFonts w:cs="Calibri"/>
              </w:rPr>
            </w:pPr>
            <w:r>
              <w:rPr>
                <w:rFonts w:cs="Calibri"/>
              </w:rPr>
              <w:t>180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Personnel d’appoint</w:t>
            </w:r>
          </w:p>
        </w:tc>
        <w:tc>
          <w:tcPr>
            <w:tcW w:w="1276" w:type="dxa"/>
          </w:tcPr>
          <w:p w:rsidR="00A10E78" w:rsidRPr="008375C6" w:rsidRDefault="00A10E78" w:rsidP="00A9227D">
            <w:pPr>
              <w:spacing w:after="0" w:line="240" w:lineRule="auto"/>
              <w:rPr>
                <w:rFonts w:cs="Calibri"/>
              </w:rPr>
            </w:pPr>
            <w:r>
              <w:rPr>
                <w:rFonts w:cs="Calibri"/>
              </w:rPr>
              <w:t>1</w:t>
            </w:r>
          </w:p>
        </w:tc>
        <w:tc>
          <w:tcPr>
            <w:tcW w:w="707" w:type="dxa"/>
          </w:tcPr>
          <w:p w:rsidR="00A10E78" w:rsidRPr="008375C6" w:rsidRDefault="007F45AE" w:rsidP="00A9227D">
            <w:pPr>
              <w:spacing w:after="0" w:line="240" w:lineRule="auto"/>
              <w:jc w:val="right"/>
              <w:rPr>
                <w:rFonts w:cs="Calibri"/>
              </w:rPr>
            </w:pPr>
            <w:r>
              <w:rPr>
                <w:rFonts w:cs="Calibri"/>
              </w:rPr>
              <w:t>6</w:t>
            </w:r>
          </w:p>
        </w:tc>
        <w:tc>
          <w:tcPr>
            <w:tcW w:w="984" w:type="dxa"/>
          </w:tcPr>
          <w:p w:rsidR="00A10E78" w:rsidRPr="008375C6" w:rsidRDefault="007F45AE" w:rsidP="00A9227D">
            <w:pPr>
              <w:spacing w:after="0" w:line="240" w:lineRule="auto"/>
              <w:jc w:val="right"/>
              <w:rPr>
                <w:rFonts w:cs="Calibri"/>
              </w:rPr>
            </w:pPr>
            <w:r>
              <w:rPr>
                <w:rFonts w:cs="Calibri"/>
              </w:rPr>
              <w:t>50</w:t>
            </w:r>
          </w:p>
        </w:tc>
        <w:tc>
          <w:tcPr>
            <w:tcW w:w="881" w:type="dxa"/>
          </w:tcPr>
          <w:p w:rsidR="00A10E78" w:rsidRPr="008375C6" w:rsidRDefault="007F45AE" w:rsidP="00A9227D">
            <w:pPr>
              <w:spacing w:after="0" w:line="240" w:lineRule="auto"/>
              <w:jc w:val="right"/>
              <w:rPr>
                <w:rFonts w:cs="Calibri"/>
              </w:rPr>
            </w:pPr>
            <w:r>
              <w:rPr>
                <w:rFonts w:cs="Calibri"/>
              </w:rPr>
              <w:t>300</w:t>
            </w:r>
          </w:p>
        </w:tc>
      </w:tr>
      <w:tr w:rsidR="00A10E78" w:rsidRPr="008375C6" w:rsidTr="00A10E78">
        <w:tc>
          <w:tcPr>
            <w:tcW w:w="1056" w:type="dxa"/>
            <w:shd w:val="clear" w:color="auto" w:fill="D9D9D9" w:themeFill="background1" w:themeFillShade="D9"/>
          </w:tcPr>
          <w:p w:rsidR="00A10E78" w:rsidRPr="008375C6" w:rsidRDefault="00A10E78" w:rsidP="00A9227D">
            <w:pPr>
              <w:spacing w:after="0" w:line="240" w:lineRule="auto"/>
              <w:rPr>
                <w:rFonts w:cs="Calibri"/>
                <w:b/>
              </w:rPr>
            </w:pPr>
          </w:p>
        </w:tc>
        <w:tc>
          <w:tcPr>
            <w:tcW w:w="8160" w:type="dxa"/>
            <w:gridSpan w:val="4"/>
            <w:shd w:val="clear" w:color="auto" w:fill="D9D9D9" w:themeFill="background1" w:themeFillShade="D9"/>
          </w:tcPr>
          <w:p w:rsidR="00A10E78" w:rsidRPr="008375C6" w:rsidRDefault="00A10E78" w:rsidP="00A9227D">
            <w:pPr>
              <w:spacing w:after="0" w:line="240" w:lineRule="auto"/>
              <w:rPr>
                <w:rFonts w:cs="Calibri"/>
                <w:b/>
              </w:rPr>
            </w:pPr>
            <w:r w:rsidRPr="008375C6">
              <w:rPr>
                <w:rFonts w:cs="Calibri"/>
                <w:b/>
              </w:rPr>
              <w:t>Sous Total 1</w:t>
            </w:r>
          </w:p>
        </w:tc>
        <w:tc>
          <w:tcPr>
            <w:tcW w:w="881" w:type="dxa"/>
            <w:shd w:val="clear" w:color="auto" w:fill="D9D9D9" w:themeFill="background1" w:themeFillShade="D9"/>
          </w:tcPr>
          <w:p w:rsidR="00A10E78" w:rsidRPr="008375C6" w:rsidRDefault="00371158" w:rsidP="00A9227D">
            <w:pPr>
              <w:spacing w:after="0" w:line="240" w:lineRule="auto"/>
              <w:jc w:val="right"/>
              <w:rPr>
                <w:rFonts w:cs="Calibri"/>
                <w:b/>
              </w:rPr>
            </w:pPr>
            <w:r>
              <w:rPr>
                <w:rFonts w:cs="Calibri"/>
                <w:b/>
              </w:rPr>
              <w:t>1080</w:t>
            </w:r>
          </w:p>
        </w:tc>
      </w:tr>
      <w:tr w:rsidR="00A10E78" w:rsidRPr="008375C6" w:rsidTr="00A10E78">
        <w:tc>
          <w:tcPr>
            <w:tcW w:w="1056" w:type="dxa"/>
            <w:vMerge w:val="restart"/>
          </w:tcPr>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r w:rsidRPr="008375C6">
              <w:rPr>
                <w:rFonts w:cs="Calibri"/>
              </w:rPr>
              <w:t>2</w:t>
            </w:r>
          </w:p>
        </w:tc>
        <w:tc>
          <w:tcPr>
            <w:tcW w:w="9041" w:type="dxa"/>
            <w:gridSpan w:val="5"/>
          </w:tcPr>
          <w:p w:rsidR="00A10E78" w:rsidRPr="008375C6" w:rsidRDefault="00A10E78" w:rsidP="00A9227D">
            <w:pPr>
              <w:spacing w:after="0" w:line="240" w:lineRule="auto"/>
              <w:jc w:val="center"/>
              <w:rPr>
                <w:rFonts w:cs="Calibri"/>
                <w:b/>
              </w:rPr>
            </w:pPr>
            <w:r w:rsidRPr="008375C6">
              <w:rPr>
                <w:rFonts w:cs="Calibri"/>
                <w:b/>
              </w:rPr>
              <w:t>LOGISTIQUES ET AUTRES</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Pr>
                <w:rFonts w:cs="Calibri"/>
              </w:rPr>
              <w:t>Transport participant</w:t>
            </w:r>
            <w:r w:rsidR="002E2411">
              <w:rPr>
                <w:rFonts w:cs="Calibri"/>
              </w:rPr>
              <w:t>s</w:t>
            </w:r>
          </w:p>
        </w:tc>
        <w:tc>
          <w:tcPr>
            <w:tcW w:w="1276" w:type="dxa"/>
          </w:tcPr>
          <w:p w:rsidR="00A10E78" w:rsidRPr="008375C6" w:rsidRDefault="00A10E78" w:rsidP="00A9227D">
            <w:pPr>
              <w:spacing w:after="0" w:line="240" w:lineRule="auto"/>
              <w:rPr>
                <w:rFonts w:cs="Calibri"/>
              </w:rPr>
            </w:pPr>
            <w:r w:rsidRPr="008375C6">
              <w:rPr>
                <w:rFonts w:cs="Calibri"/>
              </w:rPr>
              <w:t>1</w:t>
            </w:r>
          </w:p>
        </w:tc>
        <w:tc>
          <w:tcPr>
            <w:tcW w:w="707" w:type="dxa"/>
          </w:tcPr>
          <w:p w:rsidR="00A10E78" w:rsidRPr="008375C6" w:rsidRDefault="00A10E78" w:rsidP="00A9227D">
            <w:pPr>
              <w:spacing w:after="0" w:line="240" w:lineRule="auto"/>
              <w:jc w:val="right"/>
              <w:rPr>
                <w:rFonts w:cs="Calibri"/>
              </w:rPr>
            </w:pPr>
            <w:r>
              <w:rPr>
                <w:rFonts w:cs="Calibri"/>
              </w:rPr>
              <w:t>7</w:t>
            </w:r>
          </w:p>
        </w:tc>
        <w:tc>
          <w:tcPr>
            <w:tcW w:w="984" w:type="dxa"/>
          </w:tcPr>
          <w:p w:rsidR="00A10E78" w:rsidRPr="008375C6" w:rsidRDefault="00A10E78" w:rsidP="00A9227D">
            <w:pPr>
              <w:spacing w:after="0" w:line="240" w:lineRule="auto"/>
              <w:jc w:val="right"/>
              <w:rPr>
                <w:rFonts w:cs="Calibri"/>
              </w:rPr>
            </w:pPr>
            <w:r>
              <w:rPr>
                <w:rFonts w:cs="Calibri"/>
              </w:rPr>
              <w:t>50</w:t>
            </w:r>
          </w:p>
        </w:tc>
        <w:tc>
          <w:tcPr>
            <w:tcW w:w="881" w:type="dxa"/>
          </w:tcPr>
          <w:p w:rsidR="00A10E78" w:rsidRPr="008375C6" w:rsidRDefault="00A10E78" w:rsidP="00A9227D">
            <w:pPr>
              <w:spacing w:after="0" w:line="240" w:lineRule="auto"/>
              <w:jc w:val="right"/>
              <w:rPr>
                <w:rFonts w:cs="Calibri"/>
              </w:rPr>
            </w:pPr>
            <w:r>
              <w:rPr>
                <w:rFonts w:cs="Calibri"/>
              </w:rPr>
              <w:t>350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Location salle et sonorisation</w:t>
            </w:r>
          </w:p>
        </w:tc>
        <w:tc>
          <w:tcPr>
            <w:tcW w:w="1276" w:type="dxa"/>
          </w:tcPr>
          <w:p w:rsidR="00A10E78" w:rsidRPr="008375C6" w:rsidRDefault="00A10E78" w:rsidP="00A9227D">
            <w:pPr>
              <w:spacing w:after="0" w:line="240" w:lineRule="auto"/>
              <w:rPr>
                <w:rFonts w:cs="Calibri"/>
              </w:rPr>
            </w:pPr>
            <w:r>
              <w:rPr>
                <w:rFonts w:cs="Calibri"/>
              </w:rPr>
              <w:t>1</w:t>
            </w:r>
          </w:p>
        </w:tc>
        <w:tc>
          <w:tcPr>
            <w:tcW w:w="707" w:type="dxa"/>
          </w:tcPr>
          <w:p w:rsidR="00A10E78" w:rsidRPr="008375C6" w:rsidRDefault="00A10E78" w:rsidP="00A9227D">
            <w:pPr>
              <w:spacing w:after="0" w:line="240" w:lineRule="auto"/>
              <w:jc w:val="right"/>
              <w:rPr>
                <w:rFonts w:cs="Calibri"/>
              </w:rPr>
            </w:pPr>
            <w:r w:rsidRPr="008375C6">
              <w:rPr>
                <w:rFonts w:cs="Calibri"/>
              </w:rPr>
              <w:t>1</w:t>
            </w:r>
          </w:p>
        </w:tc>
        <w:tc>
          <w:tcPr>
            <w:tcW w:w="984" w:type="dxa"/>
          </w:tcPr>
          <w:p w:rsidR="00A10E78" w:rsidRPr="008375C6" w:rsidRDefault="005D4180" w:rsidP="00A9227D">
            <w:pPr>
              <w:spacing w:after="0" w:line="240" w:lineRule="auto"/>
              <w:jc w:val="right"/>
              <w:rPr>
                <w:rFonts w:cs="Calibri"/>
              </w:rPr>
            </w:pPr>
            <w:r>
              <w:rPr>
                <w:rFonts w:cs="Calibri"/>
              </w:rPr>
              <w:t>1000</w:t>
            </w:r>
          </w:p>
        </w:tc>
        <w:tc>
          <w:tcPr>
            <w:tcW w:w="881" w:type="dxa"/>
          </w:tcPr>
          <w:p w:rsidR="00A10E78" w:rsidRPr="008375C6" w:rsidRDefault="005D4180" w:rsidP="00A9227D">
            <w:pPr>
              <w:spacing w:after="0" w:line="240" w:lineRule="auto"/>
              <w:jc w:val="right"/>
              <w:rPr>
                <w:rFonts w:cs="Calibri"/>
              </w:rPr>
            </w:pPr>
            <w:r>
              <w:rPr>
                <w:rFonts w:cs="Calibri"/>
              </w:rPr>
              <w:t>1000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 xml:space="preserve">Déjeuner/Rafraichissement participants </w:t>
            </w:r>
          </w:p>
        </w:tc>
        <w:tc>
          <w:tcPr>
            <w:tcW w:w="1276" w:type="dxa"/>
          </w:tcPr>
          <w:p w:rsidR="00A10E78" w:rsidRPr="008375C6" w:rsidRDefault="00A10E78" w:rsidP="00A9227D">
            <w:pPr>
              <w:spacing w:after="0" w:line="240" w:lineRule="auto"/>
              <w:rPr>
                <w:rFonts w:cs="Calibri"/>
              </w:rPr>
            </w:pPr>
            <w:r>
              <w:rPr>
                <w:rFonts w:cs="Calibri"/>
              </w:rPr>
              <w:t>1</w:t>
            </w:r>
          </w:p>
        </w:tc>
        <w:tc>
          <w:tcPr>
            <w:tcW w:w="707" w:type="dxa"/>
          </w:tcPr>
          <w:p w:rsidR="00A10E78" w:rsidRPr="008375C6" w:rsidRDefault="00A10E78" w:rsidP="00A9227D">
            <w:pPr>
              <w:spacing w:after="0" w:line="240" w:lineRule="auto"/>
              <w:jc w:val="right"/>
              <w:rPr>
                <w:rFonts w:cs="Calibri"/>
              </w:rPr>
            </w:pPr>
            <w:r w:rsidRPr="008375C6">
              <w:rPr>
                <w:rFonts w:cs="Calibri"/>
              </w:rPr>
              <w:t>50</w:t>
            </w:r>
          </w:p>
        </w:tc>
        <w:tc>
          <w:tcPr>
            <w:tcW w:w="984" w:type="dxa"/>
          </w:tcPr>
          <w:p w:rsidR="00A10E78" w:rsidRPr="008375C6" w:rsidRDefault="00F50899" w:rsidP="00A9227D">
            <w:pPr>
              <w:spacing w:after="0" w:line="240" w:lineRule="auto"/>
              <w:jc w:val="right"/>
              <w:rPr>
                <w:rFonts w:cs="Calibri"/>
              </w:rPr>
            </w:pPr>
            <w:r>
              <w:rPr>
                <w:rFonts w:cs="Calibri"/>
              </w:rPr>
              <w:t>3</w:t>
            </w:r>
            <w:r w:rsidR="00A9227D">
              <w:rPr>
                <w:rFonts w:cs="Calibri"/>
              </w:rPr>
              <w:t>5</w:t>
            </w:r>
          </w:p>
        </w:tc>
        <w:tc>
          <w:tcPr>
            <w:tcW w:w="881" w:type="dxa"/>
          </w:tcPr>
          <w:p w:rsidR="00A10E78" w:rsidRPr="008375C6" w:rsidRDefault="00A10E78" w:rsidP="00A9227D">
            <w:pPr>
              <w:spacing w:after="0" w:line="240" w:lineRule="auto"/>
              <w:jc w:val="right"/>
              <w:rPr>
                <w:rFonts w:cs="Calibri"/>
              </w:rPr>
            </w:pPr>
            <w:r>
              <w:rPr>
                <w:rFonts w:cs="Calibri"/>
              </w:rPr>
              <w:t>1</w:t>
            </w:r>
            <w:r w:rsidR="00EE7863">
              <w:rPr>
                <w:rFonts w:cs="Calibri"/>
              </w:rPr>
              <w:t>7</w:t>
            </w:r>
            <w:r w:rsidR="00A9227D">
              <w:rPr>
                <w:rFonts w:cs="Calibri"/>
              </w:rPr>
              <w:t>5</w:t>
            </w:r>
            <w:r w:rsidRPr="008375C6">
              <w:rPr>
                <w:rFonts w:cs="Calibri"/>
              </w:rPr>
              <w:t>0</w:t>
            </w:r>
          </w:p>
        </w:tc>
      </w:tr>
      <w:tr w:rsidR="00A10E78" w:rsidRPr="008375C6" w:rsidTr="00A10E78">
        <w:tc>
          <w:tcPr>
            <w:tcW w:w="1056" w:type="dxa"/>
            <w:shd w:val="clear" w:color="auto" w:fill="D9D9D9" w:themeFill="background1" w:themeFillShade="D9"/>
          </w:tcPr>
          <w:p w:rsidR="00A10E78" w:rsidRPr="008375C6" w:rsidRDefault="00A10E78" w:rsidP="00A9227D">
            <w:pPr>
              <w:spacing w:after="0" w:line="240" w:lineRule="auto"/>
              <w:rPr>
                <w:rFonts w:cs="Calibri"/>
                <w:b/>
              </w:rPr>
            </w:pPr>
          </w:p>
        </w:tc>
        <w:tc>
          <w:tcPr>
            <w:tcW w:w="8160" w:type="dxa"/>
            <w:gridSpan w:val="4"/>
            <w:shd w:val="clear" w:color="auto" w:fill="D9D9D9" w:themeFill="background1" w:themeFillShade="D9"/>
          </w:tcPr>
          <w:p w:rsidR="00A10E78" w:rsidRPr="008375C6" w:rsidRDefault="00A10E78" w:rsidP="00A9227D">
            <w:pPr>
              <w:spacing w:after="0" w:line="240" w:lineRule="auto"/>
              <w:rPr>
                <w:rFonts w:cs="Calibri"/>
                <w:b/>
              </w:rPr>
            </w:pPr>
            <w:r w:rsidRPr="008375C6">
              <w:rPr>
                <w:rFonts w:cs="Calibri"/>
                <w:b/>
              </w:rPr>
              <w:t>Sous Total 2</w:t>
            </w:r>
          </w:p>
        </w:tc>
        <w:tc>
          <w:tcPr>
            <w:tcW w:w="881" w:type="dxa"/>
            <w:shd w:val="clear" w:color="auto" w:fill="D9D9D9" w:themeFill="background1" w:themeFillShade="D9"/>
          </w:tcPr>
          <w:p w:rsidR="00A10E78" w:rsidRPr="008375C6" w:rsidRDefault="00EE7863" w:rsidP="00A9227D">
            <w:pPr>
              <w:spacing w:after="0" w:line="240" w:lineRule="auto"/>
              <w:jc w:val="right"/>
              <w:rPr>
                <w:rFonts w:cs="Calibri"/>
                <w:b/>
              </w:rPr>
            </w:pPr>
            <w:r>
              <w:rPr>
                <w:rFonts w:cs="Calibri"/>
                <w:b/>
              </w:rPr>
              <w:t>3100</w:t>
            </w:r>
          </w:p>
        </w:tc>
      </w:tr>
      <w:tr w:rsidR="00A10E78" w:rsidRPr="008375C6" w:rsidTr="00A10E78">
        <w:tc>
          <w:tcPr>
            <w:tcW w:w="1056" w:type="dxa"/>
            <w:vMerge w:val="restart"/>
          </w:tcPr>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r w:rsidRPr="008375C6">
              <w:rPr>
                <w:rFonts w:cs="Calibri"/>
              </w:rPr>
              <w:t>3</w:t>
            </w:r>
          </w:p>
        </w:tc>
        <w:tc>
          <w:tcPr>
            <w:tcW w:w="9041" w:type="dxa"/>
            <w:gridSpan w:val="5"/>
          </w:tcPr>
          <w:p w:rsidR="00A10E78" w:rsidRPr="008375C6" w:rsidRDefault="00A10E78" w:rsidP="00A9227D">
            <w:pPr>
              <w:spacing w:after="0" w:line="240" w:lineRule="auto"/>
              <w:jc w:val="center"/>
              <w:rPr>
                <w:rFonts w:cs="Calibri"/>
                <w:b/>
              </w:rPr>
            </w:pPr>
            <w:r w:rsidRPr="008375C6">
              <w:rPr>
                <w:rFonts w:cs="Calibri"/>
                <w:b/>
              </w:rPr>
              <w:t>FOURNITURES/PAPETERIE</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Rame papier duplicateur A4</w:t>
            </w:r>
          </w:p>
        </w:tc>
        <w:tc>
          <w:tcPr>
            <w:tcW w:w="1276" w:type="dxa"/>
          </w:tcPr>
          <w:p w:rsidR="00A10E78" w:rsidRPr="008375C6" w:rsidRDefault="00A10E78" w:rsidP="00A9227D">
            <w:pPr>
              <w:spacing w:after="0" w:line="240" w:lineRule="auto"/>
              <w:rPr>
                <w:rFonts w:cs="Calibri"/>
              </w:rPr>
            </w:pPr>
            <w:r w:rsidRPr="008375C6">
              <w:rPr>
                <w:rFonts w:cs="Calibri"/>
              </w:rPr>
              <w:t>1</w:t>
            </w:r>
          </w:p>
        </w:tc>
        <w:tc>
          <w:tcPr>
            <w:tcW w:w="707" w:type="dxa"/>
          </w:tcPr>
          <w:p w:rsidR="00A10E78" w:rsidRPr="008375C6" w:rsidRDefault="00EE7863" w:rsidP="00A9227D">
            <w:pPr>
              <w:spacing w:after="0" w:line="240" w:lineRule="auto"/>
              <w:jc w:val="right"/>
              <w:rPr>
                <w:rFonts w:cs="Calibri"/>
              </w:rPr>
            </w:pPr>
            <w:r>
              <w:rPr>
                <w:rFonts w:cs="Calibri"/>
              </w:rPr>
              <w:t>5</w:t>
            </w:r>
          </w:p>
        </w:tc>
        <w:tc>
          <w:tcPr>
            <w:tcW w:w="984" w:type="dxa"/>
          </w:tcPr>
          <w:p w:rsidR="00A10E78" w:rsidRPr="008375C6" w:rsidRDefault="00A10E78" w:rsidP="00A9227D">
            <w:pPr>
              <w:spacing w:after="0" w:line="240" w:lineRule="auto"/>
              <w:jc w:val="right"/>
              <w:rPr>
                <w:rFonts w:cs="Calibri"/>
              </w:rPr>
            </w:pPr>
            <w:r w:rsidRPr="008375C6">
              <w:rPr>
                <w:rFonts w:cs="Calibri"/>
              </w:rPr>
              <w:t>7</w:t>
            </w:r>
          </w:p>
        </w:tc>
        <w:tc>
          <w:tcPr>
            <w:tcW w:w="881" w:type="dxa"/>
          </w:tcPr>
          <w:p w:rsidR="00A10E78" w:rsidRPr="008375C6" w:rsidRDefault="00EE7863" w:rsidP="00A9227D">
            <w:pPr>
              <w:spacing w:after="0" w:line="240" w:lineRule="auto"/>
              <w:jc w:val="right"/>
              <w:rPr>
                <w:rFonts w:cs="Calibri"/>
              </w:rPr>
            </w:pPr>
            <w:r>
              <w:rPr>
                <w:rFonts w:cs="Calibri"/>
              </w:rPr>
              <w:t>35</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Boite stylo bleu ou noir</w:t>
            </w:r>
          </w:p>
        </w:tc>
        <w:tc>
          <w:tcPr>
            <w:tcW w:w="1276" w:type="dxa"/>
          </w:tcPr>
          <w:p w:rsidR="00A10E78" w:rsidRPr="008375C6" w:rsidRDefault="00A10E78" w:rsidP="00A9227D">
            <w:pPr>
              <w:spacing w:after="0" w:line="240" w:lineRule="auto"/>
              <w:rPr>
                <w:rFonts w:cs="Calibri"/>
              </w:rPr>
            </w:pPr>
            <w:r w:rsidRPr="008375C6">
              <w:rPr>
                <w:rFonts w:cs="Calibri"/>
              </w:rPr>
              <w:t>1</w:t>
            </w:r>
          </w:p>
        </w:tc>
        <w:tc>
          <w:tcPr>
            <w:tcW w:w="707" w:type="dxa"/>
          </w:tcPr>
          <w:p w:rsidR="00A10E78" w:rsidRPr="008375C6" w:rsidRDefault="00A10E78" w:rsidP="00A9227D">
            <w:pPr>
              <w:spacing w:after="0" w:line="240" w:lineRule="auto"/>
              <w:jc w:val="right"/>
              <w:rPr>
                <w:rFonts w:cs="Calibri"/>
              </w:rPr>
            </w:pPr>
            <w:r w:rsidRPr="008375C6">
              <w:rPr>
                <w:rFonts w:cs="Calibri"/>
              </w:rPr>
              <w:t>3</w:t>
            </w:r>
          </w:p>
        </w:tc>
        <w:tc>
          <w:tcPr>
            <w:tcW w:w="984" w:type="dxa"/>
          </w:tcPr>
          <w:p w:rsidR="00A10E78" w:rsidRPr="008375C6" w:rsidRDefault="00A10E78" w:rsidP="00A9227D">
            <w:pPr>
              <w:spacing w:after="0" w:line="240" w:lineRule="auto"/>
              <w:jc w:val="right"/>
              <w:rPr>
                <w:rFonts w:cs="Calibri"/>
              </w:rPr>
            </w:pPr>
            <w:r w:rsidRPr="008375C6">
              <w:rPr>
                <w:rFonts w:cs="Calibri"/>
              </w:rPr>
              <w:t>5</w:t>
            </w:r>
          </w:p>
        </w:tc>
        <w:tc>
          <w:tcPr>
            <w:tcW w:w="881" w:type="dxa"/>
          </w:tcPr>
          <w:p w:rsidR="00A10E78" w:rsidRPr="008375C6" w:rsidRDefault="00A10E78" w:rsidP="00EE7863">
            <w:pPr>
              <w:spacing w:after="0" w:line="240" w:lineRule="auto"/>
              <w:jc w:val="right"/>
              <w:rPr>
                <w:rFonts w:cs="Calibri"/>
              </w:rPr>
            </w:pPr>
            <w:r w:rsidRPr="008375C6">
              <w:rPr>
                <w:rFonts w:cs="Calibri"/>
              </w:rPr>
              <w:t>1</w:t>
            </w:r>
            <w:r w:rsidR="00EE7863">
              <w:rPr>
                <w:rFonts w:cs="Calibri"/>
              </w:rPr>
              <w:t>5</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Pr>
                <w:rFonts w:cs="Calibri"/>
              </w:rPr>
              <w:t>Bloc Note</w:t>
            </w:r>
          </w:p>
        </w:tc>
        <w:tc>
          <w:tcPr>
            <w:tcW w:w="1276" w:type="dxa"/>
          </w:tcPr>
          <w:p w:rsidR="00A10E78" w:rsidRPr="008375C6" w:rsidRDefault="00A10E78" w:rsidP="00A9227D">
            <w:pPr>
              <w:spacing w:after="0" w:line="240" w:lineRule="auto"/>
              <w:rPr>
                <w:rFonts w:cs="Calibri"/>
              </w:rPr>
            </w:pPr>
            <w:r>
              <w:rPr>
                <w:rFonts w:cs="Calibri"/>
              </w:rPr>
              <w:t>1</w:t>
            </w:r>
          </w:p>
        </w:tc>
        <w:tc>
          <w:tcPr>
            <w:tcW w:w="707" w:type="dxa"/>
          </w:tcPr>
          <w:p w:rsidR="00A10E78" w:rsidRPr="008375C6" w:rsidRDefault="00A10E78" w:rsidP="00EE7863">
            <w:pPr>
              <w:spacing w:after="0" w:line="240" w:lineRule="auto"/>
              <w:jc w:val="right"/>
              <w:rPr>
                <w:rFonts w:cs="Calibri"/>
              </w:rPr>
            </w:pPr>
            <w:r>
              <w:rPr>
                <w:rFonts w:cs="Calibri"/>
              </w:rPr>
              <w:t>5</w:t>
            </w:r>
            <w:r w:rsidR="00EE7863">
              <w:rPr>
                <w:rFonts w:cs="Calibri"/>
              </w:rPr>
              <w:t>0</w:t>
            </w:r>
          </w:p>
        </w:tc>
        <w:tc>
          <w:tcPr>
            <w:tcW w:w="984" w:type="dxa"/>
          </w:tcPr>
          <w:p w:rsidR="00A10E78" w:rsidRPr="008375C6" w:rsidRDefault="00A10E78" w:rsidP="00A9227D">
            <w:pPr>
              <w:spacing w:after="0" w:line="240" w:lineRule="auto"/>
              <w:jc w:val="right"/>
              <w:rPr>
                <w:rFonts w:cs="Calibri"/>
              </w:rPr>
            </w:pPr>
            <w:r>
              <w:rPr>
                <w:rFonts w:cs="Calibri"/>
              </w:rPr>
              <w:t>5</w:t>
            </w:r>
          </w:p>
        </w:tc>
        <w:tc>
          <w:tcPr>
            <w:tcW w:w="881" w:type="dxa"/>
          </w:tcPr>
          <w:p w:rsidR="00A10E78" w:rsidRPr="008375C6" w:rsidRDefault="00A10E78" w:rsidP="00A9227D">
            <w:pPr>
              <w:spacing w:after="0" w:line="240" w:lineRule="auto"/>
              <w:jc w:val="right"/>
              <w:rPr>
                <w:rFonts w:cs="Calibri"/>
              </w:rPr>
            </w:pPr>
            <w:r>
              <w:rPr>
                <w:rFonts w:cs="Calibri"/>
              </w:rPr>
              <w:t>250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Pr>
                <w:rFonts w:cs="Calibri"/>
              </w:rPr>
              <w:t>Marqueur/Douzaine</w:t>
            </w:r>
          </w:p>
        </w:tc>
        <w:tc>
          <w:tcPr>
            <w:tcW w:w="1276" w:type="dxa"/>
          </w:tcPr>
          <w:p w:rsidR="00A10E78" w:rsidRPr="008375C6" w:rsidRDefault="00A10E78" w:rsidP="00A9227D">
            <w:pPr>
              <w:spacing w:after="0" w:line="240" w:lineRule="auto"/>
              <w:rPr>
                <w:rFonts w:cs="Calibri"/>
              </w:rPr>
            </w:pPr>
            <w:r>
              <w:rPr>
                <w:rFonts w:cs="Calibri"/>
              </w:rPr>
              <w:t>1</w:t>
            </w:r>
          </w:p>
        </w:tc>
        <w:tc>
          <w:tcPr>
            <w:tcW w:w="707" w:type="dxa"/>
          </w:tcPr>
          <w:p w:rsidR="00A10E78" w:rsidRPr="008375C6" w:rsidRDefault="00A10E78" w:rsidP="00A9227D">
            <w:pPr>
              <w:spacing w:after="0" w:line="240" w:lineRule="auto"/>
              <w:jc w:val="right"/>
              <w:rPr>
                <w:rFonts w:cs="Calibri"/>
              </w:rPr>
            </w:pPr>
            <w:r>
              <w:rPr>
                <w:rFonts w:cs="Calibri"/>
              </w:rPr>
              <w:t>1</w:t>
            </w:r>
          </w:p>
        </w:tc>
        <w:tc>
          <w:tcPr>
            <w:tcW w:w="984" w:type="dxa"/>
          </w:tcPr>
          <w:p w:rsidR="00A10E78" w:rsidRPr="008375C6" w:rsidRDefault="00A10E78" w:rsidP="00A9227D">
            <w:pPr>
              <w:spacing w:after="0" w:line="240" w:lineRule="auto"/>
              <w:jc w:val="right"/>
              <w:rPr>
                <w:rFonts w:cs="Calibri"/>
              </w:rPr>
            </w:pPr>
            <w:r>
              <w:rPr>
                <w:rFonts w:cs="Calibri"/>
              </w:rPr>
              <w:t>20</w:t>
            </w:r>
          </w:p>
        </w:tc>
        <w:tc>
          <w:tcPr>
            <w:tcW w:w="881" w:type="dxa"/>
          </w:tcPr>
          <w:p w:rsidR="00A10E78" w:rsidRPr="008375C6" w:rsidRDefault="00A10E78" w:rsidP="00A9227D">
            <w:pPr>
              <w:spacing w:after="0" w:line="240" w:lineRule="auto"/>
              <w:jc w:val="right"/>
              <w:rPr>
                <w:rFonts w:cs="Calibri"/>
              </w:rPr>
            </w:pPr>
            <w:r>
              <w:rPr>
                <w:rFonts w:cs="Calibri"/>
              </w:rPr>
              <w:t>20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 xml:space="preserve">Farde à étrangle transparent  </w:t>
            </w:r>
          </w:p>
        </w:tc>
        <w:tc>
          <w:tcPr>
            <w:tcW w:w="1276" w:type="dxa"/>
          </w:tcPr>
          <w:p w:rsidR="00A10E78" w:rsidRPr="008375C6" w:rsidRDefault="00A10E78" w:rsidP="00A9227D">
            <w:pPr>
              <w:spacing w:after="0" w:line="240" w:lineRule="auto"/>
              <w:rPr>
                <w:rFonts w:cs="Calibri"/>
              </w:rPr>
            </w:pPr>
            <w:r w:rsidRPr="008375C6">
              <w:rPr>
                <w:rFonts w:cs="Calibri"/>
              </w:rPr>
              <w:t>1</w:t>
            </w:r>
          </w:p>
        </w:tc>
        <w:tc>
          <w:tcPr>
            <w:tcW w:w="707" w:type="dxa"/>
          </w:tcPr>
          <w:p w:rsidR="00A10E78" w:rsidRPr="008375C6" w:rsidRDefault="00A10E78" w:rsidP="00A9227D">
            <w:pPr>
              <w:spacing w:after="0" w:line="240" w:lineRule="auto"/>
              <w:jc w:val="right"/>
              <w:rPr>
                <w:rFonts w:cs="Calibri"/>
              </w:rPr>
            </w:pPr>
            <w:r w:rsidRPr="008375C6">
              <w:rPr>
                <w:rFonts w:cs="Calibri"/>
              </w:rPr>
              <w:t>50</w:t>
            </w:r>
          </w:p>
        </w:tc>
        <w:tc>
          <w:tcPr>
            <w:tcW w:w="984" w:type="dxa"/>
          </w:tcPr>
          <w:p w:rsidR="00A10E78" w:rsidRPr="008375C6" w:rsidRDefault="00A10E78" w:rsidP="00A9227D">
            <w:pPr>
              <w:spacing w:after="0" w:line="240" w:lineRule="auto"/>
              <w:jc w:val="right"/>
              <w:rPr>
                <w:rFonts w:cs="Calibri"/>
              </w:rPr>
            </w:pPr>
            <w:r w:rsidRPr="008375C6">
              <w:rPr>
                <w:rFonts w:cs="Calibri"/>
              </w:rPr>
              <w:t>2</w:t>
            </w:r>
          </w:p>
        </w:tc>
        <w:tc>
          <w:tcPr>
            <w:tcW w:w="881" w:type="dxa"/>
          </w:tcPr>
          <w:p w:rsidR="00A10E78" w:rsidRPr="008375C6" w:rsidRDefault="00A10E78" w:rsidP="00A9227D">
            <w:pPr>
              <w:spacing w:after="0" w:line="240" w:lineRule="auto"/>
              <w:jc w:val="right"/>
              <w:rPr>
                <w:rFonts w:cs="Calibri"/>
              </w:rPr>
            </w:pPr>
            <w:r w:rsidRPr="008375C6">
              <w:rPr>
                <w:rFonts w:cs="Calibri"/>
              </w:rPr>
              <w:t>100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Cartes de communication</w:t>
            </w:r>
          </w:p>
        </w:tc>
        <w:tc>
          <w:tcPr>
            <w:tcW w:w="1276" w:type="dxa"/>
          </w:tcPr>
          <w:p w:rsidR="00A10E78" w:rsidRPr="008375C6" w:rsidRDefault="00A10E78" w:rsidP="00A9227D">
            <w:pPr>
              <w:spacing w:after="0" w:line="240" w:lineRule="auto"/>
              <w:rPr>
                <w:rFonts w:cs="Calibri"/>
              </w:rPr>
            </w:pPr>
            <w:r>
              <w:rPr>
                <w:rFonts w:cs="Calibri"/>
              </w:rPr>
              <w:t>1</w:t>
            </w:r>
          </w:p>
        </w:tc>
        <w:tc>
          <w:tcPr>
            <w:tcW w:w="707" w:type="dxa"/>
          </w:tcPr>
          <w:p w:rsidR="00A10E78" w:rsidRPr="008375C6" w:rsidRDefault="005D4180" w:rsidP="00A9227D">
            <w:pPr>
              <w:spacing w:after="0" w:line="240" w:lineRule="auto"/>
              <w:jc w:val="right"/>
              <w:rPr>
                <w:rFonts w:cs="Calibri"/>
              </w:rPr>
            </w:pPr>
            <w:r>
              <w:rPr>
                <w:rFonts w:cs="Calibri"/>
              </w:rPr>
              <w:t>10</w:t>
            </w:r>
          </w:p>
        </w:tc>
        <w:tc>
          <w:tcPr>
            <w:tcW w:w="984" w:type="dxa"/>
          </w:tcPr>
          <w:p w:rsidR="00A10E78" w:rsidRPr="008375C6" w:rsidRDefault="00A10E78" w:rsidP="00A9227D">
            <w:pPr>
              <w:spacing w:after="0" w:line="240" w:lineRule="auto"/>
              <w:jc w:val="right"/>
              <w:rPr>
                <w:rFonts w:cs="Calibri"/>
              </w:rPr>
            </w:pPr>
            <w:r w:rsidRPr="008375C6">
              <w:rPr>
                <w:rFonts w:cs="Calibri"/>
              </w:rPr>
              <w:t>10</w:t>
            </w:r>
          </w:p>
        </w:tc>
        <w:tc>
          <w:tcPr>
            <w:tcW w:w="881" w:type="dxa"/>
          </w:tcPr>
          <w:p w:rsidR="00A10E78" w:rsidRPr="008375C6" w:rsidRDefault="005D4180" w:rsidP="00A9227D">
            <w:pPr>
              <w:spacing w:after="0" w:line="240" w:lineRule="auto"/>
              <w:jc w:val="right"/>
              <w:rPr>
                <w:rFonts w:cs="Calibri"/>
              </w:rPr>
            </w:pPr>
            <w:r>
              <w:rPr>
                <w:rFonts w:cs="Calibri"/>
              </w:rPr>
              <w:t>100</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Banderole</w:t>
            </w:r>
          </w:p>
        </w:tc>
        <w:tc>
          <w:tcPr>
            <w:tcW w:w="1276" w:type="dxa"/>
          </w:tcPr>
          <w:p w:rsidR="00A10E78" w:rsidRPr="008375C6" w:rsidRDefault="00A10E78" w:rsidP="00A9227D">
            <w:pPr>
              <w:spacing w:after="0" w:line="240" w:lineRule="auto"/>
              <w:rPr>
                <w:rFonts w:cs="Calibri"/>
              </w:rPr>
            </w:pPr>
            <w:r w:rsidRPr="008375C6">
              <w:rPr>
                <w:rFonts w:cs="Calibri"/>
              </w:rPr>
              <w:t>1</w:t>
            </w:r>
          </w:p>
        </w:tc>
        <w:tc>
          <w:tcPr>
            <w:tcW w:w="707" w:type="dxa"/>
          </w:tcPr>
          <w:p w:rsidR="00A10E78" w:rsidRPr="008375C6" w:rsidRDefault="00A10E78" w:rsidP="00A9227D">
            <w:pPr>
              <w:spacing w:after="0" w:line="240" w:lineRule="auto"/>
              <w:jc w:val="right"/>
              <w:rPr>
                <w:rFonts w:cs="Calibri"/>
              </w:rPr>
            </w:pPr>
            <w:r w:rsidRPr="008375C6">
              <w:rPr>
                <w:rFonts w:cs="Calibri"/>
              </w:rPr>
              <w:t>2</w:t>
            </w:r>
          </w:p>
        </w:tc>
        <w:tc>
          <w:tcPr>
            <w:tcW w:w="984" w:type="dxa"/>
          </w:tcPr>
          <w:p w:rsidR="00A10E78" w:rsidRPr="008375C6" w:rsidRDefault="008F30BA" w:rsidP="00A9227D">
            <w:pPr>
              <w:spacing w:after="0" w:line="240" w:lineRule="auto"/>
              <w:jc w:val="right"/>
              <w:rPr>
                <w:rFonts w:cs="Calibri"/>
              </w:rPr>
            </w:pPr>
            <w:r>
              <w:rPr>
                <w:rFonts w:cs="Calibri"/>
              </w:rPr>
              <w:t>100</w:t>
            </w:r>
          </w:p>
        </w:tc>
        <w:tc>
          <w:tcPr>
            <w:tcW w:w="881" w:type="dxa"/>
          </w:tcPr>
          <w:p w:rsidR="00A10E78" w:rsidRPr="008375C6" w:rsidRDefault="00EE7863" w:rsidP="00A9227D">
            <w:pPr>
              <w:spacing w:after="0" w:line="240" w:lineRule="auto"/>
              <w:jc w:val="right"/>
              <w:rPr>
                <w:rFonts w:cs="Calibri"/>
              </w:rPr>
            </w:pPr>
            <w:r>
              <w:rPr>
                <w:rFonts w:cs="Calibri"/>
              </w:rPr>
              <w:t>200</w:t>
            </w:r>
          </w:p>
        </w:tc>
      </w:tr>
      <w:tr w:rsidR="00A10E78" w:rsidRPr="008375C6" w:rsidTr="00A10E78">
        <w:tc>
          <w:tcPr>
            <w:tcW w:w="1056" w:type="dxa"/>
            <w:shd w:val="clear" w:color="auto" w:fill="D9D9D9" w:themeFill="background1" w:themeFillShade="D9"/>
          </w:tcPr>
          <w:p w:rsidR="00A10E78" w:rsidRPr="008375C6" w:rsidRDefault="00A10E78" w:rsidP="00A9227D">
            <w:pPr>
              <w:spacing w:after="0" w:line="240" w:lineRule="auto"/>
              <w:rPr>
                <w:rFonts w:cs="Calibri"/>
                <w:b/>
              </w:rPr>
            </w:pPr>
          </w:p>
        </w:tc>
        <w:tc>
          <w:tcPr>
            <w:tcW w:w="8160" w:type="dxa"/>
            <w:gridSpan w:val="4"/>
            <w:tcBorders>
              <w:right w:val="single" w:sz="4" w:space="0" w:color="auto"/>
            </w:tcBorders>
            <w:shd w:val="clear" w:color="auto" w:fill="D9D9D9" w:themeFill="background1" w:themeFillShade="D9"/>
          </w:tcPr>
          <w:p w:rsidR="00A10E78" w:rsidRPr="008375C6" w:rsidRDefault="00A10E78" w:rsidP="00A9227D">
            <w:pPr>
              <w:spacing w:after="0" w:line="240" w:lineRule="auto"/>
              <w:rPr>
                <w:rFonts w:cs="Calibri"/>
                <w:b/>
              </w:rPr>
            </w:pPr>
            <w:r w:rsidRPr="008375C6">
              <w:rPr>
                <w:rFonts w:cs="Calibri"/>
                <w:b/>
              </w:rPr>
              <w:t>Sous Total 3</w:t>
            </w:r>
          </w:p>
        </w:tc>
        <w:tc>
          <w:tcPr>
            <w:tcW w:w="881" w:type="dxa"/>
            <w:tcBorders>
              <w:left w:val="single" w:sz="4" w:space="0" w:color="auto"/>
            </w:tcBorders>
            <w:shd w:val="clear" w:color="auto" w:fill="D9D9D9" w:themeFill="background1" w:themeFillShade="D9"/>
          </w:tcPr>
          <w:p w:rsidR="00A10E78" w:rsidRPr="008375C6" w:rsidRDefault="008F30BA" w:rsidP="00A9227D">
            <w:pPr>
              <w:spacing w:after="0" w:line="240" w:lineRule="auto"/>
              <w:jc w:val="right"/>
              <w:rPr>
                <w:rFonts w:cs="Calibri"/>
                <w:b/>
              </w:rPr>
            </w:pPr>
            <w:r>
              <w:rPr>
                <w:rFonts w:cs="Calibri"/>
                <w:b/>
              </w:rPr>
              <w:t>720</w:t>
            </w:r>
          </w:p>
        </w:tc>
      </w:tr>
      <w:tr w:rsidR="00A10E78" w:rsidRPr="008375C6" w:rsidTr="00A10E78">
        <w:tc>
          <w:tcPr>
            <w:tcW w:w="1056" w:type="dxa"/>
            <w:vMerge w:val="restart"/>
          </w:tcPr>
          <w:p w:rsidR="00A10E78" w:rsidRPr="008375C6" w:rsidRDefault="00A10E78" w:rsidP="00A9227D">
            <w:pPr>
              <w:spacing w:after="0" w:line="240" w:lineRule="auto"/>
              <w:rPr>
                <w:rFonts w:cs="Calibri"/>
              </w:rPr>
            </w:pPr>
          </w:p>
          <w:p w:rsidR="00A10E78" w:rsidRPr="008375C6" w:rsidRDefault="00A10E78" w:rsidP="00A9227D">
            <w:pPr>
              <w:spacing w:after="0" w:line="240" w:lineRule="auto"/>
              <w:rPr>
                <w:rFonts w:cs="Calibri"/>
              </w:rPr>
            </w:pPr>
            <w:r w:rsidRPr="008375C6">
              <w:rPr>
                <w:rFonts w:cs="Calibri"/>
              </w:rPr>
              <w:t>4</w:t>
            </w:r>
          </w:p>
        </w:tc>
        <w:tc>
          <w:tcPr>
            <w:tcW w:w="9041" w:type="dxa"/>
            <w:gridSpan w:val="5"/>
          </w:tcPr>
          <w:p w:rsidR="00A10E78" w:rsidRPr="008375C6" w:rsidRDefault="00A10E78" w:rsidP="00A9227D">
            <w:pPr>
              <w:spacing w:after="0" w:line="240" w:lineRule="auto"/>
              <w:jc w:val="center"/>
              <w:rPr>
                <w:rFonts w:cs="Calibri"/>
                <w:b/>
              </w:rPr>
            </w:pPr>
            <w:r w:rsidRPr="008375C6">
              <w:rPr>
                <w:rFonts w:cs="Calibri"/>
                <w:b/>
              </w:rPr>
              <w:t>COUVERTURE MEDIATIQUE/PUBLI REPORTAGE</w:t>
            </w:r>
          </w:p>
        </w:tc>
      </w:tr>
      <w:tr w:rsidR="00A10E78" w:rsidRPr="008375C6" w:rsidTr="00A10E78">
        <w:tc>
          <w:tcPr>
            <w:tcW w:w="1056" w:type="dxa"/>
            <w:vMerge/>
          </w:tcPr>
          <w:p w:rsidR="00A10E78" w:rsidRPr="008375C6" w:rsidRDefault="00A10E78" w:rsidP="00A9227D">
            <w:pPr>
              <w:spacing w:after="0" w:line="240" w:lineRule="auto"/>
              <w:rPr>
                <w:rFonts w:cs="Calibri"/>
              </w:rPr>
            </w:pPr>
          </w:p>
        </w:tc>
        <w:tc>
          <w:tcPr>
            <w:tcW w:w="5193" w:type="dxa"/>
          </w:tcPr>
          <w:p w:rsidR="00A10E78" w:rsidRPr="008375C6" w:rsidRDefault="00A10E78" w:rsidP="00A9227D">
            <w:pPr>
              <w:spacing w:after="0" w:line="240" w:lineRule="auto"/>
              <w:rPr>
                <w:rFonts w:cs="Calibri"/>
              </w:rPr>
            </w:pPr>
            <w:r w:rsidRPr="008375C6">
              <w:rPr>
                <w:rFonts w:cs="Calibri"/>
              </w:rPr>
              <w:t>Communication de base</w:t>
            </w:r>
          </w:p>
        </w:tc>
        <w:tc>
          <w:tcPr>
            <w:tcW w:w="1276" w:type="dxa"/>
          </w:tcPr>
          <w:p w:rsidR="00A10E78" w:rsidRPr="008375C6" w:rsidRDefault="00A10E78" w:rsidP="00A9227D">
            <w:pPr>
              <w:spacing w:after="0" w:line="240" w:lineRule="auto"/>
              <w:rPr>
                <w:rFonts w:cs="Calibri"/>
              </w:rPr>
            </w:pPr>
          </w:p>
        </w:tc>
        <w:tc>
          <w:tcPr>
            <w:tcW w:w="707" w:type="dxa"/>
          </w:tcPr>
          <w:p w:rsidR="00A10E78" w:rsidRPr="008375C6" w:rsidRDefault="00A10E78" w:rsidP="00A9227D">
            <w:pPr>
              <w:spacing w:after="0" w:line="240" w:lineRule="auto"/>
              <w:rPr>
                <w:rFonts w:cs="Calibri"/>
              </w:rPr>
            </w:pPr>
          </w:p>
        </w:tc>
        <w:tc>
          <w:tcPr>
            <w:tcW w:w="984" w:type="dxa"/>
          </w:tcPr>
          <w:p w:rsidR="00A10E78" w:rsidRPr="008375C6" w:rsidRDefault="00A10E78" w:rsidP="00A9227D">
            <w:pPr>
              <w:spacing w:after="0" w:line="240" w:lineRule="auto"/>
              <w:rPr>
                <w:rFonts w:cs="Calibri"/>
              </w:rPr>
            </w:pPr>
          </w:p>
        </w:tc>
        <w:tc>
          <w:tcPr>
            <w:tcW w:w="881" w:type="dxa"/>
          </w:tcPr>
          <w:p w:rsidR="00A10E78" w:rsidRPr="008375C6" w:rsidRDefault="00A10E78" w:rsidP="00A9227D">
            <w:pPr>
              <w:spacing w:after="0" w:line="240" w:lineRule="auto"/>
              <w:jc w:val="right"/>
              <w:rPr>
                <w:rFonts w:cs="Calibri"/>
              </w:rPr>
            </w:pPr>
            <w:r w:rsidRPr="008375C6">
              <w:rPr>
                <w:rFonts w:cs="Calibri"/>
              </w:rPr>
              <w:t>500</w:t>
            </w:r>
          </w:p>
        </w:tc>
      </w:tr>
      <w:tr w:rsidR="00A10E78" w:rsidRPr="008375C6" w:rsidTr="00A10E78">
        <w:tc>
          <w:tcPr>
            <w:tcW w:w="1056" w:type="dxa"/>
            <w:shd w:val="clear" w:color="auto" w:fill="D9D9D9" w:themeFill="background1" w:themeFillShade="D9"/>
          </w:tcPr>
          <w:p w:rsidR="00A10E78" w:rsidRPr="008375C6" w:rsidRDefault="00A10E78" w:rsidP="00A9227D">
            <w:pPr>
              <w:spacing w:after="0" w:line="240" w:lineRule="auto"/>
              <w:rPr>
                <w:rFonts w:cs="Calibri"/>
                <w:b/>
              </w:rPr>
            </w:pPr>
          </w:p>
        </w:tc>
        <w:tc>
          <w:tcPr>
            <w:tcW w:w="8160" w:type="dxa"/>
            <w:gridSpan w:val="4"/>
            <w:shd w:val="clear" w:color="auto" w:fill="D9D9D9" w:themeFill="background1" w:themeFillShade="D9"/>
          </w:tcPr>
          <w:p w:rsidR="00A10E78" w:rsidRPr="008375C6" w:rsidRDefault="00A10E78" w:rsidP="00A9227D">
            <w:pPr>
              <w:spacing w:after="0" w:line="240" w:lineRule="auto"/>
              <w:rPr>
                <w:rFonts w:cs="Calibri"/>
                <w:b/>
              </w:rPr>
            </w:pPr>
            <w:r w:rsidRPr="008375C6">
              <w:rPr>
                <w:rFonts w:cs="Calibri"/>
                <w:b/>
              </w:rPr>
              <w:t>Sous Total 4</w:t>
            </w:r>
          </w:p>
        </w:tc>
        <w:tc>
          <w:tcPr>
            <w:tcW w:w="881" w:type="dxa"/>
            <w:shd w:val="clear" w:color="auto" w:fill="D9D9D9" w:themeFill="background1" w:themeFillShade="D9"/>
          </w:tcPr>
          <w:p w:rsidR="00A10E78" w:rsidRPr="008375C6" w:rsidRDefault="00A10E78" w:rsidP="00A9227D">
            <w:pPr>
              <w:spacing w:after="0" w:line="240" w:lineRule="auto"/>
              <w:jc w:val="right"/>
              <w:rPr>
                <w:rFonts w:cs="Calibri"/>
                <w:b/>
              </w:rPr>
            </w:pPr>
            <w:r w:rsidRPr="008375C6">
              <w:rPr>
                <w:rFonts w:cs="Calibri"/>
                <w:b/>
              </w:rPr>
              <w:t>500</w:t>
            </w:r>
          </w:p>
        </w:tc>
      </w:tr>
      <w:tr w:rsidR="00A10E78" w:rsidRPr="008375C6" w:rsidTr="00A10E78">
        <w:tc>
          <w:tcPr>
            <w:tcW w:w="1056" w:type="dxa"/>
          </w:tcPr>
          <w:p w:rsidR="00A10E78" w:rsidRPr="008375C6" w:rsidRDefault="00A10E78" w:rsidP="00A9227D">
            <w:pPr>
              <w:spacing w:after="0" w:line="240" w:lineRule="auto"/>
              <w:rPr>
                <w:rFonts w:cs="Calibri"/>
              </w:rPr>
            </w:pPr>
          </w:p>
        </w:tc>
        <w:tc>
          <w:tcPr>
            <w:tcW w:w="9041" w:type="dxa"/>
            <w:gridSpan w:val="5"/>
          </w:tcPr>
          <w:p w:rsidR="00A10E78" w:rsidRPr="008375C6" w:rsidRDefault="00A10E78" w:rsidP="00A9227D">
            <w:pPr>
              <w:spacing w:after="0" w:line="240" w:lineRule="auto"/>
              <w:rPr>
                <w:rFonts w:cs="Calibri"/>
              </w:rPr>
            </w:pPr>
          </w:p>
        </w:tc>
      </w:tr>
      <w:tr w:rsidR="00A10E78" w:rsidRPr="008375C6" w:rsidTr="00A10E78">
        <w:tc>
          <w:tcPr>
            <w:tcW w:w="9216" w:type="dxa"/>
            <w:gridSpan w:val="5"/>
            <w:shd w:val="clear" w:color="auto" w:fill="D9D9D9" w:themeFill="background1" w:themeFillShade="D9"/>
          </w:tcPr>
          <w:p w:rsidR="00A10E78" w:rsidRPr="008375C6" w:rsidRDefault="00A10E78" w:rsidP="00A9227D">
            <w:pPr>
              <w:spacing w:after="0" w:line="240" w:lineRule="auto"/>
              <w:rPr>
                <w:rFonts w:cs="Calibri"/>
                <w:b/>
              </w:rPr>
            </w:pPr>
            <w:r w:rsidRPr="008375C6">
              <w:rPr>
                <w:rFonts w:cs="Calibri"/>
                <w:b/>
              </w:rPr>
              <w:t>TOTAL BUDGET</w:t>
            </w:r>
          </w:p>
        </w:tc>
        <w:tc>
          <w:tcPr>
            <w:tcW w:w="881" w:type="dxa"/>
            <w:shd w:val="clear" w:color="auto" w:fill="D9D9D9" w:themeFill="background1" w:themeFillShade="D9"/>
          </w:tcPr>
          <w:p w:rsidR="00A10E78" w:rsidRPr="008375C6" w:rsidRDefault="008F30BA" w:rsidP="008F30BA">
            <w:pPr>
              <w:spacing w:after="0" w:line="240" w:lineRule="auto"/>
              <w:jc w:val="right"/>
              <w:rPr>
                <w:rFonts w:cs="Calibri"/>
                <w:b/>
              </w:rPr>
            </w:pPr>
            <w:r>
              <w:rPr>
                <w:rFonts w:cs="Calibri"/>
                <w:b/>
              </w:rPr>
              <w:t>5400</w:t>
            </w:r>
          </w:p>
        </w:tc>
      </w:tr>
      <w:bookmarkEnd w:id="30"/>
      <w:bookmarkEnd w:id="31"/>
    </w:tbl>
    <w:p w:rsidR="0069253B" w:rsidRDefault="0069253B" w:rsidP="00A10E78"/>
    <w:p w:rsidR="00A9227D" w:rsidRDefault="00A9227D" w:rsidP="00A10E78"/>
    <w:p w:rsidR="00A9227D" w:rsidRDefault="00A9227D">
      <w:r>
        <w:br w:type="page"/>
      </w:r>
    </w:p>
    <w:p w:rsidR="00C65AD8" w:rsidRPr="00A10E78" w:rsidRDefault="00C65AD8" w:rsidP="00C65AD8">
      <w:pPr>
        <w:jc w:val="center"/>
        <w:rPr>
          <w:rFonts w:cs="Calibri"/>
          <w:b/>
        </w:rPr>
      </w:pPr>
      <w:r w:rsidRPr="00A10E78">
        <w:rPr>
          <w:b/>
        </w:rPr>
        <w:t xml:space="preserve">Annexes I : </w:t>
      </w:r>
      <w:r w:rsidRPr="00A10E78">
        <w:rPr>
          <w:rFonts w:cs="Calibri"/>
          <w:b/>
        </w:rPr>
        <w:t xml:space="preserve">PREVISIONS BUDGETAIRES, Activité </w:t>
      </w:r>
      <w:r w:rsidR="00371158">
        <w:rPr>
          <w:rFonts w:cs="Calibri"/>
          <w:b/>
        </w:rPr>
        <w:t>3</w:t>
      </w:r>
      <w:r w:rsidRPr="00A10E78">
        <w:rPr>
          <w:rFonts w:cs="Calibri"/>
          <w:b/>
        </w:rPr>
        <w:t xml:space="preserve">, Axe </w:t>
      </w:r>
      <w:r w:rsidR="00371158">
        <w:rPr>
          <w:rFonts w:cs="Calibri"/>
          <w:b/>
        </w:rPr>
        <w:t>4</w:t>
      </w:r>
    </w:p>
    <w:p w:rsidR="00C65AD8" w:rsidRDefault="00C65AD8" w:rsidP="00A9227D">
      <w:pPr>
        <w:jc w:val="center"/>
        <w:rPr>
          <w:rFonts w:cs="Calibri"/>
          <w:b/>
        </w:rPr>
      </w:pPr>
    </w:p>
    <w:p w:rsidR="00A9227D" w:rsidRPr="00CF29A7" w:rsidRDefault="00A9227D" w:rsidP="00A9227D">
      <w:pPr>
        <w:shd w:val="clear" w:color="auto" w:fill="D9D9D9"/>
        <w:jc w:val="center"/>
        <w:rPr>
          <w:rFonts w:cs="Calibri"/>
          <w:b/>
          <w:color w:val="FF0000"/>
          <w:sz w:val="28"/>
          <w:szCs w:val="28"/>
        </w:rPr>
      </w:pPr>
      <w:r w:rsidRPr="0025712D">
        <w:rPr>
          <w:b/>
          <w:sz w:val="28"/>
          <w:szCs w:val="28"/>
        </w:rPr>
        <w:t xml:space="preserve">Atelier </w:t>
      </w:r>
      <w:r>
        <w:rPr>
          <w:b/>
          <w:sz w:val="28"/>
          <w:szCs w:val="28"/>
        </w:rPr>
        <w:t>de validation du mécanisme de gestion des plaintes et conflits dans le processus REDD en RDC</w:t>
      </w:r>
    </w:p>
    <w:p w:rsidR="00A9227D" w:rsidRDefault="00A9227D" w:rsidP="00A9227D">
      <w:pPr>
        <w:rPr>
          <w:rFonts w:cs="Calibri"/>
          <w:b/>
        </w:rPr>
      </w:pPr>
      <w:r>
        <w:rPr>
          <w:rFonts w:cs="Calibri"/>
          <w:b/>
        </w:rPr>
        <w:t>Nombre de participants: 50</w:t>
      </w:r>
    </w:p>
    <w:p w:rsidR="00A9227D" w:rsidRDefault="00A9227D" w:rsidP="00A9227D">
      <w:pPr>
        <w:rPr>
          <w:rFonts w:cs="Calibri"/>
          <w:b/>
        </w:rPr>
      </w:pPr>
      <w:r>
        <w:rPr>
          <w:rFonts w:cs="Calibri"/>
          <w:b/>
        </w:rPr>
        <w:t>Nombre de jours </w:t>
      </w:r>
      <w:r>
        <w:rPr>
          <w:rFonts w:cs="Calibri"/>
          <w:b/>
        </w:rPr>
        <w:tab/>
        <w:t>:  1</w:t>
      </w:r>
    </w:p>
    <w:p w:rsidR="00A9227D" w:rsidRDefault="00A9227D" w:rsidP="00A9227D">
      <w:pPr>
        <w:rPr>
          <w:rFonts w:cs="Calibri"/>
          <w:b/>
        </w:rPr>
      </w:pPr>
      <w:r>
        <w:rPr>
          <w:rFonts w:cs="Calibri"/>
          <w:b/>
        </w:rPr>
        <w:t>Date </w:t>
      </w:r>
      <w:r>
        <w:rPr>
          <w:rFonts w:cs="Calibri"/>
          <w:b/>
        </w:rPr>
        <w:tab/>
      </w:r>
      <w:r>
        <w:rPr>
          <w:rFonts w:cs="Calibri"/>
          <w:b/>
        </w:rPr>
        <w:tab/>
      </w:r>
      <w:r>
        <w:rPr>
          <w:rFonts w:cs="Calibri"/>
          <w:b/>
        </w:rPr>
        <w:tab/>
        <w:t>: Le 2</w:t>
      </w:r>
      <w:r w:rsidR="00895082">
        <w:rPr>
          <w:rFonts w:cs="Calibri"/>
          <w:b/>
        </w:rPr>
        <w:t>9</w:t>
      </w:r>
      <w:r>
        <w:rPr>
          <w:rFonts w:cs="Calibri"/>
          <w:b/>
        </w:rPr>
        <w:t xml:space="preserve"> </w:t>
      </w:r>
      <w:r w:rsidR="00895082">
        <w:rPr>
          <w:rFonts w:cs="Calibri"/>
          <w:b/>
        </w:rPr>
        <w:t>Octobre</w:t>
      </w:r>
      <w:r>
        <w:rPr>
          <w:rFonts w:cs="Calibri"/>
          <w:b/>
        </w:rPr>
        <w:t xml:space="preserve"> 2012</w:t>
      </w:r>
    </w:p>
    <w:tbl>
      <w:tblPr>
        <w:tblW w:w="10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6"/>
        <w:gridCol w:w="5193"/>
        <w:gridCol w:w="1276"/>
        <w:gridCol w:w="707"/>
        <w:gridCol w:w="984"/>
        <w:gridCol w:w="881"/>
      </w:tblGrid>
      <w:tr w:rsidR="00895082" w:rsidRPr="008375C6" w:rsidTr="00136425">
        <w:tc>
          <w:tcPr>
            <w:tcW w:w="1056" w:type="dxa"/>
          </w:tcPr>
          <w:p w:rsidR="00895082" w:rsidRPr="008375C6" w:rsidRDefault="00895082" w:rsidP="00136425">
            <w:pPr>
              <w:spacing w:after="0" w:line="240" w:lineRule="auto"/>
              <w:rPr>
                <w:rFonts w:cs="Calibri"/>
                <w:b/>
              </w:rPr>
            </w:pPr>
            <w:r w:rsidRPr="008375C6">
              <w:rPr>
                <w:rFonts w:cs="Calibri"/>
                <w:b/>
              </w:rPr>
              <w:t>Rubrique</w:t>
            </w:r>
          </w:p>
        </w:tc>
        <w:tc>
          <w:tcPr>
            <w:tcW w:w="5193" w:type="dxa"/>
          </w:tcPr>
          <w:p w:rsidR="00895082" w:rsidRPr="008375C6" w:rsidRDefault="00895082" w:rsidP="00136425">
            <w:pPr>
              <w:spacing w:after="0" w:line="240" w:lineRule="auto"/>
              <w:rPr>
                <w:rFonts w:cs="Calibri"/>
                <w:b/>
              </w:rPr>
            </w:pPr>
            <w:r w:rsidRPr="008375C6">
              <w:rPr>
                <w:rFonts w:cs="Calibri"/>
                <w:b/>
              </w:rPr>
              <w:t>DESCRIPTION</w:t>
            </w:r>
          </w:p>
        </w:tc>
        <w:tc>
          <w:tcPr>
            <w:tcW w:w="1276" w:type="dxa"/>
          </w:tcPr>
          <w:p w:rsidR="00895082" w:rsidRPr="008375C6" w:rsidRDefault="00895082" w:rsidP="00136425">
            <w:pPr>
              <w:spacing w:after="0" w:line="240" w:lineRule="auto"/>
              <w:rPr>
                <w:rFonts w:cs="Calibri"/>
                <w:b/>
              </w:rPr>
            </w:pPr>
            <w:r w:rsidRPr="008375C6">
              <w:rPr>
                <w:rFonts w:cs="Calibri"/>
                <w:b/>
              </w:rPr>
              <w:t>REFERENCE</w:t>
            </w:r>
          </w:p>
        </w:tc>
        <w:tc>
          <w:tcPr>
            <w:tcW w:w="707" w:type="dxa"/>
          </w:tcPr>
          <w:p w:rsidR="00895082" w:rsidRPr="008375C6" w:rsidRDefault="00895082" w:rsidP="00136425">
            <w:pPr>
              <w:spacing w:after="0" w:line="240" w:lineRule="auto"/>
              <w:rPr>
                <w:rFonts w:cs="Calibri"/>
                <w:b/>
              </w:rPr>
            </w:pPr>
            <w:r w:rsidRPr="008375C6">
              <w:rPr>
                <w:rFonts w:cs="Calibri"/>
                <w:b/>
              </w:rPr>
              <w:t>QTE</w:t>
            </w:r>
          </w:p>
        </w:tc>
        <w:tc>
          <w:tcPr>
            <w:tcW w:w="984" w:type="dxa"/>
          </w:tcPr>
          <w:p w:rsidR="00895082" w:rsidRPr="008375C6" w:rsidRDefault="00895082" w:rsidP="00136425">
            <w:pPr>
              <w:spacing w:after="0" w:line="240" w:lineRule="auto"/>
              <w:rPr>
                <w:rFonts w:cs="Calibri"/>
                <w:b/>
              </w:rPr>
            </w:pPr>
            <w:r w:rsidRPr="008375C6">
              <w:rPr>
                <w:rFonts w:cs="Calibri"/>
                <w:b/>
              </w:rPr>
              <w:t>PU US$</w:t>
            </w:r>
          </w:p>
        </w:tc>
        <w:tc>
          <w:tcPr>
            <w:tcW w:w="881" w:type="dxa"/>
          </w:tcPr>
          <w:p w:rsidR="00895082" w:rsidRPr="008375C6" w:rsidRDefault="00895082" w:rsidP="00136425">
            <w:pPr>
              <w:spacing w:after="0" w:line="240" w:lineRule="auto"/>
              <w:rPr>
                <w:rFonts w:cs="Calibri"/>
                <w:b/>
              </w:rPr>
            </w:pPr>
            <w:r w:rsidRPr="008375C6">
              <w:rPr>
                <w:rFonts w:cs="Calibri"/>
                <w:b/>
              </w:rPr>
              <w:t>PT US$</w:t>
            </w:r>
          </w:p>
        </w:tc>
      </w:tr>
      <w:tr w:rsidR="00895082" w:rsidRPr="008375C6" w:rsidTr="00136425">
        <w:tc>
          <w:tcPr>
            <w:tcW w:w="1056" w:type="dxa"/>
            <w:vMerge w:val="restart"/>
          </w:tcPr>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r w:rsidRPr="008375C6">
              <w:rPr>
                <w:rFonts w:cs="Calibri"/>
              </w:rPr>
              <w:t>1</w:t>
            </w:r>
          </w:p>
        </w:tc>
        <w:tc>
          <w:tcPr>
            <w:tcW w:w="9041" w:type="dxa"/>
            <w:gridSpan w:val="5"/>
          </w:tcPr>
          <w:p w:rsidR="00895082" w:rsidRPr="008375C6" w:rsidRDefault="00895082" w:rsidP="00136425">
            <w:pPr>
              <w:spacing w:after="0" w:line="240" w:lineRule="auto"/>
              <w:jc w:val="center"/>
              <w:rPr>
                <w:rFonts w:cs="Calibri"/>
                <w:b/>
              </w:rPr>
            </w:pPr>
            <w:r w:rsidRPr="008375C6">
              <w:rPr>
                <w:rFonts w:cs="Calibri"/>
                <w:b/>
              </w:rPr>
              <w:t>RESSOURCES HUMAINES</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Modérateur</w:t>
            </w:r>
            <w:r>
              <w:rPr>
                <w:rFonts w:cs="Calibri"/>
              </w:rPr>
              <w:t>s</w:t>
            </w:r>
            <w:r w:rsidRPr="008375C6">
              <w:rPr>
                <w:rFonts w:cs="Calibri"/>
              </w:rPr>
              <w:t>/Facilitateur</w:t>
            </w:r>
            <w:r>
              <w:rPr>
                <w:rFonts w:cs="Calibri"/>
              </w:rPr>
              <w:t>s</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3</w:t>
            </w:r>
          </w:p>
        </w:tc>
        <w:tc>
          <w:tcPr>
            <w:tcW w:w="984" w:type="dxa"/>
          </w:tcPr>
          <w:p w:rsidR="00895082" w:rsidRPr="008375C6" w:rsidRDefault="00895082" w:rsidP="00136425">
            <w:pPr>
              <w:spacing w:after="0" w:line="240" w:lineRule="auto"/>
              <w:jc w:val="right"/>
              <w:rPr>
                <w:rFonts w:cs="Calibri"/>
              </w:rPr>
            </w:pPr>
            <w:r w:rsidRPr="008375C6">
              <w:rPr>
                <w:rFonts w:cs="Calibri"/>
              </w:rPr>
              <w:t>100</w:t>
            </w:r>
          </w:p>
        </w:tc>
        <w:tc>
          <w:tcPr>
            <w:tcW w:w="881" w:type="dxa"/>
          </w:tcPr>
          <w:p w:rsidR="00895082" w:rsidRPr="008375C6" w:rsidRDefault="00895082" w:rsidP="00136425">
            <w:pPr>
              <w:spacing w:after="0" w:line="240" w:lineRule="auto"/>
              <w:jc w:val="right"/>
              <w:rPr>
                <w:rFonts w:cs="Calibri"/>
              </w:rPr>
            </w:pPr>
            <w:r w:rsidRPr="008375C6">
              <w:rPr>
                <w:rFonts w:cs="Calibri"/>
              </w:rPr>
              <w:t>300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Intervenant</w:t>
            </w:r>
            <w:r>
              <w:rPr>
                <w:rFonts w:cs="Calibri"/>
              </w:rPr>
              <w:t>s</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3</w:t>
            </w:r>
          </w:p>
        </w:tc>
        <w:tc>
          <w:tcPr>
            <w:tcW w:w="984" w:type="dxa"/>
          </w:tcPr>
          <w:p w:rsidR="00895082" w:rsidRPr="008375C6" w:rsidRDefault="00895082" w:rsidP="00136425">
            <w:pPr>
              <w:spacing w:after="0" w:line="240" w:lineRule="auto"/>
              <w:jc w:val="right"/>
              <w:rPr>
                <w:rFonts w:cs="Calibri"/>
              </w:rPr>
            </w:pPr>
            <w:r w:rsidRPr="008375C6">
              <w:rPr>
                <w:rFonts w:cs="Calibri"/>
              </w:rPr>
              <w:t>100</w:t>
            </w:r>
          </w:p>
        </w:tc>
        <w:tc>
          <w:tcPr>
            <w:tcW w:w="881" w:type="dxa"/>
          </w:tcPr>
          <w:p w:rsidR="00895082" w:rsidRPr="008375C6" w:rsidRDefault="00895082" w:rsidP="00136425">
            <w:pPr>
              <w:spacing w:after="0" w:line="240" w:lineRule="auto"/>
              <w:jc w:val="right"/>
              <w:rPr>
                <w:rFonts w:cs="Calibri"/>
              </w:rPr>
            </w:pPr>
            <w:r>
              <w:rPr>
                <w:rFonts w:cs="Calibri"/>
              </w:rPr>
              <w:t>300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Secrétariat Technique/Rapporteurs</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sidRPr="008375C6">
              <w:rPr>
                <w:rFonts w:cs="Calibri"/>
              </w:rPr>
              <w:t>3</w:t>
            </w:r>
          </w:p>
        </w:tc>
        <w:tc>
          <w:tcPr>
            <w:tcW w:w="984" w:type="dxa"/>
          </w:tcPr>
          <w:p w:rsidR="00895082" w:rsidRPr="008375C6" w:rsidRDefault="00895082" w:rsidP="00136425">
            <w:pPr>
              <w:spacing w:after="0" w:line="240" w:lineRule="auto"/>
              <w:jc w:val="right"/>
              <w:rPr>
                <w:rFonts w:cs="Calibri"/>
              </w:rPr>
            </w:pPr>
            <w:r w:rsidRPr="008375C6">
              <w:rPr>
                <w:rFonts w:cs="Calibri"/>
              </w:rPr>
              <w:t>60</w:t>
            </w:r>
          </w:p>
        </w:tc>
        <w:tc>
          <w:tcPr>
            <w:tcW w:w="881" w:type="dxa"/>
          </w:tcPr>
          <w:p w:rsidR="00895082" w:rsidRPr="008375C6" w:rsidRDefault="00895082" w:rsidP="00136425">
            <w:pPr>
              <w:spacing w:after="0" w:line="240" w:lineRule="auto"/>
              <w:jc w:val="right"/>
              <w:rPr>
                <w:rFonts w:cs="Calibri"/>
              </w:rPr>
            </w:pPr>
            <w:r>
              <w:rPr>
                <w:rFonts w:cs="Calibri"/>
              </w:rPr>
              <w:t>180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Personnel d’appoint</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6</w:t>
            </w:r>
          </w:p>
        </w:tc>
        <w:tc>
          <w:tcPr>
            <w:tcW w:w="984" w:type="dxa"/>
          </w:tcPr>
          <w:p w:rsidR="00895082" w:rsidRPr="008375C6" w:rsidRDefault="00895082" w:rsidP="00136425">
            <w:pPr>
              <w:spacing w:after="0" w:line="240" w:lineRule="auto"/>
              <w:jc w:val="right"/>
              <w:rPr>
                <w:rFonts w:cs="Calibri"/>
              </w:rPr>
            </w:pPr>
            <w:r>
              <w:rPr>
                <w:rFonts w:cs="Calibri"/>
              </w:rPr>
              <w:t>50</w:t>
            </w:r>
          </w:p>
        </w:tc>
        <w:tc>
          <w:tcPr>
            <w:tcW w:w="881" w:type="dxa"/>
          </w:tcPr>
          <w:p w:rsidR="00895082" w:rsidRPr="008375C6" w:rsidRDefault="00895082" w:rsidP="00136425">
            <w:pPr>
              <w:spacing w:after="0" w:line="240" w:lineRule="auto"/>
              <w:jc w:val="right"/>
              <w:rPr>
                <w:rFonts w:cs="Calibri"/>
              </w:rPr>
            </w:pPr>
            <w:r>
              <w:rPr>
                <w:rFonts w:cs="Calibri"/>
              </w:rPr>
              <w:t>300</w:t>
            </w:r>
          </w:p>
        </w:tc>
      </w:tr>
      <w:tr w:rsidR="00895082" w:rsidRPr="008375C6" w:rsidTr="00136425">
        <w:tc>
          <w:tcPr>
            <w:tcW w:w="1056" w:type="dxa"/>
            <w:shd w:val="clear" w:color="auto" w:fill="D9D9D9" w:themeFill="background1" w:themeFillShade="D9"/>
          </w:tcPr>
          <w:p w:rsidR="00895082" w:rsidRPr="008375C6" w:rsidRDefault="00895082" w:rsidP="00136425">
            <w:pPr>
              <w:spacing w:after="0" w:line="240" w:lineRule="auto"/>
              <w:rPr>
                <w:rFonts w:cs="Calibri"/>
                <w:b/>
              </w:rPr>
            </w:pPr>
          </w:p>
        </w:tc>
        <w:tc>
          <w:tcPr>
            <w:tcW w:w="8160" w:type="dxa"/>
            <w:gridSpan w:val="4"/>
            <w:shd w:val="clear" w:color="auto" w:fill="D9D9D9" w:themeFill="background1" w:themeFillShade="D9"/>
          </w:tcPr>
          <w:p w:rsidR="00895082" w:rsidRPr="008375C6" w:rsidRDefault="00895082" w:rsidP="00136425">
            <w:pPr>
              <w:spacing w:after="0" w:line="240" w:lineRule="auto"/>
              <w:rPr>
                <w:rFonts w:cs="Calibri"/>
                <w:b/>
              </w:rPr>
            </w:pPr>
            <w:r w:rsidRPr="008375C6">
              <w:rPr>
                <w:rFonts w:cs="Calibri"/>
                <w:b/>
              </w:rPr>
              <w:t>Sous Total 1</w:t>
            </w:r>
          </w:p>
        </w:tc>
        <w:tc>
          <w:tcPr>
            <w:tcW w:w="881" w:type="dxa"/>
            <w:shd w:val="clear" w:color="auto" w:fill="D9D9D9" w:themeFill="background1" w:themeFillShade="D9"/>
          </w:tcPr>
          <w:p w:rsidR="00895082" w:rsidRPr="008375C6" w:rsidRDefault="00895082" w:rsidP="00136425">
            <w:pPr>
              <w:spacing w:after="0" w:line="240" w:lineRule="auto"/>
              <w:jc w:val="right"/>
              <w:rPr>
                <w:rFonts w:cs="Calibri"/>
                <w:b/>
              </w:rPr>
            </w:pPr>
            <w:r>
              <w:rPr>
                <w:rFonts w:cs="Calibri"/>
                <w:b/>
              </w:rPr>
              <w:t>1080</w:t>
            </w:r>
          </w:p>
        </w:tc>
      </w:tr>
      <w:tr w:rsidR="00895082" w:rsidRPr="008375C6" w:rsidTr="00136425">
        <w:tc>
          <w:tcPr>
            <w:tcW w:w="1056" w:type="dxa"/>
            <w:vMerge w:val="restart"/>
          </w:tcPr>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r w:rsidRPr="008375C6">
              <w:rPr>
                <w:rFonts w:cs="Calibri"/>
              </w:rPr>
              <w:t>2</w:t>
            </w:r>
          </w:p>
        </w:tc>
        <w:tc>
          <w:tcPr>
            <w:tcW w:w="9041" w:type="dxa"/>
            <w:gridSpan w:val="5"/>
          </w:tcPr>
          <w:p w:rsidR="00895082" w:rsidRPr="008375C6" w:rsidRDefault="00895082" w:rsidP="00136425">
            <w:pPr>
              <w:spacing w:after="0" w:line="240" w:lineRule="auto"/>
              <w:jc w:val="center"/>
              <w:rPr>
                <w:rFonts w:cs="Calibri"/>
                <w:b/>
              </w:rPr>
            </w:pPr>
            <w:r w:rsidRPr="008375C6">
              <w:rPr>
                <w:rFonts w:cs="Calibri"/>
                <w:b/>
              </w:rPr>
              <w:t>LOGISTIQUES ET AUTRES</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Pr>
                <w:rFonts w:cs="Calibri"/>
              </w:rPr>
              <w:t>Transport participants</w:t>
            </w:r>
          </w:p>
        </w:tc>
        <w:tc>
          <w:tcPr>
            <w:tcW w:w="1276" w:type="dxa"/>
          </w:tcPr>
          <w:p w:rsidR="00895082" w:rsidRPr="008375C6" w:rsidRDefault="00895082" w:rsidP="00136425">
            <w:pPr>
              <w:spacing w:after="0" w:line="240" w:lineRule="auto"/>
              <w:rPr>
                <w:rFonts w:cs="Calibri"/>
              </w:rPr>
            </w:pPr>
            <w:r w:rsidRPr="008375C6">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7</w:t>
            </w:r>
          </w:p>
        </w:tc>
        <w:tc>
          <w:tcPr>
            <w:tcW w:w="984" w:type="dxa"/>
          </w:tcPr>
          <w:p w:rsidR="00895082" w:rsidRPr="008375C6" w:rsidRDefault="00895082" w:rsidP="00136425">
            <w:pPr>
              <w:spacing w:after="0" w:line="240" w:lineRule="auto"/>
              <w:jc w:val="right"/>
              <w:rPr>
                <w:rFonts w:cs="Calibri"/>
              </w:rPr>
            </w:pPr>
            <w:r>
              <w:rPr>
                <w:rFonts w:cs="Calibri"/>
              </w:rPr>
              <w:t>50</w:t>
            </w:r>
          </w:p>
        </w:tc>
        <w:tc>
          <w:tcPr>
            <w:tcW w:w="881" w:type="dxa"/>
          </w:tcPr>
          <w:p w:rsidR="00895082" w:rsidRPr="008375C6" w:rsidRDefault="00895082" w:rsidP="00136425">
            <w:pPr>
              <w:spacing w:after="0" w:line="240" w:lineRule="auto"/>
              <w:jc w:val="right"/>
              <w:rPr>
                <w:rFonts w:cs="Calibri"/>
              </w:rPr>
            </w:pPr>
            <w:r>
              <w:rPr>
                <w:rFonts w:cs="Calibri"/>
              </w:rPr>
              <w:t>350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Location salle et sonorisation</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sidRPr="008375C6">
              <w:rPr>
                <w:rFonts w:cs="Calibri"/>
              </w:rPr>
              <w:t>1</w:t>
            </w:r>
          </w:p>
        </w:tc>
        <w:tc>
          <w:tcPr>
            <w:tcW w:w="984" w:type="dxa"/>
          </w:tcPr>
          <w:p w:rsidR="00895082" w:rsidRPr="008375C6" w:rsidRDefault="00895082" w:rsidP="00136425">
            <w:pPr>
              <w:spacing w:after="0" w:line="240" w:lineRule="auto"/>
              <w:jc w:val="right"/>
              <w:rPr>
                <w:rFonts w:cs="Calibri"/>
              </w:rPr>
            </w:pPr>
            <w:r>
              <w:rPr>
                <w:rFonts w:cs="Calibri"/>
              </w:rPr>
              <w:t>1000</w:t>
            </w:r>
          </w:p>
        </w:tc>
        <w:tc>
          <w:tcPr>
            <w:tcW w:w="881" w:type="dxa"/>
          </w:tcPr>
          <w:p w:rsidR="00895082" w:rsidRPr="008375C6" w:rsidRDefault="00895082" w:rsidP="00136425">
            <w:pPr>
              <w:spacing w:after="0" w:line="240" w:lineRule="auto"/>
              <w:jc w:val="right"/>
              <w:rPr>
                <w:rFonts w:cs="Calibri"/>
              </w:rPr>
            </w:pPr>
            <w:r>
              <w:rPr>
                <w:rFonts w:cs="Calibri"/>
              </w:rPr>
              <w:t>1000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 xml:space="preserve">Déjeuner/Rafraichissement participants </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sidRPr="008375C6">
              <w:rPr>
                <w:rFonts w:cs="Calibri"/>
              </w:rPr>
              <w:t>50</w:t>
            </w:r>
          </w:p>
        </w:tc>
        <w:tc>
          <w:tcPr>
            <w:tcW w:w="984" w:type="dxa"/>
          </w:tcPr>
          <w:p w:rsidR="00895082" w:rsidRPr="008375C6" w:rsidRDefault="00895082" w:rsidP="00136425">
            <w:pPr>
              <w:spacing w:after="0" w:line="240" w:lineRule="auto"/>
              <w:jc w:val="right"/>
              <w:rPr>
                <w:rFonts w:cs="Calibri"/>
              </w:rPr>
            </w:pPr>
            <w:r>
              <w:rPr>
                <w:rFonts w:cs="Calibri"/>
              </w:rPr>
              <w:t>35</w:t>
            </w:r>
          </w:p>
        </w:tc>
        <w:tc>
          <w:tcPr>
            <w:tcW w:w="881" w:type="dxa"/>
          </w:tcPr>
          <w:p w:rsidR="00895082" w:rsidRPr="008375C6" w:rsidRDefault="00895082" w:rsidP="00136425">
            <w:pPr>
              <w:spacing w:after="0" w:line="240" w:lineRule="auto"/>
              <w:jc w:val="right"/>
              <w:rPr>
                <w:rFonts w:cs="Calibri"/>
              </w:rPr>
            </w:pPr>
            <w:r>
              <w:rPr>
                <w:rFonts w:cs="Calibri"/>
              </w:rPr>
              <w:t>175</w:t>
            </w:r>
            <w:r w:rsidRPr="008375C6">
              <w:rPr>
                <w:rFonts w:cs="Calibri"/>
              </w:rPr>
              <w:t>0</w:t>
            </w:r>
          </w:p>
        </w:tc>
      </w:tr>
      <w:tr w:rsidR="00895082" w:rsidRPr="008375C6" w:rsidTr="00136425">
        <w:tc>
          <w:tcPr>
            <w:tcW w:w="1056" w:type="dxa"/>
            <w:shd w:val="clear" w:color="auto" w:fill="D9D9D9" w:themeFill="background1" w:themeFillShade="D9"/>
          </w:tcPr>
          <w:p w:rsidR="00895082" w:rsidRPr="008375C6" w:rsidRDefault="00895082" w:rsidP="00136425">
            <w:pPr>
              <w:spacing w:after="0" w:line="240" w:lineRule="auto"/>
              <w:rPr>
                <w:rFonts w:cs="Calibri"/>
                <w:b/>
              </w:rPr>
            </w:pPr>
          </w:p>
        </w:tc>
        <w:tc>
          <w:tcPr>
            <w:tcW w:w="8160" w:type="dxa"/>
            <w:gridSpan w:val="4"/>
            <w:shd w:val="clear" w:color="auto" w:fill="D9D9D9" w:themeFill="background1" w:themeFillShade="D9"/>
          </w:tcPr>
          <w:p w:rsidR="00895082" w:rsidRPr="008375C6" w:rsidRDefault="00895082" w:rsidP="00136425">
            <w:pPr>
              <w:spacing w:after="0" w:line="240" w:lineRule="auto"/>
              <w:rPr>
                <w:rFonts w:cs="Calibri"/>
                <w:b/>
              </w:rPr>
            </w:pPr>
            <w:r w:rsidRPr="008375C6">
              <w:rPr>
                <w:rFonts w:cs="Calibri"/>
                <w:b/>
              </w:rPr>
              <w:t>Sous Total 2</w:t>
            </w:r>
          </w:p>
        </w:tc>
        <w:tc>
          <w:tcPr>
            <w:tcW w:w="881" w:type="dxa"/>
            <w:shd w:val="clear" w:color="auto" w:fill="D9D9D9" w:themeFill="background1" w:themeFillShade="D9"/>
          </w:tcPr>
          <w:p w:rsidR="00895082" w:rsidRPr="008375C6" w:rsidRDefault="00895082" w:rsidP="00136425">
            <w:pPr>
              <w:spacing w:after="0" w:line="240" w:lineRule="auto"/>
              <w:jc w:val="right"/>
              <w:rPr>
                <w:rFonts w:cs="Calibri"/>
                <w:b/>
              </w:rPr>
            </w:pPr>
            <w:r>
              <w:rPr>
                <w:rFonts w:cs="Calibri"/>
                <w:b/>
              </w:rPr>
              <w:t>3100</w:t>
            </w:r>
          </w:p>
        </w:tc>
      </w:tr>
      <w:tr w:rsidR="00895082" w:rsidRPr="008375C6" w:rsidTr="00136425">
        <w:tc>
          <w:tcPr>
            <w:tcW w:w="1056" w:type="dxa"/>
            <w:vMerge w:val="restart"/>
          </w:tcPr>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r w:rsidRPr="008375C6">
              <w:rPr>
                <w:rFonts w:cs="Calibri"/>
              </w:rPr>
              <w:t>3</w:t>
            </w:r>
          </w:p>
        </w:tc>
        <w:tc>
          <w:tcPr>
            <w:tcW w:w="9041" w:type="dxa"/>
            <w:gridSpan w:val="5"/>
          </w:tcPr>
          <w:p w:rsidR="00895082" w:rsidRPr="008375C6" w:rsidRDefault="00895082" w:rsidP="00136425">
            <w:pPr>
              <w:spacing w:after="0" w:line="240" w:lineRule="auto"/>
              <w:jc w:val="center"/>
              <w:rPr>
                <w:rFonts w:cs="Calibri"/>
                <w:b/>
              </w:rPr>
            </w:pPr>
            <w:r w:rsidRPr="008375C6">
              <w:rPr>
                <w:rFonts w:cs="Calibri"/>
                <w:b/>
              </w:rPr>
              <w:t>FOURNITURES/PAPETERIE</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Rame papier duplicateur A4</w:t>
            </w:r>
          </w:p>
        </w:tc>
        <w:tc>
          <w:tcPr>
            <w:tcW w:w="1276" w:type="dxa"/>
          </w:tcPr>
          <w:p w:rsidR="00895082" w:rsidRPr="008375C6" w:rsidRDefault="00895082" w:rsidP="00136425">
            <w:pPr>
              <w:spacing w:after="0" w:line="240" w:lineRule="auto"/>
              <w:rPr>
                <w:rFonts w:cs="Calibri"/>
              </w:rPr>
            </w:pPr>
            <w:r w:rsidRPr="008375C6">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5</w:t>
            </w:r>
          </w:p>
        </w:tc>
        <w:tc>
          <w:tcPr>
            <w:tcW w:w="984" w:type="dxa"/>
          </w:tcPr>
          <w:p w:rsidR="00895082" w:rsidRPr="008375C6" w:rsidRDefault="00895082" w:rsidP="00136425">
            <w:pPr>
              <w:spacing w:after="0" w:line="240" w:lineRule="auto"/>
              <w:jc w:val="right"/>
              <w:rPr>
                <w:rFonts w:cs="Calibri"/>
              </w:rPr>
            </w:pPr>
            <w:r w:rsidRPr="008375C6">
              <w:rPr>
                <w:rFonts w:cs="Calibri"/>
              </w:rPr>
              <w:t>7</w:t>
            </w:r>
          </w:p>
        </w:tc>
        <w:tc>
          <w:tcPr>
            <w:tcW w:w="881" w:type="dxa"/>
          </w:tcPr>
          <w:p w:rsidR="00895082" w:rsidRPr="008375C6" w:rsidRDefault="00895082" w:rsidP="00136425">
            <w:pPr>
              <w:spacing w:after="0" w:line="240" w:lineRule="auto"/>
              <w:jc w:val="right"/>
              <w:rPr>
                <w:rFonts w:cs="Calibri"/>
              </w:rPr>
            </w:pPr>
            <w:r>
              <w:rPr>
                <w:rFonts w:cs="Calibri"/>
              </w:rPr>
              <w:t>35</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Boite stylo bleu ou noir</w:t>
            </w:r>
          </w:p>
        </w:tc>
        <w:tc>
          <w:tcPr>
            <w:tcW w:w="1276" w:type="dxa"/>
          </w:tcPr>
          <w:p w:rsidR="00895082" w:rsidRPr="008375C6" w:rsidRDefault="00895082" w:rsidP="00136425">
            <w:pPr>
              <w:spacing w:after="0" w:line="240" w:lineRule="auto"/>
              <w:rPr>
                <w:rFonts w:cs="Calibri"/>
              </w:rPr>
            </w:pPr>
            <w:r w:rsidRPr="008375C6">
              <w:rPr>
                <w:rFonts w:cs="Calibri"/>
              </w:rPr>
              <w:t>1</w:t>
            </w:r>
          </w:p>
        </w:tc>
        <w:tc>
          <w:tcPr>
            <w:tcW w:w="707" w:type="dxa"/>
          </w:tcPr>
          <w:p w:rsidR="00895082" w:rsidRPr="008375C6" w:rsidRDefault="00895082" w:rsidP="00136425">
            <w:pPr>
              <w:spacing w:after="0" w:line="240" w:lineRule="auto"/>
              <w:jc w:val="right"/>
              <w:rPr>
                <w:rFonts w:cs="Calibri"/>
              </w:rPr>
            </w:pPr>
            <w:r w:rsidRPr="008375C6">
              <w:rPr>
                <w:rFonts w:cs="Calibri"/>
              </w:rPr>
              <w:t>3</w:t>
            </w:r>
          </w:p>
        </w:tc>
        <w:tc>
          <w:tcPr>
            <w:tcW w:w="984" w:type="dxa"/>
          </w:tcPr>
          <w:p w:rsidR="00895082" w:rsidRPr="008375C6" w:rsidRDefault="00895082" w:rsidP="00136425">
            <w:pPr>
              <w:spacing w:after="0" w:line="240" w:lineRule="auto"/>
              <w:jc w:val="right"/>
              <w:rPr>
                <w:rFonts w:cs="Calibri"/>
              </w:rPr>
            </w:pPr>
            <w:r w:rsidRPr="008375C6">
              <w:rPr>
                <w:rFonts w:cs="Calibri"/>
              </w:rPr>
              <w:t>5</w:t>
            </w:r>
          </w:p>
        </w:tc>
        <w:tc>
          <w:tcPr>
            <w:tcW w:w="881" w:type="dxa"/>
          </w:tcPr>
          <w:p w:rsidR="00895082" w:rsidRPr="008375C6" w:rsidRDefault="00895082" w:rsidP="00136425">
            <w:pPr>
              <w:spacing w:after="0" w:line="240" w:lineRule="auto"/>
              <w:jc w:val="right"/>
              <w:rPr>
                <w:rFonts w:cs="Calibri"/>
              </w:rPr>
            </w:pPr>
            <w:r w:rsidRPr="008375C6">
              <w:rPr>
                <w:rFonts w:cs="Calibri"/>
              </w:rPr>
              <w:t>1</w:t>
            </w:r>
            <w:r>
              <w:rPr>
                <w:rFonts w:cs="Calibri"/>
              </w:rPr>
              <w:t>5</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Pr>
                <w:rFonts w:cs="Calibri"/>
              </w:rPr>
              <w:t>Bloc Note</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50</w:t>
            </w:r>
          </w:p>
        </w:tc>
        <w:tc>
          <w:tcPr>
            <w:tcW w:w="984" w:type="dxa"/>
          </w:tcPr>
          <w:p w:rsidR="00895082" w:rsidRPr="008375C6" w:rsidRDefault="00895082" w:rsidP="00136425">
            <w:pPr>
              <w:spacing w:after="0" w:line="240" w:lineRule="auto"/>
              <w:jc w:val="right"/>
              <w:rPr>
                <w:rFonts w:cs="Calibri"/>
              </w:rPr>
            </w:pPr>
            <w:r>
              <w:rPr>
                <w:rFonts w:cs="Calibri"/>
              </w:rPr>
              <w:t>5</w:t>
            </w:r>
          </w:p>
        </w:tc>
        <w:tc>
          <w:tcPr>
            <w:tcW w:w="881" w:type="dxa"/>
          </w:tcPr>
          <w:p w:rsidR="00895082" w:rsidRPr="008375C6" w:rsidRDefault="00895082" w:rsidP="00136425">
            <w:pPr>
              <w:spacing w:after="0" w:line="240" w:lineRule="auto"/>
              <w:jc w:val="right"/>
              <w:rPr>
                <w:rFonts w:cs="Calibri"/>
              </w:rPr>
            </w:pPr>
            <w:r>
              <w:rPr>
                <w:rFonts w:cs="Calibri"/>
              </w:rPr>
              <w:t>250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Pr>
                <w:rFonts w:cs="Calibri"/>
              </w:rPr>
              <w:t>Marqueur/Douzaine</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1</w:t>
            </w:r>
          </w:p>
        </w:tc>
        <w:tc>
          <w:tcPr>
            <w:tcW w:w="984" w:type="dxa"/>
          </w:tcPr>
          <w:p w:rsidR="00895082" w:rsidRPr="008375C6" w:rsidRDefault="00895082" w:rsidP="00136425">
            <w:pPr>
              <w:spacing w:after="0" w:line="240" w:lineRule="auto"/>
              <w:jc w:val="right"/>
              <w:rPr>
                <w:rFonts w:cs="Calibri"/>
              </w:rPr>
            </w:pPr>
            <w:r>
              <w:rPr>
                <w:rFonts w:cs="Calibri"/>
              </w:rPr>
              <w:t>20</w:t>
            </w:r>
          </w:p>
        </w:tc>
        <w:tc>
          <w:tcPr>
            <w:tcW w:w="881" w:type="dxa"/>
          </w:tcPr>
          <w:p w:rsidR="00895082" w:rsidRPr="008375C6" w:rsidRDefault="00895082" w:rsidP="00136425">
            <w:pPr>
              <w:spacing w:after="0" w:line="240" w:lineRule="auto"/>
              <w:jc w:val="right"/>
              <w:rPr>
                <w:rFonts w:cs="Calibri"/>
              </w:rPr>
            </w:pPr>
            <w:r>
              <w:rPr>
                <w:rFonts w:cs="Calibri"/>
              </w:rPr>
              <w:t>20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 xml:space="preserve">Farde à étrangle transparent  </w:t>
            </w:r>
          </w:p>
        </w:tc>
        <w:tc>
          <w:tcPr>
            <w:tcW w:w="1276" w:type="dxa"/>
          </w:tcPr>
          <w:p w:rsidR="00895082" w:rsidRPr="008375C6" w:rsidRDefault="00895082" w:rsidP="00136425">
            <w:pPr>
              <w:spacing w:after="0" w:line="240" w:lineRule="auto"/>
              <w:rPr>
                <w:rFonts w:cs="Calibri"/>
              </w:rPr>
            </w:pPr>
            <w:r w:rsidRPr="008375C6">
              <w:rPr>
                <w:rFonts w:cs="Calibri"/>
              </w:rPr>
              <w:t>1</w:t>
            </w:r>
          </w:p>
        </w:tc>
        <w:tc>
          <w:tcPr>
            <w:tcW w:w="707" w:type="dxa"/>
          </w:tcPr>
          <w:p w:rsidR="00895082" w:rsidRPr="008375C6" w:rsidRDefault="00895082" w:rsidP="00136425">
            <w:pPr>
              <w:spacing w:after="0" w:line="240" w:lineRule="auto"/>
              <w:jc w:val="right"/>
              <w:rPr>
                <w:rFonts w:cs="Calibri"/>
              </w:rPr>
            </w:pPr>
            <w:r w:rsidRPr="008375C6">
              <w:rPr>
                <w:rFonts w:cs="Calibri"/>
              </w:rPr>
              <w:t>50</w:t>
            </w:r>
          </w:p>
        </w:tc>
        <w:tc>
          <w:tcPr>
            <w:tcW w:w="984" w:type="dxa"/>
          </w:tcPr>
          <w:p w:rsidR="00895082" w:rsidRPr="008375C6" w:rsidRDefault="00895082" w:rsidP="00136425">
            <w:pPr>
              <w:spacing w:after="0" w:line="240" w:lineRule="auto"/>
              <w:jc w:val="right"/>
              <w:rPr>
                <w:rFonts w:cs="Calibri"/>
              </w:rPr>
            </w:pPr>
            <w:r w:rsidRPr="008375C6">
              <w:rPr>
                <w:rFonts w:cs="Calibri"/>
              </w:rPr>
              <w:t>2</w:t>
            </w:r>
          </w:p>
        </w:tc>
        <w:tc>
          <w:tcPr>
            <w:tcW w:w="881" w:type="dxa"/>
          </w:tcPr>
          <w:p w:rsidR="00895082" w:rsidRPr="008375C6" w:rsidRDefault="00895082" w:rsidP="00136425">
            <w:pPr>
              <w:spacing w:after="0" w:line="240" w:lineRule="auto"/>
              <w:jc w:val="right"/>
              <w:rPr>
                <w:rFonts w:cs="Calibri"/>
              </w:rPr>
            </w:pPr>
            <w:r w:rsidRPr="008375C6">
              <w:rPr>
                <w:rFonts w:cs="Calibri"/>
              </w:rPr>
              <w:t>100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Cartes de communication</w:t>
            </w:r>
          </w:p>
        </w:tc>
        <w:tc>
          <w:tcPr>
            <w:tcW w:w="1276" w:type="dxa"/>
          </w:tcPr>
          <w:p w:rsidR="00895082" w:rsidRPr="008375C6" w:rsidRDefault="00895082" w:rsidP="00136425">
            <w:pPr>
              <w:spacing w:after="0" w:line="240" w:lineRule="auto"/>
              <w:rPr>
                <w:rFonts w:cs="Calibri"/>
              </w:rPr>
            </w:pPr>
            <w:r>
              <w:rPr>
                <w:rFonts w:cs="Calibri"/>
              </w:rPr>
              <w:t>1</w:t>
            </w:r>
          </w:p>
        </w:tc>
        <w:tc>
          <w:tcPr>
            <w:tcW w:w="707" w:type="dxa"/>
          </w:tcPr>
          <w:p w:rsidR="00895082" w:rsidRPr="008375C6" w:rsidRDefault="00895082" w:rsidP="00136425">
            <w:pPr>
              <w:spacing w:after="0" w:line="240" w:lineRule="auto"/>
              <w:jc w:val="right"/>
              <w:rPr>
                <w:rFonts w:cs="Calibri"/>
              </w:rPr>
            </w:pPr>
            <w:r>
              <w:rPr>
                <w:rFonts w:cs="Calibri"/>
              </w:rPr>
              <w:t>10</w:t>
            </w:r>
          </w:p>
        </w:tc>
        <w:tc>
          <w:tcPr>
            <w:tcW w:w="984" w:type="dxa"/>
          </w:tcPr>
          <w:p w:rsidR="00895082" w:rsidRPr="008375C6" w:rsidRDefault="00895082" w:rsidP="00136425">
            <w:pPr>
              <w:spacing w:after="0" w:line="240" w:lineRule="auto"/>
              <w:jc w:val="right"/>
              <w:rPr>
                <w:rFonts w:cs="Calibri"/>
              </w:rPr>
            </w:pPr>
            <w:r w:rsidRPr="008375C6">
              <w:rPr>
                <w:rFonts w:cs="Calibri"/>
              </w:rPr>
              <w:t>10</w:t>
            </w:r>
          </w:p>
        </w:tc>
        <w:tc>
          <w:tcPr>
            <w:tcW w:w="881" w:type="dxa"/>
          </w:tcPr>
          <w:p w:rsidR="00895082" w:rsidRPr="008375C6" w:rsidRDefault="00895082" w:rsidP="00136425">
            <w:pPr>
              <w:spacing w:after="0" w:line="240" w:lineRule="auto"/>
              <w:jc w:val="right"/>
              <w:rPr>
                <w:rFonts w:cs="Calibri"/>
              </w:rPr>
            </w:pPr>
            <w:r>
              <w:rPr>
                <w:rFonts w:cs="Calibri"/>
              </w:rPr>
              <w:t>100</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Banderole</w:t>
            </w:r>
          </w:p>
        </w:tc>
        <w:tc>
          <w:tcPr>
            <w:tcW w:w="1276" w:type="dxa"/>
          </w:tcPr>
          <w:p w:rsidR="00895082" w:rsidRPr="008375C6" w:rsidRDefault="00895082" w:rsidP="00136425">
            <w:pPr>
              <w:spacing w:after="0" w:line="240" w:lineRule="auto"/>
              <w:rPr>
                <w:rFonts w:cs="Calibri"/>
              </w:rPr>
            </w:pPr>
            <w:r w:rsidRPr="008375C6">
              <w:rPr>
                <w:rFonts w:cs="Calibri"/>
              </w:rPr>
              <w:t>1</w:t>
            </w:r>
          </w:p>
        </w:tc>
        <w:tc>
          <w:tcPr>
            <w:tcW w:w="707" w:type="dxa"/>
          </w:tcPr>
          <w:p w:rsidR="00895082" w:rsidRPr="008375C6" w:rsidRDefault="00895082" w:rsidP="00136425">
            <w:pPr>
              <w:spacing w:after="0" w:line="240" w:lineRule="auto"/>
              <w:jc w:val="right"/>
              <w:rPr>
                <w:rFonts w:cs="Calibri"/>
              </w:rPr>
            </w:pPr>
            <w:r w:rsidRPr="008375C6">
              <w:rPr>
                <w:rFonts w:cs="Calibri"/>
              </w:rPr>
              <w:t>2</w:t>
            </w:r>
          </w:p>
        </w:tc>
        <w:tc>
          <w:tcPr>
            <w:tcW w:w="984" w:type="dxa"/>
          </w:tcPr>
          <w:p w:rsidR="00895082" w:rsidRPr="008375C6" w:rsidRDefault="00895082" w:rsidP="00136425">
            <w:pPr>
              <w:spacing w:after="0" w:line="240" w:lineRule="auto"/>
              <w:jc w:val="right"/>
              <w:rPr>
                <w:rFonts w:cs="Calibri"/>
              </w:rPr>
            </w:pPr>
            <w:r>
              <w:rPr>
                <w:rFonts w:cs="Calibri"/>
              </w:rPr>
              <w:t>100</w:t>
            </w:r>
          </w:p>
        </w:tc>
        <w:tc>
          <w:tcPr>
            <w:tcW w:w="881" w:type="dxa"/>
          </w:tcPr>
          <w:p w:rsidR="00895082" w:rsidRPr="008375C6" w:rsidRDefault="00895082" w:rsidP="00136425">
            <w:pPr>
              <w:spacing w:after="0" w:line="240" w:lineRule="auto"/>
              <w:jc w:val="right"/>
              <w:rPr>
                <w:rFonts w:cs="Calibri"/>
              </w:rPr>
            </w:pPr>
            <w:r>
              <w:rPr>
                <w:rFonts w:cs="Calibri"/>
              </w:rPr>
              <w:t>200</w:t>
            </w:r>
          </w:p>
        </w:tc>
      </w:tr>
      <w:tr w:rsidR="00895082" w:rsidRPr="008375C6" w:rsidTr="00136425">
        <w:tc>
          <w:tcPr>
            <w:tcW w:w="1056" w:type="dxa"/>
            <w:shd w:val="clear" w:color="auto" w:fill="D9D9D9" w:themeFill="background1" w:themeFillShade="D9"/>
          </w:tcPr>
          <w:p w:rsidR="00895082" w:rsidRPr="008375C6" w:rsidRDefault="00895082" w:rsidP="00136425">
            <w:pPr>
              <w:spacing w:after="0" w:line="240" w:lineRule="auto"/>
              <w:rPr>
                <w:rFonts w:cs="Calibri"/>
                <w:b/>
              </w:rPr>
            </w:pPr>
          </w:p>
        </w:tc>
        <w:tc>
          <w:tcPr>
            <w:tcW w:w="8160" w:type="dxa"/>
            <w:gridSpan w:val="4"/>
            <w:tcBorders>
              <w:right w:val="single" w:sz="4" w:space="0" w:color="auto"/>
            </w:tcBorders>
            <w:shd w:val="clear" w:color="auto" w:fill="D9D9D9" w:themeFill="background1" w:themeFillShade="D9"/>
          </w:tcPr>
          <w:p w:rsidR="00895082" w:rsidRPr="008375C6" w:rsidRDefault="00895082" w:rsidP="00136425">
            <w:pPr>
              <w:spacing w:after="0" w:line="240" w:lineRule="auto"/>
              <w:rPr>
                <w:rFonts w:cs="Calibri"/>
                <w:b/>
              </w:rPr>
            </w:pPr>
            <w:r w:rsidRPr="008375C6">
              <w:rPr>
                <w:rFonts w:cs="Calibri"/>
                <w:b/>
              </w:rPr>
              <w:t>Sous Total 3</w:t>
            </w:r>
          </w:p>
        </w:tc>
        <w:tc>
          <w:tcPr>
            <w:tcW w:w="881" w:type="dxa"/>
            <w:tcBorders>
              <w:left w:val="single" w:sz="4" w:space="0" w:color="auto"/>
            </w:tcBorders>
            <w:shd w:val="clear" w:color="auto" w:fill="D9D9D9" w:themeFill="background1" w:themeFillShade="D9"/>
          </w:tcPr>
          <w:p w:rsidR="00895082" w:rsidRPr="008375C6" w:rsidRDefault="00895082" w:rsidP="00136425">
            <w:pPr>
              <w:spacing w:after="0" w:line="240" w:lineRule="auto"/>
              <w:jc w:val="right"/>
              <w:rPr>
                <w:rFonts w:cs="Calibri"/>
                <w:b/>
              </w:rPr>
            </w:pPr>
            <w:r>
              <w:rPr>
                <w:rFonts w:cs="Calibri"/>
                <w:b/>
              </w:rPr>
              <w:t>720</w:t>
            </w:r>
          </w:p>
        </w:tc>
      </w:tr>
      <w:tr w:rsidR="00895082" w:rsidRPr="008375C6" w:rsidTr="00136425">
        <w:tc>
          <w:tcPr>
            <w:tcW w:w="1056" w:type="dxa"/>
            <w:vMerge w:val="restart"/>
          </w:tcPr>
          <w:p w:rsidR="00895082" w:rsidRPr="008375C6" w:rsidRDefault="00895082" w:rsidP="00136425">
            <w:pPr>
              <w:spacing w:after="0" w:line="240" w:lineRule="auto"/>
              <w:rPr>
                <w:rFonts w:cs="Calibri"/>
              </w:rPr>
            </w:pPr>
          </w:p>
          <w:p w:rsidR="00895082" w:rsidRPr="008375C6" w:rsidRDefault="00895082" w:rsidP="00136425">
            <w:pPr>
              <w:spacing w:after="0" w:line="240" w:lineRule="auto"/>
              <w:rPr>
                <w:rFonts w:cs="Calibri"/>
              </w:rPr>
            </w:pPr>
            <w:r w:rsidRPr="008375C6">
              <w:rPr>
                <w:rFonts w:cs="Calibri"/>
              </w:rPr>
              <w:t>4</w:t>
            </w:r>
          </w:p>
        </w:tc>
        <w:tc>
          <w:tcPr>
            <w:tcW w:w="9041" w:type="dxa"/>
            <w:gridSpan w:val="5"/>
          </w:tcPr>
          <w:p w:rsidR="00895082" w:rsidRPr="008375C6" w:rsidRDefault="00895082" w:rsidP="00136425">
            <w:pPr>
              <w:spacing w:after="0" w:line="240" w:lineRule="auto"/>
              <w:jc w:val="center"/>
              <w:rPr>
                <w:rFonts w:cs="Calibri"/>
                <w:b/>
              </w:rPr>
            </w:pPr>
            <w:r w:rsidRPr="008375C6">
              <w:rPr>
                <w:rFonts w:cs="Calibri"/>
                <w:b/>
              </w:rPr>
              <w:t>COUVERTURE MEDIATIQUE/PUBLI REPORTAGE</w:t>
            </w:r>
          </w:p>
        </w:tc>
      </w:tr>
      <w:tr w:rsidR="00895082" w:rsidRPr="008375C6" w:rsidTr="00136425">
        <w:tc>
          <w:tcPr>
            <w:tcW w:w="1056" w:type="dxa"/>
            <w:vMerge/>
          </w:tcPr>
          <w:p w:rsidR="00895082" w:rsidRPr="008375C6" w:rsidRDefault="00895082" w:rsidP="00136425">
            <w:pPr>
              <w:spacing w:after="0" w:line="240" w:lineRule="auto"/>
              <w:rPr>
                <w:rFonts w:cs="Calibri"/>
              </w:rPr>
            </w:pPr>
          </w:p>
        </w:tc>
        <w:tc>
          <w:tcPr>
            <w:tcW w:w="5193" w:type="dxa"/>
          </w:tcPr>
          <w:p w:rsidR="00895082" w:rsidRPr="008375C6" w:rsidRDefault="00895082" w:rsidP="00136425">
            <w:pPr>
              <w:spacing w:after="0" w:line="240" w:lineRule="auto"/>
              <w:rPr>
                <w:rFonts w:cs="Calibri"/>
              </w:rPr>
            </w:pPr>
            <w:r w:rsidRPr="008375C6">
              <w:rPr>
                <w:rFonts w:cs="Calibri"/>
              </w:rPr>
              <w:t>Communication de base</w:t>
            </w:r>
          </w:p>
        </w:tc>
        <w:tc>
          <w:tcPr>
            <w:tcW w:w="1276" w:type="dxa"/>
          </w:tcPr>
          <w:p w:rsidR="00895082" w:rsidRPr="008375C6" w:rsidRDefault="00895082" w:rsidP="00136425">
            <w:pPr>
              <w:spacing w:after="0" w:line="240" w:lineRule="auto"/>
              <w:rPr>
                <w:rFonts w:cs="Calibri"/>
              </w:rPr>
            </w:pPr>
          </w:p>
        </w:tc>
        <w:tc>
          <w:tcPr>
            <w:tcW w:w="707" w:type="dxa"/>
          </w:tcPr>
          <w:p w:rsidR="00895082" w:rsidRPr="008375C6" w:rsidRDefault="00895082" w:rsidP="00136425">
            <w:pPr>
              <w:spacing w:after="0" w:line="240" w:lineRule="auto"/>
              <w:rPr>
                <w:rFonts w:cs="Calibri"/>
              </w:rPr>
            </w:pPr>
          </w:p>
        </w:tc>
        <w:tc>
          <w:tcPr>
            <w:tcW w:w="984" w:type="dxa"/>
          </w:tcPr>
          <w:p w:rsidR="00895082" w:rsidRPr="008375C6" w:rsidRDefault="00895082" w:rsidP="00136425">
            <w:pPr>
              <w:spacing w:after="0" w:line="240" w:lineRule="auto"/>
              <w:rPr>
                <w:rFonts w:cs="Calibri"/>
              </w:rPr>
            </w:pPr>
          </w:p>
        </w:tc>
        <w:tc>
          <w:tcPr>
            <w:tcW w:w="881" w:type="dxa"/>
          </w:tcPr>
          <w:p w:rsidR="00895082" w:rsidRPr="008375C6" w:rsidRDefault="00895082" w:rsidP="00136425">
            <w:pPr>
              <w:spacing w:after="0" w:line="240" w:lineRule="auto"/>
              <w:jc w:val="right"/>
              <w:rPr>
                <w:rFonts w:cs="Calibri"/>
              </w:rPr>
            </w:pPr>
            <w:r w:rsidRPr="008375C6">
              <w:rPr>
                <w:rFonts w:cs="Calibri"/>
              </w:rPr>
              <w:t>500</w:t>
            </w:r>
          </w:p>
        </w:tc>
      </w:tr>
      <w:tr w:rsidR="00895082" w:rsidRPr="008375C6" w:rsidTr="00136425">
        <w:tc>
          <w:tcPr>
            <w:tcW w:w="1056" w:type="dxa"/>
            <w:shd w:val="clear" w:color="auto" w:fill="D9D9D9" w:themeFill="background1" w:themeFillShade="D9"/>
          </w:tcPr>
          <w:p w:rsidR="00895082" w:rsidRPr="008375C6" w:rsidRDefault="00895082" w:rsidP="00136425">
            <w:pPr>
              <w:spacing w:after="0" w:line="240" w:lineRule="auto"/>
              <w:rPr>
                <w:rFonts w:cs="Calibri"/>
                <w:b/>
              </w:rPr>
            </w:pPr>
          </w:p>
        </w:tc>
        <w:tc>
          <w:tcPr>
            <w:tcW w:w="8160" w:type="dxa"/>
            <w:gridSpan w:val="4"/>
            <w:shd w:val="clear" w:color="auto" w:fill="D9D9D9" w:themeFill="background1" w:themeFillShade="D9"/>
          </w:tcPr>
          <w:p w:rsidR="00895082" w:rsidRPr="008375C6" w:rsidRDefault="00895082" w:rsidP="00136425">
            <w:pPr>
              <w:spacing w:after="0" w:line="240" w:lineRule="auto"/>
              <w:rPr>
                <w:rFonts w:cs="Calibri"/>
                <w:b/>
              </w:rPr>
            </w:pPr>
            <w:r w:rsidRPr="008375C6">
              <w:rPr>
                <w:rFonts w:cs="Calibri"/>
                <w:b/>
              </w:rPr>
              <w:t>Sous Total 4</w:t>
            </w:r>
          </w:p>
        </w:tc>
        <w:tc>
          <w:tcPr>
            <w:tcW w:w="881" w:type="dxa"/>
            <w:shd w:val="clear" w:color="auto" w:fill="D9D9D9" w:themeFill="background1" w:themeFillShade="D9"/>
          </w:tcPr>
          <w:p w:rsidR="00895082" w:rsidRPr="008375C6" w:rsidRDefault="00895082" w:rsidP="00136425">
            <w:pPr>
              <w:spacing w:after="0" w:line="240" w:lineRule="auto"/>
              <w:jc w:val="right"/>
              <w:rPr>
                <w:rFonts w:cs="Calibri"/>
                <w:b/>
              </w:rPr>
            </w:pPr>
            <w:r w:rsidRPr="008375C6">
              <w:rPr>
                <w:rFonts w:cs="Calibri"/>
                <w:b/>
              </w:rPr>
              <w:t>500</w:t>
            </w:r>
          </w:p>
        </w:tc>
      </w:tr>
      <w:tr w:rsidR="00895082" w:rsidRPr="008375C6" w:rsidTr="00136425">
        <w:tc>
          <w:tcPr>
            <w:tcW w:w="1056" w:type="dxa"/>
          </w:tcPr>
          <w:p w:rsidR="00895082" w:rsidRPr="008375C6" w:rsidRDefault="00895082" w:rsidP="00136425">
            <w:pPr>
              <w:spacing w:after="0" w:line="240" w:lineRule="auto"/>
              <w:rPr>
                <w:rFonts w:cs="Calibri"/>
              </w:rPr>
            </w:pPr>
          </w:p>
        </w:tc>
        <w:tc>
          <w:tcPr>
            <w:tcW w:w="9041" w:type="dxa"/>
            <w:gridSpan w:val="5"/>
          </w:tcPr>
          <w:p w:rsidR="00895082" w:rsidRPr="008375C6" w:rsidRDefault="00895082" w:rsidP="00136425">
            <w:pPr>
              <w:spacing w:after="0" w:line="240" w:lineRule="auto"/>
              <w:rPr>
                <w:rFonts w:cs="Calibri"/>
              </w:rPr>
            </w:pPr>
          </w:p>
        </w:tc>
      </w:tr>
      <w:tr w:rsidR="00895082" w:rsidRPr="008375C6" w:rsidTr="00136425">
        <w:tc>
          <w:tcPr>
            <w:tcW w:w="9216" w:type="dxa"/>
            <w:gridSpan w:val="5"/>
            <w:shd w:val="clear" w:color="auto" w:fill="D9D9D9" w:themeFill="background1" w:themeFillShade="D9"/>
          </w:tcPr>
          <w:p w:rsidR="00895082" w:rsidRPr="008375C6" w:rsidRDefault="00895082" w:rsidP="00136425">
            <w:pPr>
              <w:spacing w:after="0" w:line="240" w:lineRule="auto"/>
              <w:rPr>
                <w:rFonts w:cs="Calibri"/>
                <w:b/>
              </w:rPr>
            </w:pPr>
            <w:r w:rsidRPr="008375C6">
              <w:rPr>
                <w:rFonts w:cs="Calibri"/>
                <w:b/>
              </w:rPr>
              <w:t>TOTAL BUDGET</w:t>
            </w:r>
          </w:p>
        </w:tc>
        <w:tc>
          <w:tcPr>
            <w:tcW w:w="881" w:type="dxa"/>
            <w:shd w:val="clear" w:color="auto" w:fill="D9D9D9" w:themeFill="background1" w:themeFillShade="D9"/>
          </w:tcPr>
          <w:p w:rsidR="00895082" w:rsidRPr="008375C6" w:rsidRDefault="00895082" w:rsidP="00136425">
            <w:pPr>
              <w:spacing w:after="0" w:line="240" w:lineRule="auto"/>
              <w:jc w:val="right"/>
              <w:rPr>
                <w:rFonts w:cs="Calibri"/>
                <w:b/>
              </w:rPr>
            </w:pPr>
            <w:r>
              <w:rPr>
                <w:rFonts w:cs="Calibri"/>
                <w:b/>
              </w:rPr>
              <w:t>5400</w:t>
            </w:r>
          </w:p>
        </w:tc>
      </w:tr>
    </w:tbl>
    <w:p w:rsidR="00895082" w:rsidRDefault="00895082" w:rsidP="00A9227D">
      <w:pPr>
        <w:rPr>
          <w:rFonts w:cs="Calibri"/>
          <w:b/>
        </w:rPr>
      </w:pPr>
    </w:p>
    <w:sectPr w:rsidR="00895082" w:rsidSect="0069253B">
      <w:pgSz w:w="11906" w:h="16838"/>
      <w:pgMar w:top="1417" w:right="1417"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09E" w:rsidRDefault="007C409E" w:rsidP="008A5F4B">
      <w:pPr>
        <w:spacing w:after="0" w:line="240" w:lineRule="auto"/>
      </w:pPr>
      <w:r>
        <w:separator/>
      </w:r>
    </w:p>
  </w:endnote>
  <w:endnote w:type="continuationSeparator" w:id="0">
    <w:p w:rsidR="007C409E" w:rsidRDefault="007C409E" w:rsidP="008A5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6150"/>
      <w:docPartObj>
        <w:docPartGallery w:val="Page Numbers (Bottom of Page)"/>
        <w:docPartUnique/>
      </w:docPartObj>
    </w:sdtPr>
    <w:sdtContent>
      <w:p w:rsidR="003778C4" w:rsidRDefault="00392736">
        <w:pPr>
          <w:pStyle w:val="Footer"/>
        </w:pPr>
        <w:r w:rsidRPr="00392736">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331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3313">
                <w:txbxContent>
                  <w:p w:rsidR="003778C4" w:rsidRDefault="00392736">
                    <w:pPr>
                      <w:jc w:val="center"/>
                    </w:pPr>
                    <w:fldSimple w:instr=" PAGE    \* MERGEFORMAT ">
                      <w:r w:rsidR="00561E4F" w:rsidRPr="00561E4F">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09E" w:rsidRDefault="007C409E" w:rsidP="008A5F4B">
      <w:pPr>
        <w:spacing w:after="0" w:line="240" w:lineRule="auto"/>
      </w:pPr>
      <w:r>
        <w:separator/>
      </w:r>
    </w:p>
  </w:footnote>
  <w:footnote w:type="continuationSeparator" w:id="0">
    <w:p w:rsidR="007C409E" w:rsidRDefault="007C409E" w:rsidP="008A5F4B">
      <w:pPr>
        <w:spacing w:after="0" w:line="240" w:lineRule="auto"/>
      </w:pPr>
      <w:r>
        <w:continuationSeparator/>
      </w:r>
    </w:p>
  </w:footnote>
  <w:footnote w:id="1">
    <w:p w:rsidR="003778C4" w:rsidRDefault="003778C4" w:rsidP="00567FDF">
      <w:pPr>
        <w:pStyle w:val="FootnoteText"/>
      </w:pPr>
      <w:r>
        <w:rPr>
          <w:rStyle w:val="FootnoteReference"/>
        </w:rPr>
        <w:footnoteRef/>
      </w:r>
      <w:r>
        <w:t xml:space="preserve"> Territoire d’Inongo, province de Bandundu (projet </w:t>
      </w:r>
      <w:r w:rsidRPr="00DD311E">
        <w:t>ERA</w:t>
      </w:r>
      <w:r>
        <w:t xml:space="preserve">), </w:t>
      </w:r>
      <w:r w:rsidRPr="00DD311E">
        <w:t>Territoire d’Isangi, Province Orientale</w:t>
      </w:r>
      <w:r>
        <w:t xml:space="preserve"> (Projet OCEAN), </w:t>
      </w:r>
      <w:r w:rsidRPr="00DD311E">
        <w:t xml:space="preserve"> </w:t>
      </w:r>
      <w:r w:rsidRPr="00603407">
        <w:t xml:space="preserve">Territoires de Muanda, Seke-Banza et Lukula,  Province du Bas-Congo </w:t>
      </w:r>
      <w:r>
        <w:t xml:space="preserve">(Projet Luki de WWF), </w:t>
      </w:r>
      <w:r w:rsidRPr="00603407">
        <w:t>Territoire de Mambasa, District de l’Ituri, Province Orientale</w:t>
      </w:r>
      <w:r>
        <w:t xml:space="preserve"> (Projet WCS), </w:t>
      </w:r>
      <w:r w:rsidRPr="00603407">
        <w:t>Territoire de Kwamouth, Province du Bandundu</w:t>
      </w:r>
      <w:r>
        <w:t xml:space="preserve"> (Projet </w:t>
      </w:r>
      <w:r w:rsidRPr="00603407">
        <w:t>NOVACEL sprl</w:t>
      </w:r>
      <w:r>
        <w:t xml:space="preserve">), </w:t>
      </w:r>
      <w:r w:rsidRPr="00603407">
        <w:t>Nord-Kivu, Goma et Territoires de Nyiragongo, Masisi et Rutshuru</w:t>
      </w:r>
      <w:r>
        <w:t xml:space="preserve"> (Projet EcoMakala WWF Be), </w:t>
      </w:r>
      <w:r w:rsidRPr="004163C5">
        <w:t>Territoire de Bikoro et Gemena – Province Equateur</w:t>
      </w:r>
      <w:r>
        <w:t xml:space="preserve"> (Projet WHRC).</w:t>
      </w:r>
    </w:p>
  </w:footnote>
  <w:footnote w:id="2">
    <w:p w:rsidR="003778C4" w:rsidRDefault="003778C4">
      <w:pPr>
        <w:pStyle w:val="FootnoteText"/>
      </w:pPr>
      <w:r>
        <w:rPr>
          <w:rStyle w:val="FootnoteReference"/>
        </w:rPr>
        <w:footnoteRef/>
      </w:r>
      <w:r>
        <w:t xml:space="preserve"> Le Registre REDD+ de la RDC (</w:t>
      </w:r>
      <w:hyperlink r:id="rId1" w:history="1">
        <w:r w:rsidRPr="00C05645">
          <w:rPr>
            <w:rStyle w:val="Hyperlink"/>
          </w:rPr>
          <w:t>www.rdc-snsf.org</w:t>
        </w:r>
      </w:hyperlink>
      <w:r>
        <w:t xml:space="preserve"> ) crée par l’arrêté ministériel N°004/CAB/MIN/ECN-T/012 du 15 Févier 2012 fixant la procédure d’homologation des projets REDD+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300A2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44A34"/>
    <w:multiLevelType w:val="hybridMultilevel"/>
    <w:tmpl w:val="1C1E0422"/>
    <w:lvl w:ilvl="0" w:tplc="040C0001">
      <w:start w:val="1"/>
      <w:numFmt w:val="bullet"/>
      <w:lvlText w:val=""/>
      <w:lvlJc w:val="left"/>
      <w:pPr>
        <w:ind w:left="1080" w:hanging="360"/>
      </w:pPr>
      <w:rPr>
        <w:rFonts w:ascii="Symbol" w:hAnsi="Symbo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EA87CFA"/>
    <w:multiLevelType w:val="hybridMultilevel"/>
    <w:tmpl w:val="C58ADE0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0128B3"/>
    <w:multiLevelType w:val="hybridMultilevel"/>
    <w:tmpl w:val="212864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C8E2FFC"/>
    <w:multiLevelType w:val="hybridMultilevel"/>
    <w:tmpl w:val="54CA3BFA"/>
    <w:lvl w:ilvl="0" w:tplc="26980E06">
      <w:start w:val="2"/>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4E06FD"/>
    <w:multiLevelType w:val="hybridMultilevel"/>
    <w:tmpl w:val="97B68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E0202B"/>
    <w:multiLevelType w:val="hybridMultilevel"/>
    <w:tmpl w:val="B4525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94356E"/>
    <w:multiLevelType w:val="hybridMultilevel"/>
    <w:tmpl w:val="EFA64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1876ED"/>
    <w:multiLevelType w:val="hybridMultilevel"/>
    <w:tmpl w:val="B6EE40DC"/>
    <w:lvl w:ilvl="0" w:tplc="713A4F1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03521D4"/>
    <w:multiLevelType w:val="hybridMultilevel"/>
    <w:tmpl w:val="15B8A32E"/>
    <w:lvl w:ilvl="0" w:tplc="713A4F14">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8"/>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185D89"/>
    <w:rsid w:val="000002E6"/>
    <w:rsid w:val="00001403"/>
    <w:rsid w:val="0000223E"/>
    <w:rsid w:val="00002E2C"/>
    <w:rsid w:val="00003AA1"/>
    <w:rsid w:val="00004EC8"/>
    <w:rsid w:val="0000517D"/>
    <w:rsid w:val="00007A2E"/>
    <w:rsid w:val="00010212"/>
    <w:rsid w:val="0001067C"/>
    <w:rsid w:val="00010FA6"/>
    <w:rsid w:val="00012B9A"/>
    <w:rsid w:val="00013C53"/>
    <w:rsid w:val="00013C5B"/>
    <w:rsid w:val="00015F32"/>
    <w:rsid w:val="000169D1"/>
    <w:rsid w:val="0001760A"/>
    <w:rsid w:val="0002084D"/>
    <w:rsid w:val="000218DE"/>
    <w:rsid w:val="00022C91"/>
    <w:rsid w:val="000239FE"/>
    <w:rsid w:val="00023AE3"/>
    <w:rsid w:val="00023BE5"/>
    <w:rsid w:val="00024602"/>
    <w:rsid w:val="00024C79"/>
    <w:rsid w:val="0002561F"/>
    <w:rsid w:val="00025626"/>
    <w:rsid w:val="00025642"/>
    <w:rsid w:val="000261BD"/>
    <w:rsid w:val="000329E2"/>
    <w:rsid w:val="0003336B"/>
    <w:rsid w:val="000335B2"/>
    <w:rsid w:val="000358EA"/>
    <w:rsid w:val="00037A0E"/>
    <w:rsid w:val="000408C9"/>
    <w:rsid w:val="00041580"/>
    <w:rsid w:val="00043772"/>
    <w:rsid w:val="00043C2B"/>
    <w:rsid w:val="00043D8A"/>
    <w:rsid w:val="00044A26"/>
    <w:rsid w:val="00044D3D"/>
    <w:rsid w:val="0004595D"/>
    <w:rsid w:val="00045A27"/>
    <w:rsid w:val="00046052"/>
    <w:rsid w:val="0004658D"/>
    <w:rsid w:val="00046833"/>
    <w:rsid w:val="000469AA"/>
    <w:rsid w:val="00046D5C"/>
    <w:rsid w:val="00047438"/>
    <w:rsid w:val="000507ED"/>
    <w:rsid w:val="0005102C"/>
    <w:rsid w:val="000538DB"/>
    <w:rsid w:val="000545FB"/>
    <w:rsid w:val="00054901"/>
    <w:rsid w:val="00054D55"/>
    <w:rsid w:val="00055056"/>
    <w:rsid w:val="00055208"/>
    <w:rsid w:val="000559E7"/>
    <w:rsid w:val="00055CB8"/>
    <w:rsid w:val="0005606F"/>
    <w:rsid w:val="000572A5"/>
    <w:rsid w:val="00060E6D"/>
    <w:rsid w:val="00062A0B"/>
    <w:rsid w:val="000635B8"/>
    <w:rsid w:val="00065367"/>
    <w:rsid w:val="00065966"/>
    <w:rsid w:val="00066F9A"/>
    <w:rsid w:val="000700CA"/>
    <w:rsid w:val="000703AC"/>
    <w:rsid w:val="00071087"/>
    <w:rsid w:val="00071BD0"/>
    <w:rsid w:val="00072418"/>
    <w:rsid w:val="000747D2"/>
    <w:rsid w:val="00074DE2"/>
    <w:rsid w:val="00075E62"/>
    <w:rsid w:val="00076251"/>
    <w:rsid w:val="000777E3"/>
    <w:rsid w:val="000778DF"/>
    <w:rsid w:val="00081419"/>
    <w:rsid w:val="00081915"/>
    <w:rsid w:val="00082F6D"/>
    <w:rsid w:val="00083D5C"/>
    <w:rsid w:val="000843E7"/>
    <w:rsid w:val="00084B0A"/>
    <w:rsid w:val="0008568E"/>
    <w:rsid w:val="00086B7A"/>
    <w:rsid w:val="000871A5"/>
    <w:rsid w:val="00087D3E"/>
    <w:rsid w:val="00087E00"/>
    <w:rsid w:val="000923D3"/>
    <w:rsid w:val="000925AD"/>
    <w:rsid w:val="000948E0"/>
    <w:rsid w:val="00094C66"/>
    <w:rsid w:val="00095368"/>
    <w:rsid w:val="0009611A"/>
    <w:rsid w:val="000969A3"/>
    <w:rsid w:val="00097AA1"/>
    <w:rsid w:val="00097B0B"/>
    <w:rsid w:val="00097BF2"/>
    <w:rsid w:val="000A08D7"/>
    <w:rsid w:val="000A08DE"/>
    <w:rsid w:val="000A1240"/>
    <w:rsid w:val="000A1897"/>
    <w:rsid w:val="000A1B68"/>
    <w:rsid w:val="000A1E3A"/>
    <w:rsid w:val="000A1E56"/>
    <w:rsid w:val="000A22C5"/>
    <w:rsid w:val="000A24B3"/>
    <w:rsid w:val="000A2A2F"/>
    <w:rsid w:val="000A2C4C"/>
    <w:rsid w:val="000A3596"/>
    <w:rsid w:val="000A4AC6"/>
    <w:rsid w:val="000A659C"/>
    <w:rsid w:val="000A6770"/>
    <w:rsid w:val="000A791A"/>
    <w:rsid w:val="000B14A0"/>
    <w:rsid w:val="000B545B"/>
    <w:rsid w:val="000B6E5B"/>
    <w:rsid w:val="000C0949"/>
    <w:rsid w:val="000C138F"/>
    <w:rsid w:val="000C156D"/>
    <w:rsid w:val="000C1A1A"/>
    <w:rsid w:val="000C25CD"/>
    <w:rsid w:val="000C31F2"/>
    <w:rsid w:val="000C4163"/>
    <w:rsid w:val="000C4B58"/>
    <w:rsid w:val="000C5BF5"/>
    <w:rsid w:val="000C670D"/>
    <w:rsid w:val="000D03D7"/>
    <w:rsid w:val="000D1A67"/>
    <w:rsid w:val="000D2363"/>
    <w:rsid w:val="000D2E8B"/>
    <w:rsid w:val="000D2F02"/>
    <w:rsid w:val="000D3B4D"/>
    <w:rsid w:val="000D3F9E"/>
    <w:rsid w:val="000D4C36"/>
    <w:rsid w:val="000D4FB1"/>
    <w:rsid w:val="000D5418"/>
    <w:rsid w:val="000D55DF"/>
    <w:rsid w:val="000D6577"/>
    <w:rsid w:val="000D67A3"/>
    <w:rsid w:val="000D6B92"/>
    <w:rsid w:val="000D6C35"/>
    <w:rsid w:val="000E0FF7"/>
    <w:rsid w:val="000E1C60"/>
    <w:rsid w:val="000E2BA1"/>
    <w:rsid w:val="000E3995"/>
    <w:rsid w:val="000E3ACD"/>
    <w:rsid w:val="000E53C5"/>
    <w:rsid w:val="000E560A"/>
    <w:rsid w:val="000E60E6"/>
    <w:rsid w:val="000E6D5F"/>
    <w:rsid w:val="000E7CF2"/>
    <w:rsid w:val="000F03AF"/>
    <w:rsid w:val="000F04C1"/>
    <w:rsid w:val="000F05ED"/>
    <w:rsid w:val="000F0DD7"/>
    <w:rsid w:val="000F0E5B"/>
    <w:rsid w:val="000F1619"/>
    <w:rsid w:val="000F371D"/>
    <w:rsid w:val="000F4C09"/>
    <w:rsid w:val="000F4C4F"/>
    <w:rsid w:val="000F5510"/>
    <w:rsid w:val="000F57F6"/>
    <w:rsid w:val="000F60F5"/>
    <w:rsid w:val="000F621A"/>
    <w:rsid w:val="000F744C"/>
    <w:rsid w:val="0010045F"/>
    <w:rsid w:val="001006C2"/>
    <w:rsid w:val="001008D6"/>
    <w:rsid w:val="00100A84"/>
    <w:rsid w:val="00100B52"/>
    <w:rsid w:val="001018E9"/>
    <w:rsid w:val="00101BC6"/>
    <w:rsid w:val="00101BE0"/>
    <w:rsid w:val="00101CA7"/>
    <w:rsid w:val="00101EDA"/>
    <w:rsid w:val="00103807"/>
    <w:rsid w:val="0010398E"/>
    <w:rsid w:val="0010417D"/>
    <w:rsid w:val="00104A77"/>
    <w:rsid w:val="00104AA3"/>
    <w:rsid w:val="00105D82"/>
    <w:rsid w:val="00105F9F"/>
    <w:rsid w:val="0010625A"/>
    <w:rsid w:val="00106296"/>
    <w:rsid w:val="001077DA"/>
    <w:rsid w:val="00110018"/>
    <w:rsid w:val="00110281"/>
    <w:rsid w:val="0011122B"/>
    <w:rsid w:val="001121AC"/>
    <w:rsid w:val="0011280B"/>
    <w:rsid w:val="001150B4"/>
    <w:rsid w:val="0011558C"/>
    <w:rsid w:val="00115D7D"/>
    <w:rsid w:val="00115F50"/>
    <w:rsid w:val="00117BE8"/>
    <w:rsid w:val="00117E4D"/>
    <w:rsid w:val="00121500"/>
    <w:rsid w:val="001219E8"/>
    <w:rsid w:val="00122692"/>
    <w:rsid w:val="001228DF"/>
    <w:rsid w:val="00122B82"/>
    <w:rsid w:val="001230C4"/>
    <w:rsid w:val="0012438D"/>
    <w:rsid w:val="00127D03"/>
    <w:rsid w:val="0013068A"/>
    <w:rsid w:val="00130E9F"/>
    <w:rsid w:val="0013195C"/>
    <w:rsid w:val="00132B7A"/>
    <w:rsid w:val="0013322E"/>
    <w:rsid w:val="001341B3"/>
    <w:rsid w:val="00135CA3"/>
    <w:rsid w:val="00136425"/>
    <w:rsid w:val="001402C8"/>
    <w:rsid w:val="00140948"/>
    <w:rsid w:val="0014160A"/>
    <w:rsid w:val="00141881"/>
    <w:rsid w:val="00142747"/>
    <w:rsid w:val="0014324C"/>
    <w:rsid w:val="00144C78"/>
    <w:rsid w:val="00145185"/>
    <w:rsid w:val="0014671C"/>
    <w:rsid w:val="00146A58"/>
    <w:rsid w:val="0015148D"/>
    <w:rsid w:val="00151F3B"/>
    <w:rsid w:val="0015410C"/>
    <w:rsid w:val="001541EF"/>
    <w:rsid w:val="00154BE0"/>
    <w:rsid w:val="001552E1"/>
    <w:rsid w:val="00155390"/>
    <w:rsid w:val="00155B8C"/>
    <w:rsid w:val="00155E9B"/>
    <w:rsid w:val="00156085"/>
    <w:rsid w:val="001564C1"/>
    <w:rsid w:val="001569A8"/>
    <w:rsid w:val="00156A66"/>
    <w:rsid w:val="001574F3"/>
    <w:rsid w:val="00157B9E"/>
    <w:rsid w:val="00160A2F"/>
    <w:rsid w:val="00161F1A"/>
    <w:rsid w:val="00162EE7"/>
    <w:rsid w:val="0016395D"/>
    <w:rsid w:val="0016398D"/>
    <w:rsid w:val="00165855"/>
    <w:rsid w:val="00165CE9"/>
    <w:rsid w:val="001662B5"/>
    <w:rsid w:val="00166726"/>
    <w:rsid w:val="00167060"/>
    <w:rsid w:val="001678CD"/>
    <w:rsid w:val="00167F82"/>
    <w:rsid w:val="0017007C"/>
    <w:rsid w:val="001705B2"/>
    <w:rsid w:val="001724EC"/>
    <w:rsid w:val="0017267C"/>
    <w:rsid w:val="00173363"/>
    <w:rsid w:val="00173DAD"/>
    <w:rsid w:val="001776F8"/>
    <w:rsid w:val="00180BAA"/>
    <w:rsid w:val="00180ED2"/>
    <w:rsid w:val="00181495"/>
    <w:rsid w:val="00182B24"/>
    <w:rsid w:val="0018318A"/>
    <w:rsid w:val="001851B2"/>
    <w:rsid w:val="001859A5"/>
    <w:rsid w:val="00185D89"/>
    <w:rsid w:val="00185E73"/>
    <w:rsid w:val="001862E0"/>
    <w:rsid w:val="001867F9"/>
    <w:rsid w:val="00187716"/>
    <w:rsid w:val="001901CE"/>
    <w:rsid w:val="00190327"/>
    <w:rsid w:val="00191366"/>
    <w:rsid w:val="00191F6A"/>
    <w:rsid w:val="00192423"/>
    <w:rsid w:val="00193071"/>
    <w:rsid w:val="0019355D"/>
    <w:rsid w:val="00194AB4"/>
    <w:rsid w:val="00195698"/>
    <w:rsid w:val="001966C5"/>
    <w:rsid w:val="00196AB3"/>
    <w:rsid w:val="001971C5"/>
    <w:rsid w:val="001A243F"/>
    <w:rsid w:val="001A279C"/>
    <w:rsid w:val="001A30CA"/>
    <w:rsid w:val="001A3680"/>
    <w:rsid w:val="001A3A18"/>
    <w:rsid w:val="001A4A18"/>
    <w:rsid w:val="001A4B17"/>
    <w:rsid w:val="001A4C33"/>
    <w:rsid w:val="001A5A77"/>
    <w:rsid w:val="001A63D8"/>
    <w:rsid w:val="001A6506"/>
    <w:rsid w:val="001A746A"/>
    <w:rsid w:val="001A74BB"/>
    <w:rsid w:val="001B0F7B"/>
    <w:rsid w:val="001B16A2"/>
    <w:rsid w:val="001B1A23"/>
    <w:rsid w:val="001B1E2C"/>
    <w:rsid w:val="001B4A95"/>
    <w:rsid w:val="001B62D0"/>
    <w:rsid w:val="001B6825"/>
    <w:rsid w:val="001B6DC0"/>
    <w:rsid w:val="001C06F8"/>
    <w:rsid w:val="001C1937"/>
    <w:rsid w:val="001C3017"/>
    <w:rsid w:val="001C4BCD"/>
    <w:rsid w:val="001C4E27"/>
    <w:rsid w:val="001C6246"/>
    <w:rsid w:val="001C7CD5"/>
    <w:rsid w:val="001D0BF5"/>
    <w:rsid w:val="001D1981"/>
    <w:rsid w:val="001D1FE3"/>
    <w:rsid w:val="001D25A3"/>
    <w:rsid w:val="001D2B37"/>
    <w:rsid w:val="001D2E65"/>
    <w:rsid w:val="001D2FF8"/>
    <w:rsid w:val="001D34C2"/>
    <w:rsid w:val="001D6247"/>
    <w:rsid w:val="001D6577"/>
    <w:rsid w:val="001D7C07"/>
    <w:rsid w:val="001E0453"/>
    <w:rsid w:val="001E2149"/>
    <w:rsid w:val="001E24EE"/>
    <w:rsid w:val="001E2DAE"/>
    <w:rsid w:val="001E4B29"/>
    <w:rsid w:val="001E4CC1"/>
    <w:rsid w:val="001E517D"/>
    <w:rsid w:val="001E580E"/>
    <w:rsid w:val="001F04DC"/>
    <w:rsid w:val="001F1C74"/>
    <w:rsid w:val="001F2808"/>
    <w:rsid w:val="001F2AFA"/>
    <w:rsid w:val="001F2E42"/>
    <w:rsid w:val="001F385B"/>
    <w:rsid w:val="001F4F05"/>
    <w:rsid w:val="001F58FF"/>
    <w:rsid w:val="001F610C"/>
    <w:rsid w:val="001F7C11"/>
    <w:rsid w:val="002003B9"/>
    <w:rsid w:val="0020169E"/>
    <w:rsid w:val="00201957"/>
    <w:rsid w:val="00201AD7"/>
    <w:rsid w:val="00202151"/>
    <w:rsid w:val="00202426"/>
    <w:rsid w:val="002038CB"/>
    <w:rsid w:val="00203DB1"/>
    <w:rsid w:val="0020420C"/>
    <w:rsid w:val="002047EA"/>
    <w:rsid w:val="002050B8"/>
    <w:rsid w:val="0020654F"/>
    <w:rsid w:val="00207FEC"/>
    <w:rsid w:val="00210367"/>
    <w:rsid w:val="002106F6"/>
    <w:rsid w:val="0021117F"/>
    <w:rsid w:val="00211307"/>
    <w:rsid w:val="00211760"/>
    <w:rsid w:val="00213984"/>
    <w:rsid w:val="00213F94"/>
    <w:rsid w:val="00215685"/>
    <w:rsid w:val="002169CC"/>
    <w:rsid w:val="00217BEC"/>
    <w:rsid w:val="00220FBB"/>
    <w:rsid w:val="002210F6"/>
    <w:rsid w:val="002213F3"/>
    <w:rsid w:val="002214D9"/>
    <w:rsid w:val="00222207"/>
    <w:rsid w:val="002226E6"/>
    <w:rsid w:val="00223096"/>
    <w:rsid w:val="00223249"/>
    <w:rsid w:val="002256D9"/>
    <w:rsid w:val="00225937"/>
    <w:rsid w:val="00225AC5"/>
    <w:rsid w:val="00226024"/>
    <w:rsid w:val="002264C3"/>
    <w:rsid w:val="0022667B"/>
    <w:rsid w:val="002305FA"/>
    <w:rsid w:val="00231B2B"/>
    <w:rsid w:val="00231F30"/>
    <w:rsid w:val="0023247F"/>
    <w:rsid w:val="00232B38"/>
    <w:rsid w:val="00232F50"/>
    <w:rsid w:val="00233087"/>
    <w:rsid w:val="00233645"/>
    <w:rsid w:val="00233F43"/>
    <w:rsid w:val="0023417A"/>
    <w:rsid w:val="00234C6F"/>
    <w:rsid w:val="00234F55"/>
    <w:rsid w:val="00235520"/>
    <w:rsid w:val="00235BA4"/>
    <w:rsid w:val="002360D1"/>
    <w:rsid w:val="00237C7B"/>
    <w:rsid w:val="002408FC"/>
    <w:rsid w:val="00242465"/>
    <w:rsid w:val="00242BED"/>
    <w:rsid w:val="00242FCC"/>
    <w:rsid w:val="00243BC1"/>
    <w:rsid w:val="00243F6C"/>
    <w:rsid w:val="0024480B"/>
    <w:rsid w:val="002471A6"/>
    <w:rsid w:val="00251BC0"/>
    <w:rsid w:val="0025217E"/>
    <w:rsid w:val="00252571"/>
    <w:rsid w:val="0025270C"/>
    <w:rsid w:val="00252FD3"/>
    <w:rsid w:val="0025542F"/>
    <w:rsid w:val="00256AC1"/>
    <w:rsid w:val="0026137A"/>
    <w:rsid w:val="00261E5B"/>
    <w:rsid w:val="00263944"/>
    <w:rsid w:val="00263CAC"/>
    <w:rsid w:val="002646DF"/>
    <w:rsid w:val="0026499F"/>
    <w:rsid w:val="00264EC7"/>
    <w:rsid w:val="0026606D"/>
    <w:rsid w:val="00266BA9"/>
    <w:rsid w:val="00266EE1"/>
    <w:rsid w:val="002671A3"/>
    <w:rsid w:val="00267278"/>
    <w:rsid w:val="0026772C"/>
    <w:rsid w:val="00270D28"/>
    <w:rsid w:val="002733F7"/>
    <w:rsid w:val="00273CB5"/>
    <w:rsid w:val="0027430D"/>
    <w:rsid w:val="002756CC"/>
    <w:rsid w:val="00275AA8"/>
    <w:rsid w:val="00275FAF"/>
    <w:rsid w:val="002768EC"/>
    <w:rsid w:val="00276BDC"/>
    <w:rsid w:val="00277A15"/>
    <w:rsid w:val="0028029F"/>
    <w:rsid w:val="00280D71"/>
    <w:rsid w:val="00281E01"/>
    <w:rsid w:val="0028233D"/>
    <w:rsid w:val="00282391"/>
    <w:rsid w:val="00282B4C"/>
    <w:rsid w:val="00282BE4"/>
    <w:rsid w:val="00282E32"/>
    <w:rsid w:val="00283D24"/>
    <w:rsid w:val="00283E44"/>
    <w:rsid w:val="00284634"/>
    <w:rsid w:val="00285BAA"/>
    <w:rsid w:val="00286E0D"/>
    <w:rsid w:val="002878E3"/>
    <w:rsid w:val="002916F8"/>
    <w:rsid w:val="0029171E"/>
    <w:rsid w:val="002920E3"/>
    <w:rsid w:val="0029291C"/>
    <w:rsid w:val="0029357A"/>
    <w:rsid w:val="00293C71"/>
    <w:rsid w:val="00293D0E"/>
    <w:rsid w:val="00293FC1"/>
    <w:rsid w:val="002946DD"/>
    <w:rsid w:val="00294891"/>
    <w:rsid w:val="00297214"/>
    <w:rsid w:val="00297420"/>
    <w:rsid w:val="002974CD"/>
    <w:rsid w:val="0029753F"/>
    <w:rsid w:val="00297961"/>
    <w:rsid w:val="00297AA0"/>
    <w:rsid w:val="00297F8C"/>
    <w:rsid w:val="002A0E61"/>
    <w:rsid w:val="002A2B6C"/>
    <w:rsid w:val="002A389F"/>
    <w:rsid w:val="002A3DBF"/>
    <w:rsid w:val="002A4039"/>
    <w:rsid w:val="002A4FE7"/>
    <w:rsid w:val="002A5854"/>
    <w:rsid w:val="002A5D6B"/>
    <w:rsid w:val="002A6AB6"/>
    <w:rsid w:val="002A75C0"/>
    <w:rsid w:val="002A773F"/>
    <w:rsid w:val="002B22CC"/>
    <w:rsid w:val="002B2DC9"/>
    <w:rsid w:val="002B4296"/>
    <w:rsid w:val="002B53AA"/>
    <w:rsid w:val="002B5457"/>
    <w:rsid w:val="002B5FA6"/>
    <w:rsid w:val="002B610D"/>
    <w:rsid w:val="002B6E5B"/>
    <w:rsid w:val="002B73B2"/>
    <w:rsid w:val="002B77DA"/>
    <w:rsid w:val="002C00F1"/>
    <w:rsid w:val="002C05FD"/>
    <w:rsid w:val="002C084D"/>
    <w:rsid w:val="002C1566"/>
    <w:rsid w:val="002C17EE"/>
    <w:rsid w:val="002C25EE"/>
    <w:rsid w:val="002C3BE9"/>
    <w:rsid w:val="002C675D"/>
    <w:rsid w:val="002C68A7"/>
    <w:rsid w:val="002C6F62"/>
    <w:rsid w:val="002C7397"/>
    <w:rsid w:val="002D0D2C"/>
    <w:rsid w:val="002D3DDD"/>
    <w:rsid w:val="002D4576"/>
    <w:rsid w:val="002D484C"/>
    <w:rsid w:val="002D4ADC"/>
    <w:rsid w:val="002D5C47"/>
    <w:rsid w:val="002D626C"/>
    <w:rsid w:val="002D7E1A"/>
    <w:rsid w:val="002E1034"/>
    <w:rsid w:val="002E1C1F"/>
    <w:rsid w:val="002E2411"/>
    <w:rsid w:val="002E412B"/>
    <w:rsid w:val="002E4EC2"/>
    <w:rsid w:val="002E5638"/>
    <w:rsid w:val="002E595D"/>
    <w:rsid w:val="002E7A57"/>
    <w:rsid w:val="002F0078"/>
    <w:rsid w:val="002F179F"/>
    <w:rsid w:val="002F1D3B"/>
    <w:rsid w:val="002F3A28"/>
    <w:rsid w:val="002F450E"/>
    <w:rsid w:val="002F45F6"/>
    <w:rsid w:val="002F4AC8"/>
    <w:rsid w:val="002F4F9E"/>
    <w:rsid w:val="002F5E2E"/>
    <w:rsid w:val="002F5FBF"/>
    <w:rsid w:val="002F61B4"/>
    <w:rsid w:val="002F6448"/>
    <w:rsid w:val="002F6CDE"/>
    <w:rsid w:val="002F7100"/>
    <w:rsid w:val="002F7A6C"/>
    <w:rsid w:val="002F7B9A"/>
    <w:rsid w:val="0030011A"/>
    <w:rsid w:val="003004F7"/>
    <w:rsid w:val="00301320"/>
    <w:rsid w:val="00301B44"/>
    <w:rsid w:val="00302CEA"/>
    <w:rsid w:val="00304575"/>
    <w:rsid w:val="00305635"/>
    <w:rsid w:val="003060C8"/>
    <w:rsid w:val="003073E6"/>
    <w:rsid w:val="00310E79"/>
    <w:rsid w:val="0031249D"/>
    <w:rsid w:val="003126CC"/>
    <w:rsid w:val="0031321F"/>
    <w:rsid w:val="00313561"/>
    <w:rsid w:val="00313757"/>
    <w:rsid w:val="00313A34"/>
    <w:rsid w:val="00313D3E"/>
    <w:rsid w:val="00314192"/>
    <w:rsid w:val="00314C00"/>
    <w:rsid w:val="003150D5"/>
    <w:rsid w:val="003152DE"/>
    <w:rsid w:val="00316229"/>
    <w:rsid w:val="00316829"/>
    <w:rsid w:val="003200F3"/>
    <w:rsid w:val="003202AF"/>
    <w:rsid w:val="00320FC5"/>
    <w:rsid w:val="003215D8"/>
    <w:rsid w:val="00321E04"/>
    <w:rsid w:val="00321F57"/>
    <w:rsid w:val="003253CC"/>
    <w:rsid w:val="0032585C"/>
    <w:rsid w:val="003259EC"/>
    <w:rsid w:val="00326716"/>
    <w:rsid w:val="00326C76"/>
    <w:rsid w:val="0032748E"/>
    <w:rsid w:val="00327990"/>
    <w:rsid w:val="00327D4B"/>
    <w:rsid w:val="0033003C"/>
    <w:rsid w:val="003313B1"/>
    <w:rsid w:val="00331806"/>
    <w:rsid w:val="0033210A"/>
    <w:rsid w:val="003328C4"/>
    <w:rsid w:val="00334541"/>
    <w:rsid w:val="003347AD"/>
    <w:rsid w:val="003367BD"/>
    <w:rsid w:val="003374AE"/>
    <w:rsid w:val="00337BB1"/>
    <w:rsid w:val="0034161F"/>
    <w:rsid w:val="00345901"/>
    <w:rsid w:val="00346D29"/>
    <w:rsid w:val="00347928"/>
    <w:rsid w:val="00347ECF"/>
    <w:rsid w:val="00350794"/>
    <w:rsid w:val="003508A5"/>
    <w:rsid w:val="00351BE0"/>
    <w:rsid w:val="00352C57"/>
    <w:rsid w:val="003547A2"/>
    <w:rsid w:val="00354ED5"/>
    <w:rsid w:val="003550BC"/>
    <w:rsid w:val="003565CF"/>
    <w:rsid w:val="0036000D"/>
    <w:rsid w:val="003602D4"/>
    <w:rsid w:val="00360B4F"/>
    <w:rsid w:val="00360EA4"/>
    <w:rsid w:val="00361C19"/>
    <w:rsid w:val="003625F8"/>
    <w:rsid w:val="00363B10"/>
    <w:rsid w:val="0036471F"/>
    <w:rsid w:val="0036474E"/>
    <w:rsid w:val="003665B7"/>
    <w:rsid w:val="00366F63"/>
    <w:rsid w:val="003672DA"/>
    <w:rsid w:val="00370447"/>
    <w:rsid w:val="00370488"/>
    <w:rsid w:val="00371158"/>
    <w:rsid w:val="0037158C"/>
    <w:rsid w:val="0037203B"/>
    <w:rsid w:val="003729D2"/>
    <w:rsid w:val="00372CD2"/>
    <w:rsid w:val="00373062"/>
    <w:rsid w:val="00373F36"/>
    <w:rsid w:val="00374B51"/>
    <w:rsid w:val="00374E45"/>
    <w:rsid w:val="003750BD"/>
    <w:rsid w:val="00375B11"/>
    <w:rsid w:val="00375FB5"/>
    <w:rsid w:val="0037614E"/>
    <w:rsid w:val="00376432"/>
    <w:rsid w:val="0037690F"/>
    <w:rsid w:val="003776A6"/>
    <w:rsid w:val="003778C4"/>
    <w:rsid w:val="00380625"/>
    <w:rsid w:val="00380AAE"/>
    <w:rsid w:val="003818DE"/>
    <w:rsid w:val="00381A77"/>
    <w:rsid w:val="00382994"/>
    <w:rsid w:val="003835F2"/>
    <w:rsid w:val="003839F6"/>
    <w:rsid w:val="00383FC0"/>
    <w:rsid w:val="003840A5"/>
    <w:rsid w:val="00384789"/>
    <w:rsid w:val="00384B57"/>
    <w:rsid w:val="00385AAF"/>
    <w:rsid w:val="003866E7"/>
    <w:rsid w:val="00386CDC"/>
    <w:rsid w:val="0038711A"/>
    <w:rsid w:val="0038713A"/>
    <w:rsid w:val="00387924"/>
    <w:rsid w:val="003904F2"/>
    <w:rsid w:val="00392736"/>
    <w:rsid w:val="003931C4"/>
    <w:rsid w:val="003948A2"/>
    <w:rsid w:val="003949A8"/>
    <w:rsid w:val="003950DD"/>
    <w:rsid w:val="0039531A"/>
    <w:rsid w:val="0039617D"/>
    <w:rsid w:val="00396E97"/>
    <w:rsid w:val="00397835"/>
    <w:rsid w:val="00397FFE"/>
    <w:rsid w:val="003A1803"/>
    <w:rsid w:val="003A3A5C"/>
    <w:rsid w:val="003A3F1E"/>
    <w:rsid w:val="003A4BA2"/>
    <w:rsid w:val="003A4DC9"/>
    <w:rsid w:val="003A4F18"/>
    <w:rsid w:val="003A544A"/>
    <w:rsid w:val="003A7C01"/>
    <w:rsid w:val="003B01B9"/>
    <w:rsid w:val="003B22D6"/>
    <w:rsid w:val="003B2ADA"/>
    <w:rsid w:val="003B2E73"/>
    <w:rsid w:val="003B2EF5"/>
    <w:rsid w:val="003B4471"/>
    <w:rsid w:val="003B4DD3"/>
    <w:rsid w:val="003B50CA"/>
    <w:rsid w:val="003B7464"/>
    <w:rsid w:val="003C01A2"/>
    <w:rsid w:val="003C0682"/>
    <w:rsid w:val="003C0EBC"/>
    <w:rsid w:val="003C1430"/>
    <w:rsid w:val="003C1585"/>
    <w:rsid w:val="003C18AC"/>
    <w:rsid w:val="003C25F8"/>
    <w:rsid w:val="003C2BD1"/>
    <w:rsid w:val="003C3860"/>
    <w:rsid w:val="003C4C83"/>
    <w:rsid w:val="003C4E56"/>
    <w:rsid w:val="003C5510"/>
    <w:rsid w:val="003C556C"/>
    <w:rsid w:val="003C71F7"/>
    <w:rsid w:val="003D0086"/>
    <w:rsid w:val="003D06F8"/>
    <w:rsid w:val="003D0D68"/>
    <w:rsid w:val="003D0F3A"/>
    <w:rsid w:val="003D1049"/>
    <w:rsid w:val="003D13F1"/>
    <w:rsid w:val="003D15E8"/>
    <w:rsid w:val="003D1E7A"/>
    <w:rsid w:val="003D2067"/>
    <w:rsid w:val="003D2072"/>
    <w:rsid w:val="003D2123"/>
    <w:rsid w:val="003D21E0"/>
    <w:rsid w:val="003D2706"/>
    <w:rsid w:val="003D2F4A"/>
    <w:rsid w:val="003D3156"/>
    <w:rsid w:val="003D34A2"/>
    <w:rsid w:val="003D360E"/>
    <w:rsid w:val="003D41E2"/>
    <w:rsid w:val="003D4229"/>
    <w:rsid w:val="003D4BBA"/>
    <w:rsid w:val="003D4CF8"/>
    <w:rsid w:val="003D5974"/>
    <w:rsid w:val="003D65C0"/>
    <w:rsid w:val="003D70A5"/>
    <w:rsid w:val="003E0D2D"/>
    <w:rsid w:val="003E34DD"/>
    <w:rsid w:val="003E36F9"/>
    <w:rsid w:val="003E38FC"/>
    <w:rsid w:val="003E4821"/>
    <w:rsid w:val="003E4AF3"/>
    <w:rsid w:val="003E4AFA"/>
    <w:rsid w:val="003E525A"/>
    <w:rsid w:val="003E5B50"/>
    <w:rsid w:val="003E5C28"/>
    <w:rsid w:val="003E6DCD"/>
    <w:rsid w:val="003F0563"/>
    <w:rsid w:val="003F0800"/>
    <w:rsid w:val="003F0A2E"/>
    <w:rsid w:val="003F0A47"/>
    <w:rsid w:val="003F2BC4"/>
    <w:rsid w:val="003F30C5"/>
    <w:rsid w:val="003F440C"/>
    <w:rsid w:val="003F4861"/>
    <w:rsid w:val="003F49F5"/>
    <w:rsid w:val="003F5540"/>
    <w:rsid w:val="003F6B1A"/>
    <w:rsid w:val="003F6D5C"/>
    <w:rsid w:val="003F6F8A"/>
    <w:rsid w:val="003F71D4"/>
    <w:rsid w:val="003F73B4"/>
    <w:rsid w:val="003F7955"/>
    <w:rsid w:val="003F7B23"/>
    <w:rsid w:val="003F7FE4"/>
    <w:rsid w:val="004002C4"/>
    <w:rsid w:val="00400E7E"/>
    <w:rsid w:val="004034DC"/>
    <w:rsid w:val="004042B2"/>
    <w:rsid w:val="00404C53"/>
    <w:rsid w:val="00404CDA"/>
    <w:rsid w:val="00405DD8"/>
    <w:rsid w:val="00405F64"/>
    <w:rsid w:val="00405FD8"/>
    <w:rsid w:val="00406A3B"/>
    <w:rsid w:val="004078D8"/>
    <w:rsid w:val="0041023A"/>
    <w:rsid w:val="0041130E"/>
    <w:rsid w:val="00411B96"/>
    <w:rsid w:val="0041201A"/>
    <w:rsid w:val="00412CB4"/>
    <w:rsid w:val="00414519"/>
    <w:rsid w:val="00414E00"/>
    <w:rsid w:val="00414E87"/>
    <w:rsid w:val="004163C5"/>
    <w:rsid w:val="00420399"/>
    <w:rsid w:val="004225F6"/>
    <w:rsid w:val="00422B18"/>
    <w:rsid w:val="00422BB2"/>
    <w:rsid w:val="00424987"/>
    <w:rsid w:val="00424A49"/>
    <w:rsid w:val="00424C01"/>
    <w:rsid w:val="00424CB7"/>
    <w:rsid w:val="004252C7"/>
    <w:rsid w:val="0042570E"/>
    <w:rsid w:val="00425BB2"/>
    <w:rsid w:val="0042728E"/>
    <w:rsid w:val="004274B5"/>
    <w:rsid w:val="00427F1E"/>
    <w:rsid w:val="00430010"/>
    <w:rsid w:val="00433C9F"/>
    <w:rsid w:val="00433D73"/>
    <w:rsid w:val="00433DB3"/>
    <w:rsid w:val="00434610"/>
    <w:rsid w:val="00434953"/>
    <w:rsid w:val="00437732"/>
    <w:rsid w:val="00440481"/>
    <w:rsid w:val="00440B5B"/>
    <w:rsid w:val="0044133B"/>
    <w:rsid w:val="00441745"/>
    <w:rsid w:val="00441DD6"/>
    <w:rsid w:val="0044252A"/>
    <w:rsid w:val="00442A6F"/>
    <w:rsid w:val="00443256"/>
    <w:rsid w:val="00443C7B"/>
    <w:rsid w:val="00443E3D"/>
    <w:rsid w:val="00444547"/>
    <w:rsid w:val="00444846"/>
    <w:rsid w:val="004449D3"/>
    <w:rsid w:val="00444E84"/>
    <w:rsid w:val="004453A7"/>
    <w:rsid w:val="0044779B"/>
    <w:rsid w:val="00447844"/>
    <w:rsid w:val="00450868"/>
    <w:rsid w:val="0045096F"/>
    <w:rsid w:val="00450D18"/>
    <w:rsid w:val="00450E0E"/>
    <w:rsid w:val="004533AB"/>
    <w:rsid w:val="0045396B"/>
    <w:rsid w:val="004540D1"/>
    <w:rsid w:val="00454C81"/>
    <w:rsid w:val="00454EF5"/>
    <w:rsid w:val="00455482"/>
    <w:rsid w:val="00455568"/>
    <w:rsid w:val="004558F8"/>
    <w:rsid w:val="00456324"/>
    <w:rsid w:val="00457122"/>
    <w:rsid w:val="00461168"/>
    <w:rsid w:val="004611C8"/>
    <w:rsid w:val="0046139C"/>
    <w:rsid w:val="00462C14"/>
    <w:rsid w:val="00462E37"/>
    <w:rsid w:val="00463590"/>
    <w:rsid w:val="0046516C"/>
    <w:rsid w:val="00466493"/>
    <w:rsid w:val="004708BC"/>
    <w:rsid w:val="0047110A"/>
    <w:rsid w:val="00471AA7"/>
    <w:rsid w:val="004720BD"/>
    <w:rsid w:val="00473592"/>
    <w:rsid w:val="00473868"/>
    <w:rsid w:val="004744DC"/>
    <w:rsid w:val="004747C5"/>
    <w:rsid w:val="00474D6A"/>
    <w:rsid w:val="0047566F"/>
    <w:rsid w:val="00476A67"/>
    <w:rsid w:val="00476B72"/>
    <w:rsid w:val="00477BF4"/>
    <w:rsid w:val="00480130"/>
    <w:rsid w:val="00481B84"/>
    <w:rsid w:val="00481C88"/>
    <w:rsid w:val="0048239B"/>
    <w:rsid w:val="00482DB1"/>
    <w:rsid w:val="00482EBE"/>
    <w:rsid w:val="004831F3"/>
    <w:rsid w:val="0048343D"/>
    <w:rsid w:val="004834FE"/>
    <w:rsid w:val="00483A76"/>
    <w:rsid w:val="00483B1D"/>
    <w:rsid w:val="00483BDC"/>
    <w:rsid w:val="004845E6"/>
    <w:rsid w:val="00486990"/>
    <w:rsid w:val="0049009D"/>
    <w:rsid w:val="004911B6"/>
    <w:rsid w:val="00491D0C"/>
    <w:rsid w:val="0049219B"/>
    <w:rsid w:val="00492955"/>
    <w:rsid w:val="00493C0F"/>
    <w:rsid w:val="00494720"/>
    <w:rsid w:val="00495BB6"/>
    <w:rsid w:val="004965B1"/>
    <w:rsid w:val="004966A9"/>
    <w:rsid w:val="00496E94"/>
    <w:rsid w:val="004A106D"/>
    <w:rsid w:val="004A1844"/>
    <w:rsid w:val="004A2E63"/>
    <w:rsid w:val="004A3ED8"/>
    <w:rsid w:val="004A4C96"/>
    <w:rsid w:val="004A51E9"/>
    <w:rsid w:val="004A5375"/>
    <w:rsid w:val="004A5F51"/>
    <w:rsid w:val="004A68A6"/>
    <w:rsid w:val="004B1779"/>
    <w:rsid w:val="004B32DF"/>
    <w:rsid w:val="004B363E"/>
    <w:rsid w:val="004B5FD5"/>
    <w:rsid w:val="004C04B9"/>
    <w:rsid w:val="004C0C2F"/>
    <w:rsid w:val="004C19C0"/>
    <w:rsid w:val="004C1C9C"/>
    <w:rsid w:val="004C1D55"/>
    <w:rsid w:val="004C234E"/>
    <w:rsid w:val="004C2BA9"/>
    <w:rsid w:val="004C2C6C"/>
    <w:rsid w:val="004C3422"/>
    <w:rsid w:val="004C37C0"/>
    <w:rsid w:val="004C397C"/>
    <w:rsid w:val="004C4493"/>
    <w:rsid w:val="004C59AD"/>
    <w:rsid w:val="004C5BA7"/>
    <w:rsid w:val="004C5CCB"/>
    <w:rsid w:val="004C6C17"/>
    <w:rsid w:val="004C71E7"/>
    <w:rsid w:val="004C7254"/>
    <w:rsid w:val="004C7C1A"/>
    <w:rsid w:val="004D387B"/>
    <w:rsid w:val="004D47AF"/>
    <w:rsid w:val="004D4B3C"/>
    <w:rsid w:val="004D5045"/>
    <w:rsid w:val="004E0B2D"/>
    <w:rsid w:val="004E1534"/>
    <w:rsid w:val="004E189B"/>
    <w:rsid w:val="004E25EF"/>
    <w:rsid w:val="004E3434"/>
    <w:rsid w:val="004E3C3C"/>
    <w:rsid w:val="004E52CD"/>
    <w:rsid w:val="004E5A43"/>
    <w:rsid w:val="004E665D"/>
    <w:rsid w:val="004E6BF3"/>
    <w:rsid w:val="004E78E7"/>
    <w:rsid w:val="004F0213"/>
    <w:rsid w:val="004F28A3"/>
    <w:rsid w:val="004F396F"/>
    <w:rsid w:val="004F427F"/>
    <w:rsid w:val="004F4D75"/>
    <w:rsid w:val="004F548C"/>
    <w:rsid w:val="004F59D9"/>
    <w:rsid w:val="004F6B9C"/>
    <w:rsid w:val="00500221"/>
    <w:rsid w:val="005009AC"/>
    <w:rsid w:val="00502041"/>
    <w:rsid w:val="00502503"/>
    <w:rsid w:val="00502F2C"/>
    <w:rsid w:val="00504150"/>
    <w:rsid w:val="0050429B"/>
    <w:rsid w:val="0050728C"/>
    <w:rsid w:val="00507967"/>
    <w:rsid w:val="00510699"/>
    <w:rsid w:val="005106C2"/>
    <w:rsid w:val="00510A80"/>
    <w:rsid w:val="00511728"/>
    <w:rsid w:val="00511FAA"/>
    <w:rsid w:val="0051264A"/>
    <w:rsid w:val="005141F4"/>
    <w:rsid w:val="005147FE"/>
    <w:rsid w:val="00514FE9"/>
    <w:rsid w:val="00516B65"/>
    <w:rsid w:val="005179F0"/>
    <w:rsid w:val="005216E7"/>
    <w:rsid w:val="00524056"/>
    <w:rsid w:val="00524494"/>
    <w:rsid w:val="00524784"/>
    <w:rsid w:val="00527620"/>
    <w:rsid w:val="00527B6D"/>
    <w:rsid w:val="00527B7D"/>
    <w:rsid w:val="00527DCC"/>
    <w:rsid w:val="00530521"/>
    <w:rsid w:val="005316A5"/>
    <w:rsid w:val="00531903"/>
    <w:rsid w:val="00533140"/>
    <w:rsid w:val="00533CFF"/>
    <w:rsid w:val="00534EBA"/>
    <w:rsid w:val="00535F75"/>
    <w:rsid w:val="00536AF3"/>
    <w:rsid w:val="00536E65"/>
    <w:rsid w:val="00536FEB"/>
    <w:rsid w:val="005378A9"/>
    <w:rsid w:val="00537A34"/>
    <w:rsid w:val="0054102E"/>
    <w:rsid w:val="00541FA0"/>
    <w:rsid w:val="005427C2"/>
    <w:rsid w:val="00542B81"/>
    <w:rsid w:val="00543A17"/>
    <w:rsid w:val="0054534F"/>
    <w:rsid w:val="00546AFF"/>
    <w:rsid w:val="00546D8A"/>
    <w:rsid w:val="00547801"/>
    <w:rsid w:val="00547A36"/>
    <w:rsid w:val="00550A5D"/>
    <w:rsid w:val="00550FC6"/>
    <w:rsid w:val="00551A99"/>
    <w:rsid w:val="00552F1A"/>
    <w:rsid w:val="005531B1"/>
    <w:rsid w:val="005536FC"/>
    <w:rsid w:val="00554012"/>
    <w:rsid w:val="0055458B"/>
    <w:rsid w:val="00554E91"/>
    <w:rsid w:val="00554FD2"/>
    <w:rsid w:val="00555406"/>
    <w:rsid w:val="00557390"/>
    <w:rsid w:val="00560C87"/>
    <w:rsid w:val="0056139A"/>
    <w:rsid w:val="00561475"/>
    <w:rsid w:val="00561689"/>
    <w:rsid w:val="00561890"/>
    <w:rsid w:val="00561AEE"/>
    <w:rsid w:val="00561E4F"/>
    <w:rsid w:val="00562AC4"/>
    <w:rsid w:val="005643D2"/>
    <w:rsid w:val="00564C46"/>
    <w:rsid w:val="00565756"/>
    <w:rsid w:val="0056673E"/>
    <w:rsid w:val="005667B7"/>
    <w:rsid w:val="00567FDF"/>
    <w:rsid w:val="0057047D"/>
    <w:rsid w:val="0057127A"/>
    <w:rsid w:val="005716C4"/>
    <w:rsid w:val="00571834"/>
    <w:rsid w:val="00571E4D"/>
    <w:rsid w:val="00572433"/>
    <w:rsid w:val="005733F3"/>
    <w:rsid w:val="00573CEC"/>
    <w:rsid w:val="0057589E"/>
    <w:rsid w:val="00576DE2"/>
    <w:rsid w:val="00577211"/>
    <w:rsid w:val="0057744A"/>
    <w:rsid w:val="0057795F"/>
    <w:rsid w:val="00577F04"/>
    <w:rsid w:val="0058376A"/>
    <w:rsid w:val="0058381F"/>
    <w:rsid w:val="0058465A"/>
    <w:rsid w:val="005852DF"/>
    <w:rsid w:val="005862A1"/>
    <w:rsid w:val="00586974"/>
    <w:rsid w:val="00586E1D"/>
    <w:rsid w:val="0059036F"/>
    <w:rsid w:val="00590590"/>
    <w:rsid w:val="005909BF"/>
    <w:rsid w:val="00593866"/>
    <w:rsid w:val="005938F4"/>
    <w:rsid w:val="00593AD5"/>
    <w:rsid w:val="0059559C"/>
    <w:rsid w:val="00596BD2"/>
    <w:rsid w:val="005A04B4"/>
    <w:rsid w:val="005A1023"/>
    <w:rsid w:val="005A2001"/>
    <w:rsid w:val="005A31E9"/>
    <w:rsid w:val="005A42DC"/>
    <w:rsid w:val="005A6165"/>
    <w:rsid w:val="005B0CFF"/>
    <w:rsid w:val="005B0FEA"/>
    <w:rsid w:val="005B2085"/>
    <w:rsid w:val="005B2C56"/>
    <w:rsid w:val="005B3040"/>
    <w:rsid w:val="005B3F51"/>
    <w:rsid w:val="005B441A"/>
    <w:rsid w:val="005B442D"/>
    <w:rsid w:val="005B49CB"/>
    <w:rsid w:val="005B4ACD"/>
    <w:rsid w:val="005B4D73"/>
    <w:rsid w:val="005B525E"/>
    <w:rsid w:val="005B7567"/>
    <w:rsid w:val="005C136A"/>
    <w:rsid w:val="005C1DCF"/>
    <w:rsid w:val="005C1EEF"/>
    <w:rsid w:val="005C1F25"/>
    <w:rsid w:val="005C284E"/>
    <w:rsid w:val="005C37BD"/>
    <w:rsid w:val="005C3F3F"/>
    <w:rsid w:val="005C4190"/>
    <w:rsid w:val="005C4A24"/>
    <w:rsid w:val="005C5CD9"/>
    <w:rsid w:val="005C603F"/>
    <w:rsid w:val="005C6648"/>
    <w:rsid w:val="005C7A6E"/>
    <w:rsid w:val="005D0227"/>
    <w:rsid w:val="005D114C"/>
    <w:rsid w:val="005D160C"/>
    <w:rsid w:val="005D23DD"/>
    <w:rsid w:val="005D2E51"/>
    <w:rsid w:val="005D2E98"/>
    <w:rsid w:val="005D4180"/>
    <w:rsid w:val="005D5E42"/>
    <w:rsid w:val="005D6409"/>
    <w:rsid w:val="005D653E"/>
    <w:rsid w:val="005E09B2"/>
    <w:rsid w:val="005E1228"/>
    <w:rsid w:val="005E35E5"/>
    <w:rsid w:val="005E3917"/>
    <w:rsid w:val="005E3C5E"/>
    <w:rsid w:val="005E3F20"/>
    <w:rsid w:val="005E40F9"/>
    <w:rsid w:val="005E44C5"/>
    <w:rsid w:val="005E49BA"/>
    <w:rsid w:val="005E4FE7"/>
    <w:rsid w:val="005E56EE"/>
    <w:rsid w:val="005E5D3C"/>
    <w:rsid w:val="005F00A7"/>
    <w:rsid w:val="005F02B5"/>
    <w:rsid w:val="005F0930"/>
    <w:rsid w:val="005F2821"/>
    <w:rsid w:val="005F3102"/>
    <w:rsid w:val="005F33CC"/>
    <w:rsid w:val="005F4844"/>
    <w:rsid w:val="005F49C3"/>
    <w:rsid w:val="005F4B21"/>
    <w:rsid w:val="005F6842"/>
    <w:rsid w:val="005F7628"/>
    <w:rsid w:val="005F782E"/>
    <w:rsid w:val="00600CF2"/>
    <w:rsid w:val="00600E12"/>
    <w:rsid w:val="006013B8"/>
    <w:rsid w:val="0060324A"/>
    <w:rsid w:val="00603407"/>
    <w:rsid w:val="006039DB"/>
    <w:rsid w:val="00604DDF"/>
    <w:rsid w:val="0060505C"/>
    <w:rsid w:val="006050C6"/>
    <w:rsid w:val="00605954"/>
    <w:rsid w:val="00610243"/>
    <w:rsid w:val="00612486"/>
    <w:rsid w:val="00613868"/>
    <w:rsid w:val="00613C0C"/>
    <w:rsid w:val="00614555"/>
    <w:rsid w:val="0061480E"/>
    <w:rsid w:val="00614847"/>
    <w:rsid w:val="00614BF8"/>
    <w:rsid w:val="00615FFA"/>
    <w:rsid w:val="00616214"/>
    <w:rsid w:val="0061633B"/>
    <w:rsid w:val="006200E8"/>
    <w:rsid w:val="006205ED"/>
    <w:rsid w:val="006219FF"/>
    <w:rsid w:val="00621D44"/>
    <w:rsid w:val="0062461F"/>
    <w:rsid w:val="006252DA"/>
    <w:rsid w:val="00625358"/>
    <w:rsid w:val="006255A7"/>
    <w:rsid w:val="00627D8E"/>
    <w:rsid w:val="00631162"/>
    <w:rsid w:val="00631201"/>
    <w:rsid w:val="00631E5A"/>
    <w:rsid w:val="006330BB"/>
    <w:rsid w:val="00633CCD"/>
    <w:rsid w:val="006434A1"/>
    <w:rsid w:val="00643921"/>
    <w:rsid w:val="00643CA2"/>
    <w:rsid w:val="0064410D"/>
    <w:rsid w:val="00645AC6"/>
    <w:rsid w:val="0064605C"/>
    <w:rsid w:val="0064659B"/>
    <w:rsid w:val="00646DF4"/>
    <w:rsid w:val="00647E7C"/>
    <w:rsid w:val="00650266"/>
    <w:rsid w:val="006511C3"/>
    <w:rsid w:val="006522D4"/>
    <w:rsid w:val="006540B5"/>
    <w:rsid w:val="00654EA6"/>
    <w:rsid w:val="00654FE7"/>
    <w:rsid w:val="006566CF"/>
    <w:rsid w:val="00656737"/>
    <w:rsid w:val="00660285"/>
    <w:rsid w:val="00660EA6"/>
    <w:rsid w:val="00661174"/>
    <w:rsid w:val="006626B6"/>
    <w:rsid w:val="006627EF"/>
    <w:rsid w:val="0066382E"/>
    <w:rsid w:val="00663B4D"/>
    <w:rsid w:val="00664B35"/>
    <w:rsid w:val="00664D3B"/>
    <w:rsid w:val="006653BC"/>
    <w:rsid w:val="0066541F"/>
    <w:rsid w:val="006657B5"/>
    <w:rsid w:val="00666DE5"/>
    <w:rsid w:val="006670F7"/>
    <w:rsid w:val="00667478"/>
    <w:rsid w:val="00667CF0"/>
    <w:rsid w:val="006703AD"/>
    <w:rsid w:val="00670A65"/>
    <w:rsid w:val="006713CC"/>
    <w:rsid w:val="00673118"/>
    <w:rsid w:val="00673C0C"/>
    <w:rsid w:val="0067604F"/>
    <w:rsid w:val="006769C4"/>
    <w:rsid w:val="00677602"/>
    <w:rsid w:val="00680E67"/>
    <w:rsid w:val="00681059"/>
    <w:rsid w:val="00681736"/>
    <w:rsid w:val="00682F3E"/>
    <w:rsid w:val="00683487"/>
    <w:rsid w:val="00684172"/>
    <w:rsid w:val="0068443F"/>
    <w:rsid w:val="006847EB"/>
    <w:rsid w:val="006867BC"/>
    <w:rsid w:val="00686EBC"/>
    <w:rsid w:val="00690D42"/>
    <w:rsid w:val="00691748"/>
    <w:rsid w:val="00691C92"/>
    <w:rsid w:val="00691E3C"/>
    <w:rsid w:val="0069253B"/>
    <w:rsid w:val="00693DAE"/>
    <w:rsid w:val="00694495"/>
    <w:rsid w:val="006954FC"/>
    <w:rsid w:val="0069556A"/>
    <w:rsid w:val="0069575C"/>
    <w:rsid w:val="006961AC"/>
    <w:rsid w:val="0069694E"/>
    <w:rsid w:val="00696F3F"/>
    <w:rsid w:val="006A06C1"/>
    <w:rsid w:val="006A09DB"/>
    <w:rsid w:val="006A1550"/>
    <w:rsid w:val="006A234A"/>
    <w:rsid w:val="006A2FD1"/>
    <w:rsid w:val="006A4674"/>
    <w:rsid w:val="006A4696"/>
    <w:rsid w:val="006A4816"/>
    <w:rsid w:val="006A485B"/>
    <w:rsid w:val="006A497B"/>
    <w:rsid w:val="006A6469"/>
    <w:rsid w:val="006A66B5"/>
    <w:rsid w:val="006A673F"/>
    <w:rsid w:val="006A7A7A"/>
    <w:rsid w:val="006B15D2"/>
    <w:rsid w:val="006B174B"/>
    <w:rsid w:val="006B3F85"/>
    <w:rsid w:val="006B5226"/>
    <w:rsid w:val="006B574A"/>
    <w:rsid w:val="006B57D8"/>
    <w:rsid w:val="006B5D6C"/>
    <w:rsid w:val="006B6577"/>
    <w:rsid w:val="006B6844"/>
    <w:rsid w:val="006B68FE"/>
    <w:rsid w:val="006B79B5"/>
    <w:rsid w:val="006C032E"/>
    <w:rsid w:val="006C0B6C"/>
    <w:rsid w:val="006C0BE7"/>
    <w:rsid w:val="006C1345"/>
    <w:rsid w:val="006C1436"/>
    <w:rsid w:val="006C1EC4"/>
    <w:rsid w:val="006C2C0A"/>
    <w:rsid w:val="006C312C"/>
    <w:rsid w:val="006C343C"/>
    <w:rsid w:val="006C407B"/>
    <w:rsid w:val="006C49CF"/>
    <w:rsid w:val="006C4DD5"/>
    <w:rsid w:val="006C4F21"/>
    <w:rsid w:val="006C692F"/>
    <w:rsid w:val="006D104B"/>
    <w:rsid w:val="006D1381"/>
    <w:rsid w:val="006D2264"/>
    <w:rsid w:val="006D269E"/>
    <w:rsid w:val="006D31DB"/>
    <w:rsid w:val="006D353F"/>
    <w:rsid w:val="006D3733"/>
    <w:rsid w:val="006D5292"/>
    <w:rsid w:val="006D6B69"/>
    <w:rsid w:val="006D6BED"/>
    <w:rsid w:val="006E03F2"/>
    <w:rsid w:val="006E06DF"/>
    <w:rsid w:val="006E146F"/>
    <w:rsid w:val="006E14D9"/>
    <w:rsid w:val="006E36BB"/>
    <w:rsid w:val="006E4AE1"/>
    <w:rsid w:val="006E573D"/>
    <w:rsid w:val="006E61B0"/>
    <w:rsid w:val="006F226E"/>
    <w:rsid w:val="006F2507"/>
    <w:rsid w:val="006F478B"/>
    <w:rsid w:val="006F4D7C"/>
    <w:rsid w:val="006F4EDF"/>
    <w:rsid w:val="006F55A2"/>
    <w:rsid w:val="006F5E52"/>
    <w:rsid w:val="006F72A7"/>
    <w:rsid w:val="006F7881"/>
    <w:rsid w:val="006F7B08"/>
    <w:rsid w:val="00700467"/>
    <w:rsid w:val="0070068E"/>
    <w:rsid w:val="0070143A"/>
    <w:rsid w:val="00701608"/>
    <w:rsid w:val="00701771"/>
    <w:rsid w:val="0070181F"/>
    <w:rsid w:val="0070260A"/>
    <w:rsid w:val="00702E1A"/>
    <w:rsid w:val="00703717"/>
    <w:rsid w:val="00703DBF"/>
    <w:rsid w:val="00704803"/>
    <w:rsid w:val="00705288"/>
    <w:rsid w:val="007077D0"/>
    <w:rsid w:val="00710234"/>
    <w:rsid w:val="00710995"/>
    <w:rsid w:val="00711A04"/>
    <w:rsid w:val="00711F33"/>
    <w:rsid w:val="00712914"/>
    <w:rsid w:val="00713457"/>
    <w:rsid w:val="0071491A"/>
    <w:rsid w:val="00715829"/>
    <w:rsid w:val="00716531"/>
    <w:rsid w:val="007165F8"/>
    <w:rsid w:val="007212AA"/>
    <w:rsid w:val="007213EA"/>
    <w:rsid w:val="00725642"/>
    <w:rsid w:val="00725AD2"/>
    <w:rsid w:val="00726C1B"/>
    <w:rsid w:val="00727BF7"/>
    <w:rsid w:val="00730290"/>
    <w:rsid w:val="00730C59"/>
    <w:rsid w:val="00731A4C"/>
    <w:rsid w:val="00732AAE"/>
    <w:rsid w:val="00732D4F"/>
    <w:rsid w:val="00733022"/>
    <w:rsid w:val="00733E2A"/>
    <w:rsid w:val="007344C2"/>
    <w:rsid w:val="00737087"/>
    <w:rsid w:val="00737D8C"/>
    <w:rsid w:val="00741044"/>
    <w:rsid w:val="00742A68"/>
    <w:rsid w:val="00742FE0"/>
    <w:rsid w:val="00743A79"/>
    <w:rsid w:val="007444E1"/>
    <w:rsid w:val="00744BD3"/>
    <w:rsid w:val="00745435"/>
    <w:rsid w:val="00745E5E"/>
    <w:rsid w:val="00745FE4"/>
    <w:rsid w:val="007466B8"/>
    <w:rsid w:val="00747690"/>
    <w:rsid w:val="0075016A"/>
    <w:rsid w:val="00750FA7"/>
    <w:rsid w:val="00751144"/>
    <w:rsid w:val="00751920"/>
    <w:rsid w:val="00752400"/>
    <w:rsid w:val="0075320C"/>
    <w:rsid w:val="00753F81"/>
    <w:rsid w:val="007547AF"/>
    <w:rsid w:val="00754DC4"/>
    <w:rsid w:val="00756984"/>
    <w:rsid w:val="00756E7A"/>
    <w:rsid w:val="00756EF2"/>
    <w:rsid w:val="00757331"/>
    <w:rsid w:val="00760B82"/>
    <w:rsid w:val="00760D73"/>
    <w:rsid w:val="007615F4"/>
    <w:rsid w:val="00762D88"/>
    <w:rsid w:val="007631BF"/>
    <w:rsid w:val="007634B5"/>
    <w:rsid w:val="00763654"/>
    <w:rsid w:val="0076426A"/>
    <w:rsid w:val="007648E5"/>
    <w:rsid w:val="007652C9"/>
    <w:rsid w:val="007658F6"/>
    <w:rsid w:val="007666F9"/>
    <w:rsid w:val="00766BE6"/>
    <w:rsid w:val="007705BD"/>
    <w:rsid w:val="007706B5"/>
    <w:rsid w:val="007710A0"/>
    <w:rsid w:val="007716F5"/>
    <w:rsid w:val="00772762"/>
    <w:rsid w:val="00772EF6"/>
    <w:rsid w:val="00773CD2"/>
    <w:rsid w:val="00773F0F"/>
    <w:rsid w:val="00774018"/>
    <w:rsid w:val="007750FC"/>
    <w:rsid w:val="007756D0"/>
    <w:rsid w:val="007766FC"/>
    <w:rsid w:val="007773E0"/>
    <w:rsid w:val="007774D4"/>
    <w:rsid w:val="00780163"/>
    <w:rsid w:val="007809D2"/>
    <w:rsid w:val="007816CA"/>
    <w:rsid w:val="007820E7"/>
    <w:rsid w:val="0078256C"/>
    <w:rsid w:val="00782952"/>
    <w:rsid w:val="00783B11"/>
    <w:rsid w:val="00783D1D"/>
    <w:rsid w:val="00784A19"/>
    <w:rsid w:val="00784FBA"/>
    <w:rsid w:val="00785094"/>
    <w:rsid w:val="00786C97"/>
    <w:rsid w:val="0079007C"/>
    <w:rsid w:val="00790110"/>
    <w:rsid w:val="00790344"/>
    <w:rsid w:val="00790A16"/>
    <w:rsid w:val="00793315"/>
    <w:rsid w:val="007933BE"/>
    <w:rsid w:val="0079467E"/>
    <w:rsid w:val="00795432"/>
    <w:rsid w:val="007956F1"/>
    <w:rsid w:val="00795D52"/>
    <w:rsid w:val="007A04BC"/>
    <w:rsid w:val="007A2647"/>
    <w:rsid w:val="007A3779"/>
    <w:rsid w:val="007A38D5"/>
    <w:rsid w:val="007A3CAD"/>
    <w:rsid w:val="007A4D54"/>
    <w:rsid w:val="007A5296"/>
    <w:rsid w:val="007A5389"/>
    <w:rsid w:val="007A71F3"/>
    <w:rsid w:val="007A7733"/>
    <w:rsid w:val="007A77AB"/>
    <w:rsid w:val="007B054E"/>
    <w:rsid w:val="007B071F"/>
    <w:rsid w:val="007B14B1"/>
    <w:rsid w:val="007B164F"/>
    <w:rsid w:val="007B18CE"/>
    <w:rsid w:val="007B3860"/>
    <w:rsid w:val="007B3C40"/>
    <w:rsid w:val="007B5257"/>
    <w:rsid w:val="007B6B95"/>
    <w:rsid w:val="007B7BD2"/>
    <w:rsid w:val="007C0086"/>
    <w:rsid w:val="007C12CC"/>
    <w:rsid w:val="007C289A"/>
    <w:rsid w:val="007C3442"/>
    <w:rsid w:val="007C409E"/>
    <w:rsid w:val="007C48E9"/>
    <w:rsid w:val="007C50C1"/>
    <w:rsid w:val="007C6505"/>
    <w:rsid w:val="007C69A1"/>
    <w:rsid w:val="007C6AD9"/>
    <w:rsid w:val="007C6C36"/>
    <w:rsid w:val="007C70FB"/>
    <w:rsid w:val="007D0044"/>
    <w:rsid w:val="007D05B0"/>
    <w:rsid w:val="007D0B06"/>
    <w:rsid w:val="007D259A"/>
    <w:rsid w:val="007D41A0"/>
    <w:rsid w:val="007D623A"/>
    <w:rsid w:val="007D7AD0"/>
    <w:rsid w:val="007E0BDD"/>
    <w:rsid w:val="007E11DE"/>
    <w:rsid w:val="007E16A7"/>
    <w:rsid w:val="007E1928"/>
    <w:rsid w:val="007E282A"/>
    <w:rsid w:val="007E2C60"/>
    <w:rsid w:val="007E5F2B"/>
    <w:rsid w:val="007E5F49"/>
    <w:rsid w:val="007F04D8"/>
    <w:rsid w:val="007F05ED"/>
    <w:rsid w:val="007F3160"/>
    <w:rsid w:val="007F3306"/>
    <w:rsid w:val="007F3B3A"/>
    <w:rsid w:val="007F451B"/>
    <w:rsid w:val="007F45AE"/>
    <w:rsid w:val="007F5644"/>
    <w:rsid w:val="007F5654"/>
    <w:rsid w:val="007F697B"/>
    <w:rsid w:val="007F7469"/>
    <w:rsid w:val="007F78CE"/>
    <w:rsid w:val="008001D4"/>
    <w:rsid w:val="008024D7"/>
    <w:rsid w:val="008024ED"/>
    <w:rsid w:val="00802581"/>
    <w:rsid w:val="00802B02"/>
    <w:rsid w:val="008033CB"/>
    <w:rsid w:val="008045DA"/>
    <w:rsid w:val="0080549D"/>
    <w:rsid w:val="00806372"/>
    <w:rsid w:val="008069BB"/>
    <w:rsid w:val="00806BA1"/>
    <w:rsid w:val="008072FD"/>
    <w:rsid w:val="008073EA"/>
    <w:rsid w:val="0080779B"/>
    <w:rsid w:val="00807EB1"/>
    <w:rsid w:val="0081078D"/>
    <w:rsid w:val="00810D33"/>
    <w:rsid w:val="0081144E"/>
    <w:rsid w:val="008122EF"/>
    <w:rsid w:val="00813EE1"/>
    <w:rsid w:val="00814ECF"/>
    <w:rsid w:val="008150BB"/>
    <w:rsid w:val="00815119"/>
    <w:rsid w:val="00815A15"/>
    <w:rsid w:val="00815D8E"/>
    <w:rsid w:val="00817451"/>
    <w:rsid w:val="00817D06"/>
    <w:rsid w:val="00817EE2"/>
    <w:rsid w:val="00820142"/>
    <w:rsid w:val="00820410"/>
    <w:rsid w:val="008216FB"/>
    <w:rsid w:val="0082233A"/>
    <w:rsid w:val="00822347"/>
    <w:rsid w:val="00825116"/>
    <w:rsid w:val="0082557E"/>
    <w:rsid w:val="008262C7"/>
    <w:rsid w:val="008267F1"/>
    <w:rsid w:val="008272CC"/>
    <w:rsid w:val="00830558"/>
    <w:rsid w:val="008306F6"/>
    <w:rsid w:val="00830EA0"/>
    <w:rsid w:val="0083118D"/>
    <w:rsid w:val="00831EEC"/>
    <w:rsid w:val="00831FDE"/>
    <w:rsid w:val="00832349"/>
    <w:rsid w:val="008327E3"/>
    <w:rsid w:val="00833076"/>
    <w:rsid w:val="008335AC"/>
    <w:rsid w:val="0083390F"/>
    <w:rsid w:val="00834333"/>
    <w:rsid w:val="00841B93"/>
    <w:rsid w:val="00841ECC"/>
    <w:rsid w:val="00842638"/>
    <w:rsid w:val="008426F8"/>
    <w:rsid w:val="00842CA1"/>
    <w:rsid w:val="0084361F"/>
    <w:rsid w:val="00843F90"/>
    <w:rsid w:val="00845268"/>
    <w:rsid w:val="00850703"/>
    <w:rsid w:val="00851692"/>
    <w:rsid w:val="00851D9D"/>
    <w:rsid w:val="00851F4F"/>
    <w:rsid w:val="00852BF2"/>
    <w:rsid w:val="00854303"/>
    <w:rsid w:val="0085716E"/>
    <w:rsid w:val="00860630"/>
    <w:rsid w:val="0086239F"/>
    <w:rsid w:val="00862837"/>
    <w:rsid w:val="00862C32"/>
    <w:rsid w:val="00863934"/>
    <w:rsid w:val="00863C1D"/>
    <w:rsid w:val="00863F57"/>
    <w:rsid w:val="008657C4"/>
    <w:rsid w:val="00865B32"/>
    <w:rsid w:val="008669B7"/>
    <w:rsid w:val="00866AC7"/>
    <w:rsid w:val="00870DD1"/>
    <w:rsid w:val="00871D37"/>
    <w:rsid w:val="00872A02"/>
    <w:rsid w:val="00875085"/>
    <w:rsid w:val="008759D2"/>
    <w:rsid w:val="00875D28"/>
    <w:rsid w:val="008767CC"/>
    <w:rsid w:val="00877DF6"/>
    <w:rsid w:val="008801D8"/>
    <w:rsid w:val="0088024B"/>
    <w:rsid w:val="008804B8"/>
    <w:rsid w:val="0088078C"/>
    <w:rsid w:val="008810E6"/>
    <w:rsid w:val="008817DD"/>
    <w:rsid w:val="00881D15"/>
    <w:rsid w:val="0088243A"/>
    <w:rsid w:val="00882A14"/>
    <w:rsid w:val="00883115"/>
    <w:rsid w:val="00884A2A"/>
    <w:rsid w:val="00884FB6"/>
    <w:rsid w:val="00885A47"/>
    <w:rsid w:val="00887019"/>
    <w:rsid w:val="00887D89"/>
    <w:rsid w:val="008900F9"/>
    <w:rsid w:val="00890242"/>
    <w:rsid w:val="00890D31"/>
    <w:rsid w:val="00891198"/>
    <w:rsid w:val="00891821"/>
    <w:rsid w:val="00891AB0"/>
    <w:rsid w:val="00891ED4"/>
    <w:rsid w:val="008925FB"/>
    <w:rsid w:val="00892ECE"/>
    <w:rsid w:val="0089435B"/>
    <w:rsid w:val="00895082"/>
    <w:rsid w:val="00895489"/>
    <w:rsid w:val="00895629"/>
    <w:rsid w:val="008960B6"/>
    <w:rsid w:val="00896307"/>
    <w:rsid w:val="00897207"/>
    <w:rsid w:val="00897A15"/>
    <w:rsid w:val="008A1460"/>
    <w:rsid w:val="008A1586"/>
    <w:rsid w:val="008A166D"/>
    <w:rsid w:val="008A2656"/>
    <w:rsid w:val="008A2C62"/>
    <w:rsid w:val="008A4F6C"/>
    <w:rsid w:val="008A520A"/>
    <w:rsid w:val="008A53CA"/>
    <w:rsid w:val="008A5F4B"/>
    <w:rsid w:val="008A6C7B"/>
    <w:rsid w:val="008A735F"/>
    <w:rsid w:val="008A7CA4"/>
    <w:rsid w:val="008B0129"/>
    <w:rsid w:val="008B076A"/>
    <w:rsid w:val="008B10BC"/>
    <w:rsid w:val="008B12D8"/>
    <w:rsid w:val="008B17DF"/>
    <w:rsid w:val="008B19D0"/>
    <w:rsid w:val="008B1B98"/>
    <w:rsid w:val="008B2503"/>
    <w:rsid w:val="008B2FEB"/>
    <w:rsid w:val="008B4DEF"/>
    <w:rsid w:val="008B4EB3"/>
    <w:rsid w:val="008B649D"/>
    <w:rsid w:val="008B7726"/>
    <w:rsid w:val="008C0ABD"/>
    <w:rsid w:val="008C3B49"/>
    <w:rsid w:val="008C5483"/>
    <w:rsid w:val="008C5888"/>
    <w:rsid w:val="008C771C"/>
    <w:rsid w:val="008D06A5"/>
    <w:rsid w:val="008D08A5"/>
    <w:rsid w:val="008D0C71"/>
    <w:rsid w:val="008D0C76"/>
    <w:rsid w:val="008D1FD7"/>
    <w:rsid w:val="008D7074"/>
    <w:rsid w:val="008E0B47"/>
    <w:rsid w:val="008E12BE"/>
    <w:rsid w:val="008E2B68"/>
    <w:rsid w:val="008E37BD"/>
    <w:rsid w:val="008E43AA"/>
    <w:rsid w:val="008E4BA0"/>
    <w:rsid w:val="008E4BFC"/>
    <w:rsid w:val="008E522A"/>
    <w:rsid w:val="008E5342"/>
    <w:rsid w:val="008E58B8"/>
    <w:rsid w:val="008E624E"/>
    <w:rsid w:val="008E63F8"/>
    <w:rsid w:val="008E7D3E"/>
    <w:rsid w:val="008F0104"/>
    <w:rsid w:val="008F194C"/>
    <w:rsid w:val="008F1BAE"/>
    <w:rsid w:val="008F2BBC"/>
    <w:rsid w:val="008F30BA"/>
    <w:rsid w:val="008F3DC0"/>
    <w:rsid w:val="008F4FA1"/>
    <w:rsid w:val="008F5F7C"/>
    <w:rsid w:val="008F78DC"/>
    <w:rsid w:val="008F79A1"/>
    <w:rsid w:val="0090042B"/>
    <w:rsid w:val="009004B3"/>
    <w:rsid w:val="009010E0"/>
    <w:rsid w:val="00902FD0"/>
    <w:rsid w:val="0090320F"/>
    <w:rsid w:val="00904AEE"/>
    <w:rsid w:val="00904F6C"/>
    <w:rsid w:val="00904FFF"/>
    <w:rsid w:val="0090503D"/>
    <w:rsid w:val="00905DD0"/>
    <w:rsid w:val="00906837"/>
    <w:rsid w:val="00906AA0"/>
    <w:rsid w:val="00906DCD"/>
    <w:rsid w:val="00906FA4"/>
    <w:rsid w:val="009072E7"/>
    <w:rsid w:val="0090768E"/>
    <w:rsid w:val="009100EB"/>
    <w:rsid w:val="00910E67"/>
    <w:rsid w:val="009118B1"/>
    <w:rsid w:val="009118C3"/>
    <w:rsid w:val="00911CBB"/>
    <w:rsid w:val="00911F75"/>
    <w:rsid w:val="00913CE3"/>
    <w:rsid w:val="00913E3A"/>
    <w:rsid w:val="00914478"/>
    <w:rsid w:val="0091447A"/>
    <w:rsid w:val="00915926"/>
    <w:rsid w:val="0091702A"/>
    <w:rsid w:val="00921338"/>
    <w:rsid w:val="00921A3D"/>
    <w:rsid w:val="00921F67"/>
    <w:rsid w:val="009230F2"/>
    <w:rsid w:val="009231EF"/>
    <w:rsid w:val="0092362D"/>
    <w:rsid w:val="009240B6"/>
    <w:rsid w:val="00925269"/>
    <w:rsid w:val="00926C5E"/>
    <w:rsid w:val="00927510"/>
    <w:rsid w:val="00930277"/>
    <w:rsid w:val="00932784"/>
    <w:rsid w:val="0093309F"/>
    <w:rsid w:val="009332F5"/>
    <w:rsid w:val="00933519"/>
    <w:rsid w:val="0093409E"/>
    <w:rsid w:val="00934AC1"/>
    <w:rsid w:val="00934FE5"/>
    <w:rsid w:val="009358A7"/>
    <w:rsid w:val="00935AC0"/>
    <w:rsid w:val="0093634F"/>
    <w:rsid w:val="0093640C"/>
    <w:rsid w:val="0093741B"/>
    <w:rsid w:val="00937A8C"/>
    <w:rsid w:val="009400E9"/>
    <w:rsid w:val="009404A3"/>
    <w:rsid w:val="0094096B"/>
    <w:rsid w:val="00942D7D"/>
    <w:rsid w:val="00943231"/>
    <w:rsid w:val="009434A9"/>
    <w:rsid w:val="0094522E"/>
    <w:rsid w:val="0094582A"/>
    <w:rsid w:val="00947794"/>
    <w:rsid w:val="00947938"/>
    <w:rsid w:val="00947BE6"/>
    <w:rsid w:val="00947D19"/>
    <w:rsid w:val="00950480"/>
    <w:rsid w:val="00950704"/>
    <w:rsid w:val="00951495"/>
    <w:rsid w:val="0095190A"/>
    <w:rsid w:val="00952431"/>
    <w:rsid w:val="00952494"/>
    <w:rsid w:val="009526C5"/>
    <w:rsid w:val="00952D92"/>
    <w:rsid w:val="00952DBC"/>
    <w:rsid w:val="00953E64"/>
    <w:rsid w:val="00954B74"/>
    <w:rsid w:val="00956953"/>
    <w:rsid w:val="0096146D"/>
    <w:rsid w:val="009618DA"/>
    <w:rsid w:val="00962861"/>
    <w:rsid w:val="00962BD8"/>
    <w:rsid w:val="009638D3"/>
    <w:rsid w:val="0096411F"/>
    <w:rsid w:val="009641A0"/>
    <w:rsid w:val="00964AEB"/>
    <w:rsid w:val="00964BB7"/>
    <w:rsid w:val="00964CCC"/>
    <w:rsid w:val="00965154"/>
    <w:rsid w:val="00965685"/>
    <w:rsid w:val="00966BC5"/>
    <w:rsid w:val="00966C82"/>
    <w:rsid w:val="009676E0"/>
    <w:rsid w:val="00967B42"/>
    <w:rsid w:val="00967EFE"/>
    <w:rsid w:val="00970F6F"/>
    <w:rsid w:val="009716F9"/>
    <w:rsid w:val="0097300D"/>
    <w:rsid w:val="009735C2"/>
    <w:rsid w:val="00974AE9"/>
    <w:rsid w:val="00975D60"/>
    <w:rsid w:val="00976989"/>
    <w:rsid w:val="0097699C"/>
    <w:rsid w:val="009772C1"/>
    <w:rsid w:val="00977AFF"/>
    <w:rsid w:val="009808EF"/>
    <w:rsid w:val="00980E82"/>
    <w:rsid w:val="00981359"/>
    <w:rsid w:val="00982267"/>
    <w:rsid w:val="009828BE"/>
    <w:rsid w:val="009836B6"/>
    <w:rsid w:val="009841B8"/>
    <w:rsid w:val="009843A1"/>
    <w:rsid w:val="00985080"/>
    <w:rsid w:val="00986A4F"/>
    <w:rsid w:val="009874AD"/>
    <w:rsid w:val="00990FEE"/>
    <w:rsid w:val="0099105A"/>
    <w:rsid w:val="009924F7"/>
    <w:rsid w:val="00992617"/>
    <w:rsid w:val="00993222"/>
    <w:rsid w:val="00993985"/>
    <w:rsid w:val="00994609"/>
    <w:rsid w:val="009948FD"/>
    <w:rsid w:val="009952EC"/>
    <w:rsid w:val="00997BB5"/>
    <w:rsid w:val="00997DCD"/>
    <w:rsid w:val="009A16A8"/>
    <w:rsid w:val="009A172B"/>
    <w:rsid w:val="009A2397"/>
    <w:rsid w:val="009A2512"/>
    <w:rsid w:val="009A3204"/>
    <w:rsid w:val="009A34FA"/>
    <w:rsid w:val="009A47D0"/>
    <w:rsid w:val="009A492B"/>
    <w:rsid w:val="009A56C7"/>
    <w:rsid w:val="009A6157"/>
    <w:rsid w:val="009A7DF9"/>
    <w:rsid w:val="009B052E"/>
    <w:rsid w:val="009B134A"/>
    <w:rsid w:val="009B191B"/>
    <w:rsid w:val="009B1CF8"/>
    <w:rsid w:val="009B2004"/>
    <w:rsid w:val="009B20E8"/>
    <w:rsid w:val="009B3D54"/>
    <w:rsid w:val="009B3DB6"/>
    <w:rsid w:val="009B3E63"/>
    <w:rsid w:val="009B4272"/>
    <w:rsid w:val="009B60CC"/>
    <w:rsid w:val="009B67E5"/>
    <w:rsid w:val="009B6E0D"/>
    <w:rsid w:val="009C1AF4"/>
    <w:rsid w:val="009C3582"/>
    <w:rsid w:val="009C4FE2"/>
    <w:rsid w:val="009C5562"/>
    <w:rsid w:val="009C594F"/>
    <w:rsid w:val="009D08CB"/>
    <w:rsid w:val="009D11B5"/>
    <w:rsid w:val="009D2307"/>
    <w:rsid w:val="009D2AD7"/>
    <w:rsid w:val="009D2EE7"/>
    <w:rsid w:val="009D3524"/>
    <w:rsid w:val="009D36E7"/>
    <w:rsid w:val="009D457F"/>
    <w:rsid w:val="009E0503"/>
    <w:rsid w:val="009E0B3B"/>
    <w:rsid w:val="009E207C"/>
    <w:rsid w:val="009E2FB0"/>
    <w:rsid w:val="009E3227"/>
    <w:rsid w:val="009E60CC"/>
    <w:rsid w:val="009E6573"/>
    <w:rsid w:val="009E6B5E"/>
    <w:rsid w:val="009F2324"/>
    <w:rsid w:val="009F3001"/>
    <w:rsid w:val="009F33BF"/>
    <w:rsid w:val="009F3998"/>
    <w:rsid w:val="009F39E4"/>
    <w:rsid w:val="009F507F"/>
    <w:rsid w:val="009F7908"/>
    <w:rsid w:val="009F7B93"/>
    <w:rsid w:val="00A00138"/>
    <w:rsid w:val="00A00F36"/>
    <w:rsid w:val="00A010C3"/>
    <w:rsid w:val="00A01875"/>
    <w:rsid w:val="00A01F87"/>
    <w:rsid w:val="00A02357"/>
    <w:rsid w:val="00A0334B"/>
    <w:rsid w:val="00A03D76"/>
    <w:rsid w:val="00A03E39"/>
    <w:rsid w:val="00A04561"/>
    <w:rsid w:val="00A04BF2"/>
    <w:rsid w:val="00A062AA"/>
    <w:rsid w:val="00A06A24"/>
    <w:rsid w:val="00A07202"/>
    <w:rsid w:val="00A10E78"/>
    <w:rsid w:val="00A1174E"/>
    <w:rsid w:val="00A11B24"/>
    <w:rsid w:val="00A134CD"/>
    <w:rsid w:val="00A137FF"/>
    <w:rsid w:val="00A14D02"/>
    <w:rsid w:val="00A14E9A"/>
    <w:rsid w:val="00A16402"/>
    <w:rsid w:val="00A164BB"/>
    <w:rsid w:val="00A17AD2"/>
    <w:rsid w:val="00A21220"/>
    <w:rsid w:val="00A21500"/>
    <w:rsid w:val="00A23254"/>
    <w:rsid w:val="00A24486"/>
    <w:rsid w:val="00A249D1"/>
    <w:rsid w:val="00A25D83"/>
    <w:rsid w:val="00A261FD"/>
    <w:rsid w:val="00A26D3A"/>
    <w:rsid w:val="00A273E4"/>
    <w:rsid w:val="00A27A68"/>
    <w:rsid w:val="00A30252"/>
    <w:rsid w:val="00A30327"/>
    <w:rsid w:val="00A309F3"/>
    <w:rsid w:val="00A30BA2"/>
    <w:rsid w:val="00A31C4C"/>
    <w:rsid w:val="00A33BF9"/>
    <w:rsid w:val="00A3496E"/>
    <w:rsid w:val="00A34BDF"/>
    <w:rsid w:val="00A352B9"/>
    <w:rsid w:val="00A352E9"/>
    <w:rsid w:val="00A3651E"/>
    <w:rsid w:val="00A3671B"/>
    <w:rsid w:val="00A3774D"/>
    <w:rsid w:val="00A377AA"/>
    <w:rsid w:val="00A40315"/>
    <w:rsid w:val="00A4150C"/>
    <w:rsid w:val="00A43002"/>
    <w:rsid w:val="00A43B18"/>
    <w:rsid w:val="00A45005"/>
    <w:rsid w:val="00A45E9F"/>
    <w:rsid w:val="00A478A9"/>
    <w:rsid w:val="00A51AE6"/>
    <w:rsid w:val="00A51D48"/>
    <w:rsid w:val="00A520D2"/>
    <w:rsid w:val="00A534D3"/>
    <w:rsid w:val="00A5367E"/>
    <w:rsid w:val="00A53A1A"/>
    <w:rsid w:val="00A53CF1"/>
    <w:rsid w:val="00A54155"/>
    <w:rsid w:val="00A54874"/>
    <w:rsid w:val="00A54A72"/>
    <w:rsid w:val="00A555E8"/>
    <w:rsid w:val="00A55822"/>
    <w:rsid w:val="00A559A4"/>
    <w:rsid w:val="00A55C4A"/>
    <w:rsid w:val="00A567EB"/>
    <w:rsid w:val="00A56A30"/>
    <w:rsid w:val="00A56F2F"/>
    <w:rsid w:val="00A60591"/>
    <w:rsid w:val="00A605CE"/>
    <w:rsid w:val="00A61F7C"/>
    <w:rsid w:val="00A62C96"/>
    <w:rsid w:val="00A631C6"/>
    <w:rsid w:val="00A638F2"/>
    <w:rsid w:val="00A64B7B"/>
    <w:rsid w:val="00A652AD"/>
    <w:rsid w:val="00A65307"/>
    <w:rsid w:val="00A65367"/>
    <w:rsid w:val="00A65A6E"/>
    <w:rsid w:val="00A65E6B"/>
    <w:rsid w:val="00A677C4"/>
    <w:rsid w:val="00A7130F"/>
    <w:rsid w:val="00A730D1"/>
    <w:rsid w:val="00A73668"/>
    <w:rsid w:val="00A73B7F"/>
    <w:rsid w:val="00A74BE9"/>
    <w:rsid w:val="00A74C3F"/>
    <w:rsid w:val="00A75B91"/>
    <w:rsid w:val="00A76D1A"/>
    <w:rsid w:val="00A773B1"/>
    <w:rsid w:val="00A777AD"/>
    <w:rsid w:val="00A77971"/>
    <w:rsid w:val="00A8012B"/>
    <w:rsid w:val="00A81882"/>
    <w:rsid w:val="00A81D46"/>
    <w:rsid w:val="00A82961"/>
    <w:rsid w:val="00A82D8A"/>
    <w:rsid w:val="00A83E7F"/>
    <w:rsid w:val="00A84562"/>
    <w:rsid w:val="00A8458F"/>
    <w:rsid w:val="00A84785"/>
    <w:rsid w:val="00A85558"/>
    <w:rsid w:val="00A860ED"/>
    <w:rsid w:val="00A867B9"/>
    <w:rsid w:val="00A900AF"/>
    <w:rsid w:val="00A911C9"/>
    <w:rsid w:val="00A91562"/>
    <w:rsid w:val="00A9227D"/>
    <w:rsid w:val="00A924CB"/>
    <w:rsid w:val="00A928F4"/>
    <w:rsid w:val="00A93150"/>
    <w:rsid w:val="00A94E73"/>
    <w:rsid w:val="00A96450"/>
    <w:rsid w:val="00A965D6"/>
    <w:rsid w:val="00A97498"/>
    <w:rsid w:val="00A974AD"/>
    <w:rsid w:val="00A9771D"/>
    <w:rsid w:val="00AA178F"/>
    <w:rsid w:val="00AA2421"/>
    <w:rsid w:val="00AA289C"/>
    <w:rsid w:val="00AA312D"/>
    <w:rsid w:val="00AA46FE"/>
    <w:rsid w:val="00AA4A98"/>
    <w:rsid w:val="00AA4FC5"/>
    <w:rsid w:val="00AA51AF"/>
    <w:rsid w:val="00AA5D6C"/>
    <w:rsid w:val="00AA728B"/>
    <w:rsid w:val="00AA7BC8"/>
    <w:rsid w:val="00AA7DEC"/>
    <w:rsid w:val="00AB09DB"/>
    <w:rsid w:val="00AB0BB7"/>
    <w:rsid w:val="00AB0E44"/>
    <w:rsid w:val="00AB1229"/>
    <w:rsid w:val="00AB2CE4"/>
    <w:rsid w:val="00AB301C"/>
    <w:rsid w:val="00AB3E1F"/>
    <w:rsid w:val="00AB45B0"/>
    <w:rsid w:val="00AB6614"/>
    <w:rsid w:val="00AB6E63"/>
    <w:rsid w:val="00AB77CD"/>
    <w:rsid w:val="00AC0324"/>
    <w:rsid w:val="00AC27F5"/>
    <w:rsid w:val="00AC3DB1"/>
    <w:rsid w:val="00AC5259"/>
    <w:rsid w:val="00AC6850"/>
    <w:rsid w:val="00AC692F"/>
    <w:rsid w:val="00AC6E61"/>
    <w:rsid w:val="00AC72F2"/>
    <w:rsid w:val="00AC7B4B"/>
    <w:rsid w:val="00AD0350"/>
    <w:rsid w:val="00AD113F"/>
    <w:rsid w:val="00AD132B"/>
    <w:rsid w:val="00AD2249"/>
    <w:rsid w:val="00AD28BA"/>
    <w:rsid w:val="00AD3215"/>
    <w:rsid w:val="00AD3471"/>
    <w:rsid w:val="00AD4416"/>
    <w:rsid w:val="00AD479A"/>
    <w:rsid w:val="00AD47A0"/>
    <w:rsid w:val="00AD4A45"/>
    <w:rsid w:val="00AD5D58"/>
    <w:rsid w:val="00AD74DE"/>
    <w:rsid w:val="00AE061D"/>
    <w:rsid w:val="00AE0A01"/>
    <w:rsid w:val="00AE0B6F"/>
    <w:rsid w:val="00AE18DA"/>
    <w:rsid w:val="00AE1BB5"/>
    <w:rsid w:val="00AE23AA"/>
    <w:rsid w:val="00AE27EC"/>
    <w:rsid w:val="00AE28DF"/>
    <w:rsid w:val="00AE2EA0"/>
    <w:rsid w:val="00AE3239"/>
    <w:rsid w:val="00AE3A7D"/>
    <w:rsid w:val="00AE409C"/>
    <w:rsid w:val="00AE46CF"/>
    <w:rsid w:val="00AE4A04"/>
    <w:rsid w:val="00AE5A48"/>
    <w:rsid w:val="00AE5B90"/>
    <w:rsid w:val="00AE79B2"/>
    <w:rsid w:val="00AF0072"/>
    <w:rsid w:val="00AF1314"/>
    <w:rsid w:val="00AF173B"/>
    <w:rsid w:val="00AF2074"/>
    <w:rsid w:val="00AF402C"/>
    <w:rsid w:val="00AF59E6"/>
    <w:rsid w:val="00AF6CBF"/>
    <w:rsid w:val="00AF6F94"/>
    <w:rsid w:val="00B00385"/>
    <w:rsid w:val="00B02CEE"/>
    <w:rsid w:val="00B03CF4"/>
    <w:rsid w:val="00B03D98"/>
    <w:rsid w:val="00B0492A"/>
    <w:rsid w:val="00B04E2B"/>
    <w:rsid w:val="00B067A7"/>
    <w:rsid w:val="00B073AD"/>
    <w:rsid w:val="00B107CF"/>
    <w:rsid w:val="00B11CFF"/>
    <w:rsid w:val="00B147CC"/>
    <w:rsid w:val="00B167FF"/>
    <w:rsid w:val="00B168D3"/>
    <w:rsid w:val="00B17042"/>
    <w:rsid w:val="00B20B35"/>
    <w:rsid w:val="00B216B6"/>
    <w:rsid w:val="00B21D70"/>
    <w:rsid w:val="00B230F5"/>
    <w:rsid w:val="00B238F9"/>
    <w:rsid w:val="00B23D5B"/>
    <w:rsid w:val="00B23DDF"/>
    <w:rsid w:val="00B24F7A"/>
    <w:rsid w:val="00B26112"/>
    <w:rsid w:val="00B261D9"/>
    <w:rsid w:val="00B279B1"/>
    <w:rsid w:val="00B27CFA"/>
    <w:rsid w:val="00B30FD4"/>
    <w:rsid w:val="00B3139F"/>
    <w:rsid w:val="00B31501"/>
    <w:rsid w:val="00B31A3B"/>
    <w:rsid w:val="00B31F58"/>
    <w:rsid w:val="00B33A5D"/>
    <w:rsid w:val="00B33A93"/>
    <w:rsid w:val="00B34483"/>
    <w:rsid w:val="00B359DB"/>
    <w:rsid w:val="00B365B5"/>
    <w:rsid w:val="00B378EE"/>
    <w:rsid w:val="00B40438"/>
    <w:rsid w:val="00B408DE"/>
    <w:rsid w:val="00B40B09"/>
    <w:rsid w:val="00B410DC"/>
    <w:rsid w:val="00B419FE"/>
    <w:rsid w:val="00B42851"/>
    <w:rsid w:val="00B42BC8"/>
    <w:rsid w:val="00B4388F"/>
    <w:rsid w:val="00B43EAC"/>
    <w:rsid w:val="00B448D7"/>
    <w:rsid w:val="00B46368"/>
    <w:rsid w:val="00B4679A"/>
    <w:rsid w:val="00B50CE3"/>
    <w:rsid w:val="00B52FF0"/>
    <w:rsid w:val="00B5349C"/>
    <w:rsid w:val="00B53694"/>
    <w:rsid w:val="00B541F0"/>
    <w:rsid w:val="00B545DF"/>
    <w:rsid w:val="00B547C2"/>
    <w:rsid w:val="00B54997"/>
    <w:rsid w:val="00B54F4B"/>
    <w:rsid w:val="00B55CD0"/>
    <w:rsid w:val="00B55E3C"/>
    <w:rsid w:val="00B56D54"/>
    <w:rsid w:val="00B607E4"/>
    <w:rsid w:val="00B607F6"/>
    <w:rsid w:val="00B6136C"/>
    <w:rsid w:val="00B625BF"/>
    <w:rsid w:val="00B6268A"/>
    <w:rsid w:val="00B62882"/>
    <w:rsid w:val="00B62D4A"/>
    <w:rsid w:val="00B63720"/>
    <w:rsid w:val="00B63726"/>
    <w:rsid w:val="00B65429"/>
    <w:rsid w:val="00B655D0"/>
    <w:rsid w:val="00B66C61"/>
    <w:rsid w:val="00B671BA"/>
    <w:rsid w:val="00B67E39"/>
    <w:rsid w:val="00B70882"/>
    <w:rsid w:val="00B70A6F"/>
    <w:rsid w:val="00B70B93"/>
    <w:rsid w:val="00B71631"/>
    <w:rsid w:val="00B71FE5"/>
    <w:rsid w:val="00B73B6F"/>
    <w:rsid w:val="00B7424C"/>
    <w:rsid w:val="00B7442B"/>
    <w:rsid w:val="00B74CB2"/>
    <w:rsid w:val="00B75447"/>
    <w:rsid w:val="00B754EB"/>
    <w:rsid w:val="00B760CD"/>
    <w:rsid w:val="00B763C8"/>
    <w:rsid w:val="00B76E53"/>
    <w:rsid w:val="00B77B5F"/>
    <w:rsid w:val="00B77EF6"/>
    <w:rsid w:val="00B80087"/>
    <w:rsid w:val="00B80509"/>
    <w:rsid w:val="00B8059A"/>
    <w:rsid w:val="00B810F3"/>
    <w:rsid w:val="00B81809"/>
    <w:rsid w:val="00B81BBE"/>
    <w:rsid w:val="00B81E53"/>
    <w:rsid w:val="00B8452F"/>
    <w:rsid w:val="00B85F8F"/>
    <w:rsid w:val="00B86EA3"/>
    <w:rsid w:val="00B87CE3"/>
    <w:rsid w:val="00B90D33"/>
    <w:rsid w:val="00B921FB"/>
    <w:rsid w:val="00B93A6F"/>
    <w:rsid w:val="00B93FA4"/>
    <w:rsid w:val="00B95269"/>
    <w:rsid w:val="00B9577B"/>
    <w:rsid w:val="00B971BD"/>
    <w:rsid w:val="00BA067E"/>
    <w:rsid w:val="00BA1F53"/>
    <w:rsid w:val="00BA2F5D"/>
    <w:rsid w:val="00BA750F"/>
    <w:rsid w:val="00BA7EB1"/>
    <w:rsid w:val="00BB09B7"/>
    <w:rsid w:val="00BB0EF8"/>
    <w:rsid w:val="00BB10DA"/>
    <w:rsid w:val="00BB10E5"/>
    <w:rsid w:val="00BB1367"/>
    <w:rsid w:val="00BB16C1"/>
    <w:rsid w:val="00BB1F66"/>
    <w:rsid w:val="00BB4F4A"/>
    <w:rsid w:val="00BB6876"/>
    <w:rsid w:val="00BB72FE"/>
    <w:rsid w:val="00BC02E3"/>
    <w:rsid w:val="00BC0462"/>
    <w:rsid w:val="00BC0C09"/>
    <w:rsid w:val="00BC16DF"/>
    <w:rsid w:val="00BC2016"/>
    <w:rsid w:val="00BC3984"/>
    <w:rsid w:val="00BC3C68"/>
    <w:rsid w:val="00BC4175"/>
    <w:rsid w:val="00BC6382"/>
    <w:rsid w:val="00BC692B"/>
    <w:rsid w:val="00BD093F"/>
    <w:rsid w:val="00BD1374"/>
    <w:rsid w:val="00BD1735"/>
    <w:rsid w:val="00BD3B03"/>
    <w:rsid w:val="00BD3B8C"/>
    <w:rsid w:val="00BD3D34"/>
    <w:rsid w:val="00BD4309"/>
    <w:rsid w:val="00BD4AE2"/>
    <w:rsid w:val="00BD4B6B"/>
    <w:rsid w:val="00BD58E6"/>
    <w:rsid w:val="00BD753E"/>
    <w:rsid w:val="00BE0387"/>
    <w:rsid w:val="00BE21AE"/>
    <w:rsid w:val="00BE23E6"/>
    <w:rsid w:val="00BE24AF"/>
    <w:rsid w:val="00BE32CF"/>
    <w:rsid w:val="00BE4570"/>
    <w:rsid w:val="00BE4923"/>
    <w:rsid w:val="00BE5D55"/>
    <w:rsid w:val="00BE6643"/>
    <w:rsid w:val="00BE6C81"/>
    <w:rsid w:val="00BF0218"/>
    <w:rsid w:val="00BF04C8"/>
    <w:rsid w:val="00BF08EE"/>
    <w:rsid w:val="00BF0F92"/>
    <w:rsid w:val="00BF14CB"/>
    <w:rsid w:val="00BF2386"/>
    <w:rsid w:val="00BF2699"/>
    <w:rsid w:val="00BF32B4"/>
    <w:rsid w:val="00BF3BA7"/>
    <w:rsid w:val="00BF4FDA"/>
    <w:rsid w:val="00BF5D49"/>
    <w:rsid w:val="00C002A7"/>
    <w:rsid w:val="00C00870"/>
    <w:rsid w:val="00C0127C"/>
    <w:rsid w:val="00C03111"/>
    <w:rsid w:val="00C03928"/>
    <w:rsid w:val="00C04F23"/>
    <w:rsid w:val="00C052BA"/>
    <w:rsid w:val="00C05316"/>
    <w:rsid w:val="00C055DD"/>
    <w:rsid w:val="00C0591E"/>
    <w:rsid w:val="00C0702D"/>
    <w:rsid w:val="00C07E40"/>
    <w:rsid w:val="00C07FED"/>
    <w:rsid w:val="00C10E9C"/>
    <w:rsid w:val="00C1417A"/>
    <w:rsid w:val="00C142B5"/>
    <w:rsid w:val="00C162FE"/>
    <w:rsid w:val="00C17918"/>
    <w:rsid w:val="00C17A99"/>
    <w:rsid w:val="00C210B4"/>
    <w:rsid w:val="00C2117E"/>
    <w:rsid w:val="00C21CAD"/>
    <w:rsid w:val="00C21F6A"/>
    <w:rsid w:val="00C21FE4"/>
    <w:rsid w:val="00C22264"/>
    <w:rsid w:val="00C229A9"/>
    <w:rsid w:val="00C242D2"/>
    <w:rsid w:val="00C2448A"/>
    <w:rsid w:val="00C24C36"/>
    <w:rsid w:val="00C25275"/>
    <w:rsid w:val="00C25E9F"/>
    <w:rsid w:val="00C3051E"/>
    <w:rsid w:val="00C310D6"/>
    <w:rsid w:val="00C3133B"/>
    <w:rsid w:val="00C371FF"/>
    <w:rsid w:val="00C37C52"/>
    <w:rsid w:val="00C406EB"/>
    <w:rsid w:val="00C41077"/>
    <w:rsid w:val="00C42912"/>
    <w:rsid w:val="00C43360"/>
    <w:rsid w:val="00C433E4"/>
    <w:rsid w:val="00C43451"/>
    <w:rsid w:val="00C434C6"/>
    <w:rsid w:val="00C435C6"/>
    <w:rsid w:val="00C43C39"/>
    <w:rsid w:val="00C456B6"/>
    <w:rsid w:val="00C46FE0"/>
    <w:rsid w:val="00C50090"/>
    <w:rsid w:val="00C5147F"/>
    <w:rsid w:val="00C5269A"/>
    <w:rsid w:val="00C52A53"/>
    <w:rsid w:val="00C531D0"/>
    <w:rsid w:val="00C54E3E"/>
    <w:rsid w:val="00C551AF"/>
    <w:rsid w:val="00C552DD"/>
    <w:rsid w:val="00C5630E"/>
    <w:rsid w:val="00C56770"/>
    <w:rsid w:val="00C56EC3"/>
    <w:rsid w:val="00C57108"/>
    <w:rsid w:val="00C57BF1"/>
    <w:rsid w:val="00C60156"/>
    <w:rsid w:val="00C60240"/>
    <w:rsid w:val="00C60388"/>
    <w:rsid w:val="00C614E3"/>
    <w:rsid w:val="00C61A6F"/>
    <w:rsid w:val="00C63321"/>
    <w:rsid w:val="00C636DC"/>
    <w:rsid w:val="00C64204"/>
    <w:rsid w:val="00C646F8"/>
    <w:rsid w:val="00C64972"/>
    <w:rsid w:val="00C64DCB"/>
    <w:rsid w:val="00C65422"/>
    <w:rsid w:val="00C65AD8"/>
    <w:rsid w:val="00C661A1"/>
    <w:rsid w:val="00C66E40"/>
    <w:rsid w:val="00C676A5"/>
    <w:rsid w:val="00C67D84"/>
    <w:rsid w:val="00C72964"/>
    <w:rsid w:val="00C72DF4"/>
    <w:rsid w:val="00C74199"/>
    <w:rsid w:val="00C7433C"/>
    <w:rsid w:val="00C74C43"/>
    <w:rsid w:val="00C74EAC"/>
    <w:rsid w:val="00C750C5"/>
    <w:rsid w:val="00C75152"/>
    <w:rsid w:val="00C75757"/>
    <w:rsid w:val="00C75F2A"/>
    <w:rsid w:val="00C75F92"/>
    <w:rsid w:val="00C76175"/>
    <w:rsid w:val="00C76309"/>
    <w:rsid w:val="00C76A32"/>
    <w:rsid w:val="00C76C59"/>
    <w:rsid w:val="00C77033"/>
    <w:rsid w:val="00C80F23"/>
    <w:rsid w:val="00C81BD8"/>
    <w:rsid w:val="00C8267A"/>
    <w:rsid w:val="00C82C67"/>
    <w:rsid w:val="00C82CEA"/>
    <w:rsid w:val="00C83FE8"/>
    <w:rsid w:val="00C8406A"/>
    <w:rsid w:val="00C84A93"/>
    <w:rsid w:val="00C851EF"/>
    <w:rsid w:val="00C85911"/>
    <w:rsid w:val="00C912B7"/>
    <w:rsid w:val="00C9168E"/>
    <w:rsid w:val="00C919CA"/>
    <w:rsid w:val="00C91BCC"/>
    <w:rsid w:val="00C925AC"/>
    <w:rsid w:val="00C9285D"/>
    <w:rsid w:val="00C92A84"/>
    <w:rsid w:val="00C92EF4"/>
    <w:rsid w:val="00C94912"/>
    <w:rsid w:val="00C9524B"/>
    <w:rsid w:val="00C9595B"/>
    <w:rsid w:val="00C95E9F"/>
    <w:rsid w:val="00C9704A"/>
    <w:rsid w:val="00CA1D6C"/>
    <w:rsid w:val="00CA2696"/>
    <w:rsid w:val="00CA31BA"/>
    <w:rsid w:val="00CA3D37"/>
    <w:rsid w:val="00CA3FFE"/>
    <w:rsid w:val="00CA4AB5"/>
    <w:rsid w:val="00CA643D"/>
    <w:rsid w:val="00CA7867"/>
    <w:rsid w:val="00CB0109"/>
    <w:rsid w:val="00CB04EB"/>
    <w:rsid w:val="00CB08F9"/>
    <w:rsid w:val="00CB0C72"/>
    <w:rsid w:val="00CB1976"/>
    <w:rsid w:val="00CB22CF"/>
    <w:rsid w:val="00CB3546"/>
    <w:rsid w:val="00CB3A15"/>
    <w:rsid w:val="00CB3A72"/>
    <w:rsid w:val="00CB3CC7"/>
    <w:rsid w:val="00CB457F"/>
    <w:rsid w:val="00CB55DB"/>
    <w:rsid w:val="00CB696F"/>
    <w:rsid w:val="00CB6FEF"/>
    <w:rsid w:val="00CB7752"/>
    <w:rsid w:val="00CC0079"/>
    <w:rsid w:val="00CC052F"/>
    <w:rsid w:val="00CC1050"/>
    <w:rsid w:val="00CC1D45"/>
    <w:rsid w:val="00CC32EC"/>
    <w:rsid w:val="00CC4F93"/>
    <w:rsid w:val="00CC5855"/>
    <w:rsid w:val="00CC617C"/>
    <w:rsid w:val="00CC69BE"/>
    <w:rsid w:val="00CC710C"/>
    <w:rsid w:val="00CC7746"/>
    <w:rsid w:val="00CD0FE1"/>
    <w:rsid w:val="00CD4FD1"/>
    <w:rsid w:val="00CD557D"/>
    <w:rsid w:val="00CD57C1"/>
    <w:rsid w:val="00CD62D6"/>
    <w:rsid w:val="00CD643A"/>
    <w:rsid w:val="00CD79A2"/>
    <w:rsid w:val="00CE13F9"/>
    <w:rsid w:val="00CE2411"/>
    <w:rsid w:val="00CE3241"/>
    <w:rsid w:val="00CE3552"/>
    <w:rsid w:val="00CE3744"/>
    <w:rsid w:val="00CE5966"/>
    <w:rsid w:val="00CE662C"/>
    <w:rsid w:val="00CF045B"/>
    <w:rsid w:val="00CF09D0"/>
    <w:rsid w:val="00CF1DBD"/>
    <w:rsid w:val="00CF360E"/>
    <w:rsid w:val="00CF4490"/>
    <w:rsid w:val="00CF586F"/>
    <w:rsid w:val="00CF617E"/>
    <w:rsid w:val="00CF648B"/>
    <w:rsid w:val="00CF78D8"/>
    <w:rsid w:val="00CF79B6"/>
    <w:rsid w:val="00D009A0"/>
    <w:rsid w:val="00D02DD5"/>
    <w:rsid w:val="00D03BB7"/>
    <w:rsid w:val="00D0410E"/>
    <w:rsid w:val="00D041B9"/>
    <w:rsid w:val="00D04854"/>
    <w:rsid w:val="00D07C0B"/>
    <w:rsid w:val="00D110C3"/>
    <w:rsid w:val="00D124F5"/>
    <w:rsid w:val="00D1272B"/>
    <w:rsid w:val="00D12A0C"/>
    <w:rsid w:val="00D12D47"/>
    <w:rsid w:val="00D13845"/>
    <w:rsid w:val="00D13B57"/>
    <w:rsid w:val="00D14589"/>
    <w:rsid w:val="00D147EC"/>
    <w:rsid w:val="00D14DEB"/>
    <w:rsid w:val="00D15478"/>
    <w:rsid w:val="00D15653"/>
    <w:rsid w:val="00D17D5B"/>
    <w:rsid w:val="00D200EA"/>
    <w:rsid w:val="00D204A1"/>
    <w:rsid w:val="00D204A6"/>
    <w:rsid w:val="00D217B2"/>
    <w:rsid w:val="00D21851"/>
    <w:rsid w:val="00D21A07"/>
    <w:rsid w:val="00D22236"/>
    <w:rsid w:val="00D22FF0"/>
    <w:rsid w:val="00D236C5"/>
    <w:rsid w:val="00D24CB4"/>
    <w:rsid w:val="00D26824"/>
    <w:rsid w:val="00D273BA"/>
    <w:rsid w:val="00D279DB"/>
    <w:rsid w:val="00D30ADB"/>
    <w:rsid w:val="00D30EF0"/>
    <w:rsid w:val="00D31DC1"/>
    <w:rsid w:val="00D34D97"/>
    <w:rsid w:val="00D35D9D"/>
    <w:rsid w:val="00D36217"/>
    <w:rsid w:val="00D36B8A"/>
    <w:rsid w:val="00D40B74"/>
    <w:rsid w:val="00D41D91"/>
    <w:rsid w:val="00D423F5"/>
    <w:rsid w:val="00D42A36"/>
    <w:rsid w:val="00D433F6"/>
    <w:rsid w:val="00D43825"/>
    <w:rsid w:val="00D444BF"/>
    <w:rsid w:val="00D44EF8"/>
    <w:rsid w:val="00D452A2"/>
    <w:rsid w:val="00D4742D"/>
    <w:rsid w:val="00D51B76"/>
    <w:rsid w:val="00D52B0B"/>
    <w:rsid w:val="00D52D7F"/>
    <w:rsid w:val="00D531E0"/>
    <w:rsid w:val="00D542E2"/>
    <w:rsid w:val="00D54307"/>
    <w:rsid w:val="00D573DA"/>
    <w:rsid w:val="00D576C2"/>
    <w:rsid w:val="00D57766"/>
    <w:rsid w:val="00D606CC"/>
    <w:rsid w:val="00D60E36"/>
    <w:rsid w:val="00D61376"/>
    <w:rsid w:val="00D614C7"/>
    <w:rsid w:val="00D61D98"/>
    <w:rsid w:val="00D623E5"/>
    <w:rsid w:val="00D62514"/>
    <w:rsid w:val="00D62807"/>
    <w:rsid w:val="00D62D56"/>
    <w:rsid w:val="00D62EE9"/>
    <w:rsid w:val="00D64812"/>
    <w:rsid w:val="00D64C6B"/>
    <w:rsid w:val="00D650C8"/>
    <w:rsid w:val="00D65AE8"/>
    <w:rsid w:val="00D6644A"/>
    <w:rsid w:val="00D67DF1"/>
    <w:rsid w:val="00D67ED8"/>
    <w:rsid w:val="00D70341"/>
    <w:rsid w:val="00D71B10"/>
    <w:rsid w:val="00D71EEE"/>
    <w:rsid w:val="00D72AE6"/>
    <w:rsid w:val="00D72D1D"/>
    <w:rsid w:val="00D72DCC"/>
    <w:rsid w:val="00D73E8B"/>
    <w:rsid w:val="00D74152"/>
    <w:rsid w:val="00D741D1"/>
    <w:rsid w:val="00D749A6"/>
    <w:rsid w:val="00D76622"/>
    <w:rsid w:val="00D80043"/>
    <w:rsid w:val="00D81D11"/>
    <w:rsid w:val="00D81E5B"/>
    <w:rsid w:val="00D82DFE"/>
    <w:rsid w:val="00D8337A"/>
    <w:rsid w:val="00D849F5"/>
    <w:rsid w:val="00D913A0"/>
    <w:rsid w:val="00D915DE"/>
    <w:rsid w:val="00D9371C"/>
    <w:rsid w:val="00D93951"/>
    <w:rsid w:val="00D93D5D"/>
    <w:rsid w:val="00D96FE5"/>
    <w:rsid w:val="00D979A1"/>
    <w:rsid w:val="00DA1515"/>
    <w:rsid w:val="00DA34C7"/>
    <w:rsid w:val="00DA351C"/>
    <w:rsid w:val="00DA39BB"/>
    <w:rsid w:val="00DA3E59"/>
    <w:rsid w:val="00DA42E9"/>
    <w:rsid w:val="00DA4416"/>
    <w:rsid w:val="00DA456C"/>
    <w:rsid w:val="00DA4677"/>
    <w:rsid w:val="00DA4A24"/>
    <w:rsid w:val="00DA6341"/>
    <w:rsid w:val="00DA716E"/>
    <w:rsid w:val="00DA720A"/>
    <w:rsid w:val="00DA725C"/>
    <w:rsid w:val="00DA730D"/>
    <w:rsid w:val="00DB0A9C"/>
    <w:rsid w:val="00DB1CEE"/>
    <w:rsid w:val="00DB1FAD"/>
    <w:rsid w:val="00DB240C"/>
    <w:rsid w:val="00DB3909"/>
    <w:rsid w:val="00DB439C"/>
    <w:rsid w:val="00DB4712"/>
    <w:rsid w:val="00DB5038"/>
    <w:rsid w:val="00DB5497"/>
    <w:rsid w:val="00DB5850"/>
    <w:rsid w:val="00DB631F"/>
    <w:rsid w:val="00DB7117"/>
    <w:rsid w:val="00DB72AD"/>
    <w:rsid w:val="00DB7565"/>
    <w:rsid w:val="00DB7A05"/>
    <w:rsid w:val="00DC1228"/>
    <w:rsid w:val="00DC1486"/>
    <w:rsid w:val="00DC1C43"/>
    <w:rsid w:val="00DC2809"/>
    <w:rsid w:val="00DC330F"/>
    <w:rsid w:val="00DC3CFC"/>
    <w:rsid w:val="00DC3FF2"/>
    <w:rsid w:val="00DC4660"/>
    <w:rsid w:val="00DC53F5"/>
    <w:rsid w:val="00DC5BC2"/>
    <w:rsid w:val="00DD0409"/>
    <w:rsid w:val="00DD0E57"/>
    <w:rsid w:val="00DD12F7"/>
    <w:rsid w:val="00DD171C"/>
    <w:rsid w:val="00DD1BC5"/>
    <w:rsid w:val="00DD24FF"/>
    <w:rsid w:val="00DD2696"/>
    <w:rsid w:val="00DD311E"/>
    <w:rsid w:val="00DD336C"/>
    <w:rsid w:val="00DD470B"/>
    <w:rsid w:val="00DD5693"/>
    <w:rsid w:val="00DD6857"/>
    <w:rsid w:val="00DD7238"/>
    <w:rsid w:val="00DD7660"/>
    <w:rsid w:val="00DE02F1"/>
    <w:rsid w:val="00DE0EB4"/>
    <w:rsid w:val="00DE1177"/>
    <w:rsid w:val="00DE1743"/>
    <w:rsid w:val="00DE1992"/>
    <w:rsid w:val="00DE1DFA"/>
    <w:rsid w:val="00DE2793"/>
    <w:rsid w:val="00DE294E"/>
    <w:rsid w:val="00DE29B8"/>
    <w:rsid w:val="00DE2D9C"/>
    <w:rsid w:val="00DE3824"/>
    <w:rsid w:val="00DE3B45"/>
    <w:rsid w:val="00DE524F"/>
    <w:rsid w:val="00DE5963"/>
    <w:rsid w:val="00DE6504"/>
    <w:rsid w:val="00DE6605"/>
    <w:rsid w:val="00DE6800"/>
    <w:rsid w:val="00DE71BB"/>
    <w:rsid w:val="00DE71EC"/>
    <w:rsid w:val="00DF05F4"/>
    <w:rsid w:val="00DF0753"/>
    <w:rsid w:val="00DF2076"/>
    <w:rsid w:val="00DF234B"/>
    <w:rsid w:val="00DF2C9A"/>
    <w:rsid w:val="00DF3049"/>
    <w:rsid w:val="00DF32B1"/>
    <w:rsid w:val="00DF3574"/>
    <w:rsid w:val="00DF45C2"/>
    <w:rsid w:val="00DF5C65"/>
    <w:rsid w:val="00DF5E7C"/>
    <w:rsid w:val="00E000EC"/>
    <w:rsid w:val="00E00BF7"/>
    <w:rsid w:val="00E01FC3"/>
    <w:rsid w:val="00E03703"/>
    <w:rsid w:val="00E0425B"/>
    <w:rsid w:val="00E04DFD"/>
    <w:rsid w:val="00E05FE8"/>
    <w:rsid w:val="00E06749"/>
    <w:rsid w:val="00E078A5"/>
    <w:rsid w:val="00E11D60"/>
    <w:rsid w:val="00E12283"/>
    <w:rsid w:val="00E126E8"/>
    <w:rsid w:val="00E126FC"/>
    <w:rsid w:val="00E128D3"/>
    <w:rsid w:val="00E12B37"/>
    <w:rsid w:val="00E14725"/>
    <w:rsid w:val="00E153A7"/>
    <w:rsid w:val="00E1644E"/>
    <w:rsid w:val="00E16C46"/>
    <w:rsid w:val="00E17FB3"/>
    <w:rsid w:val="00E20A25"/>
    <w:rsid w:val="00E21886"/>
    <w:rsid w:val="00E21C51"/>
    <w:rsid w:val="00E24386"/>
    <w:rsid w:val="00E24615"/>
    <w:rsid w:val="00E24B0B"/>
    <w:rsid w:val="00E25920"/>
    <w:rsid w:val="00E25D3D"/>
    <w:rsid w:val="00E25EEA"/>
    <w:rsid w:val="00E260B7"/>
    <w:rsid w:val="00E2636C"/>
    <w:rsid w:val="00E322F6"/>
    <w:rsid w:val="00E326E8"/>
    <w:rsid w:val="00E33D98"/>
    <w:rsid w:val="00E33EC4"/>
    <w:rsid w:val="00E35098"/>
    <w:rsid w:val="00E356A5"/>
    <w:rsid w:val="00E35774"/>
    <w:rsid w:val="00E35782"/>
    <w:rsid w:val="00E36186"/>
    <w:rsid w:val="00E40490"/>
    <w:rsid w:val="00E41C20"/>
    <w:rsid w:val="00E429E2"/>
    <w:rsid w:val="00E45D6A"/>
    <w:rsid w:val="00E4678F"/>
    <w:rsid w:val="00E4717B"/>
    <w:rsid w:val="00E472CF"/>
    <w:rsid w:val="00E47903"/>
    <w:rsid w:val="00E501CE"/>
    <w:rsid w:val="00E51920"/>
    <w:rsid w:val="00E51B42"/>
    <w:rsid w:val="00E51DA0"/>
    <w:rsid w:val="00E51FE7"/>
    <w:rsid w:val="00E52168"/>
    <w:rsid w:val="00E523E5"/>
    <w:rsid w:val="00E52C3F"/>
    <w:rsid w:val="00E5322E"/>
    <w:rsid w:val="00E532F7"/>
    <w:rsid w:val="00E53DF7"/>
    <w:rsid w:val="00E55D2E"/>
    <w:rsid w:val="00E55F40"/>
    <w:rsid w:val="00E56E1C"/>
    <w:rsid w:val="00E60B26"/>
    <w:rsid w:val="00E61FFC"/>
    <w:rsid w:val="00E6300B"/>
    <w:rsid w:val="00E64C1E"/>
    <w:rsid w:val="00E6522C"/>
    <w:rsid w:val="00E65950"/>
    <w:rsid w:val="00E67F71"/>
    <w:rsid w:val="00E70722"/>
    <w:rsid w:val="00E71528"/>
    <w:rsid w:val="00E72218"/>
    <w:rsid w:val="00E727A0"/>
    <w:rsid w:val="00E72F9A"/>
    <w:rsid w:val="00E76FA2"/>
    <w:rsid w:val="00E77047"/>
    <w:rsid w:val="00E7726D"/>
    <w:rsid w:val="00E7759F"/>
    <w:rsid w:val="00E77BEB"/>
    <w:rsid w:val="00E803CC"/>
    <w:rsid w:val="00E80632"/>
    <w:rsid w:val="00E809A5"/>
    <w:rsid w:val="00E80A2C"/>
    <w:rsid w:val="00E81C05"/>
    <w:rsid w:val="00E82CFD"/>
    <w:rsid w:val="00E832BF"/>
    <w:rsid w:val="00E8335D"/>
    <w:rsid w:val="00E83BF1"/>
    <w:rsid w:val="00E83C4C"/>
    <w:rsid w:val="00E8409D"/>
    <w:rsid w:val="00E84562"/>
    <w:rsid w:val="00E853F2"/>
    <w:rsid w:val="00E85B55"/>
    <w:rsid w:val="00E86513"/>
    <w:rsid w:val="00E87196"/>
    <w:rsid w:val="00E87DD6"/>
    <w:rsid w:val="00E90283"/>
    <w:rsid w:val="00E92612"/>
    <w:rsid w:val="00E931A7"/>
    <w:rsid w:val="00E958F9"/>
    <w:rsid w:val="00E95E5E"/>
    <w:rsid w:val="00E96645"/>
    <w:rsid w:val="00E97030"/>
    <w:rsid w:val="00E97295"/>
    <w:rsid w:val="00E9749D"/>
    <w:rsid w:val="00E97673"/>
    <w:rsid w:val="00EA026C"/>
    <w:rsid w:val="00EA11C8"/>
    <w:rsid w:val="00EA186F"/>
    <w:rsid w:val="00EA18C2"/>
    <w:rsid w:val="00EA3A28"/>
    <w:rsid w:val="00EA4488"/>
    <w:rsid w:val="00EA4AAC"/>
    <w:rsid w:val="00EA5847"/>
    <w:rsid w:val="00EA7D82"/>
    <w:rsid w:val="00EA7EED"/>
    <w:rsid w:val="00EB080C"/>
    <w:rsid w:val="00EB0F33"/>
    <w:rsid w:val="00EB10AB"/>
    <w:rsid w:val="00EB1C05"/>
    <w:rsid w:val="00EB31A7"/>
    <w:rsid w:val="00EB328E"/>
    <w:rsid w:val="00EB41D5"/>
    <w:rsid w:val="00EB4495"/>
    <w:rsid w:val="00EB48CC"/>
    <w:rsid w:val="00EB4E47"/>
    <w:rsid w:val="00EB55AB"/>
    <w:rsid w:val="00EB5BF7"/>
    <w:rsid w:val="00EB5C68"/>
    <w:rsid w:val="00EB6D74"/>
    <w:rsid w:val="00EB74FA"/>
    <w:rsid w:val="00EB7ABC"/>
    <w:rsid w:val="00EB7C16"/>
    <w:rsid w:val="00EC0795"/>
    <w:rsid w:val="00EC17C7"/>
    <w:rsid w:val="00EC2C77"/>
    <w:rsid w:val="00EC35C5"/>
    <w:rsid w:val="00EC3F80"/>
    <w:rsid w:val="00EC60B9"/>
    <w:rsid w:val="00EC6645"/>
    <w:rsid w:val="00EC70E3"/>
    <w:rsid w:val="00EC7C3B"/>
    <w:rsid w:val="00EC7F19"/>
    <w:rsid w:val="00ED00D2"/>
    <w:rsid w:val="00ED2254"/>
    <w:rsid w:val="00ED2B34"/>
    <w:rsid w:val="00ED2B47"/>
    <w:rsid w:val="00ED3209"/>
    <w:rsid w:val="00ED38E4"/>
    <w:rsid w:val="00ED3F9A"/>
    <w:rsid w:val="00ED48CE"/>
    <w:rsid w:val="00ED4A7A"/>
    <w:rsid w:val="00ED5037"/>
    <w:rsid w:val="00ED5234"/>
    <w:rsid w:val="00ED6388"/>
    <w:rsid w:val="00ED74AF"/>
    <w:rsid w:val="00EE16BE"/>
    <w:rsid w:val="00EE1FE8"/>
    <w:rsid w:val="00EE2DC9"/>
    <w:rsid w:val="00EE3081"/>
    <w:rsid w:val="00EE3691"/>
    <w:rsid w:val="00EE397B"/>
    <w:rsid w:val="00EE43F1"/>
    <w:rsid w:val="00EE4B6F"/>
    <w:rsid w:val="00EE4E14"/>
    <w:rsid w:val="00EE61B9"/>
    <w:rsid w:val="00EE6B90"/>
    <w:rsid w:val="00EE6BE3"/>
    <w:rsid w:val="00EE7863"/>
    <w:rsid w:val="00EE7F17"/>
    <w:rsid w:val="00EF1B96"/>
    <w:rsid w:val="00EF2F61"/>
    <w:rsid w:val="00EF3669"/>
    <w:rsid w:val="00EF3943"/>
    <w:rsid w:val="00EF599E"/>
    <w:rsid w:val="00EF5C88"/>
    <w:rsid w:val="00EF5F3B"/>
    <w:rsid w:val="00EF7629"/>
    <w:rsid w:val="00EF7F07"/>
    <w:rsid w:val="00EF7FC3"/>
    <w:rsid w:val="00F00C5C"/>
    <w:rsid w:val="00F0117D"/>
    <w:rsid w:val="00F01319"/>
    <w:rsid w:val="00F01B6E"/>
    <w:rsid w:val="00F02577"/>
    <w:rsid w:val="00F02B82"/>
    <w:rsid w:val="00F02C17"/>
    <w:rsid w:val="00F03528"/>
    <w:rsid w:val="00F0384E"/>
    <w:rsid w:val="00F040BB"/>
    <w:rsid w:val="00F04783"/>
    <w:rsid w:val="00F04A38"/>
    <w:rsid w:val="00F05013"/>
    <w:rsid w:val="00F05FE9"/>
    <w:rsid w:val="00F06F71"/>
    <w:rsid w:val="00F07E6F"/>
    <w:rsid w:val="00F12417"/>
    <w:rsid w:val="00F12B8E"/>
    <w:rsid w:val="00F13A54"/>
    <w:rsid w:val="00F13DC6"/>
    <w:rsid w:val="00F14036"/>
    <w:rsid w:val="00F14665"/>
    <w:rsid w:val="00F14FB1"/>
    <w:rsid w:val="00F1555A"/>
    <w:rsid w:val="00F15A43"/>
    <w:rsid w:val="00F15B71"/>
    <w:rsid w:val="00F15CEC"/>
    <w:rsid w:val="00F17548"/>
    <w:rsid w:val="00F17914"/>
    <w:rsid w:val="00F179BD"/>
    <w:rsid w:val="00F179F1"/>
    <w:rsid w:val="00F17D44"/>
    <w:rsid w:val="00F20164"/>
    <w:rsid w:val="00F20DAE"/>
    <w:rsid w:val="00F20F21"/>
    <w:rsid w:val="00F2136F"/>
    <w:rsid w:val="00F218BE"/>
    <w:rsid w:val="00F22331"/>
    <w:rsid w:val="00F22A0E"/>
    <w:rsid w:val="00F234D7"/>
    <w:rsid w:val="00F23ACF"/>
    <w:rsid w:val="00F2523C"/>
    <w:rsid w:val="00F253F3"/>
    <w:rsid w:val="00F262CC"/>
    <w:rsid w:val="00F266F4"/>
    <w:rsid w:val="00F26D1D"/>
    <w:rsid w:val="00F2707E"/>
    <w:rsid w:val="00F276CD"/>
    <w:rsid w:val="00F27E4F"/>
    <w:rsid w:val="00F27E68"/>
    <w:rsid w:val="00F30FC3"/>
    <w:rsid w:val="00F31CE8"/>
    <w:rsid w:val="00F31F8F"/>
    <w:rsid w:val="00F321AC"/>
    <w:rsid w:val="00F3252F"/>
    <w:rsid w:val="00F3282A"/>
    <w:rsid w:val="00F32A22"/>
    <w:rsid w:val="00F32C1A"/>
    <w:rsid w:val="00F32F98"/>
    <w:rsid w:val="00F33664"/>
    <w:rsid w:val="00F33C3F"/>
    <w:rsid w:val="00F34443"/>
    <w:rsid w:val="00F3536B"/>
    <w:rsid w:val="00F35D6B"/>
    <w:rsid w:val="00F37830"/>
    <w:rsid w:val="00F37A43"/>
    <w:rsid w:val="00F40152"/>
    <w:rsid w:val="00F40E34"/>
    <w:rsid w:val="00F426A8"/>
    <w:rsid w:val="00F42B45"/>
    <w:rsid w:val="00F4316E"/>
    <w:rsid w:val="00F4411D"/>
    <w:rsid w:val="00F4520F"/>
    <w:rsid w:val="00F4565C"/>
    <w:rsid w:val="00F456D3"/>
    <w:rsid w:val="00F45CE0"/>
    <w:rsid w:val="00F50546"/>
    <w:rsid w:val="00F50899"/>
    <w:rsid w:val="00F51F49"/>
    <w:rsid w:val="00F52654"/>
    <w:rsid w:val="00F53377"/>
    <w:rsid w:val="00F54AE3"/>
    <w:rsid w:val="00F56FF2"/>
    <w:rsid w:val="00F579D1"/>
    <w:rsid w:val="00F57BBB"/>
    <w:rsid w:val="00F6121E"/>
    <w:rsid w:val="00F61E3E"/>
    <w:rsid w:val="00F62AD4"/>
    <w:rsid w:val="00F62C6F"/>
    <w:rsid w:val="00F65833"/>
    <w:rsid w:val="00F65C5E"/>
    <w:rsid w:val="00F66302"/>
    <w:rsid w:val="00F66C1B"/>
    <w:rsid w:val="00F70F6E"/>
    <w:rsid w:val="00F71317"/>
    <w:rsid w:val="00F71D71"/>
    <w:rsid w:val="00F71F1C"/>
    <w:rsid w:val="00F71F7B"/>
    <w:rsid w:val="00F73604"/>
    <w:rsid w:val="00F7385F"/>
    <w:rsid w:val="00F741F0"/>
    <w:rsid w:val="00F7452C"/>
    <w:rsid w:val="00F747D3"/>
    <w:rsid w:val="00F7490D"/>
    <w:rsid w:val="00F7498B"/>
    <w:rsid w:val="00F75391"/>
    <w:rsid w:val="00F754AD"/>
    <w:rsid w:val="00F75B46"/>
    <w:rsid w:val="00F76A96"/>
    <w:rsid w:val="00F7746B"/>
    <w:rsid w:val="00F774B8"/>
    <w:rsid w:val="00F81552"/>
    <w:rsid w:val="00F81895"/>
    <w:rsid w:val="00F82937"/>
    <w:rsid w:val="00F839AB"/>
    <w:rsid w:val="00F857CF"/>
    <w:rsid w:val="00F85CE7"/>
    <w:rsid w:val="00F86C9E"/>
    <w:rsid w:val="00F87050"/>
    <w:rsid w:val="00F87491"/>
    <w:rsid w:val="00F878C7"/>
    <w:rsid w:val="00F87D65"/>
    <w:rsid w:val="00F904E0"/>
    <w:rsid w:val="00F90A81"/>
    <w:rsid w:val="00F91CE0"/>
    <w:rsid w:val="00F94DDD"/>
    <w:rsid w:val="00F963BF"/>
    <w:rsid w:val="00F97146"/>
    <w:rsid w:val="00F972C9"/>
    <w:rsid w:val="00F97BDC"/>
    <w:rsid w:val="00FA0052"/>
    <w:rsid w:val="00FA09D1"/>
    <w:rsid w:val="00FA1EE1"/>
    <w:rsid w:val="00FA2B82"/>
    <w:rsid w:val="00FA2DA3"/>
    <w:rsid w:val="00FA3AC3"/>
    <w:rsid w:val="00FA448D"/>
    <w:rsid w:val="00FA4BF5"/>
    <w:rsid w:val="00FA4C53"/>
    <w:rsid w:val="00FA4D38"/>
    <w:rsid w:val="00FA4E83"/>
    <w:rsid w:val="00FA660A"/>
    <w:rsid w:val="00FA6B48"/>
    <w:rsid w:val="00FA7187"/>
    <w:rsid w:val="00FA75DC"/>
    <w:rsid w:val="00FA7F50"/>
    <w:rsid w:val="00FB09C1"/>
    <w:rsid w:val="00FB3413"/>
    <w:rsid w:val="00FB359D"/>
    <w:rsid w:val="00FB3E86"/>
    <w:rsid w:val="00FB54C5"/>
    <w:rsid w:val="00FB63DF"/>
    <w:rsid w:val="00FB7541"/>
    <w:rsid w:val="00FB78BB"/>
    <w:rsid w:val="00FC280F"/>
    <w:rsid w:val="00FC376C"/>
    <w:rsid w:val="00FC38E8"/>
    <w:rsid w:val="00FC6826"/>
    <w:rsid w:val="00FC79F3"/>
    <w:rsid w:val="00FC7CCF"/>
    <w:rsid w:val="00FD028A"/>
    <w:rsid w:val="00FD07AF"/>
    <w:rsid w:val="00FD29AD"/>
    <w:rsid w:val="00FD3C8A"/>
    <w:rsid w:val="00FD3DAA"/>
    <w:rsid w:val="00FD50B0"/>
    <w:rsid w:val="00FD7147"/>
    <w:rsid w:val="00FE0B0F"/>
    <w:rsid w:val="00FE15DE"/>
    <w:rsid w:val="00FE1877"/>
    <w:rsid w:val="00FE19F3"/>
    <w:rsid w:val="00FE1CC4"/>
    <w:rsid w:val="00FE452F"/>
    <w:rsid w:val="00FE46C4"/>
    <w:rsid w:val="00FE4AB4"/>
    <w:rsid w:val="00FE5A64"/>
    <w:rsid w:val="00FE5F7A"/>
    <w:rsid w:val="00FE602B"/>
    <w:rsid w:val="00FE658F"/>
    <w:rsid w:val="00FE71A8"/>
    <w:rsid w:val="00FE7AEE"/>
    <w:rsid w:val="00FE7C2B"/>
    <w:rsid w:val="00FF2148"/>
    <w:rsid w:val="00FF30F2"/>
    <w:rsid w:val="00FF3A04"/>
    <w:rsid w:val="00FF44B8"/>
    <w:rsid w:val="00FF493D"/>
    <w:rsid w:val="00FF5A92"/>
    <w:rsid w:val="00FF706F"/>
    <w:rsid w:val="00FF71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5D89"/>
    <w:pPr>
      <w:ind w:left="720"/>
      <w:contextualSpacing/>
    </w:pPr>
  </w:style>
  <w:style w:type="paragraph" w:styleId="Header">
    <w:name w:val="header"/>
    <w:basedOn w:val="Normal"/>
    <w:link w:val="HeaderChar"/>
    <w:uiPriority w:val="99"/>
    <w:semiHidden/>
    <w:unhideWhenUsed/>
    <w:rsid w:val="008A5F4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5F4B"/>
  </w:style>
  <w:style w:type="paragraph" w:styleId="Footer">
    <w:name w:val="footer"/>
    <w:basedOn w:val="Normal"/>
    <w:link w:val="FooterChar"/>
    <w:uiPriority w:val="99"/>
    <w:unhideWhenUsed/>
    <w:rsid w:val="008A5F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F4B"/>
  </w:style>
  <w:style w:type="paragraph" w:styleId="BalloonText">
    <w:name w:val="Balloon Text"/>
    <w:basedOn w:val="Normal"/>
    <w:link w:val="BalloonTextChar"/>
    <w:uiPriority w:val="99"/>
    <w:semiHidden/>
    <w:unhideWhenUsed/>
    <w:rsid w:val="008A5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F4B"/>
    <w:rPr>
      <w:rFonts w:ascii="Tahoma" w:hAnsi="Tahoma" w:cs="Tahoma"/>
      <w:sz w:val="16"/>
      <w:szCs w:val="16"/>
    </w:rPr>
  </w:style>
  <w:style w:type="paragraph" w:styleId="EndnoteText">
    <w:name w:val="endnote text"/>
    <w:basedOn w:val="Normal"/>
    <w:link w:val="EndnoteTextChar"/>
    <w:uiPriority w:val="99"/>
    <w:semiHidden/>
    <w:unhideWhenUsed/>
    <w:rsid w:val="008A5F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5F4B"/>
    <w:rPr>
      <w:sz w:val="20"/>
      <w:szCs w:val="20"/>
    </w:rPr>
  </w:style>
  <w:style w:type="character" w:styleId="EndnoteReference">
    <w:name w:val="endnote reference"/>
    <w:basedOn w:val="DefaultParagraphFont"/>
    <w:uiPriority w:val="99"/>
    <w:semiHidden/>
    <w:unhideWhenUsed/>
    <w:rsid w:val="008A5F4B"/>
    <w:rPr>
      <w:vertAlign w:val="superscript"/>
    </w:rPr>
  </w:style>
  <w:style w:type="paragraph" w:styleId="FootnoteText">
    <w:name w:val="footnote text"/>
    <w:basedOn w:val="Normal"/>
    <w:link w:val="FootnoteTextChar"/>
    <w:uiPriority w:val="99"/>
    <w:semiHidden/>
    <w:unhideWhenUsed/>
    <w:rsid w:val="008A5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F4B"/>
    <w:rPr>
      <w:sz w:val="20"/>
      <w:szCs w:val="20"/>
    </w:rPr>
  </w:style>
  <w:style w:type="character" w:styleId="FootnoteReference">
    <w:name w:val="footnote reference"/>
    <w:basedOn w:val="DefaultParagraphFont"/>
    <w:uiPriority w:val="99"/>
    <w:semiHidden/>
    <w:unhideWhenUsed/>
    <w:rsid w:val="008A5F4B"/>
    <w:rPr>
      <w:vertAlign w:val="superscript"/>
    </w:rPr>
  </w:style>
  <w:style w:type="character" w:styleId="Hyperlink">
    <w:name w:val="Hyperlink"/>
    <w:basedOn w:val="DefaultParagraphFont"/>
    <w:uiPriority w:val="99"/>
    <w:unhideWhenUsed/>
    <w:rsid w:val="00D51B76"/>
    <w:rPr>
      <w:color w:val="0000FF" w:themeColor="hyperlink"/>
      <w:u w:val="single"/>
    </w:rPr>
  </w:style>
  <w:style w:type="paragraph" w:styleId="ListBullet">
    <w:name w:val="List Bullet"/>
    <w:basedOn w:val="Normal"/>
    <w:uiPriority w:val="99"/>
    <w:unhideWhenUsed/>
    <w:rsid w:val="0090768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720400747">
      <w:bodyDiv w:val="1"/>
      <w:marLeft w:val="0"/>
      <w:marRight w:val="0"/>
      <w:marTop w:val="0"/>
      <w:marBottom w:val="0"/>
      <w:divBdr>
        <w:top w:val="none" w:sz="0" w:space="0" w:color="auto"/>
        <w:left w:val="none" w:sz="0" w:space="0" w:color="auto"/>
        <w:bottom w:val="none" w:sz="0" w:space="0" w:color="auto"/>
        <w:right w:val="none" w:sz="0" w:space="0" w:color="auto"/>
      </w:divBdr>
    </w:div>
    <w:div w:id="765808346">
      <w:bodyDiv w:val="1"/>
      <w:marLeft w:val="0"/>
      <w:marRight w:val="0"/>
      <w:marTop w:val="0"/>
      <w:marBottom w:val="0"/>
      <w:divBdr>
        <w:top w:val="none" w:sz="0" w:space="0" w:color="auto"/>
        <w:left w:val="none" w:sz="0" w:space="0" w:color="auto"/>
        <w:bottom w:val="none" w:sz="0" w:space="0" w:color="auto"/>
        <w:right w:val="none" w:sz="0" w:space="0" w:color="auto"/>
      </w:divBdr>
    </w:div>
    <w:div w:id="18643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dc-sns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71A13-5BFA-433A-A3AA-C03783D8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3098</Words>
  <Characters>17039</Characters>
  <Application>Microsoft Office Word</Application>
  <DocSecurity>4</DocSecurity>
  <Lines>141</Lines>
  <Paragraphs>40</Paragraphs>
  <ScaleCrop>false</ScaleCrop>
  <HeadingPairs>
    <vt:vector size="4" baseType="variant">
      <vt:variant>
        <vt:lpstr>Titre</vt:lpstr>
      </vt:variant>
      <vt:variant>
        <vt:i4>1</vt:i4>
      </vt:variant>
      <vt:variant>
        <vt:lpstr>Titres</vt:lpstr>
      </vt:variant>
      <vt:variant>
        <vt:i4>29</vt:i4>
      </vt:variant>
    </vt:vector>
  </HeadingPairs>
  <TitlesOfParts>
    <vt:vector size="30" baseType="lpstr">
      <vt:lpstr/>
      <vt:lpstr>GOUVERNANCE ET LUTTE  ANTICORRUPTION DANS LE PROCESSUS REDD EN RDC</vt:lpstr>
      <vt:lpstr>I. Problématique</vt:lpstr>
      <vt:lpstr>II. Objectifs du PALC-REDD</vt:lpstr>
      <vt:lpstr>II.1. Objectif principal</vt:lpstr>
      <vt:lpstr>La mauvaise gouvernance et la corruption constituent des grands obstacles à la r</vt:lpstr>
      <vt:lpstr>II.2. Objectifs spécifiques</vt:lpstr>
      <vt:lpstr>Compte tenu de ce qui précède, les objectifs spécifiques de PGLC-REDD seront les</vt:lpstr>
      <vt:lpstr>III. Axes d’intervention </vt:lpstr>
      <vt:lpstr>PALC-REDD s’articulera autour des 4 axes stratégiques à savoir : (i) Sensibilisa</vt:lpstr>
      <vt:lpstr>Axe I : Sensibilisation et Communication</vt:lpstr>
      <vt:lpstr>La réussite du processus REDD passe par la participation de toutes les parties p</vt:lpstr>
      <vt:lpstr>(i) Les acteurs politiques: un dialogue permanent, en terme de plaidoyer sur la </vt:lpstr>
      <vt:lpstr>(ii) Les populations locales à travers leurs associations : il s’agit des popula</vt:lpstr>
      <vt:lpstr>(iii) Le grand public: En collaboration avec la composante IEC, une campagne de</vt:lpstr>
      <vt:lpstr/>
      <vt:lpstr>Axe II : Clarification du cadre juridique </vt:lpstr>
      <vt:lpstr/>
      <vt:lpstr>II.2. Harmonisation du cadre juridique</vt:lpstr>
      <vt:lpstr>Les forêts congolaises sur lesquelles les projets REDD peuvent se développer reg</vt:lpstr>
      <vt:lpstr>Aussi  l’harmonisation de code forestier au regard des autres codes (code minier</vt:lpstr>
      <vt:lpstr/>
      <vt:lpstr>Axe III: Transparence dans la mise en œuvre des projets REDD</vt:lpstr>
      <vt:lpstr>Les risques de fraude sont multiples dans les différentes phases de la mise en œ</vt:lpstr>
      <vt:lpstr>La réduction des risques de fraude dans REDD passe aussi à travers un système MR</vt:lpstr>
      <vt:lpstr>Faire le suivi de la procédure d’homologation des projets et la promotion de l’u</vt:lpstr>
      <vt:lpstr>Promouvoir le système de suivi participatif de la société civile (ex: Moabi OSFA</vt:lpstr>
      <vt:lpstr>Axe IV : Mécanisme de gestions des plaintes, dénonciations et sanctions </vt:lpstr>
      <vt:lpstr/>
      <vt:lpstr>4. Risques de la mise en œuvre du plan d’action </vt:lpstr>
    </vt:vector>
  </TitlesOfParts>
  <Company>HP</Company>
  <LinksUpToDate>false</LinksUpToDate>
  <CharactersWithSpaces>20097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UNOPS</dc:creator>
  <cp:lastModifiedBy>Estelle Fach</cp:lastModifiedBy>
  <cp:revision>2</cp:revision>
  <cp:lastPrinted>2012-08-07T14:09:00Z</cp:lastPrinted>
  <dcterms:created xsi:type="dcterms:W3CDTF">2012-10-10T10:19:00Z</dcterms:created>
  <dcterms:modified xsi:type="dcterms:W3CDTF">2012-10-10T10:19:00Z</dcterms:modified>
</cp:coreProperties>
</file>