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39" w:rsidRDefault="00402E39" w:rsidP="00402E39">
      <w:pPr>
        <w:spacing w:after="0" w:line="240" w:lineRule="auto"/>
        <w:jc w:val="center"/>
        <w:rPr>
          <w:b/>
        </w:rPr>
      </w:pPr>
      <w:r w:rsidRPr="00301607">
        <w:rPr>
          <w:b/>
        </w:rPr>
        <w:t>Partici</w:t>
      </w:r>
      <w:r>
        <w:rPr>
          <w:b/>
        </w:rPr>
        <w:t>patory Governance Assessment for</w:t>
      </w:r>
      <w:r w:rsidRPr="00301607">
        <w:rPr>
          <w:b/>
        </w:rPr>
        <w:t xml:space="preserve"> REDD+ </w:t>
      </w:r>
      <w:r>
        <w:rPr>
          <w:b/>
        </w:rPr>
        <w:t>in Vietnam</w:t>
      </w:r>
    </w:p>
    <w:p w:rsidR="00402E39" w:rsidRDefault="00402E39" w:rsidP="00402E39">
      <w:pPr>
        <w:spacing w:after="0" w:line="240" w:lineRule="auto"/>
        <w:jc w:val="center"/>
        <w:rPr>
          <w:b/>
        </w:rPr>
      </w:pPr>
    </w:p>
    <w:p w:rsidR="00301607" w:rsidRPr="00301607" w:rsidRDefault="00301607" w:rsidP="005E3D0F">
      <w:pPr>
        <w:jc w:val="center"/>
        <w:rPr>
          <w:b/>
        </w:rPr>
      </w:pPr>
      <w:r w:rsidRPr="00301607">
        <w:rPr>
          <w:b/>
        </w:rPr>
        <w:t>National Kick-Off Workshop</w:t>
      </w:r>
      <w:r w:rsidR="005E3D0F">
        <w:rPr>
          <w:b/>
        </w:rPr>
        <w:t xml:space="preserve"> - 6 March</w:t>
      </w:r>
      <w:r w:rsidR="005E3D0F" w:rsidRPr="00301607">
        <w:rPr>
          <w:b/>
        </w:rPr>
        <w:t xml:space="preserve"> 2012</w:t>
      </w:r>
      <w:r w:rsidR="005E3D0F">
        <w:rPr>
          <w:b/>
        </w:rPr>
        <w:t>,</w:t>
      </w:r>
      <w:r w:rsidR="005E3D0F" w:rsidRPr="00402E39">
        <w:rPr>
          <w:b/>
        </w:rPr>
        <w:t xml:space="preserve"> </w:t>
      </w:r>
      <w:r w:rsidR="005E3D0F" w:rsidRPr="00301607">
        <w:rPr>
          <w:b/>
        </w:rPr>
        <w:t>Hanoi</w:t>
      </w:r>
      <w:r w:rsidR="005E3D0F" w:rsidRPr="00402E39">
        <w:rPr>
          <w:b/>
        </w:rPr>
        <w:t xml:space="preserve"> </w:t>
      </w:r>
    </w:p>
    <w:p w:rsidR="00C104E9" w:rsidRPr="00C104E9" w:rsidRDefault="00C104E9" w:rsidP="00C104E9">
      <w:pPr>
        <w:pBdr>
          <w:bottom w:val="single" w:sz="4" w:space="1" w:color="auto"/>
        </w:pBdr>
        <w:jc w:val="center"/>
        <w:rPr>
          <w:i/>
        </w:rPr>
      </w:pPr>
      <w:r>
        <w:rPr>
          <w:i/>
        </w:rPr>
        <w:t>Overview</w:t>
      </w:r>
    </w:p>
    <w:p w:rsidR="00C104E9" w:rsidRPr="00675278" w:rsidRDefault="00675278" w:rsidP="00C104E9">
      <w:pPr>
        <w:spacing w:after="0" w:line="360" w:lineRule="auto"/>
        <w:jc w:val="center"/>
        <w:rPr>
          <w:b/>
          <w:u w:val="single"/>
        </w:rPr>
      </w:pPr>
      <w:r w:rsidRPr="00F44D91">
        <w:rPr>
          <w:b/>
          <w:u w:val="single"/>
        </w:rPr>
        <w:t>What is a</w:t>
      </w:r>
      <w:r w:rsidR="00301607" w:rsidRPr="00F44D91">
        <w:rPr>
          <w:b/>
          <w:u w:val="single"/>
        </w:rPr>
        <w:t xml:space="preserve"> Participatory Governance Assessment (PGA)?</w:t>
      </w:r>
      <w:bookmarkStart w:id="0" w:name="OLE_LINK4"/>
      <w:bookmarkStart w:id="1" w:name="OLE_LINK3"/>
    </w:p>
    <w:p w:rsidR="00675278" w:rsidRDefault="00675278" w:rsidP="00675278">
      <w:pPr>
        <w:spacing w:line="240" w:lineRule="auto"/>
        <w:jc w:val="both"/>
        <w:rPr>
          <w:rFonts w:cstheme="minorHAnsi"/>
        </w:rPr>
      </w:pPr>
      <w:r>
        <w:t xml:space="preserve">A </w:t>
      </w:r>
      <w:r w:rsidRPr="00675278">
        <w:t>Part</w:t>
      </w:r>
      <w:r>
        <w:t>icipatory Governance Assessment for REDD+ (PGA</w:t>
      </w:r>
      <w:r w:rsidRPr="00675278">
        <w:t xml:space="preserve">) </w:t>
      </w:r>
      <w:r>
        <w:t xml:space="preserve">will </w:t>
      </w:r>
      <w:r w:rsidRPr="00675278">
        <w:t xml:space="preserve">contribute to the development of </w:t>
      </w:r>
      <w:r w:rsidR="005E3D0F">
        <w:t>a national system</w:t>
      </w:r>
      <w:r w:rsidRPr="00675278">
        <w:t xml:space="preserve"> providing relevant information on how “safeguards are promoted, addressed and respected” as recommended in the Cancun Negotiation Text – paragraphs 69 and 71 d. </w:t>
      </w:r>
      <w:r>
        <w:rPr>
          <w:rFonts w:cstheme="minorHAnsi"/>
        </w:rPr>
        <w:t xml:space="preserve">The difference between a PGA and other more externally driven assessments is that it is fully initiated, implemented, and sustained by national stakeholders.  </w:t>
      </w:r>
    </w:p>
    <w:p w:rsidR="00675278" w:rsidRDefault="005E3D0F" w:rsidP="00675278">
      <w:pPr>
        <w:spacing w:line="240" w:lineRule="auto"/>
        <w:jc w:val="both"/>
        <w:rPr>
          <w:rFonts w:cstheme="minorHAnsi"/>
        </w:rPr>
      </w:pPr>
      <w:r>
        <w:t xml:space="preserve">Through a multi-stakeholder process the </w:t>
      </w:r>
      <w:r w:rsidR="00675278">
        <w:t xml:space="preserve">PGA </w:t>
      </w:r>
      <w:r>
        <w:t>will more specifically establish</w:t>
      </w:r>
      <w:r w:rsidR="00301607">
        <w:rPr>
          <w:rFonts w:cstheme="minorHAnsi"/>
        </w:rPr>
        <w:t xml:space="preserve"> governance indicators </w:t>
      </w:r>
      <w:r w:rsidR="00675278">
        <w:rPr>
          <w:rFonts w:cstheme="minorHAnsi"/>
        </w:rPr>
        <w:t>on which data is collected</w:t>
      </w:r>
      <w:r w:rsidR="00402E39">
        <w:rPr>
          <w:rFonts w:cstheme="minorHAnsi"/>
        </w:rPr>
        <w:t xml:space="preserve">. </w:t>
      </w:r>
      <w:r>
        <w:rPr>
          <w:rFonts w:cstheme="minorHAnsi"/>
        </w:rPr>
        <w:t>After the analyse</w:t>
      </w:r>
      <w:r w:rsidR="00675278">
        <w:rPr>
          <w:rFonts w:cstheme="minorHAnsi"/>
        </w:rPr>
        <w:t>s of these data</w:t>
      </w:r>
      <w:r>
        <w:rPr>
          <w:rFonts w:cstheme="minorHAnsi"/>
        </w:rPr>
        <w:t xml:space="preserve"> have</w:t>
      </w:r>
      <w:r w:rsidR="008F5373">
        <w:rPr>
          <w:rFonts w:cstheme="minorHAnsi"/>
        </w:rPr>
        <w:t xml:space="preserve"> </w:t>
      </w:r>
      <w:r>
        <w:rPr>
          <w:rFonts w:cstheme="minorHAnsi"/>
        </w:rPr>
        <w:t>been presented, training and capacity building of both non-state stakeholder</w:t>
      </w:r>
      <w:r w:rsidR="00222BDF">
        <w:rPr>
          <w:rFonts w:cstheme="minorHAnsi"/>
        </w:rPr>
        <w:t>s</w:t>
      </w:r>
      <w:r>
        <w:rPr>
          <w:rFonts w:cstheme="minorHAnsi"/>
        </w:rPr>
        <w:t xml:space="preserve"> and government of</w:t>
      </w:r>
      <w:r w:rsidR="00E7594B">
        <w:rPr>
          <w:rFonts w:cstheme="minorHAnsi"/>
        </w:rPr>
        <w:t>ficials on how to act upon the analyses will be offered.</w:t>
      </w:r>
      <w:r w:rsidR="00222BDF">
        <w:rPr>
          <w:rFonts w:cstheme="minorHAnsi"/>
        </w:rPr>
        <w:t xml:space="preserve"> Subsequently, the data analyses will also act as </w:t>
      </w:r>
      <w:r w:rsidR="00675278">
        <w:rPr>
          <w:rFonts w:cstheme="minorHAnsi"/>
        </w:rPr>
        <w:t>baseline</w:t>
      </w:r>
      <w:r w:rsidR="008F5373">
        <w:rPr>
          <w:rFonts w:cstheme="minorHAnsi"/>
        </w:rPr>
        <w:t>s</w:t>
      </w:r>
      <w:r w:rsidR="00675278">
        <w:rPr>
          <w:rFonts w:cstheme="minorHAnsi"/>
        </w:rPr>
        <w:t xml:space="preserve">, </w:t>
      </w:r>
      <w:r w:rsidR="00222BDF">
        <w:rPr>
          <w:rFonts w:cstheme="minorHAnsi"/>
        </w:rPr>
        <w:t>to be used for comparison as the data collection and analysis are</w:t>
      </w:r>
      <w:r w:rsidR="00675278">
        <w:rPr>
          <w:rFonts w:cstheme="minorHAnsi"/>
        </w:rPr>
        <w:t xml:space="preserve"> repeated </w:t>
      </w:r>
      <w:r w:rsidR="00222BDF">
        <w:rPr>
          <w:rFonts w:cstheme="minorHAnsi"/>
        </w:rPr>
        <w:t>in subsequent years</w:t>
      </w:r>
      <w:r w:rsidR="00675278">
        <w:rPr>
          <w:rFonts w:cstheme="minorHAnsi"/>
        </w:rPr>
        <w:t>.</w:t>
      </w:r>
    </w:p>
    <w:p w:rsidR="00301607" w:rsidRDefault="00402E39" w:rsidP="008F537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="008F5373">
        <w:rPr>
          <w:rFonts w:cstheme="minorHAnsi"/>
        </w:rPr>
        <w:t>PGA</w:t>
      </w:r>
      <w:r>
        <w:rPr>
          <w:rFonts w:cstheme="minorHAnsi"/>
        </w:rPr>
        <w:t xml:space="preserve"> involves a diverse range of</w:t>
      </w:r>
      <w:r w:rsidR="00301607">
        <w:rPr>
          <w:rFonts w:cstheme="minorHAnsi"/>
        </w:rPr>
        <w:t xml:space="preserve"> </w:t>
      </w:r>
      <w:r>
        <w:rPr>
          <w:rFonts w:cstheme="minorHAnsi"/>
        </w:rPr>
        <w:t xml:space="preserve">national </w:t>
      </w:r>
      <w:r w:rsidR="00301607">
        <w:rPr>
          <w:rFonts w:cstheme="minorHAnsi"/>
        </w:rPr>
        <w:t xml:space="preserve">stakeholders as owners of the process. </w:t>
      </w:r>
      <w:r w:rsidR="008F5373">
        <w:rPr>
          <w:rFonts w:cstheme="minorHAnsi"/>
        </w:rPr>
        <w:t>With their participation</w:t>
      </w:r>
      <w:r w:rsidR="00301607">
        <w:rPr>
          <w:rFonts w:cstheme="minorHAnsi"/>
        </w:rPr>
        <w:t xml:space="preserve"> in the design, choice of methodology</w:t>
      </w:r>
      <w:r>
        <w:rPr>
          <w:rFonts w:cstheme="minorHAnsi"/>
        </w:rPr>
        <w:t xml:space="preserve"> and</w:t>
      </w:r>
      <w:r w:rsidR="00301607">
        <w:rPr>
          <w:rFonts w:cstheme="minorHAnsi"/>
        </w:rPr>
        <w:t xml:space="preserve"> selection of framework to be measured, the </w:t>
      </w:r>
      <w:r w:rsidR="008F5373">
        <w:rPr>
          <w:rFonts w:cstheme="minorHAnsi"/>
        </w:rPr>
        <w:t xml:space="preserve">identified </w:t>
      </w:r>
      <w:r w:rsidR="00301607">
        <w:rPr>
          <w:rFonts w:cstheme="minorHAnsi"/>
        </w:rPr>
        <w:t xml:space="preserve">indicators are likely to be more reflective of the country context, thereby providing more legitimacy </w:t>
      </w:r>
      <w:r w:rsidR="008F5373">
        <w:rPr>
          <w:rFonts w:cstheme="minorHAnsi"/>
        </w:rPr>
        <w:t>to the PGA</w:t>
      </w:r>
      <w:r w:rsidR="00301607">
        <w:rPr>
          <w:rFonts w:cstheme="minorHAnsi"/>
        </w:rPr>
        <w:t xml:space="preserve">. </w:t>
      </w:r>
      <w:r w:rsidR="008F5373">
        <w:rPr>
          <w:rFonts w:cstheme="minorHAnsi"/>
        </w:rPr>
        <w:t xml:space="preserve"> </w:t>
      </w:r>
      <w:r w:rsidR="00301607">
        <w:rPr>
          <w:rFonts w:cstheme="minorHAnsi"/>
        </w:rPr>
        <w:t>There are four key principles that differentiate the value of a nationally led PGA, as opposed to external assessments:</w:t>
      </w:r>
    </w:p>
    <w:p w:rsidR="00301607" w:rsidRDefault="00301607" w:rsidP="00301607">
      <w:pPr>
        <w:pStyle w:val="Default"/>
        <w:jc w:val="both"/>
      </w:pPr>
    </w:p>
    <w:p w:rsidR="00301607" w:rsidRDefault="00301607" w:rsidP="0030160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Participation – a broad and representative range of national </w:t>
      </w:r>
      <w:r w:rsidR="00147419">
        <w:rPr>
          <w:rFonts w:asciiTheme="minorHAnsi" w:hAnsiTheme="minorHAnsi" w:cstheme="minorHAnsi"/>
          <w:color w:val="auto"/>
          <w:sz w:val="22"/>
          <w:szCs w:val="22"/>
        </w:rPr>
        <w:t>stakeholders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(gove</w:t>
      </w:r>
      <w:r w:rsidR="00147419">
        <w:rPr>
          <w:rFonts w:asciiTheme="minorHAnsi" w:hAnsiTheme="minorHAnsi" w:cstheme="minorHAnsi"/>
          <w:color w:val="auto"/>
          <w:sz w:val="22"/>
          <w:szCs w:val="22"/>
        </w:rPr>
        <w:t>rnment, civil society, academia) have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</w:t>
      </w:r>
      <w:r w:rsidR="00147419">
        <w:rPr>
          <w:rFonts w:asciiTheme="minorHAnsi" w:hAnsiTheme="minorHAnsi" w:cstheme="minorHAnsi"/>
          <w:color w:val="auto"/>
          <w:sz w:val="22"/>
          <w:szCs w:val="22"/>
        </w:rPr>
        <w:t>pportunities to provide input at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key stages of the </w:t>
      </w:r>
      <w:r w:rsidR="008F5373">
        <w:rPr>
          <w:rFonts w:asciiTheme="minorHAnsi" w:hAnsiTheme="minorHAnsi" w:cstheme="minorHAnsi"/>
          <w:color w:val="auto"/>
          <w:sz w:val="22"/>
          <w:szCs w:val="22"/>
        </w:rPr>
        <w:t>PGA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process </w:t>
      </w:r>
    </w:p>
    <w:p w:rsidR="00301607" w:rsidRDefault="00147419" w:rsidP="0030160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Transparency – national stakeholders</w:t>
      </w:r>
      <w:r w:rsidR="00301607">
        <w:rPr>
          <w:rFonts w:asciiTheme="minorHAnsi" w:hAnsiTheme="minorHAnsi" w:cstheme="minorHAnsi"/>
          <w:color w:val="auto"/>
          <w:sz w:val="22"/>
          <w:szCs w:val="22"/>
        </w:rPr>
        <w:t xml:space="preserve"> have unrestricted access to information on the </w:t>
      </w:r>
      <w:r w:rsidR="008F5373">
        <w:rPr>
          <w:rFonts w:asciiTheme="minorHAnsi" w:hAnsiTheme="minorHAnsi" w:cstheme="minorHAnsi"/>
          <w:color w:val="auto"/>
          <w:sz w:val="22"/>
          <w:szCs w:val="22"/>
        </w:rPr>
        <w:t>PGA</w:t>
      </w:r>
      <w:r w:rsidR="00301607">
        <w:rPr>
          <w:rFonts w:asciiTheme="minorHAnsi" w:hAnsiTheme="minorHAnsi" w:cstheme="minorHAnsi"/>
          <w:color w:val="auto"/>
          <w:sz w:val="22"/>
          <w:szCs w:val="22"/>
        </w:rPr>
        <w:t xml:space="preserve"> process, and the results of the </w:t>
      </w:r>
      <w:r w:rsidR="008F5373">
        <w:rPr>
          <w:rFonts w:asciiTheme="minorHAnsi" w:hAnsiTheme="minorHAnsi" w:cstheme="minorHAnsi"/>
          <w:color w:val="auto"/>
          <w:sz w:val="22"/>
          <w:szCs w:val="22"/>
        </w:rPr>
        <w:t>PGA</w:t>
      </w:r>
      <w:r w:rsidR="00301607">
        <w:rPr>
          <w:rFonts w:asciiTheme="minorHAnsi" w:hAnsiTheme="minorHAnsi" w:cstheme="minorHAnsi"/>
          <w:color w:val="auto"/>
          <w:sz w:val="22"/>
          <w:szCs w:val="22"/>
        </w:rPr>
        <w:t xml:space="preserve"> are made available to the public as a public good</w:t>
      </w:r>
    </w:p>
    <w:p w:rsidR="00301607" w:rsidRDefault="00301607" w:rsidP="0030160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Accountability – country-led </w:t>
      </w:r>
      <w:r w:rsidR="008F5373">
        <w:rPr>
          <w:rFonts w:asciiTheme="minorHAnsi" w:hAnsiTheme="minorHAnsi" w:cstheme="minorHAnsi"/>
          <w:color w:val="auto"/>
          <w:sz w:val="22"/>
          <w:szCs w:val="22"/>
        </w:rPr>
        <w:t>PGA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act as critical accountability mechanism for local stakeholders with regard to governance performance</w:t>
      </w:r>
    </w:p>
    <w:p w:rsidR="00301607" w:rsidRDefault="008F5373" w:rsidP="0030160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Legitimacy – national stakeholders</w:t>
      </w:r>
      <w:r w:rsidR="00301607">
        <w:rPr>
          <w:rFonts w:asciiTheme="minorHAnsi" w:hAnsiTheme="minorHAnsi" w:cstheme="minorHAnsi"/>
          <w:color w:val="auto"/>
          <w:sz w:val="22"/>
          <w:szCs w:val="22"/>
        </w:rPr>
        <w:t xml:space="preserve"> agree that the </w:t>
      </w:r>
      <w:r>
        <w:rPr>
          <w:rFonts w:asciiTheme="minorHAnsi" w:hAnsiTheme="minorHAnsi" w:cstheme="minorHAnsi"/>
          <w:color w:val="auto"/>
          <w:sz w:val="22"/>
          <w:szCs w:val="22"/>
        </w:rPr>
        <w:t>PGA process and</w:t>
      </w:r>
      <w:r w:rsidR="00301607">
        <w:rPr>
          <w:rFonts w:asciiTheme="minorHAnsi" w:hAnsiTheme="minorHAnsi" w:cstheme="minorHAnsi"/>
          <w:color w:val="auto"/>
          <w:sz w:val="22"/>
          <w:szCs w:val="22"/>
        </w:rPr>
        <w:t xml:space="preserve"> findings are legitimate</w:t>
      </w:r>
    </w:p>
    <w:p w:rsidR="00301607" w:rsidRDefault="00301607" w:rsidP="0030160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01607" w:rsidRDefault="00301607" w:rsidP="00301607">
      <w:pPr>
        <w:spacing w:after="0" w:line="240" w:lineRule="auto"/>
      </w:pPr>
    </w:p>
    <w:p w:rsidR="00301607" w:rsidRDefault="00301607" w:rsidP="00301607">
      <w:pPr>
        <w:spacing w:after="0" w:line="240" w:lineRule="auto"/>
        <w:jc w:val="both"/>
      </w:pPr>
      <w:r>
        <w:t>The PGA approach builds on existing approaches and expertise within the UN-REDD agencies - both on the UNDP</w:t>
      </w:r>
      <w:r w:rsidR="00675278">
        <w:t>’s</w:t>
      </w:r>
      <w:r w:rsidR="008F5373">
        <w:t xml:space="preserve"> knowledge and experience in</w:t>
      </w:r>
      <w:r>
        <w:t xml:space="preserve"> supporting countries conduct</w:t>
      </w:r>
      <w:r w:rsidR="00147419">
        <w:t>ing</w:t>
      </w:r>
      <w:r>
        <w:t xml:space="preserve"> democratic governance assessments, as well as FAO’s experience in data collection and monitoring in the forest sector. A combination of this expertise will be applied as relevant to issues within REDD+.  </w:t>
      </w:r>
    </w:p>
    <w:p w:rsidR="00634E95" w:rsidRDefault="00634E95" w:rsidP="00634E95">
      <w:pPr>
        <w:spacing w:after="0" w:line="240" w:lineRule="auto"/>
        <w:rPr>
          <w:rFonts w:cstheme="minorHAnsi"/>
        </w:rPr>
      </w:pPr>
    </w:p>
    <w:p w:rsidR="00F44D91" w:rsidRDefault="00F44D91" w:rsidP="00634E95">
      <w:pPr>
        <w:spacing w:after="0" w:line="240" w:lineRule="auto"/>
        <w:rPr>
          <w:rFonts w:cstheme="minorHAnsi"/>
        </w:rPr>
      </w:pPr>
      <w:r>
        <w:rPr>
          <w:rFonts w:cstheme="minorHAnsi"/>
        </w:rPr>
        <w:t>Typically, a PGA would be rolled-out in the following manner:</w:t>
      </w:r>
    </w:p>
    <w:p w:rsidR="00F44D91" w:rsidRPr="00F912FD" w:rsidRDefault="00F44D91" w:rsidP="00634E95">
      <w:pPr>
        <w:spacing w:after="0" w:line="240" w:lineRule="auto"/>
        <w:rPr>
          <w:rFonts w:cstheme="minorHAnsi"/>
        </w:rPr>
      </w:pPr>
    </w:p>
    <w:p w:rsidR="00634E95" w:rsidRPr="00C86D1C" w:rsidRDefault="00634E95" w:rsidP="00634E9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86D1C">
        <w:rPr>
          <w:rFonts w:cstheme="minorHAnsi"/>
        </w:rPr>
        <w:t>Identify and convene relevant stakeholders</w:t>
      </w:r>
    </w:p>
    <w:p w:rsidR="00634E95" w:rsidRPr="00C86D1C" w:rsidRDefault="00634E95" w:rsidP="00634E9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86D1C">
        <w:rPr>
          <w:rFonts w:cstheme="minorHAnsi"/>
        </w:rPr>
        <w:t>Identify the scope and indicator framework of the assessment</w:t>
      </w:r>
    </w:p>
    <w:p w:rsidR="00634E95" w:rsidRPr="00C86D1C" w:rsidRDefault="00634E95" w:rsidP="00634E9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86D1C">
        <w:rPr>
          <w:rFonts w:cstheme="minorHAnsi"/>
        </w:rPr>
        <w:t>Agree on data identification and methods of collection</w:t>
      </w:r>
    </w:p>
    <w:p w:rsidR="00634E95" w:rsidRPr="00C86D1C" w:rsidRDefault="00634E95" w:rsidP="00634E9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86D1C">
        <w:rPr>
          <w:rFonts w:cstheme="minorHAnsi"/>
        </w:rPr>
        <w:t>Data collection and analysis</w:t>
      </w:r>
    </w:p>
    <w:p w:rsidR="00634E95" w:rsidRPr="00C86D1C" w:rsidRDefault="00634E95" w:rsidP="00634E9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86D1C">
        <w:rPr>
          <w:rFonts w:cstheme="minorHAnsi"/>
        </w:rPr>
        <w:t>Data presentation and dissemination</w:t>
      </w:r>
    </w:p>
    <w:p w:rsidR="00634E95" w:rsidRDefault="00634E95" w:rsidP="00634E95">
      <w:pPr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C86D1C">
        <w:rPr>
          <w:rFonts w:cstheme="minorHAnsi"/>
        </w:rPr>
        <w:t>Capacity building on how to act upon the findings of the PGA</w:t>
      </w:r>
    </w:p>
    <w:p w:rsidR="00222BDF" w:rsidRPr="005A7E32" w:rsidRDefault="00C104E9" w:rsidP="005A7E32">
      <w:pPr>
        <w:spacing w:after="12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Why is the PGA relevant for</w:t>
      </w:r>
      <w:r w:rsidR="00222BDF" w:rsidRPr="00F44D91">
        <w:rPr>
          <w:b/>
          <w:u w:val="single"/>
        </w:rPr>
        <w:t xml:space="preserve"> the REDD+ process</w:t>
      </w:r>
      <w:r w:rsidR="00634E95" w:rsidRPr="00F44D91">
        <w:rPr>
          <w:b/>
          <w:u w:val="single"/>
        </w:rPr>
        <w:t xml:space="preserve"> in Vietnam</w:t>
      </w:r>
      <w:r w:rsidR="00222BDF" w:rsidRPr="00F44D91">
        <w:rPr>
          <w:b/>
          <w:u w:val="single"/>
        </w:rPr>
        <w:t>?</w:t>
      </w:r>
    </w:p>
    <w:p w:rsidR="00222BDF" w:rsidRDefault="00222BDF" w:rsidP="009B6C75">
      <w:pPr>
        <w:spacing w:after="0"/>
        <w:jc w:val="both"/>
      </w:pPr>
      <w:r>
        <w:t xml:space="preserve">As mentioned in the Cancun Negotiation text, a critical element of REDD+ is the establishment </w:t>
      </w:r>
      <w:r w:rsidR="0093655B">
        <w:t>of a national information s</w:t>
      </w:r>
      <w:r>
        <w:t xml:space="preserve">ystem on </w:t>
      </w:r>
      <w:r w:rsidR="0093655B">
        <w:t>social safeguards. Examples of such safeguards</w:t>
      </w:r>
      <w:r w:rsidR="00634E95">
        <w:t xml:space="preserve">, as defined by the UN-REDD Programme, </w:t>
      </w:r>
      <w:r w:rsidR="0093655B">
        <w:t>include how participation of all stakeholders is ensured in REDD+ decision making processes, the respect of traditional knowledge and development of equitable benefit distribution systems, to name a few. Vietnam is currently in the process of developing the National REDD+ Programme</w:t>
      </w:r>
      <w:r w:rsidR="00634E95">
        <w:t xml:space="preserve"> (NRP)</w:t>
      </w:r>
      <w:r w:rsidR="0093655B">
        <w:t xml:space="preserve">, a strategy explaining how the three different phases of REDD+ will be rolled out. The </w:t>
      </w:r>
      <w:r w:rsidR="00634E95">
        <w:t xml:space="preserve">findings and results of the PGA could naturally be used to inform the NRP roll-out in Vietnam in the coming years. </w:t>
      </w:r>
    </w:p>
    <w:p w:rsidR="00634E95" w:rsidRDefault="00634E95" w:rsidP="00222BDF">
      <w:pPr>
        <w:spacing w:after="0" w:line="240" w:lineRule="auto"/>
        <w:jc w:val="both"/>
      </w:pPr>
    </w:p>
    <w:bookmarkEnd w:id="0"/>
    <w:bookmarkEnd w:id="1"/>
    <w:p w:rsidR="00477C88" w:rsidRPr="00F44D91" w:rsidRDefault="00A33D97" w:rsidP="005A7E32">
      <w:pPr>
        <w:spacing w:after="120"/>
        <w:jc w:val="center"/>
        <w:rPr>
          <w:b/>
        </w:rPr>
      </w:pPr>
      <w:r w:rsidRPr="00F44D91">
        <w:rPr>
          <w:b/>
        </w:rPr>
        <w:t>Timeline</w:t>
      </w:r>
    </w:p>
    <w:p w:rsidR="002641CD" w:rsidRDefault="00477C88" w:rsidP="0017400F">
      <w:pPr>
        <w:jc w:val="both"/>
      </w:pPr>
      <w:r>
        <w:t>This initial</w:t>
      </w:r>
      <w:r w:rsidRPr="00C7302B">
        <w:t xml:space="preserve"> phase of the PGA </w:t>
      </w:r>
      <w:r>
        <w:t xml:space="preserve">will be operated for about 12 </w:t>
      </w:r>
      <w:r w:rsidRPr="00C7302B">
        <w:t>months</w:t>
      </w:r>
      <w:r>
        <w:t>, from Jan – Dec 2012</w:t>
      </w:r>
      <w:r w:rsidRPr="00C7302B">
        <w:t xml:space="preserve">. </w:t>
      </w:r>
      <w:r>
        <w:t xml:space="preserve">Provided funding will still be available from UN-REDD Global Programme, a second phase could then expand into more provinces </w:t>
      </w:r>
      <w:r w:rsidR="00426F1F">
        <w:t xml:space="preserve">and </w:t>
      </w:r>
      <w:r w:rsidR="00833307">
        <w:t xml:space="preserve">look at </w:t>
      </w:r>
      <w:r w:rsidR="00426F1F">
        <w:t>more governance challenges</w:t>
      </w:r>
      <w:r w:rsidR="00833307">
        <w:t>, as</w:t>
      </w:r>
      <w:r w:rsidR="00426F1F">
        <w:t xml:space="preserve"> </w:t>
      </w:r>
      <w:r>
        <w:t xml:space="preserve">guided by the advice of </w:t>
      </w:r>
      <w:r w:rsidR="0015544D">
        <w:t xml:space="preserve">national </w:t>
      </w:r>
      <w:r>
        <w:t xml:space="preserve">REDD+ stakeholders. </w:t>
      </w:r>
    </w:p>
    <w:tbl>
      <w:tblPr>
        <w:tblStyle w:val="TableGrid"/>
        <w:tblpPr w:leftFromText="180" w:rightFromText="180" w:vertAnchor="page" w:horzAnchor="page" w:tblpX="1567" w:tblpY="7201"/>
        <w:tblW w:w="9918" w:type="dxa"/>
        <w:tblLook w:val="00A0"/>
      </w:tblPr>
      <w:tblGrid>
        <w:gridCol w:w="2358"/>
        <w:gridCol w:w="2700"/>
        <w:gridCol w:w="2430"/>
        <w:gridCol w:w="2430"/>
      </w:tblGrid>
      <w:tr w:rsidR="005A7E32" w:rsidTr="001E47D6">
        <w:trPr>
          <w:tblHeader/>
        </w:trPr>
        <w:tc>
          <w:tcPr>
            <w:tcW w:w="2358" w:type="dxa"/>
            <w:shd w:val="clear" w:color="auto" w:fill="EEECE1" w:themeFill="background2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Timeline</w:t>
            </w:r>
          </w:p>
        </w:tc>
        <w:tc>
          <w:tcPr>
            <w:tcW w:w="2700" w:type="dxa"/>
            <w:shd w:val="clear" w:color="auto" w:fill="EEECE1" w:themeFill="background2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Task</w:t>
            </w:r>
          </w:p>
        </w:tc>
        <w:tc>
          <w:tcPr>
            <w:tcW w:w="2430" w:type="dxa"/>
            <w:shd w:val="clear" w:color="auto" w:fill="EEECE1" w:themeFill="background2"/>
          </w:tcPr>
          <w:p w:rsidR="005A7E32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Objectives</w:t>
            </w:r>
          </w:p>
        </w:tc>
        <w:tc>
          <w:tcPr>
            <w:tcW w:w="2430" w:type="dxa"/>
            <w:shd w:val="clear" w:color="auto" w:fill="EEECE1" w:themeFill="background2"/>
          </w:tcPr>
          <w:p w:rsidR="005A7E32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Key actors</w:t>
            </w:r>
          </w:p>
        </w:tc>
      </w:tr>
      <w:tr w:rsidR="005A7E32" w:rsidRPr="00AC6EE5" w:rsidTr="001E47D6"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 w:rsidRPr="00AC6EE5">
              <w:rPr>
                <w:sz w:val="18"/>
              </w:rPr>
              <w:t>December</w:t>
            </w:r>
            <w:r>
              <w:rPr>
                <w:sz w:val="18"/>
              </w:rPr>
              <w:t xml:space="preserve"> 2011</w:t>
            </w:r>
            <w:r w:rsidRPr="00AC6EE5">
              <w:rPr>
                <w:sz w:val="18"/>
              </w:rPr>
              <w:t xml:space="preserve"> </w:t>
            </w:r>
            <w:r>
              <w:rPr>
                <w:sz w:val="18"/>
              </w:rPr>
              <w:t>– January 2012</w:t>
            </w:r>
          </w:p>
        </w:tc>
        <w:tc>
          <w:tcPr>
            <w:tcW w:w="270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Engage in</w:t>
            </w:r>
            <w:r w:rsidRPr="00AC6EE5">
              <w:rPr>
                <w:sz w:val="18"/>
              </w:rPr>
              <w:t xml:space="preserve"> two stakeholder consultations at national level</w:t>
            </w:r>
            <w:r>
              <w:rPr>
                <w:sz w:val="18"/>
              </w:rPr>
              <w:t>.</w:t>
            </w:r>
            <w:r w:rsidRPr="00AC6EE5">
              <w:rPr>
                <w:sz w:val="18"/>
              </w:rPr>
              <w:t xml:space="preserve"> </w:t>
            </w:r>
          </w:p>
          <w:p w:rsidR="005A7E32" w:rsidRPr="00AC6EE5" w:rsidRDefault="005A7E32" w:rsidP="001E47D6">
            <w:pPr>
              <w:rPr>
                <w:sz w:val="18"/>
              </w:rPr>
            </w:pPr>
          </w:p>
        </w:tc>
        <w:tc>
          <w:tcPr>
            <w:tcW w:w="2430" w:type="dxa"/>
          </w:tcPr>
          <w:p w:rsidR="005A7E32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P</w:t>
            </w:r>
            <w:r w:rsidRPr="00AC6EE5">
              <w:rPr>
                <w:sz w:val="18"/>
              </w:rPr>
              <w:t xml:space="preserve">resent the PGA format </w:t>
            </w:r>
            <w:r>
              <w:rPr>
                <w:sz w:val="18"/>
              </w:rPr>
              <w:t xml:space="preserve">to relevant stakeholders </w:t>
            </w:r>
            <w:r w:rsidRPr="00AC6EE5">
              <w:rPr>
                <w:sz w:val="18"/>
              </w:rPr>
              <w:t>and get initial directions of the scope</w:t>
            </w:r>
            <w:r>
              <w:rPr>
                <w:sz w:val="18"/>
              </w:rPr>
              <w:t xml:space="preserve"> of the PGA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Sub-t</w:t>
            </w:r>
            <w:r w:rsidRPr="00AC6EE5">
              <w:rPr>
                <w:sz w:val="18"/>
              </w:rPr>
              <w:t>echnical Working Group on Governance (21 November), Forest Sector and Support Partnership (</w:t>
            </w:r>
            <w:r>
              <w:rPr>
                <w:sz w:val="18"/>
              </w:rPr>
              <w:t>12-13</w:t>
            </w:r>
            <w:r w:rsidRPr="00AC6EE5">
              <w:rPr>
                <w:sz w:val="18"/>
              </w:rPr>
              <w:t xml:space="preserve"> </w:t>
            </w:r>
            <w:r>
              <w:rPr>
                <w:sz w:val="18"/>
              </w:rPr>
              <w:t>January</w:t>
            </w:r>
            <w:r w:rsidRPr="00AC6EE5">
              <w:rPr>
                <w:sz w:val="18"/>
              </w:rPr>
              <w:t>)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 w:rsidRPr="00AC6EE5">
              <w:rPr>
                <w:sz w:val="18"/>
              </w:rPr>
              <w:t>February</w:t>
            </w:r>
            <w:r>
              <w:rPr>
                <w:sz w:val="18"/>
              </w:rPr>
              <w:t xml:space="preserve"> - March 2012</w:t>
            </w:r>
          </w:p>
        </w:tc>
        <w:tc>
          <w:tcPr>
            <w:tcW w:w="2700" w:type="dxa"/>
          </w:tcPr>
          <w:p w:rsidR="005A7E32" w:rsidRPr="00AC6EE5" w:rsidRDefault="005A7E32" w:rsidP="001E47D6">
            <w:pPr>
              <w:rPr>
                <w:sz w:val="18"/>
              </w:rPr>
            </w:pPr>
            <w:r w:rsidRPr="00AC6EE5">
              <w:rPr>
                <w:sz w:val="18"/>
              </w:rPr>
              <w:t xml:space="preserve">Advertise and contract a PGA </w:t>
            </w:r>
            <w:r>
              <w:rPr>
                <w:sz w:val="18"/>
              </w:rPr>
              <w:t>Project C</w:t>
            </w:r>
            <w:r w:rsidRPr="00AC6EE5">
              <w:rPr>
                <w:sz w:val="18"/>
              </w:rPr>
              <w:t>oordinator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A resource person in the PMU to assist the process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 w:rsidRPr="00AC6EE5">
              <w:rPr>
                <w:sz w:val="18"/>
              </w:rPr>
              <w:t>UN-REDD Programme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 March 2012</w:t>
            </w:r>
          </w:p>
        </w:tc>
        <w:tc>
          <w:tcPr>
            <w:tcW w:w="2700" w:type="dxa"/>
          </w:tcPr>
          <w:p w:rsidR="005A7E32" w:rsidRPr="00AC6EE5" w:rsidRDefault="005A7E32" w:rsidP="001E47D6">
            <w:pPr>
              <w:rPr>
                <w:sz w:val="18"/>
                <w:u w:val="single"/>
              </w:rPr>
            </w:pPr>
            <w:r w:rsidRPr="00AC6EE5">
              <w:rPr>
                <w:sz w:val="18"/>
                <w:u w:val="single"/>
              </w:rPr>
              <w:t>Workshop 1</w:t>
            </w:r>
          </w:p>
          <w:p w:rsidR="005A7E32" w:rsidRPr="00CF4BE6" w:rsidRDefault="005A7E32" w:rsidP="001E47D6">
            <w:pPr>
              <w:rPr>
                <w:sz w:val="18"/>
              </w:rPr>
            </w:pPr>
            <w:r w:rsidRPr="00AC6EE5">
              <w:rPr>
                <w:sz w:val="18"/>
              </w:rPr>
              <w:t xml:space="preserve">Have a first kick-off meeting for stakeholders in </w:t>
            </w:r>
            <w:r>
              <w:rPr>
                <w:sz w:val="18"/>
              </w:rPr>
              <w:t>Hanoi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  <w:szCs w:val="18"/>
              </w:rPr>
              <w:t>Get consent from PGA stakeholders on the scope of the exercise.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 w:rsidRPr="00AC6EE5">
              <w:rPr>
                <w:sz w:val="18"/>
              </w:rPr>
              <w:t>Open meeting for all interested stakeholders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January </w:t>
            </w:r>
            <w:r w:rsidRPr="00AC6EE5">
              <w:rPr>
                <w:sz w:val="18"/>
              </w:rPr>
              <w:t>– March</w:t>
            </w:r>
            <w:r>
              <w:rPr>
                <w:sz w:val="18"/>
              </w:rPr>
              <w:t xml:space="preserve"> 2012</w:t>
            </w:r>
          </w:p>
        </w:tc>
        <w:tc>
          <w:tcPr>
            <w:tcW w:w="270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Identify a national NGO to lead the Research Team. Identify</w:t>
            </w:r>
            <w:r w:rsidRPr="00AC6EE5">
              <w:rPr>
                <w:sz w:val="18"/>
              </w:rPr>
              <w:t xml:space="preserve"> membe</w:t>
            </w:r>
            <w:r>
              <w:rPr>
                <w:sz w:val="18"/>
              </w:rPr>
              <w:t>rs for the</w:t>
            </w:r>
            <w:r w:rsidRPr="00AC6EE5">
              <w:rPr>
                <w:sz w:val="18"/>
              </w:rPr>
              <w:t xml:space="preserve"> Advisory Group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The PGA will be more effective if run by key REDD+ stakeholders with knowledge of the field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 w:rsidRPr="00AC6EE5">
              <w:rPr>
                <w:sz w:val="18"/>
              </w:rPr>
              <w:t>UN-REDD Programme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  <w:r w:rsidRPr="00AC6EE5">
              <w:rPr>
                <w:sz w:val="18"/>
              </w:rPr>
              <w:t xml:space="preserve"> – April</w:t>
            </w:r>
            <w:r>
              <w:rPr>
                <w:sz w:val="18"/>
              </w:rPr>
              <w:t xml:space="preserve"> 2012</w:t>
            </w:r>
          </w:p>
        </w:tc>
        <w:tc>
          <w:tcPr>
            <w:tcW w:w="2700" w:type="dxa"/>
          </w:tcPr>
          <w:p w:rsidR="005A7E32" w:rsidRPr="00CF4BE6" w:rsidRDefault="005A7E32" w:rsidP="001E47D6">
            <w:pPr>
              <w:jc w:val="both"/>
              <w:rPr>
                <w:sz w:val="18"/>
              </w:rPr>
            </w:pPr>
            <w:r w:rsidRPr="00AC6EE5">
              <w:rPr>
                <w:sz w:val="18"/>
              </w:rPr>
              <w:t xml:space="preserve">Mapping of governance issues </w:t>
            </w:r>
            <w:r>
              <w:rPr>
                <w:sz w:val="18"/>
              </w:rPr>
              <w:t xml:space="preserve">and stakeholders </w:t>
            </w:r>
            <w:r w:rsidRPr="00AC6EE5">
              <w:rPr>
                <w:sz w:val="18"/>
              </w:rPr>
              <w:t>of relevance to REDD+ in the pilot province</w:t>
            </w:r>
            <w:r w:rsidRPr="00CF4BE6">
              <w:rPr>
                <w:sz w:val="18"/>
              </w:rPr>
              <w:t xml:space="preserve"> </w:t>
            </w:r>
          </w:p>
        </w:tc>
        <w:tc>
          <w:tcPr>
            <w:tcW w:w="2430" w:type="dxa"/>
          </w:tcPr>
          <w:p w:rsidR="005A7E32" w:rsidRPr="00B10D0C" w:rsidRDefault="005A7E32" w:rsidP="001E4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REDD+ mapping exercises in the </w:t>
            </w:r>
            <w:r w:rsidRPr="00B10D0C">
              <w:rPr>
                <w:sz w:val="18"/>
                <w:szCs w:val="18"/>
              </w:rPr>
              <w:t>pilot province:</w:t>
            </w:r>
          </w:p>
          <w:p w:rsidR="005A7E32" w:rsidRPr="006B6D79" w:rsidRDefault="005A7E32" w:rsidP="001E47D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6B6D79">
              <w:rPr>
                <w:sz w:val="18"/>
                <w:szCs w:val="18"/>
              </w:rPr>
              <w:t>REDD+ stakeholder analysis;</w:t>
            </w:r>
          </w:p>
          <w:p w:rsidR="005A7E32" w:rsidRPr="006B6D79" w:rsidRDefault="005A7E32" w:rsidP="001E47D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6B6D79">
              <w:rPr>
                <w:sz w:val="18"/>
                <w:szCs w:val="18"/>
              </w:rPr>
              <w:t>Identification of key governance issues and risks;</w:t>
            </w:r>
          </w:p>
          <w:p w:rsidR="005A7E32" w:rsidRPr="006B6D79" w:rsidRDefault="005A7E32" w:rsidP="001E47D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6B6D79">
              <w:rPr>
                <w:sz w:val="18"/>
                <w:szCs w:val="18"/>
              </w:rPr>
              <w:t>Assessment of other forest governance initiatives ongoing;</w:t>
            </w:r>
          </w:p>
          <w:p w:rsidR="005A7E32" w:rsidRPr="006B6D79" w:rsidRDefault="005A7E32" w:rsidP="001E47D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6B6D79">
              <w:rPr>
                <w:sz w:val="18"/>
                <w:szCs w:val="18"/>
              </w:rPr>
              <w:t>Existing capacity levels, challenges and opportunities of indigenous peoples and other forest-dependent communities with regards to their par</w:t>
            </w:r>
            <w:r>
              <w:rPr>
                <w:sz w:val="18"/>
                <w:szCs w:val="18"/>
              </w:rPr>
              <w:t>ticipation in REDD+ governance</w:t>
            </w:r>
          </w:p>
          <w:p w:rsidR="005A7E32" w:rsidRPr="006B6D79" w:rsidRDefault="005A7E32" w:rsidP="001E47D6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5A7E32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Research Team</w:t>
            </w:r>
          </w:p>
          <w:p w:rsidR="005A7E32" w:rsidRPr="00AC6EE5" w:rsidRDefault="005A7E32" w:rsidP="001E47D6">
            <w:pPr>
              <w:rPr>
                <w:sz w:val="18"/>
              </w:rPr>
            </w:pPr>
          </w:p>
        </w:tc>
      </w:tr>
      <w:tr w:rsidR="005A7E32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17-18 April 2012</w:t>
            </w:r>
          </w:p>
        </w:tc>
        <w:tc>
          <w:tcPr>
            <w:tcW w:w="2700" w:type="dxa"/>
          </w:tcPr>
          <w:p w:rsidR="005A7E32" w:rsidRDefault="005A7E32" w:rsidP="001E47D6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South-South Lessons Learned  Exchange</w:t>
            </w:r>
          </w:p>
        </w:tc>
        <w:tc>
          <w:tcPr>
            <w:tcW w:w="2430" w:type="dxa"/>
          </w:tcPr>
          <w:p w:rsidR="005A7E32" w:rsidRPr="00B10D0C" w:rsidRDefault="005A7E32" w:rsidP="001E47D6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from the other 3 PGA pilots in the UN-REDD programme</w:t>
            </w:r>
          </w:p>
        </w:tc>
        <w:tc>
          <w:tcPr>
            <w:tcW w:w="2430" w:type="dxa"/>
          </w:tcPr>
          <w:p w:rsidR="005A7E32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PGA Project coordinator, Research Team, UNDP focal points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 w:rsidRPr="00AC6EE5">
              <w:rPr>
                <w:sz w:val="18"/>
              </w:rPr>
              <w:t>End of April</w:t>
            </w:r>
            <w:r>
              <w:rPr>
                <w:sz w:val="18"/>
              </w:rPr>
              <w:t xml:space="preserve"> 2012</w:t>
            </w:r>
          </w:p>
        </w:tc>
        <w:tc>
          <w:tcPr>
            <w:tcW w:w="2700" w:type="dxa"/>
          </w:tcPr>
          <w:p w:rsidR="005A7E32" w:rsidRPr="00AC6EE5" w:rsidRDefault="005A7E32" w:rsidP="001E47D6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Workshop 2</w:t>
            </w:r>
          </w:p>
          <w:p w:rsidR="005A7E32" w:rsidRPr="00CF4BE6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Stakeholder workshop to present the PGA approach for provincial/district stakeholders in the selected pilot province</w:t>
            </w:r>
          </w:p>
        </w:tc>
        <w:tc>
          <w:tcPr>
            <w:tcW w:w="2430" w:type="dxa"/>
          </w:tcPr>
          <w:p w:rsidR="005A7E32" w:rsidRDefault="005A7E32" w:rsidP="001E47D6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10D0C">
              <w:rPr>
                <w:sz w:val="18"/>
                <w:szCs w:val="18"/>
              </w:rPr>
              <w:t>To secure understanding and interest for the PGA across stakeholders</w:t>
            </w:r>
          </w:p>
          <w:p w:rsidR="005A7E32" w:rsidRDefault="005A7E32" w:rsidP="001E47D6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 awareness rising on REDD+</w:t>
            </w:r>
          </w:p>
          <w:p w:rsidR="005A7E32" w:rsidRDefault="005A7E32" w:rsidP="001E47D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10D0C">
              <w:rPr>
                <w:sz w:val="18"/>
                <w:szCs w:val="18"/>
              </w:rPr>
              <w:t>To debrief on, and review the mapping</w:t>
            </w:r>
            <w:r>
              <w:rPr>
                <w:sz w:val="18"/>
                <w:szCs w:val="18"/>
              </w:rPr>
              <w:t xml:space="preserve"> exercises</w:t>
            </w:r>
          </w:p>
          <w:p w:rsidR="005A7E32" w:rsidRDefault="005A7E32" w:rsidP="001E47D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B10D0C">
              <w:rPr>
                <w:sz w:val="18"/>
                <w:szCs w:val="18"/>
              </w:rPr>
              <w:t>To learn about relevant assessment methodologies</w:t>
            </w:r>
          </w:p>
          <w:p w:rsidR="005A7E32" w:rsidRDefault="005A7E32" w:rsidP="001E47D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344D95">
              <w:rPr>
                <w:sz w:val="18"/>
                <w:szCs w:val="18"/>
              </w:rPr>
              <w:t>To reach a consensus on critical issues to be assessed in the PGA</w:t>
            </w:r>
          </w:p>
          <w:p w:rsidR="005A7E32" w:rsidRPr="00B10D0C" w:rsidRDefault="005A7E32" w:rsidP="001E47D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Agree o</w:t>
            </w:r>
            <w:r w:rsidRPr="00344D95">
              <w:rPr>
                <w:sz w:val="18"/>
                <w:szCs w:val="18"/>
              </w:rPr>
              <w:t>n a first cut of possible indicators</w:t>
            </w:r>
          </w:p>
          <w:p w:rsidR="005A7E32" w:rsidRDefault="005A7E32" w:rsidP="001E47D6">
            <w:pPr>
              <w:rPr>
                <w:sz w:val="18"/>
              </w:rPr>
            </w:pP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Research Team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 w:rsidRPr="00AC6EE5">
              <w:rPr>
                <w:sz w:val="18"/>
              </w:rPr>
              <w:t>May-June</w:t>
            </w:r>
            <w:r>
              <w:rPr>
                <w:sz w:val="18"/>
              </w:rPr>
              <w:t xml:space="preserve"> 2012</w:t>
            </w:r>
          </w:p>
        </w:tc>
        <w:tc>
          <w:tcPr>
            <w:tcW w:w="270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Drafting of monitoring framework as a basis for the PGA data sampling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 w:rsidRPr="00AC6EE5">
              <w:rPr>
                <w:sz w:val="18"/>
              </w:rPr>
              <w:t xml:space="preserve">Research Team 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 w:rsidRPr="00AC6EE5">
              <w:rPr>
                <w:sz w:val="18"/>
              </w:rPr>
              <w:t>July</w:t>
            </w:r>
            <w:r>
              <w:rPr>
                <w:sz w:val="18"/>
              </w:rPr>
              <w:t xml:space="preserve"> 2012</w:t>
            </w:r>
          </w:p>
        </w:tc>
        <w:tc>
          <w:tcPr>
            <w:tcW w:w="2700" w:type="dxa"/>
          </w:tcPr>
          <w:p w:rsidR="005A7E32" w:rsidRPr="00AC6EE5" w:rsidRDefault="005A7E32" w:rsidP="001E47D6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Workshop 3</w:t>
            </w:r>
          </w:p>
          <w:p w:rsidR="005A7E32" w:rsidRPr="00335F96" w:rsidRDefault="005A7E32" w:rsidP="001E47D6">
            <w:pPr>
              <w:rPr>
                <w:sz w:val="18"/>
              </w:rPr>
            </w:pPr>
            <w:r w:rsidRPr="00AC6EE5">
              <w:rPr>
                <w:sz w:val="18"/>
              </w:rPr>
              <w:t xml:space="preserve">Stakeholder consultation </w:t>
            </w:r>
            <w:r>
              <w:rPr>
                <w:sz w:val="18"/>
              </w:rPr>
              <w:t>in the pilot province</w:t>
            </w:r>
          </w:p>
          <w:p w:rsidR="005A7E32" w:rsidRPr="00AC6EE5" w:rsidRDefault="005A7E32" w:rsidP="001E47D6">
            <w:pPr>
              <w:rPr>
                <w:sz w:val="18"/>
                <w:u w:val="single"/>
              </w:rPr>
            </w:pP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G</w:t>
            </w:r>
            <w:r w:rsidRPr="00AC6EE5">
              <w:rPr>
                <w:sz w:val="18"/>
              </w:rPr>
              <w:t xml:space="preserve">et feedback </w:t>
            </w:r>
            <w:r>
              <w:rPr>
                <w:sz w:val="18"/>
              </w:rPr>
              <w:t xml:space="preserve">and endorsement </w:t>
            </w:r>
            <w:r w:rsidRPr="00AC6EE5">
              <w:rPr>
                <w:sz w:val="18"/>
              </w:rPr>
              <w:t xml:space="preserve">on the draft </w:t>
            </w:r>
            <w:r>
              <w:rPr>
                <w:sz w:val="18"/>
              </w:rPr>
              <w:t xml:space="preserve">monitoring framework and the </w:t>
            </w:r>
            <w:r w:rsidRPr="00AC6EE5">
              <w:rPr>
                <w:sz w:val="18"/>
              </w:rPr>
              <w:t>indicator set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 w:rsidRPr="00AC6EE5">
              <w:rPr>
                <w:sz w:val="18"/>
              </w:rPr>
              <w:t>Research Team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July – August 2012</w:t>
            </w:r>
          </w:p>
        </w:tc>
        <w:tc>
          <w:tcPr>
            <w:tcW w:w="2700" w:type="dxa"/>
          </w:tcPr>
          <w:p w:rsidR="005A7E32" w:rsidRDefault="005A7E32" w:rsidP="001E47D6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STWG on Governance</w:t>
            </w:r>
          </w:p>
        </w:tc>
        <w:tc>
          <w:tcPr>
            <w:tcW w:w="2430" w:type="dxa"/>
          </w:tcPr>
          <w:p w:rsidR="005A7E32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Present the findings from the PGA for the STWG on Governance in Hanoi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Research Team; STWG; UNDP; UN-REDD Programme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 w:rsidRPr="00AC6EE5">
              <w:rPr>
                <w:sz w:val="18"/>
              </w:rPr>
              <w:t>July – August</w:t>
            </w:r>
            <w:r>
              <w:rPr>
                <w:sz w:val="18"/>
              </w:rPr>
              <w:t xml:space="preserve"> 2012</w:t>
            </w:r>
          </w:p>
        </w:tc>
        <w:tc>
          <w:tcPr>
            <w:tcW w:w="2700" w:type="dxa"/>
          </w:tcPr>
          <w:p w:rsidR="005A7E32" w:rsidRPr="00CF4BE6" w:rsidRDefault="005A7E32" w:rsidP="001E47D6">
            <w:pPr>
              <w:pStyle w:val="ListParagraph"/>
              <w:numPr>
                <w:ilvl w:val="0"/>
                <w:numId w:val="10"/>
              </w:numPr>
              <w:rPr>
                <w:sz w:val="18"/>
              </w:rPr>
            </w:pPr>
            <w:r w:rsidRPr="00CF4BE6">
              <w:rPr>
                <w:sz w:val="18"/>
              </w:rPr>
              <w:t>Developing data collection instruments</w:t>
            </w:r>
          </w:p>
          <w:p w:rsidR="005A7E32" w:rsidRPr="00CF4BE6" w:rsidRDefault="005A7E32" w:rsidP="001E47D6">
            <w:pPr>
              <w:pStyle w:val="ListParagraph"/>
              <w:numPr>
                <w:ilvl w:val="0"/>
                <w:numId w:val="10"/>
              </w:numPr>
              <w:rPr>
                <w:sz w:val="18"/>
              </w:rPr>
            </w:pPr>
            <w:r w:rsidRPr="00CF4BE6">
              <w:rPr>
                <w:sz w:val="18"/>
              </w:rPr>
              <w:t xml:space="preserve">Field testing of data collection instruments in pilot province </w:t>
            </w:r>
          </w:p>
          <w:p w:rsidR="005A7E32" w:rsidRPr="00CF4BE6" w:rsidRDefault="005A7E32" w:rsidP="001E47D6">
            <w:pPr>
              <w:pStyle w:val="ListParagraph"/>
              <w:numPr>
                <w:ilvl w:val="0"/>
                <w:numId w:val="10"/>
              </w:numPr>
              <w:rPr>
                <w:sz w:val="18"/>
              </w:rPr>
            </w:pPr>
            <w:r w:rsidRPr="00CF4BE6">
              <w:rPr>
                <w:sz w:val="18"/>
              </w:rPr>
              <w:t>Assessments of training needs of data collectors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TBD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September 2012</w:t>
            </w:r>
          </w:p>
        </w:tc>
        <w:tc>
          <w:tcPr>
            <w:tcW w:w="2700" w:type="dxa"/>
          </w:tcPr>
          <w:p w:rsidR="005A7E32" w:rsidRPr="00335F96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 xml:space="preserve">Data collection </w:t>
            </w:r>
          </w:p>
        </w:tc>
        <w:tc>
          <w:tcPr>
            <w:tcW w:w="2430" w:type="dxa"/>
          </w:tcPr>
          <w:p w:rsidR="005A7E32" w:rsidRDefault="005A7E32" w:rsidP="001E47D6">
            <w:pPr>
              <w:rPr>
                <w:sz w:val="18"/>
              </w:rPr>
            </w:pP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TBD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October 2012</w:t>
            </w:r>
          </w:p>
        </w:tc>
        <w:tc>
          <w:tcPr>
            <w:tcW w:w="2700" w:type="dxa"/>
          </w:tcPr>
          <w:p w:rsidR="005A7E32" w:rsidRPr="00C57AD3" w:rsidRDefault="005A7E32" w:rsidP="001E47D6">
            <w:pPr>
              <w:rPr>
                <w:sz w:val="18"/>
              </w:rPr>
            </w:pPr>
            <w:r w:rsidRPr="00C57AD3">
              <w:rPr>
                <w:sz w:val="18"/>
              </w:rPr>
              <w:t xml:space="preserve">South-South exchange </w:t>
            </w:r>
          </w:p>
        </w:tc>
        <w:tc>
          <w:tcPr>
            <w:tcW w:w="2430" w:type="dxa"/>
          </w:tcPr>
          <w:p w:rsidR="005A7E32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D</w:t>
            </w:r>
            <w:r w:rsidRPr="00C57AD3">
              <w:rPr>
                <w:sz w:val="18"/>
              </w:rPr>
              <w:t>elegation from Indonesia to visit Viet Nam to share experiences from their REDD+ PGA</w:t>
            </w: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Members of the Expert Panel and/or UNDP/PMU representatives in Indonesia.</w:t>
            </w:r>
          </w:p>
        </w:tc>
      </w:tr>
      <w:tr w:rsidR="005A7E32" w:rsidRPr="00AC6EE5" w:rsidTr="001E47D6">
        <w:trPr>
          <w:cantSplit/>
        </w:trPr>
        <w:tc>
          <w:tcPr>
            <w:tcW w:w="2358" w:type="dxa"/>
          </w:tcPr>
          <w:p w:rsidR="005A7E32" w:rsidRPr="00AC6EE5" w:rsidRDefault="005A7E32" w:rsidP="001E47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October – December 2012</w:t>
            </w:r>
          </w:p>
        </w:tc>
        <w:tc>
          <w:tcPr>
            <w:tcW w:w="2700" w:type="dxa"/>
          </w:tcPr>
          <w:p w:rsidR="005A7E32" w:rsidRPr="00335F96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Data analysis and dissemination</w:t>
            </w:r>
          </w:p>
        </w:tc>
        <w:tc>
          <w:tcPr>
            <w:tcW w:w="2430" w:type="dxa"/>
          </w:tcPr>
          <w:p w:rsidR="005A7E32" w:rsidRDefault="005A7E32" w:rsidP="001E47D6">
            <w:pPr>
              <w:rPr>
                <w:sz w:val="18"/>
              </w:rPr>
            </w:pPr>
          </w:p>
        </w:tc>
        <w:tc>
          <w:tcPr>
            <w:tcW w:w="2430" w:type="dxa"/>
          </w:tcPr>
          <w:p w:rsidR="005A7E32" w:rsidRPr="00AC6EE5" w:rsidRDefault="005A7E32" w:rsidP="001E47D6">
            <w:pPr>
              <w:rPr>
                <w:sz w:val="18"/>
              </w:rPr>
            </w:pPr>
            <w:r>
              <w:rPr>
                <w:sz w:val="18"/>
              </w:rPr>
              <w:t>TBD</w:t>
            </w:r>
          </w:p>
        </w:tc>
      </w:tr>
    </w:tbl>
    <w:p w:rsidR="00A33D97" w:rsidRPr="00477C88" w:rsidRDefault="00A33D97" w:rsidP="0017400F">
      <w:pPr>
        <w:jc w:val="both"/>
      </w:pPr>
    </w:p>
    <w:p w:rsidR="00A33D97" w:rsidRDefault="00A33D97" w:rsidP="0017400F">
      <w:pPr>
        <w:jc w:val="both"/>
      </w:pPr>
    </w:p>
    <w:p w:rsidR="00301607" w:rsidRDefault="00301607" w:rsidP="00301607">
      <w:pPr>
        <w:pStyle w:val="ListParagraph"/>
      </w:pPr>
    </w:p>
    <w:p w:rsidR="002641CD" w:rsidRDefault="002641CD"/>
    <w:sectPr w:rsidR="002641CD" w:rsidSect="00F0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813" w:rsidRDefault="00CC1813" w:rsidP="00301607">
      <w:pPr>
        <w:spacing w:after="0" w:line="240" w:lineRule="auto"/>
      </w:pPr>
      <w:r>
        <w:separator/>
      </w:r>
    </w:p>
  </w:endnote>
  <w:endnote w:type="continuationSeparator" w:id="1">
    <w:p w:rsidR="00CC1813" w:rsidRDefault="00CC1813" w:rsidP="0030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813" w:rsidRDefault="00CC1813" w:rsidP="00301607">
      <w:pPr>
        <w:spacing w:after="0" w:line="240" w:lineRule="auto"/>
      </w:pPr>
      <w:r>
        <w:separator/>
      </w:r>
    </w:p>
  </w:footnote>
  <w:footnote w:type="continuationSeparator" w:id="1">
    <w:p w:rsidR="00CC1813" w:rsidRDefault="00CC1813" w:rsidP="00301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C48"/>
    <w:multiLevelType w:val="hybridMultilevel"/>
    <w:tmpl w:val="E2DA4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6F4699"/>
    <w:multiLevelType w:val="hybridMultilevel"/>
    <w:tmpl w:val="A9F234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611F7"/>
    <w:multiLevelType w:val="hybridMultilevel"/>
    <w:tmpl w:val="C47449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71F4"/>
    <w:multiLevelType w:val="hybridMultilevel"/>
    <w:tmpl w:val="493E3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5B4A31"/>
    <w:multiLevelType w:val="hybridMultilevel"/>
    <w:tmpl w:val="B596C5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E907FA"/>
    <w:multiLevelType w:val="hybridMultilevel"/>
    <w:tmpl w:val="A90A78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73555"/>
    <w:multiLevelType w:val="hybridMultilevel"/>
    <w:tmpl w:val="8C705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7719D8"/>
    <w:multiLevelType w:val="hybridMultilevel"/>
    <w:tmpl w:val="76F4098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F71A3C"/>
    <w:multiLevelType w:val="hybridMultilevel"/>
    <w:tmpl w:val="5BC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B6F3B"/>
    <w:multiLevelType w:val="hybridMultilevel"/>
    <w:tmpl w:val="EB163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70C28"/>
    <w:multiLevelType w:val="hybridMultilevel"/>
    <w:tmpl w:val="2F24C8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88679D"/>
    <w:multiLevelType w:val="hybridMultilevel"/>
    <w:tmpl w:val="30B03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4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607"/>
    <w:rsid w:val="00081ECA"/>
    <w:rsid w:val="00147419"/>
    <w:rsid w:val="0015544D"/>
    <w:rsid w:val="0017400F"/>
    <w:rsid w:val="00222BDF"/>
    <w:rsid w:val="002641CD"/>
    <w:rsid w:val="00301607"/>
    <w:rsid w:val="00335400"/>
    <w:rsid w:val="00402E39"/>
    <w:rsid w:val="00426F1F"/>
    <w:rsid w:val="00477C88"/>
    <w:rsid w:val="004B07D6"/>
    <w:rsid w:val="004F3215"/>
    <w:rsid w:val="0055307D"/>
    <w:rsid w:val="005747F5"/>
    <w:rsid w:val="005A7E32"/>
    <w:rsid w:val="005E3D0F"/>
    <w:rsid w:val="00634E95"/>
    <w:rsid w:val="00675278"/>
    <w:rsid w:val="0072718D"/>
    <w:rsid w:val="00791884"/>
    <w:rsid w:val="00833307"/>
    <w:rsid w:val="008F5373"/>
    <w:rsid w:val="0093655B"/>
    <w:rsid w:val="009B6C75"/>
    <w:rsid w:val="00A266C7"/>
    <w:rsid w:val="00A27DEB"/>
    <w:rsid w:val="00A33D97"/>
    <w:rsid w:val="00C104E9"/>
    <w:rsid w:val="00C5504C"/>
    <w:rsid w:val="00C86D1C"/>
    <w:rsid w:val="00CC1813"/>
    <w:rsid w:val="00E7594B"/>
    <w:rsid w:val="00F02FAD"/>
    <w:rsid w:val="00F44D91"/>
    <w:rsid w:val="00F7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Table Grid" w:uiPriority="99"/>
    <w:lsdException w:name="List Paragraph" w:uiPriority="99" w:qFormat="1"/>
  </w:latentStyles>
  <w:style w:type="paragraph" w:default="1" w:styleId="Normal">
    <w:name w:val="Normal"/>
    <w:qFormat/>
    <w:rsid w:val="0030160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016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16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607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301607"/>
    <w:pPr>
      <w:ind w:left="720"/>
      <w:contextualSpacing/>
    </w:pPr>
  </w:style>
  <w:style w:type="character" w:customStyle="1" w:styleId="DefaultChar">
    <w:name w:val="Default Char"/>
    <w:basedOn w:val="DefaultParagraphFont"/>
    <w:link w:val="Default"/>
    <w:locked/>
    <w:rsid w:val="0030160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3016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01607"/>
    <w:pPr>
      <w:spacing w:line="181" w:lineRule="atLeast"/>
    </w:pPr>
    <w:rPr>
      <w:rFonts w:ascii="Myriad Roman" w:hAnsi="Myriad Roman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30160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1607"/>
    <w:rPr>
      <w:sz w:val="16"/>
      <w:szCs w:val="16"/>
    </w:rPr>
  </w:style>
  <w:style w:type="table" w:styleId="TableGrid">
    <w:name w:val="Table Grid"/>
    <w:basedOn w:val="TableNormal"/>
    <w:uiPriority w:val="99"/>
    <w:rsid w:val="00301607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35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4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00"/>
    <w:rPr>
      <w:rFonts w:ascii="Tahoma" w:hAnsi="Tahoma" w:cs="Tahoma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675278"/>
    <w:pPr>
      <w:spacing w:line="200" w:lineRule="atLeast"/>
    </w:pPr>
    <w:rPr>
      <w:rFonts w:ascii="Myriad Pro" w:eastAsiaTheme="minorHAnsi" w:hAnsi="Myriad Pro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F44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0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016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16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607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301607"/>
    <w:pPr>
      <w:ind w:left="720"/>
      <w:contextualSpacing/>
    </w:pPr>
  </w:style>
  <w:style w:type="character" w:customStyle="1" w:styleId="DefaultChar">
    <w:name w:val="Default Char"/>
    <w:basedOn w:val="DefaultParagraphFont"/>
    <w:link w:val="Default"/>
    <w:locked/>
    <w:rsid w:val="0030160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3016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01607"/>
    <w:pPr>
      <w:spacing w:line="181" w:lineRule="atLeast"/>
    </w:pPr>
    <w:rPr>
      <w:rFonts w:ascii="Myriad Roman" w:hAnsi="Myriad Roman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30160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1607"/>
    <w:rPr>
      <w:sz w:val="16"/>
      <w:szCs w:val="16"/>
    </w:rPr>
  </w:style>
  <w:style w:type="table" w:styleId="TableGrid">
    <w:name w:val="Table Grid"/>
    <w:basedOn w:val="TableNormal"/>
    <w:uiPriority w:val="99"/>
    <w:rsid w:val="00301607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354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4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4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Sujala Pant</dc:creator>
  <cp:lastModifiedBy>Tore.Langhelle</cp:lastModifiedBy>
  <cp:revision>2</cp:revision>
  <cp:lastPrinted>2012-03-02T10:26:00Z</cp:lastPrinted>
  <dcterms:created xsi:type="dcterms:W3CDTF">2012-03-03T07:20:00Z</dcterms:created>
  <dcterms:modified xsi:type="dcterms:W3CDTF">2012-03-03T07:20:00Z</dcterms:modified>
</cp:coreProperties>
</file>