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99" w:rsidRPr="00B82075" w:rsidRDefault="008B66E0" w:rsidP="008B66E0">
      <w:pPr>
        <w:pStyle w:val="Title"/>
        <w:rPr>
          <w:sz w:val="40"/>
          <w:szCs w:val="40"/>
        </w:rPr>
      </w:pPr>
      <w:r w:rsidRPr="00B82075">
        <w:rPr>
          <w:sz w:val="40"/>
          <w:szCs w:val="40"/>
        </w:rPr>
        <w:t xml:space="preserve">National </w:t>
      </w:r>
      <w:proofErr w:type="spellStart"/>
      <w:r w:rsidRPr="00B82075">
        <w:rPr>
          <w:sz w:val="40"/>
          <w:szCs w:val="40"/>
        </w:rPr>
        <w:t>REDD</w:t>
      </w:r>
      <w:proofErr w:type="spellEnd"/>
      <w:r w:rsidRPr="00B82075">
        <w:rPr>
          <w:sz w:val="40"/>
          <w:szCs w:val="40"/>
        </w:rPr>
        <w:t>+ Roadmap Taskforce</w:t>
      </w:r>
      <w:r w:rsidR="00B82075" w:rsidRPr="00B82075">
        <w:rPr>
          <w:sz w:val="40"/>
          <w:szCs w:val="40"/>
        </w:rPr>
        <w:t xml:space="preserve"> in Mongolia</w:t>
      </w:r>
    </w:p>
    <w:p w:rsidR="00002FA0" w:rsidRDefault="00002FA0" w:rsidP="00553BEF">
      <w:pPr>
        <w:jc w:val="center"/>
        <w:rPr>
          <w:b/>
          <w:sz w:val="36"/>
          <w:szCs w:val="36"/>
          <w:u w:val="single"/>
        </w:rPr>
      </w:pPr>
      <w:r w:rsidRPr="00C078FA">
        <w:rPr>
          <w:b/>
          <w:sz w:val="36"/>
          <w:szCs w:val="36"/>
          <w:u w:val="single"/>
        </w:rPr>
        <w:t>Terms of Reference</w:t>
      </w:r>
    </w:p>
    <w:p w:rsidR="00C078FA" w:rsidRPr="00C078FA" w:rsidRDefault="00C078FA" w:rsidP="00553BE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September 2011</w:t>
      </w:r>
    </w:p>
    <w:p w:rsidR="00553BEF" w:rsidRPr="00793599" w:rsidRDefault="00553BEF" w:rsidP="00553BEF">
      <w:pPr>
        <w:pStyle w:val="Heading1"/>
      </w:pPr>
      <w:r w:rsidRPr="00793599">
        <w:t xml:space="preserve">Background </w:t>
      </w:r>
    </w:p>
    <w:p w:rsidR="00553BEF" w:rsidRPr="00793599" w:rsidRDefault="00553BEF" w:rsidP="00553BEF">
      <w:proofErr w:type="spellStart"/>
      <w:r w:rsidRPr="00793599">
        <w:t>REDD</w:t>
      </w:r>
      <w:proofErr w:type="spellEnd"/>
      <w:r w:rsidRPr="00793599">
        <w:t>+ (Reducing Emissions from Deforestation and forest Degradation) is a</w:t>
      </w:r>
      <w:r w:rsidR="0016654C" w:rsidRPr="00793599">
        <w:t xml:space="preserve"> new</w:t>
      </w:r>
      <w:r w:rsidRPr="00793599">
        <w:t xml:space="preserve"> international mechanism to reward developing countries for reducing </w:t>
      </w:r>
      <w:r w:rsidR="008E73E6" w:rsidRPr="00793599">
        <w:t xml:space="preserve">their </w:t>
      </w:r>
      <w:r w:rsidRPr="00793599">
        <w:t xml:space="preserve">rate of deforestation and forest degradation, and for increasing carbon stocks.  As defined under the </w:t>
      </w:r>
      <w:r w:rsidRPr="00793599">
        <w:rPr>
          <w:i/>
        </w:rPr>
        <w:t>1992 United Nations Convention on Climate Change</w:t>
      </w:r>
      <w:r w:rsidRPr="00793599">
        <w:t xml:space="preserve">, </w:t>
      </w:r>
      <w:proofErr w:type="spellStart"/>
      <w:r w:rsidRPr="00793599">
        <w:t>REDD</w:t>
      </w:r>
      <w:proofErr w:type="spellEnd"/>
      <w:r w:rsidRPr="00793599">
        <w:t xml:space="preserve">+ will operate at the national level and will </w:t>
      </w:r>
      <w:r w:rsidR="0016654C" w:rsidRPr="00793599">
        <w:t>cover</w:t>
      </w:r>
      <w:r w:rsidRPr="00793599">
        <w:t xml:space="preserve"> all forested areas</w:t>
      </w:r>
      <w:r w:rsidR="0016654C" w:rsidRPr="00793599">
        <w:t xml:space="preserve"> in a country</w:t>
      </w:r>
      <w:r w:rsidRPr="00793599">
        <w:t xml:space="preserve">.  </w:t>
      </w:r>
      <w:r w:rsidRPr="00DA2C4F">
        <w:t xml:space="preserve">Countries will be rewarded for reducing their rate of </w:t>
      </w:r>
      <w:r w:rsidR="00D4481F" w:rsidRPr="00DA2C4F">
        <w:t>deforestation and forest degradation</w:t>
      </w:r>
      <w:r w:rsidR="00ED02E5" w:rsidRPr="00DA2C4F">
        <w:t>,</w:t>
      </w:r>
      <w:r w:rsidR="0061512D" w:rsidRPr="00DA2C4F">
        <w:t xml:space="preserve"> and for increasing their</w:t>
      </w:r>
      <w:r w:rsidR="00D4481F" w:rsidRPr="00DA2C4F">
        <w:t xml:space="preserve"> forest</w:t>
      </w:r>
      <w:r w:rsidR="0061512D" w:rsidRPr="00DA2C4F">
        <w:t xml:space="preserve"> carb</w:t>
      </w:r>
      <w:r w:rsidR="00ED02E5" w:rsidRPr="00DA2C4F">
        <w:t>on stocks</w:t>
      </w:r>
      <w:r w:rsidR="0061512D" w:rsidRPr="00DA2C4F">
        <w:t xml:space="preserve">.  </w:t>
      </w:r>
      <w:r w:rsidR="0061512D" w:rsidRPr="00793599">
        <w:t>Any reductions in deforestation or forest degradation at the sector or sub-national level will not b</w:t>
      </w:r>
      <w:bookmarkStart w:id="0" w:name="_GoBack"/>
      <w:bookmarkEnd w:id="0"/>
      <w:r w:rsidR="0061512D" w:rsidRPr="00793599">
        <w:t>e rewarded unless overall national rates also decline</w:t>
      </w:r>
      <w:r w:rsidR="0016654C" w:rsidRPr="00793599">
        <w:t>.  Similarly</w:t>
      </w:r>
      <w:r w:rsidR="0061512D" w:rsidRPr="00793599">
        <w:t>,</w:t>
      </w:r>
      <w:r w:rsidR="0016654C" w:rsidRPr="00793599">
        <w:t xml:space="preserve"> increases in </w:t>
      </w:r>
      <w:r w:rsidR="0061512D" w:rsidRPr="00793599">
        <w:t>carbon stocks</w:t>
      </w:r>
      <w:r w:rsidR="0016654C" w:rsidRPr="00793599">
        <w:t xml:space="preserve"> will not be rewarded unless the</w:t>
      </w:r>
      <w:r w:rsidR="0061512D" w:rsidRPr="00793599">
        <w:t xml:space="preserve"> increase</w:t>
      </w:r>
      <w:r w:rsidR="0016654C" w:rsidRPr="00793599">
        <w:t xml:space="preserve"> takes place at the national level</w:t>
      </w:r>
      <w:r w:rsidR="0061512D" w:rsidRPr="00793599">
        <w:t>.</w:t>
      </w:r>
    </w:p>
    <w:p w:rsidR="0061512D" w:rsidRPr="00793599" w:rsidRDefault="00AA6257" w:rsidP="00553BEF">
      <w:r>
        <w:t>I</w:t>
      </w:r>
      <w:r w:rsidR="0061512D" w:rsidRPr="00793599">
        <w:t xml:space="preserve">t is therefore necessary to establish </w:t>
      </w:r>
      <w:r w:rsidR="0016654C" w:rsidRPr="00793599">
        <w:t>a</w:t>
      </w:r>
      <w:r w:rsidR="0061512D" w:rsidRPr="00793599">
        <w:t xml:space="preserve"> national </w:t>
      </w:r>
      <w:r w:rsidR="00D045EB" w:rsidRPr="00793599">
        <w:t>coordinating body</w:t>
      </w:r>
      <w:r w:rsidR="0061512D" w:rsidRPr="00793599">
        <w:t xml:space="preserve"> which</w:t>
      </w:r>
      <w:r w:rsidR="008E73E6" w:rsidRPr="00793599">
        <w:t xml:space="preserve"> </w:t>
      </w:r>
      <w:r w:rsidR="00E95987">
        <w:t>has</w:t>
      </w:r>
      <w:r w:rsidR="0061512D" w:rsidRPr="00793599">
        <w:t xml:space="preserve"> broad cross-</w:t>
      </w:r>
      <w:proofErr w:type="spellStart"/>
      <w:r w:rsidR="0061512D" w:rsidRPr="00793599">
        <w:t>sectoral</w:t>
      </w:r>
      <w:proofErr w:type="spellEnd"/>
      <w:r w:rsidR="0061512D" w:rsidRPr="00793599">
        <w:t xml:space="preserve"> representation across government</w:t>
      </w:r>
      <w:r>
        <w:t xml:space="preserve"> in order for </w:t>
      </w:r>
      <w:proofErr w:type="spellStart"/>
      <w:r>
        <w:t>REDD</w:t>
      </w:r>
      <w:proofErr w:type="spellEnd"/>
      <w:r>
        <w:t>+ to be implemented on a national scale</w:t>
      </w:r>
      <w:r w:rsidR="00D045EB" w:rsidRPr="00793599">
        <w:t xml:space="preserve">.  The </w:t>
      </w:r>
      <w:proofErr w:type="gramStart"/>
      <w:r w:rsidR="00D045EB" w:rsidRPr="00793599">
        <w:t>body</w:t>
      </w:r>
      <w:proofErr w:type="gramEnd"/>
      <w:r w:rsidR="00D045EB" w:rsidRPr="00793599">
        <w:t xml:space="preserve"> should</w:t>
      </w:r>
      <w:r>
        <w:t xml:space="preserve"> also</w:t>
      </w:r>
      <w:r w:rsidR="00D045EB" w:rsidRPr="00793599">
        <w:t xml:space="preserve"> </w:t>
      </w:r>
      <w:r w:rsidR="0061512D" w:rsidRPr="00793599">
        <w:t>include</w:t>
      </w:r>
      <w:r w:rsidR="00D045EB" w:rsidRPr="00793599">
        <w:t xml:space="preserve"> representatives from</w:t>
      </w:r>
      <w:r w:rsidR="0061512D" w:rsidRPr="00793599">
        <w:t xml:space="preserve"> </w:t>
      </w:r>
      <w:r w:rsidR="00E95987">
        <w:t xml:space="preserve">non-government </w:t>
      </w:r>
      <w:r w:rsidR="0061512D" w:rsidRPr="00793599">
        <w:t>stakeholder</w:t>
      </w:r>
      <w:r w:rsidR="00E95987">
        <w:t>s and</w:t>
      </w:r>
      <w:r>
        <w:t xml:space="preserve"> should adopt</w:t>
      </w:r>
      <w:r w:rsidR="00E95987">
        <w:t xml:space="preserve"> a process </w:t>
      </w:r>
      <w:r>
        <w:t xml:space="preserve">to ensure </w:t>
      </w:r>
      <w:r w:rsidR="00E95987">
        <w:t xml:space="preserve">engagement with </w:t>
      </w:r>
      <w:r>
        <w:t>all</w:t>
      </w:r>
      <w:r w:rsidR="00E95987">
        <w:t xml:space="preserve"> stakeholders</w:t>
      </w:r>
      <w:r w:rsidR="0061512D" w:rsidRPr="00793599">
        <w:t>.</w:t>
      </w:r>
    </w:p>
    <w:p w:rsidR="0061512D" w:rsidRPr="00793599" w:rsidRDefault="008E73E6" w:rsidP="00553BEF">
      <w:r w:rsidRPr="00793599">
        <w:t>Under the</w:t>
      </w:r>
      <w:r w:rsidR="0098716A">
        <w:t xml:space="preserve"> emerging</w:t>
      </w:r>
      <w:r w:rsidRPr="00793599">
        <w:t xml:space="preserve"> </w:t>
      </w:r>
      <w:proofErr w:type="spellStart"/>
      <w:r w:rsidRPr="00793599">
        <w:t>UNFCCC</w:t>
      </w:r>
      <w:proofErr w:type="spellEnd"/>
      <w:r w:rsidRPr="00793599">
        <w:t xml:space="preserve"> framework</w:t>
      </w:r>
      <w:r w:rsidR="00B82075">
        <w:t xml:space="preserve"> for </w:t>
      </w:r>
      <w:proofErr w:type="spellStart"/>
      <w:r w:rsidR="00B82075">
        <w:t>REDD</w:t>
      </w:r>
      <w:proofErr w:type="spellEnd"/>
      <w:r w:rsidR="00B82075">
        <w:t>+</w:t>
      </w:r>
      <w:r w:rsidRPr="00793599">
        <w:t>,</w:t>
      </w:r>
      <w:r w:rsidR="00E95987">
        <w:rPr>
          <w:rStyle w:val="FootnoteReference"/>
        </w:rPr>
        <w:footnoteReference w:id="1"/>
      </w:r>
      <w:r w:rsidRPr="00793599">
        <w:t xml:space="preserve"> </w:t>
      </w:r>
      <w:r w:rsidR="00AA6257">
        <w:t xml:space="preserve">countries should adopt a </w:t>
      </w:r>
      <w:r w:rsidR="0061512D" w:rsidRPr="00793599">
        <w:t>three</w:t>
      </w:r>
      <w:r w:rsidR="00AA6257">
        <w:t>-</w:t>
      </w:r>
      <w:r w:rsidR="0061512D" w:rsidRPr="00793599">
        <w:t>phase</w:t>
      </w:r>
      <w:r w:rsidR="00AA6257">
        <w:t xml:space="preserve"> approach to </w:t>
      </w:r>
      <w:proofErr w:type="spellStart"/>
      <w:r w:rsidR="00AA6257">
        <w:t>REDD</w:t>
      </w:r>
      <w:proofErr w:type="spellEnd"/>
      <w:r w:rsidR="00AA6257">
        <w:t>+</w:t>
      </w:r>
      <w:r w:rsidR="0061512D" w:rsidRPr="00793599">
        <w:t>:</w:t>
      </w:r>
    </w:p>
    <w:p w:rsidR="0061512D" w:rsidRPr="00AA6257" w:rsidRDefault="0061512D" w:rsidP="0061512D">
      <w:pPr>
        <w:pStyle w:val="ListParagraph"/>
        <w:numPr>
          <w:ilvl w:val="0"/>
          <w:numId w:val="1"/>
        </w:numPr>
      </w:pPr>
      <w:r w:rsidRPr="00AA6257">
        <w:t xml:space="preserve">Phase 1: Development of a national </w:t>
      </w:r>
      <w:proofErr w:type="spellStart"/>
      <w:r w:rsidRPr="00AA6257">
        <w:t>REDD</w:t>
      </w:r>
      <w:proofErr w:type="spellEnd"/>
      <w:r w:rsidRPr="00AA6257">
        <w:t xml:space="preserve">+ </w:t>
      </w:r>
      <w:r w:rsidR="00B82075" w:rsidRPr="00AA6257">
        <w:t>strategy</w:t>
      </w:r>
      <w:r w:rsidR="00AA6257" w:rsidRPr="00AA6257">
        <w:t xml:space="preserve"> or action plan</w:t>
      </w:r>
    </w:p>
    <w:p w:rsidR="0061512D" w:rsidRPr="00793599" w:rsidRDefault="0061512D" w:rsidP="0061512D">
      <w:pPr>
        <w:pStyle w:val="ListParagraph"/>
        <w:numPr>
          <w:ilvl w:val="0"/>
          <w:numId w:val="1"/>
        </w:numPr>
      </w:pPr>
      <w:r w:rsidRPr="00793599">
        <w:t xml:space="preserve">Phase 2: Implementation of the national </w:t>
      </w:r>
      <w:proofErr w:type="spellStart"/>
      <w:r w:rsidRPr="00793599">
        <w:t>REDD</w:t>
      </w:r>
      <w:proofErr w:type="spellEnd"/>
      <w:r w:rsidRPr="00793599">
        <w:t>+</w:t>
      </w:r>
      <w:r w:rsidR="00021C23">
        <w:t xml:space="preserve"> </w:t>
      </w:r>
      <w:r w:rsidR="00AA6257">
        <w:t>Strategy</w:t>
      </w:r>
    </w:p>
    <w:p w:rsidR="0061512D" w:rsidRPr="00793599" w:rsidRDefault="0061512D" w:rsidP="0061512D">
      <w:pPr>
        <w:pStyle w:val="ListParagraph"/>
        <w:numPr>
          <w:ilvl w:val="0"/>
          <w:numId w:val="1"/>
        </w:numPr>
      </w:pPr>
      <w:r w:rsidRPr="00793599">
        <w:t xml:space="preserve">Phase 3: Operation of </w:t>
      </w:r>
      <w:proofErr w:type="spellStart"/>
      <w:r w:rsidRPr="00793599">
        <w:t>REDD</w:t>
      </w:r>
      <w:proofErr w:type="spellEnd"/>
      <w:r w:rsidRPr="00793599">
        <w:t>+.</w:t>
      </w:r>
    </w:p>
    <w:p w:rsidR="0061512D" w:rsidRDefault="0061512D" w:rsidP="00553BEF">
      <w:r w:rsidRPr="00793599">
        <w:t>These Terms of Reference address</w:t>
      </w:r>
      <w:r w:rsidR="00AA6257">
        <w:t xml:space="preserve"> the preliminary part of</w:t>
      </w:r>
      <w:r w:rsidRPr="00793599">
        <w:t xml:space="preserve"> Phase 1</w:t>
      </w:r>
      <w:r w:rsidR="0016654C" w:rsidRPr="00793599">
        <w:t xml:space="preserve"> only</w:t>
      </w:r>
      <w:r w:rsidR="00AA6257">
        <w:t xml:space="preserve">, namely, the development of a national </w:t>
      </w:r>
      <w:proofErr w:type="spellStart"/>
      <w:r w:rsidR="00AA6257">
        <w:t>REDD</w:t>
      </w:r>
      <w:proofErr w:type="spellEnd"/>
      <w:r w:rsidR="00AA6257">
        <w:t xml:space="preserve">+ Roadmap for Mongolia which will set out how Mongolia plans to design and implement a more comprehensive national </w:t>
      </w:r>
      <w:proofErr w:type="spellStart"/>
      <w:r w:rsidR="00AA6257">
        <w:t>REDD</w:t>
      </w:r>
      <w:proofErr w:type="spellEnd"/>
      <w:r w:rsidR="00AA6257">
        <w:t>+ strategy</w:t>
      </w:r>
      <w:r w:rsidR="004E07AF">
        <w:t>: see the process below</w:t>
      </w:r>
      <w:r w:rsidRPr="00793599">
        <w:t>.</w:t>
      </w:r>
      <w:r w:rsidR="00D045EB" w:rsidRPr="00793599">
        <w:t xml:space="preserve">  </w:t>
      </w:r>
    </w:p>
    <w:p w:rsidR="00AA6257" w:rsidRDefault="00AA6257" w:rsidP="00553BEF">
      <w:r>
        <w:rPr>
          <w:noProof/>
        </w:rPr>
        <w:drawing>
          <wp:inline distT="0" distB="0" distL="0" distR="0">
            <wp:extent cx="5486400" cy="742950"/>
            <wp:effectExtent l="57150" t="0" r="76200" b="571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98716A" w:rsidRDefault="0098716A" w:rsidP="0098716A">
      <w:pPr>
        <w:pStyle w:val="Heading1"/>
      </w:pPr>
      <w:r>
        <w:t>Dec</w:t>
      </w:r>
      <w:r w:rsidR="00B82075">
        <w:t>ree</w:t>
      </w:r>
      <w:r>
        <w:t xml:space="preserve"> to establish Taskforce</w:t>
      </w:r>
    </w:p>
    <w:p w:rsidR="0098716A" w:rsidRPr="0098716A" w:rsidRDefault="0098716A" w:rsidP="0098716A">
      <w:r>
        <w:t xml:space="preserve">A National </w:t>
      </w:r>
      <w:proofErr w:type="spellStart"/>
      <w:r>
        <w:t>REDD</w:t>
      </w:r>
      <w:proofErr w:type="spellEnd"/>
      <w:r>
        <w:t>+ Roadmap Taskforce</w:t>
      </w:r>
      <w:r w:rsidR="00B82075">
        <w:t xml:space="preserve"> in Mongolia </w:t>
      </w:r>
      <w:r>
        <w:t>is established under</w:t>
      </w:r>
      <w:r w:rsidR="00E82988">
        <w:t xml:space="preserve"> </w:t>
      </w:r>
      <w:r w:rsidR="0043314C">
        <w:t>Decree No XX</w:t>
      </w:r>
      <w:r w:rsidR="00AA6257">
        <w:t xml:space="preserve"> of September </w:t>
      </w:r>
      <w:r w:rsidR="0043314C">
        <w:t>2011</w:t>
      </w:r>
      <w:r w:rsidR="00AA6257">
        <w:t>,</w:t>
      </w:r>
      <w:r w:rsidR="0043314C">
        <w:t xml:space="preserve"> issued</w:t>
      </w:r>
      <w:r>
        <w:t xml:space="preserve"> by the </w:t>
      </w:r>
      <w:r w:rsidR="0043314C">
        <w:t>Minister for Nature, Environment and Tourism.</w:t>
      </w:r>
      <w:r w:rsidR="00E82988">
        <w:t xml:space="preserve">  </w:t>
      </w:r>
    </w:p>
    <w:p w:rsidR="00553BEF" w:rsidRPr="00793599" w:rsidRDefault="00D045EB" w:rsidP="00553BEF">
      <w:pPr>
        <w:pStyle w:val="Heading1"/>
      </w:pPr>
      <w:r w:rsidRPr="00793599">
        <w:lastRenderedPageBreak/>
        <w:t>Taskforce o</w:t>
      </w:r>
      <w:r w:rsidR="00002FA0" w:rsidRPr="00793599">
        <w:t>bjective</w:t>
      </w:r>
    </w:p>
    <w:p w:rsidR="0061512D" w:rsidRPr="00793599" w:rsidRDefault="00002FA0" w:rsidP="0061512D">
      <w:r w:rsidRPr="00793599">
        <w:t xml:space="preserve">The </w:t>
      </w:r>
      <w:r w:rsidR="0061512D" w:rsidRPr="00793599">
        <w:t xml:space="preserve">National </w:t>
      </w:r>
      <w:proofErr w:type="spellStart"/>
      <w:r w:rsidR="0061512D" w:rsidRPr="00793599">
        <w:t>REDD</w:t>
      </w:r>
      <w:proofErr w:type="spellEnd"/>
      <w:r w:rsidR="0061512D" w:rsidRPr="00793599">
        <w:t xml:space="preserve">+ Roadmap Taskforce is </w:t>
      </w:r>
      <w:r w:rsidRPr="00793599">
        <w:t xml:space="preserve">responsible for coordinating the </w:t>
      </w:r>
      <w:r w:rsidR="0043314C">
        <w:t>preparation</w:t>
      </w:r>
      <w:r w:rsidRPr="00793599">
        <w:t xml:space="preserve"> of a N</w:t>
      </w:r>
      <w:r w:rsidR="0061512D" w:rsidRPr="00793599">
        <w:t xml:space="preserve">ational </w:t>
      </w:r>
      <w:proofErr w:type="spellStart"/>
      <w:r w:rsidR="0061512D" w:rsidRPr="00793599">
        <w:t>REDD</w:t>
      </w:r>
      <w:proofErr w:type="spellEnd"/>
      <w:r w:rsidR="0061512D" w:rsidRPr="00793599">
        <w:t xml:space="preserve">+ </w:t>
      </w:r>
      <w:r w:rsidR="00021C23">
        <w:t xml:space="preserve">Readiness </w:t>
      </w:r>
      <w:r w:rsidR="0061512D" w:rsidRPr="00793599">
        <w:t>Roadmap for Mongolia</w:t>
      </w:r>
      <w:r w:rsidRPr="00793599">
        <w:t xml:space="preserve"> (Phase 1 above)</w:t>
      </w:r>
      <w:r w:rsidR="0061512D" w:rsidRPr="00793599">
        <w:t>.</w:t>
      </w:r>
      <w:r w:rsidR="00D045EB" w:rsidRPr="00793599">
        <w:t xml:space="preserve">  This will be achieved through the preparation of a</w:t>
      </w:r>
      <w:r w:rsidR="0015733E">
        <w:t xml:space="preserve"> document called a</w:t>
      </w:r>
      <w:r w:rsidR="00D045EB" w:rsidRPr="00793599">
        <w:t xml:space="preserve"> </w:t>
      </w:r>
      <w:r w:rsidR="0015733E">
        <w:t>‘</w:t>
      </w:r>
      <w:proofErr w:type="spellStart"/>
      <w:r w:rsidR="00D045EB" w:rsidRPr="006B1259">
        <w:rPr>
          <w:i/>
        </w:rPr>
        <w:t>REDD</w:t>
      </w:r>
      <w:proofErr w:type="spellEnd"/>
      <w:r w:rsidR="00D045EB" w:rsidRPr="006B1259">
        <w:rPr>
          <w:i/>
        </w:rPr>
        <w:t>+ Readiness Preparation Proposal</w:t>
      </w:r>
      <w:r w:rsidR="0015733E" w:rsidRPr="006B1259">
        <w:rPr>
          <w:i/>
        </w:rPr>
        <w:t>’</w:t>
      </w:r>
      <w:r w:rsidR="00D045EB" w:rsidRPr="00793599">
        <w:t xml:space="preserve"> (R-</w:t>
      </w:r>
      <w:proofErr w:type="spellStart"/>
      <w:r w:rsidR="00D045EB" w:rsidRPr="00793599">
        <w:t>PP</w:t>
      </w:r>
      <w:proofErr w:type="spellEnd"/>
      <w:r w:rsidR="00D045EB" w:rsidRPr="00793599">
        <w:t>).</w:t>
      </w:r>
      <w:r w:rsidR="00B82075">
        <w:t xml:space="preserve">  </w:t>
      </w:r>
      <w:proofErr w:type="spellStart"/>
      <w:r w:rsidR="006B1259">
        <w:t>Follwoing</w:t>
      </w:r>
      <w:proofErr w:type="spellEnd"/>
      <w:r w:rsidR="006B1259">
        <w:t xml:space="preserve"> the </w:t>
      </w:r>
      <w:proofErr w:type="spellStart"/>
      <w:r w:rsidR="006B1259">
        <w:t>REDD</w:t>
      </w:r>
      <w:proofErr w:type="spellEnd"/>
      <w:r w:rsidR="006B1259">
        <w:t>+ Roadmap, it should be noted that f</w:t>
      </w:r>
      <w:r w:rsidR="00B82075">
        <w:t xml:space="preserve">urther work will be required to develop a comprehensive </w:t>
      </w:r>
      <w:proofErr w:type="spellStart"/>
      <w:r w:rsidR="00B82075">
        <w:t>REDD</w:t>
      </w:r>
      <w:proofErr w:type="spellEnd"/>
      <w:r w:rsidR="00B82075">
        <w:t>+ Strategy</w:t>
      </w:r>
      <w:r w:rsidR="006B1259">
        <w:t xml:space="preserve"> in Mongolia</w:t>
      </w:r>
      <w:r w:rsidR="00B82075">
        <w:t>.</w:t>
      </w:r>
    </w:p>
    <w:p w:rsidR="0061512D" w:rsidRPr="00793599" w:rsidRDefault="00553BEF" w:rsidP="0061512D">
      <w:pPr>
        <w:pStyle w:val="Heading1"/>
      </w:pPr>
      <w:r w:rsidRPr="00793599">
        <w:t>Membership</w:t>
      </w:r>
      <w:r w:rsidR="00B82075">
        <w:t xml:space="preserve"> and structure</w:t>
      </w:r>
    </w:p>
    <w:p w:rsidR="0061512D" w:rsidRPr="00793599" w:rsidRDefault="0061512D" w:rsidP="0061512D">
      <w:r w:rsidRPr="00793599">
        <w:t>The</w:t>
      </w:r>
      <w:r w:rsidR="004E07AF">
        <w:t xml:space="preserve"> Members of the National </w:t>
      </w:r>
      <w:proofErr w:type="spellStart"/>
      <w:r w:rsidR="004E07AF">
        <w:t>REDD</w:t>
      </w:r>
      <w:proofErr w:type="spellEnd"/>
      <w:r w:rsidR="004E07AF">
        <w:t xml:space="preserve">+ </w:t>
      </w:r>
      <w:r w:rsidRPr="00793599">
        <w:t>Taskforce</w:t>
      </w:r>
      <w:r w:rsidR="004E07AF">
        <w:t xml:space="preserve"> are </w:t>
      </w:r>
      <w:proofErr w:type="gramStart"/>
      <w:r w:rsidR="004E07AF">
        <w:t>Annexed</w:t>
      </w:r>
      <w:proofErr w:type="gramEnd"/>
      <w:r w:rsidR="004E07AF">
        <w:t xml:space="preserve"> to the Decree establishing the Taskforce.  The members are</w:t>
      </w:r>
      <w:proofErr w:type="gramStart"/>
      <w:r w:rsidR="004E07AF">
        <w:t>:</w:t>
      </w:r>
      <w:r w:rsidRPr="00793599">
        <w:t>:</w:t>
      </w:r>
      <w:proofErr w:type="gramEnd"/>
      <w:r w:rsidR="0098716A">
        <w:t xml:space="preserve"> </w:t>
      </w:r>
    </w:p>
    <w:p w:rsidR="00C078FA" w:rsidRDefault="00C078FA" w:rsidP="00C078FA">
      <w:pPr>
        <w:pStyle w:val="ListParagraph"/>
        <w:numPr>
          <w:ilvl w:val="0"/>
          <w:numId w:val="11"/>
        </w:numPr>
      </w:pPr>
      <w:r>
        <w:t>Forestry Agency, Director</w:t>
      </w:r>
      <w:r w:rsidR="004E07AF">
        <w:t xml:space="preserve"> (Taskforce Chair)</w:t>
      </w:r>
    </w:p>
    <w:p w:rsidR="0061512D" w:rsidRDefault="0061512D" w:rsidP="00C078FA">
      <w:pPr>
        <w:pStyle w:val="ListParagraph"/>
        <w:numPr>
          <w:ilvl w:val="0"/>
          <w:numId w:val="11"/>
        </w:numPr>
      </w:pPr>
      <w:r w:rsidRPr="00793599">
        <w:t>Forestry Agency</w:t>
      </w:r>
      <w:r w:rsidR="004E07AF">
        <w:t>, Director of the Forestation Policy Division</w:t>
      </w:r>
      <w:r w:rsidR="00324210" w:rsidRPr="00793599">
        <w:t xml:space="preserve"> </w:t>
      </w:r>
      <w:r w:rsidR="00C078FA">
        <w:t>(</w:t>
      </w:r>
      <w:r w:rsidR="004E07AF">
        <w:t xml:space="preserve">Taskforce </w:t>
      </w:r>
      <w:r w:rsidR="00C078FA">
        <w:t>Secretary)</w:t>
      </w:r>
    </w:p>
    <w:p w:rsidR="006B1259" w:rsidRDefault="006B1259" w:rsidP="00C078FA">
      <w:pPr>
        <w:pStyle w:val="ListParagraph"/>
        <w:numPr>
          <w:ilvl w:val="0"/>
          <w:numId w:val="11"/>
        </w:numPr>
      </w:pPr>
      <w:r>
        <w:t>Cabinet Secretary of the Government of Mongolia</w:t>
      </w:r>
    </w:p>
    <w:p w:rsidR="006B1259" w:rsidRDefault="006B1259" w:rsidP="00C078FA">
      <w:pPr>
        <w:pStyle w:val="ListParagraph"/>
        <w:numPr>
          <w:ilvl w:val="0"/>
          <w:numId w:val="11"/>
        </w:numPr>
      </w:pPr>
      <w:r>
        <w:t>National Human Rights Commission, Director of the Division of Complaints, Monitoring and Evaluation</w:t>
      </w:r>
    </w:p>
    <w:p w:rsidR="006B1259" w:rsidRDefault="006B1259" w:rsidP="006B1259">
      <w:pPr>
        <w:pStyle w:val="ListParagraph"/>
        <w:numPr>
          <w:ilvl w:val="0"/>
          <w:numId w:val="11"/>
        </w:numPr>
      </w:pPr>
      <w:r>
        <w:t>Special Envoy for Climate Change, Mongolia</w:t>
      </w:r>
    </w:p>
    <w:p w:rsidR="006B1259" w:rsidRDefault="006B1259" w:rsidP="006B1259">
      <w:pPr>
        <w:pStyle w:val="ListParagraph"/>
        <w:numPr>
          <w:ilvl w:val="0"/>
          <w:numId w:val="11"/>
        </w:numPr>
      </w:pPr>
      <w:r>
        <w:t>Ministry of Food, Agriculture and Light Industry: Deputy Director of the Department of Livestock Policy Implementation</w:t>
      </w:r>
    </w:p>
    <w:p w:rsidR="006B1259" w:rsidRPr="00793599" w:rsidRDefault="006B1259" w:rsidP="006B1259">
      <w:pPr>
        <w:pStyle w:val="ListParagraph"/>
        <w:numPr>
          <w:ilvl w:val="0"/>
          <w:numId w:val="11"/>
        </w:numPr>
      </w:pPr>
      <w:r>
        <w:t>Ministry of Finance, Specialist of the Division of Budget Expenditure</w:t>
      </w:r>
    </w:p>
    <w:p w:rsidR="006B1259" w:rsidRPr="00793599" w:rsidRDefault="006B1259" w:rsidP="006B1259">
      <w:pPr>
        <w:pStyle w:val="ListParagraph"/>
        <w:numPr>
          <w:ilvl w:val="0"/>
          <w:numId w:val="11"/>
        </w:numPr>
      </w:pPr>
      <w:r>
        <w:t>Ministry for Nature, Environment and Tourism, Specialist of the Department of Environment and Natural Resource Management</w:t>
      </w:r>
    </w:p>
    <w:p w:rsidR="004E07AF" w:rsidRDefault="004E07AF" w:rsidP="00C078FA">
      <w:pPr>
        <w:pStyle w:val="ListParagraph"/>
        <w:numPr>
          <w:ilvl w:val="0"/>
          <w:numId w:val="11"/>
        </w:numPr>
      </w:pPr>
      <w:r>
        <w:t>Forestry Agency, Director of Forest Exploitation, Regulatory Division</w:t>
      </w:r>
    </w:p>
    <w:p w:rsidR="004E07AF" w:rsidRDefault="004E07AF" w:rsidP="00C078FA">
      <w:pPr>
        <w:pStyle w:val="ListParagraph"/>
        <w:numPr>
          <w:ilvl w:val="0"/>
          <w:numId w:val="11"/>
        </w:numPr>
      </w:pPr>
      <w:r>
        <w:t>Forestry Agency, Chair of the Forest Organization Service of the Forest Reserve and Forest Protection Division</w:t>
      </w:r>
    </w:p>
    <w:p w:rsidR="006B1259" w:rsidRDefault="006B1259" w:rsidP="00C078FA">
      <w:pPr>
        <w:pStyle w:val="ListParagraph"/>
        <w:numPr>
          <w:ilvl w:val="0"/>
          <w:numId w:val="11"/>
        </w:numPr>
      </w:pPr>
      <w:r>
        <w:t>Agency of Land Affairs, Geodesy and Cartography, Chair of the Urban Planning and Land Affairs Division</w:t>
      </w:r>
    </w:p>
    <w:p w:rsidR="006B1259" w:rsidRDefault="006B1259" w:rsidP="00C078FA">
      <w:pPr>
        <w:pStyle w:val="ListParagraph"/>
        <w:numPr>
          <w:ilvl w:val="0"/>
          <w:numId w:val="11"/>
        </w:numPr>
      </w:pPr>
      <w:r>
        <w:t>Agency of Mineral Resources, Specialist of the Mining Research Division</w:t>
      </w:r>
    </w:p>
    <w:p w:rsidR="0098716A" w:rsidRDefault="0015733E" w:rsidP="00C078FA">
      <w:pPr>
        <w:pStyle w:val="ListParagraph"/>
        <w:numPr>
          <w:ilvl w:val="0"/>
          <w:numId w:val="11"/>
        </w:numPr>
      </w:pPr>
      <w:r>
        <w:t>Mongolian Environment Civil Council</w:t>
      </w:r>
    </w:p>
    <w:p w:rsidR="006B1259" w:rsidRPr="00793599" w:rsidRDefault="006B1259" w:rsidP="006B1259">
      <w:pPr>
        <w:pStyle w:val="ListParagraph"/>
        <w:numPr>
          <w:ilvl w:val="0"/>
          <w:numId w:val="11"/>
        </w:numPr>
      </w:pPr>
      <w:r>
        <w:t>Mongolian National University, Head of the Department of Forest Study</w:t>
      </w:r>
    </w:p>
    <w:p w:rsidR="006B1259" w:rsidRDefault="006B1259" w:rsidP="006B1259">
      <w:pPr>
        <w:pStyle w:val="ListParagraph"/>
        <w:numPr>
          <w:ilvl w:val="0"/>
          <w:numId w:val="11"/>
        </w:numPr>
      </w:pPr>
      <w:r>
        <w:t xml:space="preserve">Ministry for Nature, Environment and Tourism, Chair of the Division of </w:t>
      </w:r>
      <w:proofErr w:type="spellStart"/>
      <w:r>
        <w:t>CDM</w:t>
      </w:r>
      <w:proofErr w:type="spellEnd"/>
    </w:p>
    <w:p w:rsidR="00002FA0" w:rsidRPr="00793599" w:rsidRDefault="006B1259" w:rsidP="00C078FA">
      <w:pPr>
        <w:pStyle w:val="ListParagraph"/>
        <w:numPr>
          <w:ilvl w:val="0"/>
          <w:numId w:val="11"/>
        </w:numPr>
      </w:pPr>
      <w:r>
        <w:t>Director of the ‘Future of Forest’ LLC</w:t>
      </w:r>
    </w:p>
    <w:p w:rsidR="0015733E" w:rsidRPr="00793599" w:rsidRDefault="006B1259" w:rsidP="00C078FA">
      <w:pPr>
        <w:pStyle w:val="ListParagraph"/>
        <w:numPr>
          <w:ilvl w:val="0"/>
          <w:numId w:val="11"/>
        </w:numPr>
      </w:pPr>
      <w:r>
        <w:t>Head of Association of Forest Entrepreneurs</w:t>
      </w:r>
    </w:p>
    <w:p w:rsidR="00854AB3" w:rsidRDefault="00854AB3" w:rsidP="00854AB3">
      <w:pPr>
        <w:pStyle w:val="Heading2"/>
      </w:pPr>
      <w:r>
        <w:t>Chair and Secretariat</w:t>
      </w:r>
    </w:p>
    <w:p w:rsidR="00002FA0" w:rsidRDefault="00002FA0" w:rsidP="0061512D">
      <w:r w:rsidRPr="00793599">
        <w:t xml:space="preserve">The Chair of the Taskforce is the </w:t>
      </w:r>
      <w:r w:rsidR="00854AB3">
        <w:t xml:space="preserve">Director of the </w:t>
      </w:r>
      <w:r w:rsidRPr="00793599">
        <w:t>Forestry Agency</w:t>
      </w:r>
      <w:r w:rsidR="00854AB3">
        <w:t xml:space="preserve"> within the Ministry of Nature, Environment and Tourism</w:t>
      </w:r>
      <w:r w:rsidRPr="00793599">
        <w:t>.</w:t>
      </w:r>
      <w:r w:rsidR="006B1259">
        <w:t xml:space="preserve"> The Chair will responsible for calling meetings of the Taskforce and Working Groups.</w:t>
      </w:r>
    </w:p>
    <w:p w:rsidR="00854AB3" w:rsidRPr="00793599" w:rsidRDefault="00854AB3" w:rsidP="00854AB3">
      <w:r w:rsidRPr="00793599">
        <w:t xml:space="preserve">The Secretariat of the Taskforce </w:t>
      </w:r>
      <w:r>
        <w:t>is</w:t>
      </w:r>
      <w:r w:rsidR="00C078FA">
        <w:t xml:space="preserve"> the Forestry Agency</w:t>
      </w:r>
      <w:r w:rsidRPr="00793599">
        <w:t>.</w:t>
      </w:r>
      <w:r w:rsidR="0015733E">
        <w:t xml:space="preserve">  The Secretariat will be responsible for arranging meetings of the Taskforce and Working Groups and for taking minutes of meetings.</w:t>
      </w:r>
    </w:p>
    <w:p w:rsidR="006F7E31" w:rsidRDefault="00FC1F17" w:rsidP="00B82075">
      <w:pPr>
        <w:pStyle w:val="Heading2"/>
      </w:pPr>
      <w:r>
        <w:t>Working Groups</w:t>
      </w:r>
    </w:p>
    <w:p w:rsidR="00674853" w:rsidRDefault="00FC1F17" w:rsidP="00674853">
      <w:r>
        <w:t>The Taskforce may carry out its work through Working Groups.  The Chair shall determine the</w:t>
      </w:r>
      <w:r w:rsidR="00EB2665">
        <w:t xml:space="preserve"> membership and</w:t>
      </w:r>
      <w:r>
        <w:t xml:space="preserve"> tasks of each Working Group</w:t>
      </w:r>
      <w:r w:rsidR="00EB2665">
        <w:t>.  The Chair may</w:t>
      </w:r>
      <w:r>
        <w:t xml:space="preserve"> appoint a Chair for each Working Group.</w:t>
      </w:r>
      <w:r w:rsidR="00EB2665">
        <w:t xml:space="preserve">  UNDP will assist with providing facilitators for each Working Group.</w:t>
      </w:r>
    </w:p>
    <w:p w:rsidR="00854AB3" w:rsidRPr="00793599" w:rsidRDefault="00854AB3" w:rsidP="00B82075">
      <w:pPr>
        <w:pStyle w:val="Heading2"/>
      </w:pPr>
      <w:r>
        <w:lastRenderedPageBreak/>
        <w:t>Advisory Board</w:t>
      </w:r>
    </w:p>
    <w:p w:rsidR="00854AB3" w:rsidRDefault="00002FA0" w:rsidP="0061512D">
      <w:r w:rsidRPr="00793599">
        <w:t>The</w:t>
      </w:r>
      <w:r w:rsidR="00854AB3">
        <w:t xml:space="preserve"> </w:t>
      </w:r>
      <w:r w:rsidRPr="00793599">
        <w:t>Taskforce</w:t>
      </w:r>
      <w:r w:rsidR="00854AB3">
        <w:t xml:space="preserve"> will </w:t>
      </w:r>
      <w:r w:rsidRPr="00793599">
        <w:t>be supported by</w:t>
      </w:r>
      <w:r w:rsidR="00854AB3">
        <w:t xml:space="preserve"> an Advisory Board</w:t>
      </w:r>
      <w:r w:rsidR="00EB2665">
        <w:t xml:space="preserve"> which will have</w:t>
      </w:r>
      <w:r w:rsidRPr="00793599">
        <w:t xml:space="preserve"> </w:t>
      </w:r>
      <w:r w:rsidR="00854AB3">
        <w:t>the following members:</w:t>
      </w:r>
    </w:p>
    <w:p w:rsidR="0015733E" w:rsidRDefault="0015733E" w:rsidP="00854AB3">
      <w:pPr>
        <w:pStyle w:val="ListParagraph"/>
        <w:numPr>
          <w:ilvl w:val="0"/>
          <w:numId w:val="7"/>
        </w:numPr>
      </w:pPr>
      <w:r>
        <w:t xml:space="preserve">Ministry of Nature, Environment and Tourism, </w:t>
      </w:r>
      <w:proofErr w:type="spellStart"/>
      <w:r>
        <w:t>Mr</w:t>
      </w:r>
      <w:proofErr w:type="spellEnd"/>
      <w:r>
        <w:t xml:space="preserve"> </w:t>
      </w:r>
      <w:proofErr w:type="spellStart"/>
      <w:r>
        <w:t>Ts</w:t>
      </w:r>
      <w:proofErr w:type="spellEnd"/>
      <w:r>
        <w:t xml:space="preserve">. </w:t>
      </w:r>
      <w:proofErr w:type="spellStart"/>
      <w:r>
        <w:t>Banzragch</w:t>
      </w:r>
      <w:proofErr w:type="spellEnd"/>
      <w:r w:rsidR="00854AB3">
        <w:t xml:space="preserve"> </w:t>
      </w:r>
    </w:p>
    <w:p w:rsidR="00FC1F17" w:rsidRDefault="00002FA0" w:rsidP="00854AB3">
      <w:pPr>
        <w:pStyle w:val="ListParagraph"/>
        <w:numPr>
          <w:ilvl w:val="0"/>
          <w:numId w:val="7"/>
        </w:numPr>
      </w:pPr>
      <w:r w:rsidRPr="00793599">
        <w:t>UNDP</w:t>
      </w:r>
      <w:r w:rsidR="00FC1F17">
        <w:t xml:space="preserve"> </w:t>
      </w:r>
      <w:r w:rsidR="00854AB3">
        <w:t>Country Office, Mongolia</w:t>
      </w:r>
      <w:r w:rsidR="00FC1F17">
        <w:t xml:space="preserve"> </w:t>
      </w:r>
    </w:p>
    <w:p w:rsidR="00854AB3" w:rsidRDefault="00FC1F17" w:rsidP="00854AB3">
      <w:pPr>
        <w:pStyle w:val="ListParagraph"/>
        <w:numPr>
          <w:ilvl w:val="0"/>
          <w:numId w:val="7"/>
        </w:numPr>
      </w:pPr>
      <w:r>
        <w:t>UN-REDD Programme/UNDP Asia-Pacific Regional Centre)</w:t>
      </w:r>
    </w:p>
    <w:p w:rsidR="00854AB3" w:rsidRDefault="00002FA0" w:rsidP="00854AB3">
      <w:pPr>
        <w:pStyle w:val="ListParagraph"/>
        <w:numPr>
          <w:ilvl w:val="0"/>
          <w:numId w:val="7"/>
        </w:numPr>
      </w:pPr>
      <w:r w:rsidRPr="00793599">
        <w:t>FAO</w:t>
      </w:r>
    </w:p>
    <w:p w:rsidR="00854AB3" w:rsidRDefault="00FC1F17" w:rsidP="00854AB3">
      <w:pPr>
        <w:pStyle w:val="ListParagraph"/>
        <w:numPr>
          <w:ilvl w:val="0"/>
          <w:numId w:val="7"/>
        </w:numPr>
      </w:pPr>
      <w:r>
        <w:t xml:space="preserve"> GIZ.</w:t>
      </w:r>
    </w:p>
    <w:p w:rsidR="00324210" w:rsidRPr="00793599" w:rsidRDefault="00EB2665" w:rsidP="00EB2665">
      <w:pPr>
        <w:pStyle w:val="Heading1"/>
      </w:pPr>
      <w:r>
        <w:t xml:space="preserve">Work of </w:t>
      </w:r>
      <w:r w:rsidR="00324210" w:rsidRPr="00793599">
        <w:t>Taskforce</w:t>
      </w:r>
    </w:p>
    <w:p w:rsidR="00EB2665" w:rsidRDefault="00EB2665" w:rsidP="00E82988">
      <w:pPr>
        <w:pStyle w:val="ListParagraph"/>
        <w:numPr>
          <w:ilvl w:val="0"/>
          <w:numId w:val="8"/>
        </w:numPr>
      </w:pPr>
      <w:r>
        <w:t xml:space="preserve">To collect and provide baseline information on the state of forestry, drivers of deforestation and forest degradation, forest inventory and land use, </w:t>
      </w:r>
      <w:proofErr w:type="spellStart"/>
      <w:r>
        <w:t>etc</w:t>
      </w:r>
      <w:proofErr w:type="spellEnd"/>
      <w:r>
        <w:t xml:space="preserve">, for compilation in the </w:t>
      </w:r>
      <w:proofErr w:type="spellStart"/>
      <w:r>
        <w:t>REDD</w:t>
      </w:r>
      <w:proofErr w:type="spellEnd"/>
      <w:r>
        <w:t>+ Roadmap</w:t>
      </w:r>
    </w:p>
    <w:p w:rsidR="00EB2665" w:rsidRDefault="00EB2665" w:rsidP="00E82988">
      <w:pPr>
        <w:pStyle w:val="ListParagraph"/>
        <w:numPr>
          <w:ilvl w:val="0"/>
          <w:numId w:val="8"/>
        </w:numPr>
      </w:pPr>
      <w:r w:rsidRPr="00793599">
        <w:t>To</w:t>
      </w:r>
      <w:r>
        <w:t xml:space="preserve"> participate in and</w:t>
      </w:r>
      <w:r w:rsidRPr="00793599">
        <w:t xml:space="preserve"> manage</w:t>
      </w:r>
      <w:r>
        <w:t>, either directly or through participation in a working group, of</w:t>
      </w:r>
      <w:r w:rsidRPr="00793599">
        <w:t xml:space="preserve"> the</w:t>
      </w:r>
      <w:r>
        <w:t xml:space="preserve"> process of drafting the</w:t>
      </w:r>
      <w:r w:rsidRPr="00793599">
        <w:t xml:space="preserve"> </w:t>
      </w:r>
      <w:proofErr w:type="spellStart"/>
      <w:r w:rsidRPr="00793599">
        <w:t>REDD</w:t>
      </w:r>
      <w:proofErr w:type="spellEnd"/>
      <w:r w:rsidRPr="00793599">
        <w:t xml:space="preserve">+ </w:t>
      </w:r>
      <w:r>
        <w:t xml:space="preserve">Readiness </w:t>
      </w:r>
      <w:r w:rsidRPr="00793599">
        <w:t xml:space="preserve">Roadmap </w:t>
      </w:r>
    </w:p>
    <w:p w:rsidR="00EB2665" w:rsidRDefault="00E82988" w:rsidP="00553BEF">
      <w:pPr>
        <w:pStyle w:val="ListParagraph"/>
        <w:numPr>
          <w:ilvl w:val="0"/>
          <w:numId w:val="8"/>
        </w:numPr>
      </w:pPr>
      <w:r>
        <w:t xml:space="preserve">To review drafts of the </w:t>
      </w:r>
      <w:proofErr w:type="spellStart"/>
      <w:r>
        <w:t>REDD</w:t>
      </w:r>
      <w:proofErr w:type="spellEnd"/>
      <w:r>
        <w:t>+</w:t>
      </w:r>
      <w:r w:rsidR="00021C23">
        <w:t xml:space="preserve"> Readiness </w:t>
      </w:r>
      <w:r w:rsidR="00EB2665">
        <w:t>Roadmap</w:t>
      </w:r>
    </w:p>
    <w:p w:rsidR="00E82988" w:rsidRDefault="00EB2665" w:rsidP="00553BEF">
      <w:pPr>
        <w:pStyle w:val="ListParagraph"/>
        <w:numPr>
          <w:ilvl w:val="0"/>
          <w:numId w:val="8"/>
        </w:numPr>
      </w:pPr>
      <w:r>
        <w:t xml:space="preserve">To request technical guidance and assistance from the Advisory Body as and when required during the preparation of the </w:t>
      </w:r>
      <w:proofErr w:type="spellStart"/>
      <w:r>
        <w:t>REDD</w:t>
      </w:r>
      <w:proofErr w:type="spellEnd"/>
      <w:r>
        <w:t>+ Roadmap</w:t>
      </w:r>
    </w:p>
    <w:p w:rsidR="00002FA0" w:rsidRPr="00793599" w:rsidRDefault="00324210" w:rsidP="00553BEF">
      <w:pPr>
        <w:pStyle w:val="ListParagraph"/>
        <w:numPr>
          <w:ilvl w:val="0"/>
          <w:numId w:val="8"/>
        </w:numPr>
      </w:pPr>
      <w:r w:rsidRPr="00793599">
        <w:t>To guide</w:t>
      </w:r>
      <w:r w:rsidR="00EB2665">
        <w:t xml:space="preserve"> the process of</w:t>
      </w:r>
      <w:r w:rsidRPr="00793599">
        <w:t xml:space="preserve"> stakeholder consultation and awareness-raising about </w:t>
      </w:r>
      <w:proofErr w:type="spellStart"/>
      <w:r w:rsidR="00E82988">
        <w:t>REDD</w:t>
      </w:r>
      <w:proofErr w:type="spellEnd"/>
      <w:r w:rsidR="00E82988">
        <w:t xml:space="preserve">+ and </w:t>
      </w:r>
      <w:r w:rsidR="00EB2665">
        <w:t xml:space="preserve">to ensure that all relevant stakeholders are consulted during </w:t>
      </w:r>
      <w:r w:rsidRPr="00793599">
        <w:t xml:space="preserve">the </w:t>
      </w:r>
      <w:r w:rsidR="00EB2665">
        <w:t xml:space="preserve">process of developing the </w:t>
      </w:r>
      <w:proofErr w:type="spellStart"/>
      <w:r w:rsidR="00E82988">
        <w:t>REDD</w:t>
      </w:r>
      <w:proofErr w:type="spellEnd"/>
      <w:r w:rsidR="00E82988">
        <w:t xml:space="preserve">+ </w:t>
      </w:r>
      <w:r w:rsidR="00021C23">
        <w:t xml:space="preserve">Readiness </w:t>
      </w:r>
      <w:r w:rsidR="00E82988">
        <w:t>Roadmap.</w:t>
      </w:r>
    </w:p>
    <w:p w:rsidR="00324210" w:rsidRPr="00793599" w:rsidRDefault="00324210" w:rsidP="00324210">
      <w:pPr>
        <w:pStyle w:val="Heading1"/>
      </w:pPr>
      <w:r w:rsidRPr="00793599">
        <w:t>Reporting</w:t>
      </w:r>
    </w:p>
    <w:p w:rsidR="00E82988" w:rsidRDefault="00E82988" w:rsidP="00324210">
      <w:r>
        <w:t xml:space="preserve">The Director of the Forestry Agency is responsible for reporting on the progress and decisions of the Taskforce to </w:t>
      </w:r>
      <w:r w:rsidR="00B82075">
        <w:t>the Minister for Nature, Environment and Tourism</w:t>
      </w:r>
      <w:r>
        <w:t>.</w:t>
      </w:r>
      <w:r w:rsidR="00EB2665">
        <w:t xml:space="preserve">  Each member of the Taskforce will be responsible for reporting to his or her own line agency or organization.</w:t>
      </w:r>
    </w:p>
    <w:p w:rsidR="00324210" w:rsidRPr="00793599" w:rsidRDefault="00324210" w:rsidP="00324210">
      <w:r w:rsidRPr="00793599">
        <w:t>UNDP</w:t>
      </w:r>
      <w:r w:rsidR="00B82075">
        <w:t xml:space="preserve"> will be responsible for reporting to the UN-REDD Programme</w:t>
      </w:r>
      <w:r w:rsidR="00EB2665">
        <w:t xml:space="preserve"> (FAO and UNEP)</w:t>
      </w:r>
      <w:r w:rsidRPr="00793599">
        <w:t>.</w:t>
      </w:r>
    </w:p>
    <w:p w:rsidR="00324210" w:rsidRPr="00793599" w:rsidRDefault="00324210" w:rsidP="00324210">
      <w:pPr>
        <w:pStyle w:val="Heading1"/>
      </w:pPr>
      <w:r w:rsidRPr="00793599">
        <w:t xml:space="preserve">Duration of Taskforce </w:t>
      </w:r>
    </w:p>
    <w:p w:rsidR="00324210" w:rsidRDefault="00E82988" w:rsidP="00553BEF">
      <w:r>
        <w:t xml:space="preserve">Preparation of the </w:t>
      </w:r>
      <w:proofErr w:type="spellStart"/>
      <w:r>
        <w:t>REDD</w:t>
      </w:r>
      <w:proofErr w:type="spellEnd"/>
      <w:r>
        <w:t xml:space="preserve">+ Roadmap </w:t>
      </w:r>
      <w:r w:rsidR="00324210" w:rsidRPr="00793599">
        <w:t>will begin in September 2011 and is estimated to be completed by</w:t>
      </w:r>
      <w:r w:rsidR="00EB2665">
        <w:t xml:space="preserve"> the end of</w:t>
      </w:r>
      <w:r w:rsidR="00B82075">
        <w:t xml:space="preserve"> </w:t>
      </w:r>
      <w:r>
        <w:t>January</w:t>
      </w:r>
      <w:r w:rsidR="00324210" w:rsidRPr="00793599">
        <w:t xml:space="preserve"> 2012.</w:t>
      </w:r>
    </w:p>
    <w:p w:rsidR="00A62DEE" w:rsidRPr="00793599" w:rsidRDefault="00A62DEE" w:rsidP="00553BEF"/>
    <w:p w:rsidR="00B82075" w:rsidRDefault="00B8207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E464BB" w:rsidRDefault="00A62DEE" w:rsidP="00A62DEE">
      <w:pPr>
        <w:pStyle w:val="Heading1"/>
      </w:pPr>
      <w:r>
        <w:lastRenderedPageBreak/>
        <w:t xml:space="preserve">Annex A: Diagram </w:t>
      </w:r>
      <w:r w:rsidR="00667D53">
        <w:t xml:space="preserve">of </w:t>
      </w:r>
      <w:r w:rsidR="00B82075">
        <w:t>Taskforce</w:t>
      </w:r>
      <w:r>
        <w:t xml:space="preserve"> structure</w:t>
      </w:r>
    </w:p>
    <w:p w:rsidR="00A62DEE" w:rsidRPr="00793599" w:rsidRDefault="00402C16" w:rsidP="00553BE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988695</wp:posOffset>
                </wp:positionV>
                <wp:extent cx="476250" cy="314325"/>
                <wp:effectExtent l="19050" t="76200" r="57150" b="10477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14325"/>
                        </a:xfrm>
                        <a:prstGeom prst="rightArrow">
                          <a:avLst>
                            <a:gd name="adj1" fmla="val 50000"/>
                            <a:gd name="adj2" fmla="val 37879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117.75pt;margin-top:77.85pt;width:37.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C3EqQIAANsFAAAOAAAAZHJzL2Uyb0RvYy54bWysVEtv2zAMvg/YfxB0X/1I0iRGnaJo12HA&#10;HgW6YWdFkmNtsqRJSpzu14+i3cxdTxvqgyGS0kfy4+Pi8thpcpA+KGtqWpzllEjDrVBmV9OvX27f&#10;rCgJkRnBtDWypg8y0MvN61cXvatkaVurhfQEQEyoelfTNkZXZVngrexYOLNOGjA21ncsguh3mfCs&#10;B/ROZ2Wen2e99cJ5y2UIoL0ZjHSD+E0jefzcNEFGomsKsUX8e/xv0z/bXLBq55lrFR/DYP8RRceU&#10;AacnqBsWGdl79QyqU9zbYJt4xm2X2aZRXGIOkE2R/5XNfcucxFyAnOBONIWXg+WfDneeKFHTBSWG&#10;dVCiq3206JmUiZ7ehQpu3bs7nxIM7oPlPwIx9rplZievvLd9K5mAoIp0P3vyIAkBnpJt/9EKQGeA&#10;jkwdG98lQOCAHLEgD6eCyGMkHJTz5Xm5gLJxMM2K+axcoAdWPT52PsR30nYkHWrq1a6NGBG6YIcP&#10;IWJVxJgbE98LSppOQ5EPTJNFDt/YBJM75fTObLlarke/I2LGqkfPyInVStwqrVFIrSuvtSfgAPLl&#10;XJpYYDx63wEJg75InkfXoIcuHfSoAnycgAQDjII09aAN6YGPFUAg7BPj6d0AF4/lS7ruVIRx1aqr&#10;6WqSQKr/WyNwmCJTejhD3NokSiQO4lgLuweI+1b0RKhUs3I1W8OSEAqmcrbKz/P1khKmd7BOePSU&#10;eBu/qdhiR6YG+QeOJ9V9RjGrmHYtG1g6XXxG/ClaLMMkEWzz1NnDhGyteIAuh2CxlWEjwqG1/hcl&#10;PWyXmoafe+YlJfq9gUlZF/N5WkcozBfLEgQ/tWynFmY4QNU0AjF4vI7DCts77Pg0eYkWY9PsNio+&#10;juEQ1TiTsEEwiXHbpRU1lfHWn528+Q0AAP//AwBQSwMEFAAGAAgAAAAhAJ5h+Z3gAAAACwEAAA8A&#10;AABkcnMvZG93bnJldi54bWxMj8FOwzAMhu9IvENkJG4sXaewqTSdAAkJMQZb2YVb1nhtReNUTbaV&#10;t8ec4Gh/v35/zpej68QJh9B60jCdJCCQKm9bqjXsPp5uFiBCNGRN5wk1fGOAZXF5kZvM+jNt8VTG&#10;WnAJhcxoaGLsMylD1aAzYeJ7JGYHPzgTeRxqaQdz5nLXyTRJbqUzLfGFxvT42GD1VR6dhpfP9aF/&#10;e3gtN+9z8rR4Xrl2t9L6+mq8vwMRcYx/YfjVZ3Uo2Gnvj2SD6DSkM6U4ykCpOQhOzKYJb/aMEpWC&#10;LHL5/4fiBwAA//8DAFBLAQItABQABgAIAAAAIQC2gziS/gAAAOEBAAATAAAAAAAAAAAAAAAAAAAA&#10;AABbQ29udGVudF9UeXBlc10ueG1sUEsBAi0AFAAGAAgAAAAhADj9If/WAAAAlAEAAAsAAAAAAAAA&#10;AAAAAAAALwEAAF9yZWxzLy5yZWxzUEsBAi0AFAAGAAgAAAAhAP6ALcSpAgAA2wUAAA4AAAAAAAAA&#10;AAAAAAAALgIAAGRycy9lMm9Eb2MueG1sUEsBAi0AFAAGAAgAAAAhAJ5h+Z3gAAAACwEAAA8AAAAA&#10;AAAAAAAAAAAAAwUAAGRycy9kb3ducmV2LnhtbFBLBQYAAAAABAAEAPMAAAAQBgAAAAA=&#10;" fillcolor="#4f81bd [3204]" strokecolor="#1f497d [3215]" strokeweight="3pt">
                <v:shadow on="t" color="#243f60 [1604]" opacity=".5" offset="1pt"/>
              </v:shape>
            </w:pict>
          </mc:Fallback>
        </mc:AlternateContent>
      </w:r>
      <w:r w:rsidR="00A62DEE">
        <w:rPr>
          <w:noProof/>
        </w:rPr>
        <w:drawing>
          <wp:inline distT="0" distB="0" distL="0" distR="0">
            <wp:extent cx="5486400" cy="3686175"/>
            <wp:effectExtent l="76200" t="0" r="1143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sectPr w:rsidR="00A62DEE" w:rsidRPr="00793599" w:rsidSect="00B82075">
      <w:headerReference w:type="default" r:id="rId19"/>
      <w:pgSz w:w="11906" w:h="16838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52B" w:rsidRDefault="006A752B" w:rsidP="00002FA0">
      <w:pPr>
        <w:spacing w:after="0" w:line="240" w:lineRule="auto"/>
      </w:pPr>
      <w:r>
        <w:separator/>
      </w:r>
    </w:p>
  </w:endnote>
  <w:endnote w:type="continuationSeparator" w:id="0">
    <w:p w:rsidR="006A752B" w:rsidRDefault="006A752B" w:rsidP="00002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52B" w:rsidRDefault="006A752B" w:rsidP="00002FA0">
      <w:pPr>
        <w:spacing w:after="0" w:line="240" w:lineRule="auto"/>
      </w:pPr>
      <w:r>
        <w:separator/>
      </w:r>
    </w:p>
  </w:footnote>
  <w:footnote w:type="continuationSeparator" w:id="0">
    <w:p w:rsidR="006A752B" w:rsidRDefault="006A752B" w:rsidP="00002FA0">
      <w:pPr>
        <w:spacing w:after="0" w:line="240" w:lineRule="auto"/>
      </w:pPr>
      <w:r>
        <w:continuationSeparator/>
      </w:r>
    </w:p>
  </w:footnote>
  <w:footnote w:id="1">
    <w:p w:rsidR="00E95987" w:rsidRPr="00E95987" w:rsidRDefault="00E959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Cancun Agreements, Dec. 1/</w:t>
      </w:r>
      <w:proofErr w:type="spellStart"/>
      <w:r>
        <w:t>CP</w:t>
      </w:r>
      <w:proofErr w:type="spellEnd"/>
      <w:r>
        <w:t xml:space="preserve"> 16, Chapter III C.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FA0" w:rsidRDefault="00402C16">
    <w:pPr>
      <w:pStyle w:val="Header"/>
    </w:pPr>
    <w:r>
      <w:rPr>
        <w:rFonts w:asciiTheme="majorHAnsi" w:eastAsiaTheme="majorEastAsia" w:hAnsiTheme="majorHAnsi" w:cstheme="majorBidi"/>
        <w:noProof/>
        <w:color w:val="1F497D" w:themeColor="text2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731510" cy="170815"/>
              <wp:effectExtent l="0" t="0" r="254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733E" w:rsidRPr="0015733E" w:rsidRDefault="0015733E">
                          <w:pPr>
                            <w:spacing w:after="0" w:line="240" w:lineRule="auto"/>
                            <w:jc w:val="right"/>
                          </w:pPr>
                          <w:r>
                            <w:t xml:space="preserve">National </w:t>
                          </w:r>
                          <w:proofErr w:type="spellStart"/>
                          <w:r>
                            <w:t>REDD</w:t>
                          </w:r>
                          <w:proofErr w:type="spellEnd"/>
                          <w:r>
                            <w:t>+ Roadmap Taskforce: Terms of Reference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451.3pt;height:13.45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5htsQIAALMFAAAOAAAAZHJzL2Uyb0RvYy54bWysVG1vmzAQ/j5p/8HydwpOTRJQSdWGME3q&#10;XqR2P8ABE6yBzWwnpJv233c2SZq2mjRt4wOyz+fn7rl7fFfX+65FO66NUDLD5CLCiMtSVUJuMvzl&#10;oQjmGBnLZMVaJXmGH7nB14u3b66GPuUT1ai24hoBiDTp0Ge4sbZPw9CUDe+YuVA9l3BYK90xC1u9&#10;CSvNBkDv2nASRdNwULrqtSq5MWDNx0O88Ph1zUv7qa4Nt6jNMORm/V/7/9r9w8UVSzea9Y0oD2mw&#10;v8iiY0JC0BNUzixDWy1eQXWi1Mqo2l6UqgtVXYuSew7AhkQv2Nw3rOeeCxTH9Kcymf8HW37cfdZI&#10;VBmmGEnWQYse+N6iW7VH1FVn6E0KTvc9uNk9mKHLnqnp71T51SCplg2TG36jtRoazirIjrib4dnV&#10;Ecc4kPXwQVUQhm2t8kD7WneudFAMBOjQpcdTZ1wqJRjj2SWJCRyVcEZm0ZzEPgRLj7d7bew7rjrk&#10;FhnW0HmPznZ3xrpsWHp0ccGkKkTb+u638pkBHEcLxIar7sxl4Zv5I4mS1Xw1pwGdTFcBjfI8uCmW&#10;NJgWZBbnl/lymZOfLi6haSOqiksX5igsQv+scQeJj5I4ScuoVlQOzqVk9Ga9bDXaMRB24b9DQc7c&#10;wudp+CIAlxeUyIRGt5MkKKbzWUALGgcJFDiISHKbTCOa0Lx4TulOSP7vlNCQ4SSexKOYfsst8t9r&#10;bizthIXR0Youw/OTE0udBFey8q21TLTj+qwULv2nUkC7j432gnUaHdVq9+s9oDgVr1X1CNLVCpQF&#10;IoR5B4tG6e8YDTA7Mmy+bZnmGLXvJcg/IZS6YeM3sNDn1vXRymQJEBkurcZo3CztOJq2vRabBmIc&#10;n9oNPJZCeB0/5XN4YjAZPJ3DFHOj53zvvZ5m7eIXAAAA//8DAFBLAwQUAAYACAAAACEAgw5zINsA&#10;AAAEAQAADwAAAGRycy9kb3ducmV2LnhtbEyPQUvEMBCF74L/IYzgzU0sS7G16SKCHmRVtopeZ5uY&#10;FptJbbK73X/v6EUvD4Y3vPe9ajX7QeztFPtAGi4XCoSlNpienIbXl7uLKxAxIRkcAlkNRxthVZ+e&#10;VFiacKCN3TfJCQ6hWKKGLqWxlDK2nfUYF2G0xN5HmDwmPicnzYQHDveDzJTKpceeuKHD0d52tv1s&#10;dp5L3h7x+KTW/rl9+Cru39euWS6d1udn8801iGTn9PcMP/iMDjUzbcOOTBSDBh6SfpW9QmU5iK2G&#10;LC9A1pX8D19/AwAA//8DAFBLAQItABQABgAIAAAAIQC2gziS/gAAAOEBAAATAAAAAAAAAAAAAAAA&#10;AAAAAABbQ29udGVudF9UeXBlc10ueG1sUEsBAi0AFAAGAAgAAAAhADj9If/WAAAAlAEAAAsAAAAA&#10;AAAAAAAAAAAALwEAAF9yZWxzLy5yZWxzUEsBAi0AFAAGAAgAAAAhAFWfmG2xAgAAswUAAA4AAAAA&#10;AAAAAAAAAAAALgIAAGRycy9lMm9Eb2MueG1sUEsBAi0AFAAGAAgAAAAhAIMOcyDbAAAABAEAAA8A&#10;AAAAAAAAAAAAAAAACwUAAGRycy9kb3ducmV2LnhtbFBLBQYAAAAABAAEAPMAAAATBgAAAAA=&#10;" o:allowincell="f" filled="f" stroked="f">
              <v:textbox style="mso-fit-shape-to-text:t" inset=",0,,0">
                <w:txbxContent>
                  <w:p w:rsidR="0015733E" w:rsidRPr="0015733E" w:rsidRDefault="0015733E">
                    <w:pPr>
                      <w:spacing w:after="0" w:line="240" w:lineRule="auto"/>
                      <w:jc w:val="right"/>
                    </w:pPr>
                    <w:r>
                      <w:t>National REDD+ Roadmap Taskforce: Terms of Reference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Theme="majorHAnsi" w:eastAsiaTheme="majorEastAsia" w:hAnsiTheme="majorHAnsi" w:cstheme="majorBidi"/>
        <w:noProof/>
        <w:color w:val="1F497D" w:themeColor="text2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3765" cy="170815"/>
              <wp:effectExtent l="0" t="0" r="3175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3765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733E" w:rsidRDefault="00ED0A9F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A2C4F" w:rsidRPr="00DA2C4F">
                            <w:rPr>
                              <w:noProof/>
                              <w:color w:val="FFFFFF" w:themeColor="background1"/>
                            </w:rPr>
                            <w:t>4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0.75pt;margin-top:0;width:71.95pt;height:13.45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ygoQIAAEoFAAAOAAAAZHJzL2Uyb0RvYy54bWysVF1v2yAUfZ+0/4B4T22nThpbdap+LNOk&#10;7kNq9wMI4BiNDw9I7K7af98FkjTdXqZpeXC4Fzj3nsOBy6tRSbTj1gmjG1yc5RhxTQ0TetPgr4+r&#10;yQIj54lmRBrNG/zEHb5avn1zOfQ1n5rOSMYtAhDt6qFvcOd9X2eZox1XxJ2ZnmuYbI1VxENoNxmz&#10;ZAB0JbNpns+zwVjWW0O5c5C9S5N4GfHbllP/uW0d90g2GHrz8Wvjdx2+2fKS1BtL+k7QfRvkH7pQ&#10;RGgoeoS6I56grRV/QClBrXGm9WfUqMy0raA8cgA2Rf4bm4eO9DxyAXFcf5TJ/T9Y+mn3xSLBGnyO&#10;kSYKjuiRjx7dmBGdB3WG3tWw6KGHZX6ENJxyZOr6e0O/OaTNbUf0hl9ba4aOEwbdFWFndrI14bgA&#10;sh4+GgZlyNabCDS2VgXpQAwE6HBKT8eTCa1QSFbF+cV8hhGFqeIiXxSzWIHUh829df49NwqFQYMt&#10;HHwEJ7t750MzpD4sCbWckYKthJQxCGbjt9KiHQGbEEq59omk3CroNuWLPPySYyAPvkr5mAL86NkA&#10;E6u9qiB1qKNNqJiaSRmgB+2FuUA0+uW5KqZlfjOtJqv54mJSrsrZpALGk7yobqp5Xlbl3epn4FaU&#10;dScY4/peaH7wblH+nTf2tyi5LroXDSDzbDqLsr3q3tnN+qhOFOFI+VRGJTxcZSlUgxcnUgVLvNMM&#10;aJPaEyHTOHvdfpQMNDj8R1WigYJnknv8uB6jU6O7grnWhj2Bo6yBEwfbwDMEg87YHxgNcKUb7L5v&#10;ieUYyQ8aXFkVZRnegBjAwJ5m14cs0RQgGky9xSgFtz69GNveik0HNQ434Bo8vBLRXy/9AIcQwIWN&#10;bPaPS3gRTuO46uUJXP4CAAD//wMAUEsDBBQABgAIAAAAIQCsV4aj3AAAAAQBAAAPAAAAZHJzL2Rv&#10;d25yZXYueG1sTI/BTsMwEETvSPyDtZW4UacFtTTEqQoScEPQcqA3N16SlHgd7G2S/j0ul3JZaTSj&#10;mbfZcrCN6NCH2pGCyTgBgVQ4U1Op4GPzdH0HIrAmoxtHqOCIAZb55UWmU+N6esduzaWIJRRSraBi&#10;blMpQ1Gh1WHsWqTofTlvNUfpS2m87mO5beQ0SWbS6priQqVbfKyw+F4frILuYX7c+/0PDy/bt0/z&#10;vF29blyv1NVoWN2DYBz4HIYTfkSHPDLt3IFMEI2C+Aj/3ZN3e7MAsVMwnS1A5pn8D5//AgAA//8D&#10;AFBLAQItABQABgAIAAAAIQC2gziS/gAAAOEBAAATAAAAAAAAAAAAAAAAAAAAAABbQ29udGVudF9U&#10;eXBlc10ueG1sUEsBAi0AFAAGAAgAAAAhADj9If/WAAAAlAEAAAsAAAAAAAAAAAAAAAAALwEAAF9y&#10;ZWxzLy5yZWxzUEsBAi0AFAAGAAgAAAAhACstHKChAgAASgUAAA4AAAAAAAAAAAAAAAAALgIAAGRy&#10;cy9lMm9Eb2MueG1sUEsBAi0AFAAGAAgAAAAhAKxXhqPcAAAABAEAAA8AAAAAAAAAAAAAAAAA+wQA&#10;AGRycy9kb3ducmV2LnhtbFBLBQYAAAAABAAEAPMAAAAEBgAAAAA=&#10;" o:allowincell="f" fillcolor="#4f81bd [3204]" stroked="f">
              <v:textbox style="mso-fit-shape-to-text:t" inset=",0,,0">
                <w:txbxContent>
                  <w:p w:rsidR="0015733E" w:rsidRDefault="00ED0A9F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A2C4F" w:rsidRPr="00DA2C4F">
                      <w:rPr>
                        <w:noProof/>
                        <w:color w:val="FFFFFF" w:themeColor="background1"/>
                      </w:rPr>
                      <w:t>4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081D"/>
    <w:multiLevelType w:val="hybridMultilevel"/>
    <w:tmpl w:val="502AE1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24C54"/>
    <w:multiLevelType w:val="hybridMultilevel"/>
    <w:tmpl w:val="ED824988"/>
    <w:lvl w:ilvl="0" w:tplc="0C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3A255F02"/>
    <w:multiLevelType w:val="hybridMultilevel"/>
    <w:tmpl w:val="ACCCA0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E2E0E"/>
    <w:multiLevelType w:val="hybridMultilevel"/>
    <w:tmpl w:val="F4BED7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6272F"/>
    <w:multiLevelType w:val="hybridMultilevel"/>
    <w:tmpl w:val="E71CE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114FDE"/>
    <w:multiLevelType w:val="hybridMultilevel"/>
    <w:tmpl w:val="93106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403B8C"/>
    <w:multiLevelType w:val="hybridMultilevel"/>
    <w:tmpl w:val="621414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A915D5"/>
    <w:multiLevelType w:val="hybridMultilevel"/>
    <w:tmpl w:val="11D6A6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570E10"/>
    <w:multiLevelType w:val="hybridMultilevel"/>
    <w:tmpl w:val="823A5E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20254D"/>
    <w:multiLevelType w:val="hybridMultilevel"/>
    <w:tmpl w:val="AD5EA2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E57EA"/>
    <w:multiLevelType w:val="hybridMultilevel"/>
    <w:tmpl w:val="036822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10"/>
  </w:num>
  <w:num w:numId="8">
    <w:abstractNumId w:val="0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EF"/>
    <w:rsid w:val="00002FA0"/>
    <w:rsid w:val="00021C23"/>
    <w:rsid w:val="00066F01"/>
    <w:rsid w:val="000930A5"/>
    <w:rsid w:val="0010261B"/>
    <w:rsid w:val="0015733E"/>
    <w:rsid w:val="0016654C"/>
    <w:rsid w:val="001F637B"/>
    <w:rsid w:val="00240527"/>
    <w:rsid w:val="00246C5A"/>
    <w:rsid w:val="002708B5"/>
    <w:rsid w:val="002773D9"/>
    <w:rsid w:val="00283404"/>
    <w:rsid w:val="002D764C"/>
    <w:rsid w:val="002F068E"/>
    <w:rsid w:val="002F1EB5"/>
    <w:rsid w:val="00320255"/>
    <w:rsid w:val="003228A8"/>
    <w:rsid w:val="00324210"/>
    <w:rsid w:val="00380DD1"/>
    <w:rsid w:val="003D3104"/>
    <w:rsid w:val="00402C16"/>
    <w:rsid w:val="004246ED"/>
    <w:rsid w:val="0043314C"/>
    <w:rsid w:val="00483267"/>
    <w:rsid w:val="004E07AF"/>
    <w:rsid w:val="00547321"/>
    <w:rsid w:val="00553BEF"/>
    <w:rsid w:val="005A2DA1"/>
    <w:rsid w:val="005C23BD"/>
    <w:rsid w:val="0061512D"/>
    <w:rsid w:val="00622E9D"/>
    <w:rsid w:val="006240BF"/>
    <w:rsid w:val="00644C4A"/>
    <w:rsid w:val="00667D53"/>
    <w:rsid w:val="00674853"/>
    <w:rsid w:val="006A752B"/>
    <w:rsid w:val="006B1259"/>
    <w:rsid w:val="006F6D30"/>
    <w:rsid w:val="006F7E31"/>
    <w:rsid w:val="00710E44"/>
    <w:rsid w:val="0072006C"/>
    <w:rsid w:val="00762B51"/>
    <w:rsid w:val="00774399"/>
    <w:rsid w:val="00793599"/>
    <w:rsid w:val="00807DBE"/>
    <w:rsid w:val="008221ED"/>
    <w:rsid w:val="00854AB3"/>
    <w:rsid w:val="00866320"/>
    <w:rsid w:val="008749BF"/>
    <w:rsid w:val="008A0472"/>
    <w:rsid w:val="008B66E0"/>
    <w:rsid w:val="008D6F37"/>
    <w:rsid w:val="008E73E6"/>
    <w:rsid w:val="009202AA"/>
    <w:rsid w:val="00921572"/>
    <w:rsid w:val="00954512"/>
    <w:rsid w:val="0098716A"/>
    <w:rsid w:val="009A1740"/>
    <w:rsid w:val="009C4653"/>
    <w:rsid w:val="009D1937"/>
    <w:rsid w:val="009E26B9"/>
    <w:rsid w:val="009F3753"/>
    <w:rsid w:val="009F4691"/>
    <w:rsid w:val="00A0665A"/>
    <w:rsid w:val="00A3726D"/>
    <w:rsid w:val="00A54399"/>
    <w:rsid w:val="00A62DEE"/>
    <w:rsid w:val="00AA19D2"/>
    <w:rsid w:val="00AA6257"/>
    <w:rsid w:val="00AA73F7"/>
    <w:rsid w:val="00AB2938"/>
    <w:rsid w:val="00B538BC"/>
    <w:rsid w:val="00B82075"/>
    <w:rsid w:val="00B86028"/>
    <w:rsid w:val="00BE54C5"/>
    <w:rsid w:val="00C078FA"/>
    <w:rsid w:val="00CA0A5B"/>
    <w:rsid w:val="00D045EB"/>
    <w:rsid w:val="00D42029"/>
    <w:rsid w:val="00D4481F"/>
    <w:rsid w:val="00D53B8E"/>
    <w:rsid w:val="00DA2C4F"/>
    <w:rsid w:val="00DE0A9A"/>
    <w:rsid w:val="00DE1711"/>
    <w:rsid w:val="00E464BB"/>
    <w:rsid w:val="00E50A86"/>
    <w:rsid w:val="00E66363"/>
    <w:rsid w:val="00E82988"/>
    <w:rsid w:val="00E95987"/>
    <w:rsid w:val="00EB2665"/>
    <w:rsid w:val="00ED02E5"/>
    <w:rsid w:val="00ED0A9F"/>
    <w:rsid w:val="00EF33A3"/>
    <w:rsid w:val="00F55E5A"/>
    <w:rsid w:val="00F66747"/>
    <w:rsid w:val="00F849AB"/>
    <w:rsid w:val="00FC1F17"/>
    <w:rsid w:val="00FE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075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42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53B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820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3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3B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51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2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FA0"/>
  </w:style>
  <w:style w:type="paragraph" w:styleId="Footer">
    <w:name w:val="footer"/>
    <w:basedOn w:val="Normal"/>
    <w:link w:val="FooterChar"/>
    <w:uiPriority w:val="99"/>
    <w:semiHidden/>
    <w:unhideWhenUsed/>
    <w:rsid w:val="00002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2FA0"/>
  </w:style>
  <w:style w:type="character" w:customStyle="1" w:styleId="NoSpacingChar">
    <w:name w:val="No Spacing Char"/>
    <w:basedOn w:val="DefaultParagraphFont"/>
    <w:link w:val="NoSpacing"/>
    <w:uiPriority w:val="1"/>
    <w:rsid w:val="00002FA0"/>
  </w:style>
  <w:style w:type="paragraph" w:styleId="BalloonText">
    <w:name w:val="Balloon Text"/>
    <w:basedOn w:val="Normal"/>
    <w:link w:val="BalloonTextChar"/>
    <w:uiPriority w:val="99"/>
    <w:semiHidden/>
    <w:unhideWhenUsed/>
    <w:rsid w:val="00002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FA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242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935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35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3D3104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43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3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4399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B66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65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075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42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53B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820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3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3B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51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2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FA0"/>
  </w:style>
  <w:style w:type="paragraph" w:styleId="Footer">
    <w:name w:val="footer"/>
    <w:basedOn w:val="Normal"/>
    <w:link w:val="FooterChar"/>
    <w:uiPriority w:val="99"/>
    <w:semiHidden/>
    <w:unhideWhenUsed/>
    <w:rsid w:val="00002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2FA0"/>
  </w:style>
  <w:style w:type="character" w:customStyle="1" w:styleId="NoSpacingChar">
    <w:name w:val="No Spacing Char"/>
    <w:basedOn w:val="DefaultParagraphFont"/>
    <w:link w:val="NoSpacing"/>
    <w:uiPriority w:val="1"/>
    <w:rsid w:val="00002FA0"/>
  </w:style>
  <w:style w:type="paragraph" w:styleId="BalloonText">
    <w:name w:val="Balloon Text"/>
    <w:basedOn w:val="Normal"/>
    <w:link w:val="BalloonTextChar"/>
    <w:uiPriority w:val="99"/>
    <w:semiHidden/>
    <w:unhideWhenUsed/>
    <w:rsid w:val="00002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FA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242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935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35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3D3104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43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3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4399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B66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6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10" Type="http://schemas.openxmlformats.org/officeDocument/2006/relationships/diagramLayout" Target="diagrams/layout1.xm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CB15215-BF89-4CA8-98BA-52FDE7FADD3E}" type="doc">
      <dgm:prSet loTypeId="urn:microsoft.com/office/officeart/2005/8/layout/chevron1" loCatId="process" qsTypeId="urn:microsoft.com/office/officeart/2005/8/quickstyle/simple3" qsCatId="simple" csTypeId="urn:microsoft.com/office/officeart/2005/8/colors/accent1_2" csCatId="accent1" phldr="1"/>
      <dgm:spPr/>
    </dgm:pt>
    <dgm:pt modelId="{28E9401A-AED2-4889-9836-77F3213233BD}">
      <dgm:prSet phldrT="[Text]"/>
      <dgm:spPr/>
      <dgm:t>
        <a:bodyPr/>
        <a:lstStyle/>
        <a:p>
          <a:r>
            <a:rPr lang="en-AU" b="1"/>
            <a:t>Phase 1(a): National REDD+ Roadmap</a:t>
          </a:r>
        </a:p>
      </dgm:t>
    </dgm:pt>
    <dgm:pt modelId="{6491ED9C-32A2-4EA2-934B-773226525DA7}" type="parTrans" cxnId="{E2E9A6AE-3783-4C6A-8876-3FBF0B58640C}">
      <dgm:prSet/>
      <dgm:spPr/>
      <dgm:t>
        <a:bodyPr/>
        <a:lstStyle/>
        <a:p>
          <a:endParaRPr lang="en-AU"/>
        </a:p>
      </dgm:t>
    </dgm:pt>
    <dgm:pt modelId="{08CDECE5-5CDE-413E-9016-67E475D7CE45}" type="sibTrans" cxnId="{E2E9A6AE-3783-4C6A-8876-3FBF0B58640C}">
      <dgm:prSet/>
      <dgm:spPr/>
      <dgm:t>
        <a:bodyPr/>
        <a:lstStyle/>
        <a:p>
          <a:endParaRPr lang="en-AU"/>
        </a:p>
      </dgm:t>
    </dgm:pt>
    <dgm:pt modelId="{114AD66C-12AC-4105-BFC2-FC6148FBD894}">
      <dgm:prSet phldrT="[Text]"/>
      <dgm:spPr/>
      <dgm:t>
        <a:bodyPr/>
        <a:lstStyle/>
        <a:p>
          <a:r>
            <a:rPr lang="en-AU"/>
            <a:t>Phase 1(b): National REDD+ Strategy</a:t>
          </a:r>
        </a:p>
      </dgm:t>
    </dgm:pt>
    <dgm:pt modelId="{9415526B-26A1-4E27-AC70-5DC69E2CCB88}" type="parTrans" cxnId="{3D3DEE5E-3D3A-4A13-AD37-12CDCA2A295D}">
      <dgm:prSet/>
      <dgm:spPr/>
      <dgm:t>
        <a:bodyPr/>
        <a:lstStyle/>
        <a:p>
          <a:endParaRPr lang="en-AU"/>
        </a:p>
      </dgm:t>
    </dgm:pt>
    <dgm:pt modelId="{353F3CA5-03F4-49AF-B9A5-AC1FB2959687}" type="sibTrans" cxnId="{3D3DEE5E-3D3A-4A13-AD37-12CDCA2A295D}">
      <dgm:prSet/>
      <dgm:spPr/>
      <dgm:t>
        <a:bodyPr/>
        <a:lstStyle/>
        <a:p>
          <a:endParaRPr lang="en-AU"/>
        </a:p>
      </dgm:t>
    </dgm:pt>
    <dgm:pt modelId="{67C1AAF7-C4A4-48F0-8BD9-6C991DBAE77C}">
      <dgm:prSet phldrT="[Text]"/>
      <dgm:spPr/>
      <dgm:t>
        <a:bodyPr/>
        <a:lstStyle/>
        <a:p>
          <a:r>
            <a:rPr lang="en-AU"/>
            <a:t>Phase 2: Implementation</a:t>
          </a:r>
        </a:p>
      </dgm:t>
    </dgm:pt>
    <dgm:pt modelId="{5EEE1617-7F98-4C6E-AA21-FA2648D3BC78}" type="parTrans" cxnId="{65FFD2D5-6886-4B2E-8575-D85507A71C58}">
      <dgm:prSet/>
      <dgm:spPr/>
      <dgm:t>
        <a:bodyPr/>
        <a:lstStyle/>
        <a:p>
          <a:endParaRPr lang="en-AU"/>
        </a:p>
      </dgm:t>
    </dgm:pt>
    <dgm:pt modelId="{BE6DED76-5265-428E-B2EF-8B7E1FD2AA39}" type="sibTrans" cxnId="{65FFD2D5-6886-4B2E-8575-D85507A71C58}">
      <dgm:prSet/>
      <dgm:spPr/>
      <dgm:t>
        <a:bodyPr/>
        <a:lstStyle/>
        <a:p>
          <a:endParaRPr lang="en-AU"/>
        </a:p>
      </dgm:t>
    </dgm:pt>
    <dgm:pt modelId="{841284A6-2AB6-43B8-88CE-F20BBFC5224C}">
      <dgm:prSet phldrT="[Text]"/>
      <dgm:spPr/>
      <dgm:t>
        <a:bodyPr/>
        <a:lstStyle/>
        <a:p>
          <a:r>
            <a:rPr lang="en-AU"/>
            <a:t>Phase 3: Demonstrated emission reductions</a:t>
          </a:r>
        </a:p>
      </dgm:t>
    </dgm:pt>
    <dgm:pt modelId="{4FF07934-247D-4723-8C1B-50B30A65F920}" type="parTrans" cxnId="{56993120-A423-461B-9E62-FEB2B96FE126}">
      <dgm:prSet/>
      <dgm:spPr/>
      <dgm:t>
        <a:bodyPr/>
        <a:lstStyle/>
        <a:p>
          <a:endParaRPr lang="en-AU"/>
        </a:p>
      </dgm:t>
    </dgm:pt>
    <dgm:pt modelId="{0B4695A8-4D0D-4B89-BEE7-50CE6D4B32AB}" type="sibTrans" cxnId="{56993120-A423-461B-9E62-FEB2B96FE126}">
      <dgm:prSet/>
      <dgm:spPr/>
      <dgm:t>
        <a:bodyPr/>
        <a:lstStyle/>
        <a:p>
          <a:endParaRPr lang="en-AU"/>
        </a:p>
      </dgm:t>
    </dgm:pt>
    <dgm:pt modelId="{12D9294E-1236-4A0D-BB5F-33AF8EA62824}" type="pres">
      <dgm:prSet presAssocID="{1CB15215-BF89-4CA8-98BA-52FDE7FADD3E}" presName="Name0" presStyleCnt="0">
        <dgm:presLayoutVars>
          <dgm:dir/>
          <dgm:animLvl val="lvl"/>
          <dgm:resizeHandles val="exact"/>
        </dgm:presLayoutVars>
      </dgm:prSet>
      <dgm:spPr/>
    </dgm:pt>
    <dgm:pt modelId="{8E18F7B3-4D20-4350-8634-79EA88651104}" type="pres">
      <dgm:prSet presAssocID="{28E9401A-AED2-4889-9836-77F3213233BD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B8611C51-F8BF-4C51-A0A0-1CD7DF2B5255}" type="pres">
      <dgm:prSet presAssocID="{08CDECE5-5CDE-413E-9016-67E475D7CE45}" presName="parTxOnlySpace" presStyleCnt="0"/>
      <dgm:spPr/>
    </dgm:pt>
    <dgm:pt modelId="{1B14EB22-47D8-4D5B-83CF-CE1FEF872595}" type="pres">
      <dgm:prSet presAssocID="{114AD66C-12AC-4105-BFC2-FC6148FBD894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7D286CDE-2568-49E4-B378-96951AE7C307}" type="pres">
      <dgm:prSet presAssocID="{353F3CA5-03F4-49AF-B9A5-AC1FB2959687}" presName="parTxOnlySpace" presStyleCnt="0"/>
      <dgm:spPr/>
    </dgm:pt>
    <dgm:pt modelId="{157A2510-81F9-4CF1-A761-BB0AFA9159A6}" type="pres">
      <dgm:prSet presAssocID="{67C1AAF7-C4A4-48F0-8BD9-6C991DBAE77C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C8EA499-1EFB-4846-AA9A-FF0AEE40D801}" type="pres">
      <dgm:prSet presAssocID="{BE6DED76-5265-428E-B2EF-8B7E1FD2AA39}" presName="parTxOnlySpace" presStyleCnt="0"/>
      <dgm:spPr/>
    </dgm:pt>
    <dgm:pt modelId="{53E29663-B178-4160-AE4A-4C8C85BD59AE}" type="pres">
      <dgm:prSet presAssocID="{841284A6-2AB6-43B8-88CE-F20BBFC5224C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2E9A6AE-3783-4C6A-8876-3FBF0B58640C}" srcId="{1CB15215-BF89-4CA8-98BA-52FDE7FADD3E}" destId="{28E9401A-AED2-4889-9836-77F3213233BD}" srcOrd="0" destOrd="0" parTransId="{6491ED9C-32A2-4EA2-934B-773226525DA7}" sibTransId="{08CDECE5-5CDE-413E-9016-67E475D7CE45}"/>
    <dgm:cxn modelId="{077C2FE8-9FA5-4C2C-84E1-4591BA2EA14C}" type="presOf" srcId="{28E9401A-AED2-4889-9836-77F3213233BD}" destId="{8E18F7B3-4D20-4350-8634-79EA88651104}" srcOrd="0" destOrd="0" presId="urn:microsoft.com/office/officeart/2005/8/layout/chevron1"/>
    <dgm:cxn modelId="{65FFD2D5-6886-4B2E-8575-D85507A71C58}" srcId="{1CB15215-BF89-4CA8-98BA-52FDE7FADD3E}" destId="{67C1AAF7-C4A4-48F0-8BD9-6C991DBAE77C}" srcOrd="2" destOrd="0" parTransId="{5EEE1617-7F98-4C6E-AA21-FA2648D3BC78}" sibTransId="{BE6DED76-5265-428E-B2EF-8B7E1FD2AA39}"/>
    <dgm:cxn modelId="{EF629DBA-4572-4331-8DC2-F3C7DA4A2137}" type="presOf" srcId="{841284A6-2AB6-43B8-88CE-F20BBFC5224C}" destId="{53E29663-B178-4160-AE4A-4C8C85BD59AE}" srcOrd="0" destOrd="0" presId="urn:microsoft.com/office/officeart/2005/8/layout/chevron1"/>
    <dgm:cxn modelId="{DC0CEB04-788E-43D6-B217-7202D61CFFDB}" type="presOf" srcId="{67C1AAF7-C4A4-48F0-8BD9-6C991DBAE77C}" destId="{157A2510-81F9-4CF1-A761-BB0AFA9159A6}" srcOrd="0" destOrd="0" presId="urn:microsoft.com/office/officeart/2005/8/layout/chevron1"/>
    <dgm:cxn modelId="{56993120-A423-461B-9E62-FEB2B96FE126}" srcId="{1CB15215-BF89-4CA8-98BA-52FDE7FADD3E}" destId="{841284A6-2AB6-43B8-88CE-F20BBFC5224C}" srcOrd="3" destOrd="0" parTransId="{4FF07934-247D-4723-8C1B-50B30A65F920}" sibTransId="{0B4695A8-4D0D-4B89-BEE7-50CE6D4B32AB}"/>
    <dgm:cxn modelId="{3D3DEE5E-3D3A-4A13-AD37-12CDCA2A295D}" srcId="{1CB15215-BF89-4CA8-98BA-52FDE7FADD3E}" destId="{114AD66C-12AC-4105-BFC2-FC6148FBD894}" srcOrd="1" destOrd="0" parTransId="{9415526B-26A1-4E27-AC70-5DC69E2CCB88}" sibTransId="{353F3CA5-03F4-49AF-B9A5-AC1FB2959687}"/>
    <dgm:cxn modelId="{8B36E931-0E85-4878-91D3-24DC56F6511D}" type="presOf" srcId="{114AD66C-12AC-4105-BFC2-FC6148FBD894}" destId="{1B14EB22-47D8-4D5B-83CF-CE1FEF872595}" srcOrd="0" destOrd="0" presId="urn:microsoft.com/office/officeart/2005/8/layout/chevron1"/>
    <dgm:cxn modelId="{7CE0438E-EB00-41C0-9FF3-5BC32A6C6CD3}" type="presOf" srcId="{1CB15215-BF89-4CA8-98BA-52FDE7FADD3E}" destId="{12D9294E-1236-4A0D-BB5F-33AF8EA62824}" srcOrd="0" destOrd="0" presId="urn:microsoft.com/office/officeart/2005/8/layout/chevron1"/>
    <dgm:cxn modelId="{752E1648-8BE7-4540-BB70-58045D1DFDB8}" type="presParOf" srcId="{12D9294E-1236-4A0D-BB5F-33AF8EA62824}" destId="{8E18F7B3-4D20-4350-8634-79EA88651104}" srcOrd="0" destOrd="0" presId="urn:microsoft.com/office/officeart/2005/8/layout/chevron1"/>
    <dgm:cxn modelId="{B9B75DEF-F266-4F69-B4F6-B8100F35818A}" type="presParOf" srcId="{12D9294E-1236-4A0D-BB5F-33AF8EA62824}" destId="{B8611C51-F8BF-4C51-A0A0-1CD7DF2B5255}" srcOrd="1" destOrd="0" presId="urn:microsoft.com/office/officeart/2005/8/layout/chevron1"/>
    <dgm:cxn modelId="{A6F7F1FA-DBC7-4E81-89E1-4492F4F5363E}" type="presParOf" srcId="{12D9294E-1236-4A0D-BB5F-33AF8EA62824}" destId="{1B14EB22-47D8-4D5B-83CF-CE1FEF872595}" srcOrd="2" destOrd="0" presId="urn:microsoft.com/office/officeart/2005/8/layout/chevron1"/>
    <dgm:cxn modelId="{53056DA1-5538-465A-AA26-DA6C78A6809A}" type="presParOf" srcId="{12D9294E-1236-4A0D-BB5F-33AF8EA62824}" destId="{7D286CDE-2568-49E4-B378-96951AE7C307}" srcOrd="3" destOrd="0" presId="urn:microsoft.com/office/officeart/2005/8/layout/chevron1"/>
    <dgm:cxn modelId="{56D8DDB8-DB7C-4DB5-A77E-1E5E414E6CBD}" type="presParOf" srcId="{12D9294E-1236-4A0D-BB5F-33AF8EA62824}" destId="{157A2510-81F9-4CF1-A761-BB0AFA9159A6}" srcOrd="4" destOrd="0" presId="urn:microsoft.com/office/officeart/2005/8/layout/chevron1"/>
    <dgm:cxn modelId="{D64DC6F9-D825-43A5-96A4-DC491855BDE8}" type="presParOf" srcId="{12D9294E-1236-4A0D-BB5F-33AF8EA62824}" destId="{2C8EA499-1EFB-4846-AA9A-FF0AEE40D801}" srcOrd="5" destOrd="0" presId="urn:microsoft.com/office/officeart/2005/8/layout/chevron1"/>
    <dgm:cxn modelId="{8296031A-5F87-4BC8-8563-1B354F575E8F}" type="presParOf" srcId="{12D9294E-1236-4A0D-BB5F-33AF8EA62824}" destId="{53E29663-B178-4160-AE4A-4C8C85BD59AE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7D4F634-D65E-48C4-A0F2-96D4232DC947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255B8D77-87F3-40C0-9629-F7A052981D3B}">
      <dgm:prSet phldrT="[Text]" custT="1"/>
      <dgm:spPr/>
      <dgm:t>
        <a:bodyPr/>
        <a:lstStyle/>
        <a:p>
          <a:r>
            <a:rPr lang="en-AU" sz="1800" b="1"/>
            <a:t>National REDD+ Roadmap Taskforce</a:t>
          </a:r>
        </a:p>
      </dgm:t>
    </dgm:pt>
    <dgm:pt modelId="{783640C3-B6AE-4BE1-AAA3-C310E2CF1BEC}" type="parTrans" cxnId="{13EECFEA-7431-4DC1-B0FC-94FAE6A6C6E6}">
      <dgm:prSet/>
      <dgm:spPr/>
      <dgm:t>
        <a:bodyPr/>
        <a:lstStyle/>
        <a:p>
          <a:endParaRPr lang="en-AU"/>
        </a:p>
      </dgm:t>
    </dgm:pt>
    <dgm:pt modelId="{26585240-65CD-43B6-84EC-DC9895C8428F}" type="sibTrans" cxnId="{13EECFEA-7431-4DC1-B0FC-94FAE6A6C6E6}">
      <dgm:prSet/>
      <dgm:spPr/>
      <dgm:t>
        <a:bodyPr/>
        <a:lstStyle/>
        <a:p>
          <a:endParaRPr lang="en-AU"/>
        </a:p>
      </dgm:t>
    </dgm:pt>
    <dgm:pt modelId="{285E94B7-AA4B-4995-ADF9-76C084E74963}">
      <dgm:prSet phldrT="[Text]"/>
      <dgm:spPr/>
      <dgm:t>
        <a:bodyPr/>
        <a:lstStyle/>
        <a:p>
          <a:r>
            <a:rPr lang="en-AU" b="1"/>
            <a:t>Stakeholder Engagement and Safeguards</a:t>
          </a:r>
        </a:p>
        <a:p>
          <a:r>
            <a:rPr lang="en-AU"/>
            <a:t>(Working Group 2)</a:t>
          </a:r>
        </a:p>
      </dgm:t>
    </dgm:pt>
    <dgm:pt modelId="{B9B2C5D5-4B40-4706-BF2A-F09A68D9035C}" type="parTrans" cxnId="{28DBFC40-F211-4A29-A8DC-EF575FBF13F6}">
      <dgm:prSet/>
      <dgm:spPr/>
      <dgm:t>
        <a:bodyPr/>
        <a:lstStyle/>
        <a:p>
          <a:endParaRPr lang="en-AU"/>
        </a:p>
      </dgm:t>
    </dgm:pt>
    <dgm:pt modelId="{65A90A1B-13F1-46BC-9406-D356620DB6D0}" type="sibTrans" cxnId="{28DBFC40-F211-4A29-A8DC-EF575FBF13F6}">
      <dgm:prSet/>
      <dgm:spPr/>
      <dgm:t>
        <a:bodyPr/>
        <a:lstStyle/>
        <a:p>
          <a:endParaRPr lang="en-AU"/>
        </a:p>
      </dgm:t>
    </dgm:pt>
    <dgm:pt modelId="{6E0BC490-32EC-4FFF-BA8C-D1403ECE41F6}">
      <dgm:prSet phldrT="[Text]"/>
      <dgm:spPr/>
      <dgm:t>
        <a:bodyPr/>
        <a:lstStyle/>
        <a:p>
          <a:r>
            <a:rPr lang="en-AU" b="1"/>
            <a:t>Monitoring, Reference Levels and MRV</a:t>
          </a:r>
        </a:p>
        <a:p>
          <a:r>
            <a:rPr lang="en-AU"/>
            <a:t>(Working Group 3)</a:t>
          </a:r>
        </a:p>
      </dgm:t>
    </dgm:pt>
    <dgm:pt modelId="{1C95028E-3150-4A3F-8760-C21C496A7C65}" type="parTrans" cxnId="{6DCE92FF-291B-49A2-A999-940B1B3A2C9D}">
      <dgm:prSet/>
      <dgm:spPr/>
      <dgm:t>
        <a:bodyPr/>
        <a:lstStyle/>
        <a:p>
          <a:endParaRPr lang="en-AU"/>
        </a:p>
      </dgm:t>
    </dgm:pt>
    <dgm:pt modelId="{47391E9E-5AA7-4434-AE5B-E95804736F1E}" type="sibTrans" cxnId="{6DCE92FF-291B-49A2-A999-940B1B3A2C9D}">
      <dgm:prSet/>
      <dgm:spPr/>
      <dgm:t>
        <a:bodyPr/>
        <a:lstStyle/>
        <a:p>
          <a:endParaRPr lang="en-AU"/>
        </a:p>
      </dgm:t>
    </dgm:pt>
    <dgm:pt modelId="{BD207A02-7107-45E2-92A3-ABA2FD6712BE}">
      <dgm:prSet phldrT="[Text]"/>
      <dgm:spPr/>
      <dgm:t>
        <a:bodyPr/>
        <a:lstStyle/>
        <a:p>
          <a:r>
            <a:rPr lang="en-AU" b="1"/>
            <a:t>Drivers and Strategies</a:t>
          </a:r>
        </a:p>
        <a:p>
          <a:r>
            <a:rPr lang="en-AU"/>
            <a:t>(Working Group 1)</a:t>
          </a:r>
        </a:p>
      </dgm:t>
    </dgm:pt>
    <dgm:pt modelId="{8EFC2483-B2B5-4500-9967-6D0F0ADF86FB}" type="sibTrans" cxnId="{EF658D21-361D-4F3A-BEA0-0E4FD8A362B0}">
      <dgm:prSet/>
      <dgm:spPr/>
      <dgm:t>
        <a:bodyPr/>
        <a:lstStyle/>
        <a:p>
          <a:endParaRPr lang="en-AU"/>
        </a:p>
      </dgm:t>
    </dgm:pt>
    <dgm:pt modelId="{632C746C-FCDF-4F31-ACB7-B31AC3D19153}" type="parTrans" cxnId="{EF658D21-361D-4F3A-BEA0-0E4FD8A362B0}">
      <dgm:prSet/>
      <dgm:spPr/>
      <dgm:t>
        <a:bodyPr/>
        <a:lstStyle/>
        <a:p>
          <a:endParaRPr lang="en-AU"/>
        </a:p>
      </dgm:t>
    </dgm:pt>
    <dgm:pt modelId="{36A037D7-B90E-4A64-AD32-D2060E5B84B2}">
      <dgm:prSet phldrT="[Text]" custT="1"/>
      <dgm:spPr/>
      <dgm:t>
        <a:bodyPr/>
        <a:lstStyle/>
        <a:p>
          <a:r>
            <a:rPr lang="en-AU" sz="1800" b="1"/>
            <a:t>Advisory Board</a:t>
          </a:r>
        </a:p>
      </dgm:t>
    </dgm:pt>
    <dgm:pt modelId="{986DA877-5B7B-4838-A8FD-0062593A414A}" type="parTrans" cxnId="{1907A6E1-0E35-4412-927D-772F176963B7}">
      <dgm:prSet/>
      <dgm:spPr/>
      <dgm:t>
        <a:bodyPr/>
        <a:lstStyle/>
        <a:p>
          <a:endParaRPr lang="en-AU"/>
        </a:p>
      </dgm:t>
    </dgm:pt>
    <dgm:pt modelId="{0C6B55F1-2943-4692-B370-EDC938EB2461}" type="sibTrans" cxnId="{1907A6E1-0E35-4412-927D-772F176963B7}">
      <dgm:prSet/>
      <dgm:spPr/>
      <dgm:t>
        <a:bodyPr/>
        <a:lstStyle/>
        <a:p>
          <a:endParaRPr lang="en-AU"/>
        </a:p>
      </dgm:t>
    </dgm:pt>
    <dgm:pt modelId="{FF2547CB-9D54-4977-87AF-7A347CD97FA5}" type="pres">
      <dgm:prSet presAssocID="{C7D4F634-D65E-48C4-A0F2-96D4232DC94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AU"/>
        </a:p>
      </dgm:t>
    </dgm:pt>
    <dgm:pt modelId="{FA186150-6F4F-4114-A8F8-A0E34C14B051}" type="pres">
      <dgm:prSet presAssocID="{36A037D7-B90E-4A64-AD32-D2060E5B84B2}" presName="hierRoot1" presStyleCnt="0">
        <dgm:presLayoutVars>
          <dgm:hierBranch/>
        </dgm:presLayoutVars>
      </dgm:prSet>
      <dgm:spPr/>
    </dgm:pt>
    <dgm:pt modelId="{9C0A2863-6DB9-478D-AA03-24E19AD308A8}" type="pres">
      <dgm:prSet presAssocID="{36A037D7-B90E-4A64-AD32-D2060E5B84B2}" presName="rootComposite1" presStyleCnt="0"/>
      <dgm:spPr/>
    </dgm:pt>
    <dgm:pt modelId="{4D549A73-75C5-461A-9BC5-68C075A6A32F}" type="pres">
      <dgm:prSet presAssocID="{36A037D7-B90E-4A64-AD32-D2060E5B84B2}" presName="rootText1" presStyleLbl="node0" presStyleIdx="0" presStyleCnt="2" custLinFactNeighborY="50945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09B828F8-8426-4DE4-92AA-0EB7BC0586F4}" type="pres">
      <dgm:prSet presAssocID="{36A037D7-B90E-4A64-AD32-D2060E5B84B2}" presName="rootConnector1" presStyleLbl="node1" presStyleIdx="0" presStyleCnt="0"/>
      <dgm:spPr/>
      <dgm:t>
        <a:bodyPr/>
        <a:lstStyle/>
        <a:p>
          <a:endParaRPr lang="en-AU"/>
        </a:p>
      </dgm:t>
    </dgm:pt>
    <dgm:pt modelId="{AD9624B2-27ED-454F-937C-56ADF7242C4C}" type="pres">
      <dgm:prSet presAssocID="{36A037D7-B90E-4A64-AD32-D2060E5B84B2}" presName="hierChild2" presStyleCnt="0"/>
      <dgm:spPr/>
    </dgm:pt>
    <dgm:pt modelId="{680D7143-008F-45BB-98A8-33BF35946FEC}" type="pres">
      <dgm:prSet presAssocID="{36A037D7-B90E-4A64-AD32-D2060E5B84B2}" presName="hierChild3" presStyleCnt="0"/>
      <dgm:spPr/>
    </dgm:pt>
    <dgm:pt modelId="{F571ED14-D262-4BBE-824C-35FB731C028A}" type="pres">
      <dgm:prSet presAssocID="{255B8D77-87F3-40C0-9629-F7A052981D3B}" presName="hierRoot1" presStyleCnt="0">
        <dgm:presLayoutVars>
          <dgm:hierBranch val="init"/>
        </dgm:presLayoutVars>
      </dgm:prSet>
      <dgm:spPr/>
    </dgm:pt>
    <dgm:pt modelId="{DBF20CF6-AA2C-4AB3-BAE4-4ABF9C5C688F}" type="pres">
      <dgm:prSet presAssocID="{255B8D77-87F3-40C0-9629-F7A052981D3B}" presName="rootComposite1" presStyleCnt="0"/>
      <dgm:spPr/>
    </dgm:pt>
    <dgm:pt modelId="{7345855C-3273-4F98-ACAA-581D79E1D342}" type="pres">
      <dgm:prSet presAssocID="{255B8D77-87F3-40C0-9629-F7A052981D3B}" presName="rootText1" presStyleLbl="node0" presStyleIdx="1" presStyleCnt="2" custScaleX="111640" custScaleY="210735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A60324AC-E680-494F-9AD5-30301F6B900E}" type="pres">
      <dgm:prSet presAssocID="{255B8D77-87F3-40C0-9629-F7A052981D3B}" presName="rootConnector1" presStyleLbl="node1" presStyleIdx="0" presStyleCnt="0"/>
      <dgm:spPr/>
      <dgm:t>
        <a:bodyPr/>
        <a:lstStyle/>
        <a:p>
          <a:endParaRPr lang="en-AU"/>
        </a:p>
      </dgm:t>
    </dgm:pt>
    <dgm:pt modelId="{E306FADA-722F-4C8B-A26D-307E8088FA0D}" type="pres">
      <dgm:prSet presAssocID="{255B8D77-87F3-40C0-9629-F7A052981D3B}" presName="hierChild2" presStyleCnt="0"/>
      <dgm:spPr/>
    </dgm:pt>
    <dgm:pt modelId="{D84869AD-52EE-4C32-B89C-18ADDF8B23B8}" type="pres">
      <dgm:prSet presAssocID="{632C746C-FCDF-4F31-ACB7-B31AC3D19153}" presName="Name37" presStyleLbl="parChTrans1D2" presStyleIdx="0" presStyleCnt="3"/>
      <dgm:spPr/>
      <dgm:t>
        <a:bodyPr/>
        <a:lstStyle/>
        <a:p>
          <a:endParaRPr lang="en-AU"/>
        </a:p>
      </dgm:t>
    </dgm:pt>
    <dgm:pt modelId="{AF505CF9-4019-42AC-AA31-29889B815E6B}" type="pres">
      <dgm:prSet presAssocID="{BD207A02-7107-45E2-92A3-ABA2FD6712BE}" presName="hierRoot2" presStyleCnt="0">
        <dgm:presLayoutVars>
          <dgm:hierBranch val="init"/>
        </dgm:presLayoutVars>
      </dgm:prSet>
      <dgm:spPr/>
    </dgm:pt>
    <dgm:pt modelId="{A3C0AED4-0C19-4A63-8250-499FC531B04F}" type="pres">
      <dgm:prSet presAssocID="{BD207A02-7107-45E2-92A3-ABA2FD6712BE}" presName="rootComposite" presStyleCnt="0"/>
      <dgm:spPr/>
    </dgm:pt>
    <dgm:pt modelId="{F92D6A37-D80E-4E1C-B04E-5BE77F456D74}" type="pres">
      <dgm:prSet presAssocID="{BD207A02-7107-45E2-92A3-ABA2FD6712BE}" presName="rootText" presStyleLbl="node2" presStyleIdx="0" presStyleCnt="3" custScaleX="118484" custScaleY="135630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CC4B0768-B131-444F-A138-DAE6AB047DA6}" type="pres">
      <dgm:prSet presAssocID="{BD207A02-7107-45E2-92A3-ABA2FD6712BE}" presName="rootConnector" presStyleLbl="node2" presStyleIdx="0" presStyleCnt="3"/>
      <dgm:spPr/>
      <dgm:t>
        <a:bodyPr/>
        <a:lstStyle/>
        <a:p>
          <a:endParaRPr lang="en-AU"/>
        </a:p>
      </dgm:t>
    </dgm:pt>
    <dgm:pt modelId="{C442D2B2-D2C4-4306-B353-D363FD022903}" type="pres">
      <dgm:prSet presAssocID="{BD207A02-7107-45E2-92A3-ABA2FD6712BE}" presName="hierChild4" presStyleCnt="0"/>
      <dgm:spPr/>
    </dgm:pt>
    <dgm:pt modelId="{1D9AF6E9-BD45-4E2B-8EC8-3A555472D662}" type="pres">
      <dgm:prSet presAssocID="{BD207A02-7107-45E2-92A3-ABA2FD6712BE}" presName="hierChild5" presStyleCnt="0"/>
      <dgm:spPr/>
    </dgm:pt>
    <dgm:pt modelId="{6DA6A4E0-5E86-46C8-9001-3B63417982F8}" type="pres">
      <dgm:prSet presAssocID="{B9B2C5D5-4B40-4706-BF2A-F09A68D9035C}" presName="Name37" presStyleLbl="parChTrans1D2" presStyleIdx="1" presStyleCnt="3"/>
      <dgm:spPr/>
      <dgm:t>
        <a:bodyPr/>
        <a:lstStyle/>
        <a:p>
          <a:endParaRPr lang="en-AU"/>
        </a:p>
      </dgm:t>
    </dgm:pt>
    <dgm:pt modelId="{FE453346-CA1F-4B79-81F3-47FD2C2FD93E}" type="pres">
      <dgm:prSet presAssocID="{285E94B7-AA4B-4995-ADF9-76C084E74963}" presName="hierRoot2" presStyleCnt="0">
        <dgm:presLayoutVars>
          <dgm:hierBranch val="init"/>
        </dgm:presLayoutVars>
      </dgm:prSet>
      <dgm:spPr/>
    </dgm:pt>
    <dgm:pt modelId="{9BA3C740-E2FD-43F0-997F-208484FCC7AE}" type="pres">
      <dgm:prSet presAssocID="{285E94B7-AA4B-4995-ADF9-76C084E74963}" presName="rootComposite" presStyleCnt="0"/>
      <dgm:spPr/>
    </dgm:pt>
    <dgm:pt modelId="{B068549D-ACA4-4C25-AAE9-693F1D3AB3E1}" type="pres">
      <dgm:prSet presAssocID="{285E94B7-AA4B-4995-ADF9-76C084E74963}" presName="rootText" presStyleLbl="node2" presStyleIdx="1" presStyleCnt="3" custScaleX="106081" custScaleY="133801" custLinFactNeighborX="-4572" custLinFactNeighborY="0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1E3BA070-4E3A-43DC-9734-6D3E581C17B0}" type="pres">
      <dgm:prSet presAssocID="{285E94B7-AA4B-4995-ADF9-76C084E74963}" presName="rootConnector" presStyleLbl="node2" presStyleIdx="1" presStyleCnt="3"/>
      <dgm:spPr/>
      <dgm:t>
        <a:bodyPr/>
        <a:lstStyle/>
        <a:p>
          <a:endParaRPr lang="en-AU"/>
        </a:p>
      </dgm:t>
    </dgm:pt>
    <dgm:pt modelId="{2AD4402B-58FA-4656-AC14-EC10C8F1AFF0}" type="pres">
      <dgm:prSet presAssocID="{285E94B7-AA4B-4995-ADF9-76C084E74963}" presName="hierChild4" presStyleCnt="0"/>
      <dgm:spPr/>
    </dgm:pt>
    <dgm:pt modelId="{EDF9A5AF-FF3F-46D0-8767-288199C34F6D}" type="pres">
      <dgm:prSet presAssocID="{285E94B7-AA4B-4995-ADF9-76C084E74963}" presName="hierChild5" presStyleCnt="0"/>
      <dgm:spPr/>
    </dgm:pt>
    <dgm:pt modelId="{45E75B13-F9F7-4CB4-9E64-728A6CB178B1}" type="pres">
      <dgm:prSet presAssocID="{1C95028E-3150-4A3F-8760-C21C496A7C65}" presName="Name37" presStyleLbl="parChTrans1D2" presStyleIdx="2" presStyleCnt="3"/>
      <dgm:spPr/>
      <dgm:t>
        <a:bodyPr/>
        <a:lstStyle/>
        <a:p>
          <a:endParaRPr lang="en-AU"/>
        </a:p>
      </dgm:t>
    </dgm:pt>
    <dgm:pt modelId="{CC438EB8-3135-4BF9-AB65-5C2E28819621}" type="pres">
      <dgm:prSet presAssocID="{6E0BC490-32EC-4FFF-BA8C-D1403ECE41F6}" presName="hierRoot2" presStyleCnt="0">
        <dgm:presLayoutVars>
          <dgm:hierBranch val="init"/>
        </dgm:presLayoutVars>
      </dgm:prSet>
      <dgm:spPr/>
    </dgm:pt>
    <dgm:pt modelId="{3BDA2CD9-32C3-4455-BC90-F0AC7A84EDF0}" type="pres">
      <dgm:prSet presAssocID="{6E0BC490-32EC-4FFF-BA8C-D1403ECE41F6}" presName="rootComposite" presStyleCnt="0"/>
      <dgm:spPr/>
    </dgm:pt>
    <dgm:pt modelId="{0973BA0F-3657-4D39-AC21-368758D1C49E}" type="pres">
      <dgm:prSet presAssocID="{6E0BC490-32EC-4FFF-BA8C-D1403ECE41F6}" presName="rootText" presStyleLbl="node2" presStyleIdx="2" presStyleCnt="3" custScaleX="109498" custScaleY="129079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C7269469-9767-42F9-82F5-38FE633443F9}" type="pres">
      <dgm:prSet presAssocID="{6E0BC490-32EC-4FFF-BA8C-D1403ECE41F6}" presName="rootConnector" presStyleLbl="node2" presStyleIdx="2" presStyleCnt="3"/>
      <dgm:spPr/>
      <dgm:t>
        <a:bodyPr/>
        <a:lstStyle/>
        <a:p>
          <a:endParaRPr lang="en-AU"/>
        </a:p>
      </dgm:t>
    </dgm:pt>
    <dgm:pt modelId="{9DD24ADE-5ED0-4D3F-9111-F478DB1A2315}" type="pres">
      <dgm:prSet presAssocID="{6E0BC490-32EC-4FFF-BA8C-D1403ECE41F6}" presName="hierChild4" presStyleCnt="0"/>
      <dgm:spPr/>
    </dgm:pt>
    <dgm:pt modelId="{EA60CC12-19AC-4F8B-8B8D-08C72D5FFEFC}" type="pres">
      <dgm:prSet presAssocID="{6E0BC490-32EC-4FFF-BA8C-D1403ECE41F6}" presName="hierChild5" presStyleCnt="0"/>
      <dgm:spPr/>
    </dgm:pt>
    <dgm:pt modelId="{BCE243A6-3D3C-43BA-9643-15C8D1AB7391}" type="pres">
      <dgm:prSet presAssocID="{255B8D77-87F3-40C0-9629-F7A052981D3B}" presName="hierChild3" presStyleCnt="0"/>
      <dgm:spPr/>
    </dgm:pt>
  </dgm:ptLst>
  <dgm:cxnLst>
    <dgm:cxn modelId="{F1B3A0C1-0938-4D46-B6EF-3BFFEF05998E}" type="presOf" srcId="{1C95028E-3150-4A3F-8760-C21C496A7C65}" destId="{45E75B13-F9F7-4CB4-9E64-728A6CB178B1}" srcOrd="0" destOrd="0" presId="urn:microsoft.com/office/officeart/2005/8/layout/orgChart1"/>
    <dgm:cxn modelId="{62665BB8-B8F8-4C19-A980-A8590239A741}" type="presOf" srcId="{6E0BC490-32EC-4FFF-BA8C-D1403ECE41F6}" destId="{C7269469-9767-42F9-82F5-38FE633443F9}" srcOrd="1" destOrd="0" presId="urn:microsoft.com/office/officeart/2005/8/layout/orgChart1"/>
    <dgm:cxn modelId="{3C4B4291-C684-4916-8DBB-23FC48B99363}" type="presOf" srcId="{BD207A02-7107-45E2-92A3-ABA2FD6712BE}" destId="{F92D6A37-D80E-4E1C-B04E-5BE77F456D74}" srcOrd="0" destOrd="0" presId="urn:microsoft.com/office/officeart/2005/8/layout/orgChart1"/>
    <dgm:cxn modelId="{A82D3B18-1905-4199-9DD5-9563C43E3421}" type="presOf" srcId="{6E0BC490-32EC-4FFF-BA8C-D1403ECE41F6}" destId="{0973BA0F-3657-4D39-AC21-368758D1C49E}" srcOrd="0" destOrd="0" presId="urn:microsoft.com/office/officeart/2005/8/layout/orgChart1"/>
    <dgm:cxn modelId="{13EECFEA-7431-4DC1-B0FC-94FAE6A6C6E6}" srcId="{C7D4F634-D65E-48C4-A0F2-96D4232DC947}" destId="{255B8D77-87F3-40C0-9629-F7A052981D3B}" srcOrd="1" destOrd="0" parTransId="{783640C3-B6AE-4BE1-AAA3-C310E2CF1BEC}" sibTransId="{26585240-65CD-43B6-84EC-DC9895C8428F}"/>
    <dgm:cxn modelId="{DA18432D-B04C-4F44-8149-3F268910C8D5}" type="presOf" srcId="{632C746C-FCDF-4F31-ACB7-B31AC3D19153}" destId="{D84869AD-52EE-4C32-B89C-18ADDF8B23B8}" srcOrd="0" destOrd="0" presId="urn:microsoft.com/office/officeart/2005/8/layout/orgChart1"/>
    <dgm:cxn modelId="{7EA09639-CD10-4EF8-99B7-52CE6E303DB1}" type="presOf" srcId="{285E94B7-AA4B-4995-ADF9-76C084E74963}" destId="{B068549D-ACA4-4C25-AAE9-693F1D3AB3E1}" srcOrd="0" destOrd="0" presId="urn:microsoft.com/office/officeart/2005/8/layout/orgChart1"/>
    <dgm:cxn modelId="{2B67BF0E-55C9-4422-B4E8-889DBAF45731}" type="presOf" srcId="{36A037D7-B90E-4A64-AD32-D2060E5B84B2}" destId="{09B828F8-8426-4DE4-92AA-0EB7BC0586F4}" srcOrd="1" destOrd="0" presId="urn:microsoft.com/office/officeart/2005/8/layout/orgChart1"/>
    <dgm:cxn modelId="{EF658D21-361D-4F3A-BEA0-0E4FD8A362B0}" srcId="{255B8D77-87F3-40C0-9629-F7A052981D3B}" destId="{BD207A02-7107-45E2-92A3-ABA2FD6712BE}" srcOrd="0" destOrd="0" parTransId="{632C746C-FCDF-4F31-ACB7-B31AC3D19153}" sibTransId="{8EFC2483-B2B5-4500-9967-6D0F0ADF86FB}"/>
    <dgm:cxn modelId="{01076594-D344-4AC0-928F-BDB7C98A3B9A}" type="presOf" srcId="{255B8D77-87F3-40C0-9629-F7A052981D3B}" destId="{7345855C-3273-4F98-ACAA-581D79E1D342}" srcOrd="0" destOrd="0" presId="urn:microsoft.com/office/officeart/2005/8/layout/orgChart1"/>
    <dgm:cxn modelId="{27829157-CAEF-416B-9276-AE230C448DF4}" type="presOf" srcId="{B9B2C5D5-4B40-4706-BF2A-F09A68D9035C}" destId="{6DA6A4E0-5E86-46C8-9001-3B63417982F8}" srcOrd="0" destOrd="0" presId="urn:microsoft.com/office/officeart/2005/8/layout/orgChart1"/>
    <dgm:cxn modelId="{8C86ED3C-A719-43BB-B645-8D6C56493C5A}" type="presOf" srcId="{BD207A02-7107-45E2-92A3-ABA2FD6712BE}" destId="{CC4B0768-B131-444F-A138-DAE6AB047DA6}" srcOrd="1" destOrd="0" presId="urn:microsoft.com/office/officeart/2005/8/layout/orgChart1"/>
    <dgm:cxn modelId="{1907A6E1-0E35-4412-927D-772F176963B7}" srcId="{C7D4F634-D65E-48C4-A0F2-96D4232DC947}" destId="{36A037D7-B90E-4A64-AD32-D2060E5B84B2}" srcOrd="0" destOrd="0" parTransId="{986DA877-5B7B-4838-A8FD-0062593A414A}" sibTransId="{0C6B55F1-2943-4692-B370-EDC938EB2461}"/>
    <dgm:cxn modelId="{28DBFC40-F211-4A29-A8DC-EF575FBF13F6}" srcId="{255B8D77-87F3-40C0-9629-F7A052981D3B}" destId="{285E94B7-AA4B-4995-ADF9-76C084E74963}" srcOrd="1" destOrd="0" parTransId="{B9B2C5D5-4B40-4706-BF2A-F09A68D9035C}" sibTransId="{65A90A1B-13F1-46BC-9406-D356620DB6D0}"/>
    <dgm:cxn modelId="{A543D8DB-E26B-44EC-8937-905182683145}" type="presOf" srcId="{36A037D7-B90E-4A64-AD32-D2060E5B84B2}" destId="{4D549A73-75C5-461A-9BC5-68C075A6A32F}" srcOrd="0" destOrd="0" presId="urn:microsoft.com/office/officeart/2005/8/layout/orgChart1"/>
    <dgm:cxn modelId="{5A8D4CE2-C924-4808-8DBE-71AF8E758C31}" type="presOf" srcId="{255B8D77-87F3-40C0-9629-F7A052981D3B}" destId="{A60324AC-E680-494F-9AD5-30301F6B900E}" srcOrd="1" destOrd="0" presId="urn:microsoft.com/office/officeart/2005/8/layout/orgChart1"/>
    <dgm:cxn modelId="{6DCE92FF-291B-49A2-A999-940B1B3A2C9D}" srcId="{255B8D77-87F3-40C0-9629-F7A052981D3B}" destId="{6E0BC490-32EC-4FFF-BA8C-D1403ECE41F6}" srcOrd="2" destOrd="0" parTransId="{1C95028E-3150-4A3F-8760-C21C496A7C65}" sibTransId="{47391E9E-5AA7-4434-AE5B-E95804736F1E}"/>
    <dgm:cxn modelId="{1A11ACBB-A06F-440E-AC9E-3CB6AFBDCC36}" type="presOf" srcId="{285E94B7-AA4B-4995-ADF9-76C084E74963}" destId="{1E3BA070-4E3A-43DC-9734-6D3E581C17B0}" srcOrd="1" destOrd="0" presId="urn:microsoft.com/office/officeart/2005/8/layout/orgChart1"/>
    <dgm:cxn modelId="{E9F4A8B1-A704-493E-9EA6-C6D72217E143}" type="presOf" srcId="{C7D4F634-D65E-48C4-A0F2-96D4232DC947}" destId="{FF2547CB-9D54-4977-87AF-7A347CD97FA5}" srcOrd="0" destOrd="0" presId="urn:microsoft.com/office/officeart/2005/8/layout/orgChart1"/>
    <dgm:cxn modelId="{2A5AC223-F0B1-43F2-9CD2-DC1CA5D6AF4C}" type="presParOf" srcId="{FF2547CB-9D54-4977-87AF-7A347CD97FA5}" destId="{FA186150-6F4F-4114-A8F8-A0E34C14B051}" srcOrd="0" destOrd="0" presId="urn:microsoft.com/office/officeart/2005/8/layout/orgChart1"/>
    <dgm:cxn modelId="{BA3B6D7E-7946-4BCD-814C-1F18E8C784E4}" type="presParOf" srcId="{FA186150-6F4F-4114-A8F8-A0E34C14B051}" destId="{9C0A2863-6DB9-478D-AA03-24E19AD308A8}" srcOrd="0" destOrd="0" presId="urn:microsoft.com/office/officeart/2005/8/layout/orgChart1"/>
    <dgm:cxn modelId="{C4613678-9721-4CE7-85E7-723EE92157F2}" type="presParOf" srcId="{9C0A2863-6DB9-478D-AA03-24E19AD308A8}" destId="{4D549A73-75C5-461A-9BC5-68C075A6A32F}" srcOrd="0" destOrd="0" presId="urn:microsoft.com/office/officeart/2005/8/layout/orgChart1"/>
    <dgm:cxn modelId="{9210033B-82DB-48FB-B7C6-276161038557}" type="presParOf" srcId="{9C0A2863-6DB9-478D-AA03-24E19AD308A8}" destId="{09B828F8-8426-4DE4-92AA-0EB7BC0586F4}" srcOrd="1" destOrd="0" presId="urn:microsoft.com/office/officeart/2005/8/layout/orgChart1"/>
    <dgm:cxn modelId="{E81FC65B-E851-4C9E-865D-9A5829AA9144}" type="presParOf" srcId="{FA186150-6F4F-4114-A8F8-A0E34C14B051}" destId="{AD9624B2-27ED-454F-937C-56ADF7242C4C}" srcOrd="1" destOrd="0" presId="urn:microsoft.com/office/officeart/2005/8/layout/orgChart1"/>
    <dgm:cxn modelId="{33653879-1EB5-4723-ADD9-A463574A2C43}" type="presParOf" srcId="{FA186150-6F4F-4114-A8F8-A0E34C14B051}" destId="{680D7143-008F-45BB-98A8-33BF35946FEC}" srcOrd="2" destOrd="0" presId="urn:microsoft.com/office/officeart/2005/8/layout/orgChart1"/>
    <dgm:cxn modelId="{56AE1706-19B0-4E3B-B927-AF96A12BF327}" type="presParOf" srcId="{FF2547CB-9D54-4977-87AF-7A347CD97FA5}" destId="{F571ED14-D262-4BBE-824C-35FB731C028A}" srcOrd="1" destOrd="0" presId="urn:microsoft.com/office/officeart/2005/8/layout/orgChart1"/>
    <dgm:cxn modelId="{76EE30A2-EF97-464A-982C-AF35590DC9CB}" type="presParOf" srcId="{F571ED14-D262-4BBE-824C-35FB731C028A}" destId="{DBF20CF6-AA2C-4AB3-BAE4-4ABF9C5C688F}" srcOrd="0" destOrd="0" presId="urn:microsoft.com/office/officeart/2005/8/layout/orgChart1"/>
    <dgm:cxn modelId="{DB6F6819-4355-4184-8090-BE11127A3D1C}" type="presParOf" srcId="{DBF20CF6-AA2C-4AB3-BAE4-4ABF9C5C688F}" destId="{7345855C-3273-4F98-ACAA-581D79E1D342}" srcOrd="0" destOrd="0" presId="urn:microsoft.com/office/officeart/2005/8/layout/orgChart1"/>
    <dgm:cxn modelId="{5289964A-1196-4E19-8B54-BC609F2E5899}" type="presParOf" srcId="{DBF20CF6-AA2C-4AB3-BAE4-4ABF9C5C688F}" destId="{A60324AC-E680-494F-9AD5-30301F6B900E}" srcOrd="1" destOrd="0" presId="urn:microsoft.com/office/officeart/2005/8/layout/orgChart1"/>
    <dgm:cxn modelId="{96B895C8-1A95-4336-9A54-B9F29937B90E}" type="presParOf" srcId="{F571ED14-D262-4BBE-824C-35FB731C028A}" destId="{E306FADA-722F-4C8B-A26D-307E8088FA0D}" srcOrd="1" destOrd="0" presId="urn:microsoft.com/office/officeart/2005/8/layout/orgChart1"/>
    <dgm:cxn modelId="{82C898C7-BFE8-41C1-B009-94D3E5514A8C}" type="presParOf" srcId="{E306FADA-722F-4C8B-A26D-307E8088FA0D}" destId="{D84869AD-52EE-4C32-B89C-18ADDF8B23B8}" srcOrd="0" destOrd="0" presId="urn:microsoft.com/office/officeart/2005/8/layout/orgChart1"/>
    <dgm:cxn modelId="{64A0431F-9D15-4466-BBB0-B4648DB85CA4}" type="presParOf" srcId="{E306FADA-722F-4C8B-A26D-307E8088FA0D}" destId="{AF505CF9-4019-42AC-AA31-29889B815E6B}" srcOrd="1" destOrd="0" presId="urn:microsoft.com/office/officeart/2005/8/layout/orgChart1"/>
    <dgm:cxn modelId="{D5C6F7F7-5E3E-4533-9353-09404DFE8978}" type="presParOf" srcId="{AF505CF9-4019-42AC-AA31-29889B815E6B}" destId="{A3C0AED4-0C19-4A63-8250-499FC531B04F}" srcOrd="0" destOrd="0" presId="urn:microsoft.com/office/officeart/2005/8/layout/orgChart1"/>
    <dgm:cxn modelId="{0CEAD33F-C94B-4086-B319-1FEA8E82EF0C}" type="presParOf" srcId="{A3C0AED4-0C19-4A63-8250-499FC531B04F}" destId="{F92D6A37-D80E-4E1C-B04E-5BE77F456D74}" srcOrd="0" destOrd="0" presId="urn:microsoft.com/office/officeart/2005/8/layout/orgChart1"/>
    <dgm:cxn modelId="{88B9FDDE-B452-4CBA-9ABC-0057B678C3E8}" type="presParOf" srcId="{A3C0AED4-0C19-4A63-8250-499FC531B04F}" destId="{CC4B0768-B131-444F-A138-DAE6AB047DA6}" srcOrd="1" destOrd="0" presId="urn:microsoft.com/office/officeart/2005/8/layout/orgChart1"/>
    <dgm:cxn modelId="{F064A1C6-CD55-447F-93CF-5B3CC0D524E0}" type="presParOf" srcId="{AF505CF9-4019-42AC-AA31-29889B815E6B}" destId="{C442D2B2-D2C4-4306-B353-D363FD022903}" srcOrd="1" destOrd="0" presId="urn:microsoft.com/office/officeart/2005/8/layout/orgChart1"/>
    <dgm:cxn modelId="{7AF14349-9B57-44D2-B63B-A82C1B8A1065}" type="presParOf" srcId="{AF505CF9-4019-42AC-AA31-29889B815E6B}" destId="{1D9AF6E9-BD45-4E2B-8EC8-3A555472D662}" srcOrd="2" destOrd="0" presId="urn:microsoft.com/office/officeart/2005/8/layout/orgChart1"/>
    <dgm:cxn modelId="{7C31B969-50CA-4B0B-9DC8-D9DB486F0D6A}" type="presParOf" srcId="{E306FADA-722F-4C8B-A26D-307E8088FA0D}" destId="{6DA6A4E0-5E86-46C8-9001-3B63417982F8}" srcOrd="2" destOrd="0" presId="urn:microsoft.com/office/officeart/2005/8/layout/orgChart1"/>
    <dgm:cxn modelId="{00FEF364-8E82-42CE-8AF2-4A9027149702}" type="presParOf" srcId="{E306FADA-722F-4C8B-A26D-307E8088FA0D}" destId="{FE453346-CA1F-4B79-81F3-47FD2C2FD93E}" srcOrd="3" destOrd="0" presId="urn:microsoft.com/office/officeart/2005/8/layout/orgChart1"/>
    <dgm:cxn modelId="{5687BAE8-04E1-49A7-B378-C7A8B49819A2}" type="presParOf" srcId="{FE453346-CA1F-4B79-81F3-47FD2C2FD93E}" destId="{9BA3C740-E2FD-43F0-997F-208484FCC7AE}" srcOrd="0" destOrd="0" presId="urn:microsoft.com/office/officeart/2005/8/layout/orgChart1"/>
    <dgm:cxn modelId="{1A053CF4-60CA-4FC5-9EE4-FB085C2E0F51}" type="presParOf" srcId="{9BA3C740-E2FD-43F0-997F-208484FCC7AE}" destId="{B068549D-ACA4-4C25-AAE9-693F1D3AB3E1}" srcOrd="0" destOrd="0" presId="urn:microsoft.com/office/officeart/2005/8/layout/orgChart1"/>
    <dgm:cxn modelId="{93B9743C-FF73-4B67-B530-FDBDA826FF33}" type="presParOf" srcId="{9BA3C740-E2FD-43F0-997F-208484FCC7AE}" destId="{1E3BA070-4E3A-43DC-9734-6D3E581C17B0}" srcOrd="1" destOrd="0" presId="urn:microsoft.com/office/officeart/2005/8/layout/orgChart1"/>
    <dgm:cxn modelId="{A30274D8-19DC-4BA8-B832-53D5EC877C0D}" type="presParOf" srcId="{FE453346-CA1F-4B79-81F3-47FD2C2FD93E}" destId="{2AD4402B-58FA-4656-AC14-EC10C8F1AFF0}" srcOrd="1" destOrd="0" presId="urn:microsoft.com/office/officeart/2005/8/layout/orgChart1"/>
    <dgm:cxn modelId="{39B70386-9546-4A0E-B94A-B095506BED02}" type="presParOf" srcId="{FE453346-CA1F-4B79-81F3-47FD2C2FD93E}" destId="{EDF9A5AF-FF3F-46D0-8767-288199C34F6D}" srcOrd="2" destOrd="0" presId="urn:microsoft.com/office/officeart/2005/8/layout/orgChart1"/>
    <dgm:cxn modelId="{074EF8C7-8106-45EA-AAF5-C16C77EEB658}" type="presParOf" srcId="{E306FADA-722F-4C8B-A26D-307E8088FA0D}" destId="{45E75B13-F9F7-4CB4-9E64-728A6CB178B1}" srcOrd="4" destOrd="0" presId="urn:microsoft.com/office/officeart/2005/8/layout/orgChart1"/>
    <dgm:cxn modelId="{223F28BE-B4C0-4965-AE08-60FA67F303C6}" type="presParOf" srcId="{E306FADA-722F-4C8B-A26D-307E8088FA0D}" destId="{CC438EB8-3135-4BF9-AB65-5C2E28819621}" srcOrd="5" destOrd="0" presId="urn:microsoft.com/office/officeart/2005/8/layout/orgChart1"/>
    <dgm:cxn modelId="{0A98D918-9BBC-4EAB-977B-F9110C96E365}" type="presParOf" srcId="{CC438EB8-3135-4BF9-AB65-5C2E28819621}" destId="{3BDA2CD9-32C3-4455-BC90-F0AC7A84EDF0}" srcOrd="0" destOrd="0" presId="urn:microsoft.com/office/officeart/2005/8/layout/orgChart1"/>
    <dgm:cxn modelId="{60947234-5544-4ACC-A66E-C368CC93B483}" type="presParOf" srcId="{3BDA2CD9-32C3-4455-BC90-F0AC7A84EDF0}" destId="{0973BA0F-3657-4D39-AC21-368758D1C49E}" srcOrd="0" destOrd="0" presId="urn:microsoft.com/office/officeart/2005/8/layout/orgChart1"/>
    <dgm:cxn modelId="{DCCEC93E-A07D-4AFE-BCB8-A17BAF31C029}" type="presParOf" srcId="{3BDA2CD9-32C3-4455-BC90-F0AC7A84EDF0}" destId="{C7269469-9767-42F9-82F5-38FE633443F9}" srcOrd="1" destOrd="0" presId="urn:microsoft.com/office/officeart/2005/8/layout/orgChart1"/>
    <dgm:cxn modelId="{B101D9CF-9C39-4F54-8D77-039D742E54B2}" type="presParOf" srcId="{CC438EB8-3135-4BF9-AB65-5C2E28819621}" destId="{9DD24ADE-5ED0-4D3F-9111-F478DB1A2315}" srcOrd="1" destOrd="0" presId="urn:microsoft.com/office/officeart/2005/8/layout/orgChart1"/>
    <dgm:cxn modelId="{E45BDD52-406C-46F2-8EF0-57D166ED164E}" type="presParOf" srcId="{CC438EB8-3135-4BF9-AB65-5C2E28819621}" destId="{EA60CC12-19AC-4F8B-8B8D-08C72D5FFEFC}" srcOrd="2" destOrd="0" presId="urn:microsoft.com/office/officeart/2005/8/layout/orgChart1"/>
    <dgm:cxn modelId="{B8BE2C53-B7A5-45A9-8675-8EBDD9762A72}" type="presParOf" srcId="{F571ED14-D262-4BBE-824C-35FB731C028A}" destId="{BCE243A6-3D3C-43BA-9643-15C8D1AB739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18F7B3-4D20-4350-8634-79EA88651104}">
      <dsp:nvSpPr>
        <dsp:cNvPr id="0" name=""/>
        <dsp:cNvSpPr/>
      </dsp:nvSpPr>
      <dsp:spPr>
        <a:xfrm>
          <a:off x="2544" y="75187"/>
          <a:ext cx="1481435" cy="592574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000" b="1" kern="1200"/>
            <a:t>Phase 1(a): National REDD+ Roadmap</a:t>
          </a:r>
        </a:p>
      </dsp:txBody>
      <dsp:txXfrm>
        <a:off x="298831" y="75187"/>
        <a:ext cx="888861" cy="592574"/>
      </dsp:txXfrm>
    </dsp:sp>
    <dsp:sp modelId="{1B14EB22-47D8-4D5B-83CF-CE1FEF872595}">
      <dsp:nvSpPr>
        <dsp:cNvPr id="0" name=""/>
        <dsp:cNvSpPr/>
      </dsp:nvSpPr>
      <dsp:spPr>
        <a:xfrm>
          <a:off x="1335836" y="75187"/>
          <a:ext cx="1481435" cy="592574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000" kern="1200"/>
            <a:t>Phase 1(b): National REDD+ Strategy</a:t>
          </a:r>
        </a:p>
      </dsp:txBody>
      <dsp:txXfrm>
        <a:off x="1632123" y="75187"/>
        <a:ext cx="888861" cy="592574"/>
      </dsp:txXfrm>
    </dsp:sp>
    <dsp:sp modelId="{157A2510-81F9-4CF1-A761-BB0AFA9159A6}">
      <dsp:nvSpPr>
        <dsp:cNvPr id="0" name=""/>
        <dsp:cNvSpPr/>
      </dsp:nvSpPr>
      <dsp:spPr>
        <a:xfrm>
          <a:off x="2669128" y="75187"/>
          <a:ext cx="1481435" cy="592574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000" kern="1200"/>
            <a:t>Phase 2: Implementation</a:t>
          </a:r>
        </a:p>
      </dsp:txBody>
      <dsp:txXfrm>
        <a:off x="2965415" y="75187"/>
        <a:ext cx="888861" cy="592574"/>
      </dsp:txXfrm>
    </dsp:sp>
    <dsp:sp modelId="{53E29663-B178-4160-AE4A-4C8C85BD59AE}">
      <dsp:nvSpPr>
        <dsp:cNvPr id="0" name=""/>
        <dsp:cNvSpPr/>
      </dsp:nvSpPr>
      <dsp:spPr>
        <a:xfrm>
          <a:off x="4002419" y="75187"/>
          <a:ext cx="1481435" cy="592574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000" kern="1200"/>
            <a:t>Phase 3: Demonstrated emission reductions</a:t>
          </a:r>
        </a:p>
      </dsp:txBody>
      <dsp:txXfrm>
        <a:off x="4298706" y="75187"/>
        <a:ext cx="888861" cy="59257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E75B13-F9F7-4CB4-9E64-728A6CB178B1}">
      <dsp:nvSpPr>
        <dsp:cNvPr id="0" name=""/>
        <dsp:cNvSpPr/>
      </dsp:nvSpPr>
      <dsp:spPr>
        <a:xfrm>
          <a:off x="2743200" y="1963782"/>
          <a:ext cx="1943698" cy="3062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3124"/>
              </a:lnTo>
              <a:lnTo>
                <a:pt x="1943698" y="153124"/>
              </a:lnTo>
              <a:lnTo>
                <a:pt x="1943698" y="3062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A6A4E0-5E86-46C8-9001-3B63417982F8}">
      <dsp:nvSpPr>
        <dsp:cNvPr id="0" name=""/>
        <dsp:cNvSpPr/>
      </dsp:nvSpPr>
      <dsp:spPr>
        <a:xfrm>
          <a:off x="2696327" y="1963782"/>
          <a:ext cx="91440" cy="306249"/>
        </a:xfrm>
        <a:custGeom>
          <a:avLst/>
          <a:gdLst/>
          <a:ahLst/>
          <a:cxnLst/>
          <a:rect l="0" t="0" r="0" b="0"/>
          <a:pathLst>
            <a:path>
              <a:moveTo>
                <a:pt x="46872" y="0"/>
              </a:moveTo>
              <a:lnTo>
                <a:pt x="46872" y="153124"/>
              </a:lnTo>
              <a:lnTo>
                <a:pt x="45720" y="153124"/>
              </a:lnTo>
              <a:lnTo>
                <a:pt x="45720" y="3062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4869AD-52EE-4C32-B89C-18ADDF8B23B8}">
      <dsp:nvSpPr>
        <dsp:cNvPr id="0" name=""/>
        <dsp:cNvSpPr/>
      </dsp:nvSpPr>
      <dsp:spPr>
        <a:xfrm>
          <a:off x="865024" y="1963782"/>
          <a:ext cx="1878175" cy="306249"/>
        </a:xfrm>
        <a:custGeom>
          <a:avLst/>
          <a:gdLst/>
          <a:ahLst/>
          <a:cxnLst/>
          <a:rect l="0" t="0" r="0" b="0"/>
          <a:pathLst>
            <a:path>
              <a:moveTo>
                <a:pt x="1878175" y="0"/>
              </a:moveTo>
              <a:lnTo>
                <a:pt x="1878175" y="153124"/>
              </a:lnTo>
              <a:lnTo>
                <a:pt x="0" y="153124"/>
              </a:lnTo>
              <a:lnTo>
                <a:pt x="0" y="3062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549A73-75C5-461A-9BC5-68C075A6A32F}">
      <dsp:nvSpPr>
        <dsp:cNvPr id="0" name=""/>
        <dsp:cNvSpPr/>
      </dsp:nvSpPr>
      <dsp:spPr>
        <a:xfrm>
          <a:off x="164581" y="798650"/>
          <a:ext cx="1458329" cy="72916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800" b="1" kern="1200"/>
            <a:t>Advisory Board</a:t>
          </a:r>
        </a:p>
      </dsp:txBody>
      <dsp:txXfrm>
        <a:off x="164581" y="798650"/>
        <a:ext cx="1458329" cy="729164"/>
      </dsp:txXfrm>
    </dsp:sp>
    <dsp:sp modelId="{7345855C-3273-4F98-ACAA-581D79E1D342}">
      <dsp:nvSpPr>
        <dsp:cNvPr id="0" name=""/>
        <dsp:cNvSpPr/>
      </dsp:nvSpPr>
      <dsp:spPr>
        <a:xfrm>
          <a:off x="1929160" y="427177"/>
          <a:ext cx="1628079" cy="153660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800" b="1" kern="1200"/>
            <a:t>National REDD+ Roadmap Taskforce</a:t>
          </a:r>
        </a:p>
      </dsp:txBody>
      <dsp:txXfrm>
        <a:off x="1929160" y="427177"/>
        <a:ext cx="1628079" cy="1536605"/>
      </dsp:txXfrm>
    </dsp:sp>
    <dsp:sp modelId="{F92D6A37-D80E-4E1C-B04E-5BE77F456D74}">
      <dsp:nvSpPr>
        <dsp:cNvPr id="0" name=""/>
        <dsp:cNvSpPr/>
      </dsp:nvSpPr>
      <dsp:spPr>
        <a:xfrm>
          <a:off x="1080" y="2270031"/>
          <a:ext cx="1727887" cy="98896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500" b="1" kern="1200"/>
            <a:t>Drivers and Strategies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500" kern="1200"/>
            <a:t>(Working Group 1)</a:t>
          </a:r>
        </a:p>
      </dsp:txBody>
      <dsp:txXfrm>
        <a:off x="1080" y="2270031"/>
        <a:ext cx="1727887" cy="988966"/>
      </dsp:txXfrm>
    </dsp:sp>
    <dsp:sp modelId="{B068549D-ACA4-4C25-AAE9-693F1D3AB3E1}">
      <dsp:nvSpPr>
        <dsp:cNvPr id="0" name=""/>
        <dsp:cNvSpPr/>
      </dsp:nvSpPr>
      <dsp:spPr>
        <a:xfrm>
          <a:off x="1968542" y="2270031"/>
          <a:ext cx="1547010" cy="9756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500" b="1" kern="1200"/>
            <a:t>Stakeholder Engagement and Safeguards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500" kern="1200"/>
            <a:t>(Working Group 2)</a:t>
          </a:r>
        </a:p>
      </dsp:txBody>
      <dsp:txXfrm>
        <a:off x="1968542" y="2270031"/>
        <a:ext cx="1547010" cy="975629"/>
      </dsp:txXfrm>
    </dsp:sp>
    <dsp:sp modelId="{0973BA0F-3657-4D39-AC21-368758D1C49E}">
      <dsp:nvSpPr>
        <dsp:cNvPr id="0" name=""/>
        <dsp:cNvSpPr/>
      </dsp:nvSpPr>
      <dsp:spPr>
        <a:xfrm>
          <a:off x="3888477" y="2270031"/>
          <a:ext cx="1596841" cy="94119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500" b="1" kern="1200"/>
            <a:t>Monitoring, Reference Levels and MRV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500" kern="1200"/>
            <a:t>(Working Group 3)</a:t>
          </a:r>
        </a:p>
      </dsp:txBody>
      <dsp:txXfrm>
        <a:off x="3888477" y="2270031"/>
        <a:ext cx="1596841" cy="9411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EECB8-5755-4AE2-A8FA-835DBAF7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REDD+ Roadmap Taskforce in Mongolia – Terms of Reference</vt:lpstr>
    </vt:vector>
  </TitlesOfParts>
  <Company/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REDD+ Roadmap Taskforce in Mongolia – Terms of Reference</dc:title>
  <dc:creator>Lisa Ogle</dc:creator>
  <cp:lastModifiedBy>akihito.kono</cp:lastModifiedBy>
  <cp:revision>3</cp:revision>
  <dcterms:created xsi:type="dcterms:W3CDTF">2011-09-24T05:55:00Z</dcterms:created>
  <dcterms:modified xsi:type="dcterms:W3CDTF">2011-09-24T05:56:00Z</dcterms:modified>
</cp:coreProperties>
</file>