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F1" w:rsidRDefault="00216000" w:rsidP="00216000">
      <w:pPr>
        <w:pStyle w:val="Title"/>
        <w:rPr>
          <w:sz w:val="40"/>
        </w:rPr>
      </w:pPr>
      <w:r w:rsidRPr="00216000">
        <w:rPr>
          <w:sz w:val="40"/>
        </w:rPr>
        <w:t>Links to background readings</w:t>
      </w:r>
      <w:r w:rsidR="00216A9E">
        <w:rPr>
          <w:sz w:val="40"/>
        </w:rPr>
        <w:t xml:space="preserve"> and</w:t>
      </w:r>
      <w:r w:rsidRPr="00216000">
        <w:rPr>
          <w:sz w:val="40"/>
        </w:rPr>
        <w:t xml:space="preserve"> references:</w:t>
      </w:r>
    </w:p>
    <w:p w:rsidR="00216A9E" w:rsidRDefault="00216A9E" w:rsidP="00216A9E">
      <w:r>
        <w:t>PGA Team Meeting, Oslo 16-17 June 2014</w:t>
      </w:r>
    </w:p>
    <w:p w:rsidR="00216A9E" w:rsidRPr="00216A9E" w:rsidRDefault="00216A9E" w:rsidP="00216A9E"/>
    <w:p w:rsidR="00216000" w:rsidRPr="00216000" w:rsidRDefault="00216000" w:rsidP="00216000">
      <w:pPr>
        <w:pStyle w:val="Subtitle"/>
        <w:rPr>
          <w:sz w:val="22"/>
        </w:rPr>
      </w:pPr>
      <w:r w:rsidRPr="00216000">
        <w:rPr>
          <w:sz w:val="22"/>
        </w:rPr>
        <w:t xml:space="preserve">Useful documents to ensure </w:t>
      </w:r>
      <w:r w:rsidRPr="00216000">
        <w:rPr>
          <w:sz w:val="22"/>
          <w:u w:val="single"/>
        </w:rPr>
        <w:t>consistency</w:t>
      </w:r>
      <w:r w:rsidRPr="00216000">
        <w:rPr>
          <w:sz w:val="22"/>
        </w:rPr>
        <w:t xml:space="preserve"> for the </w:t>
      </w:r>
      <w:proofErr w:type="spellStart"/>
      <w:r w:rsidRPr="00216000">
        <w:rPr>
          <w:sz w:val="22"/>
        </w:rPr>
        <w:t>Norad</w:t>
      </w:r>
      <w:proofErr w:type="spellEnd"/>
      <w:r w:rsidRPr="00216000">
        <w:rPr>
          <w:sz w:val="22"/>
        </w:rPr>
        <w:t xml:space="preserve"> presentations (Tuesday 17/6): </w:t>
      </w:r>
    </w:p>
    <w:p w:rsidR="00216000" w:rsidRPr="00216000" w:rsidRDefault="00216000">
      <w:pPr>
        <w:rPr>
          <w:sz w:val="20"/>
        </w:rPr>
      </w:pPr>
      <w:r>
        <w:tab/>
      </w:r>
      <w:hyperlink r:id="rId4" w:history="1">
        <w:r w:rsidRPr="00DC6C25">
          <w:rPr>
            <w:rStyle w:val="Hyperlink"/>
            <w:sz w:val="20"/>
          </w:rPr>
          <w:t>PGA Fast Facts</w:t>
        </w:r>
      </w:hyperlink>
      <w:r w:rsidR="00DC6C25">
        <w:rPr>
          <w:sz w:val="20"/>
        </w:rPr>
        <w:t xml:space="preserve"> and </w:t>
      </w:r>
      <w:hyperlink r:id="rId5" w:history="1">
        <w:r w:rsidRPr="00DC6C25">
          <w:rPr>
            <w:rStyle w:val="Hyperlink"/>
            <w:sz w:val="20"/>
          </w:rPr>
          <w:t>PGA Frequently Asked Questions</w:t>
        </w:r>
      </w:hyperlink>
    </w:p>
    <w:p w:rsidR="006B4C86" w:rsidRDefault="006B4C86" w:rsidP="00216000">
      <w:pPr>
        <w:pStyle w:val="Subtitle"/>
        <w:rPr>
          <w:sz w:val="22"/>
        </w:rPr>
      </w:pPr>
    </w:p>
    <w:p w:rsidR="00216000" w:rsidRPr="00216000" w:rsidRDefault="00216000" w:rsidP="00216000">
      <w:pPr>
        <w:pStyle w:val="Subtitle"/>
        <w:rPr>
          <w:sz w:val="22"/>
        </w:rPr>
      </w:pPr>
      <w:r w:rsidRPr="00216000">
        <w:rPr>
          <w:sz w:val="22"/>
        </w:rPr>
        <w:t>Relevant country</w:t>
      </w:r>
      <w:r>
        <w:rPr>
          <w:sz w:val="22"/>
        </w:rPr>
        <w:t>-</w:t>
      </w:r>
      <w:r w:rsidRPr="00216000">
        <w:rPr>
          <w:sz w:val="22"/>
        </w:rPr>
        <w:t xml:space="preserve">specific material: </w:t>
      </w:r>
    </w:p>
    <w:p w:rsidR="00216000" w:rsidRPr="00182F66" w:rsidRDefault="007F5D90" w:rsidP="00DC6C25">
      <w:pPr>
        <w:ind w:left="720"/>
        <w:rPr>
          <w:sz w:val="20"/>
          <w:szCs w:val="20"/>
        </w:rPr>
      </w:pPr>
      <w:hyperlink r:id="rId6" w:history="1">
        <w:r w:rsidR="00216000" w:rsidRPr="00DC6C25">
          <w:rPr>
            <w:rStyle w:val="Hyperlink"/>
            <w:sz w:val="20"/>
          </w:rPr>
          <w:t>Indonesia’s PGA report launched in 2013</w:t>
        </w:r>
      </w:hyperlink>
      <w:r w:rsidR="00DC6C25">
        <w:rPr>
          <w:sz w:val="20"/>
        </w:rPr>
        <w:t xml:space="preserve">; </w:t>
      </w:r>
      <w:hyperlink r:id="rId7" w:history="1">
        <w:r w:rsidR="00216000" w:rsidRPr="00DC6C25">
          <w:rPr>
            <w:rStyle w:val="Hyperlink"/>
            <w:sz w:val="20"/>
          </w:rPr>
          <w:t>Executive summary o</w:t>
        </w:r>
        <w:r w:rsidR="00DC6C25" w:rsidRPr="00DC6C25">
          <w:rPr>
            <w:rStyle w:val="Hyperlink"/>
            <w:sz w:val="20"/>
          </w:rPr>
          <w:t>f the PGA report from Indonesia</w:t>
        </w:r>
      </w:hyperlink>
      <w:r w:rsidR="00DC6C25">
        <w:rPr>
          <w:sz w:val="20"/>
        </w:rPr>
        <w:t xml:space="preserve">; </w:t>
      </w:r>
      <w:hyperlink r:id="rId8" w:history="1">
        <w:r w:rsidR="00DC6C25" w:rsidRPr="00DC6C25">
          <w:rPr>
            <w:rStyle w:val="Hyperlink"/>
            <w:sz w:val="20"/>
          </w:rPr>
          <w:t>P</w:t>
        </w:r>
        <w:r w:rsidR="00216000" w:rsidRPr="00DC6C25">
          <w:rPr>
            <w:rStyle w:val="Hyperlink"/>
            <w:sz w:val="20"/>
          </w:rPr>
          <w:t>reliminary results and PGA utilization in Indonesia</w:t>
        </w:r>
      </w:hyperlink>
      <w:r w:rsidR="00216A9E">
        <w:rPr>
          <w:sz w:val="20"/>
        </w:rPr>
        <w:t>; Work plan for 2014 (PGA Indonesia); Work plan for 2014 (PGA Nigeria)</w:t>
      </w:r>
      <w:r w:rsidR="00B162E2">
        <w:rPr>
          <w:sz w:val="20"/>
        </w:rPr>
        <w:t>;</w:t>
      </w:r>
      <w:r w:rsidR="00216A9E">
        <w:rPr>
          <w:sz w:val="20"/>
        </w:rPr>
        <w:t xml:space="preserve"> </w:t>
      </w:r>
      <w:hyperlink r:id="rId9" w:history="1">
        <w:r w:rsidR="00216A9E" w:rsidRPr="00182F66">
          <w:rPr>
            <w:rStyle w:val="Hyperlink"/>
            <w:sz w:val="20"/>
            <w:szCs w:val="20"/>
          </w:rPr>
          <w:t>Work plan for 2014 (Viet Nam)</w:t>
        </w:r>
      </w:hyperlink>
      <w:r w:rsidR="00182F66" w:rsidRPr="00182F66">
        <w:rPr>
          <w:sz w:val="20"/>
          <w:szCs w:val="20"/>
        </w:rPr>
        <w:t xml:space="preserve">; </w:t>
      </w:r>
      <w:hyperlink r:id="rId10" w:history="1">
        <w:r w:rsidR="00182F66" w:rsidRPr="00182F66">
          <w:rPr>
            <w:rStyle w:val="Hyperlink"/>
            <w:sz w:val="20"/>
            <w:szCs w:val="20"/>
          </w:rPr>
          <w:t>Field forms for data collection and other relevant materials</w:t>
        </w:r>
      </w:hyperlink>
      <w:r w:rsidR="00182F66" w:rsidRPr="00182F66">
        <w:rPr>
          <w:sz w:val="20"/>
          <w:szCs w:val="20"/>
        </w:rPr>
        <w:t xml:space="preserve"> (Viet Nam)</w:t>
      </w:r>
    </w:p>
    <w:p w:rsidR="006B4C86" w:rsidRDefault="006B4C86" w:rsidP="00216000">
      <w:pPr>
        <w:pStyle w:val="Subtitle"/>
        <w:rPr>
          <w:sz w:val="22"/>
        </w:rPr>
      </w:pPr>
    </w:p>
    <w:p w:rsidR="00216000" w:rsidRPr="00216000" w:rsidRDefault="00216000" w:rsidP="00216000">
      <w:pPr>
        <w:pStyle w:val="Subtitle"/>
        <w:rPr>
          <w:sz w:val="22"/>
        </w:rPr>
      </w:pPr>
      <w:r w:rsidRPr="00216000">
        <w:rPr>
          <w:sz w:val="22"/>
        </w:rPr>
        <w:t xml:space="preserve">Practical Guide to PGAs: </w:t>
      </w:r>
    </w:p>
    <w:p w:rsidR="00216000" w:rsidRPr="00216000" w:rsidRDefault="00216000" w:rsidP="00216000">
      <w:pPr>
        <w:rPr>
          <w:sz w:val="20"/>
        </w:rPr>
      </w:pPr>
      <w:r>
        <w:tab/>
      </w:r>
      <w:hyperlink r:id="rId11" w:history="1">
        <w:r w:rsidRPr="00216000">
          <w:rPr>
            <w:rStyle w:val="Hyperlink"/>
            <w:sz w:val="20"/>
          </w:rPr>
          <w:t>Final version</w:t>
        </w:r>
      </w:hyperlink>
      <w:r w:rsidRPr="00216000">
        <w:rPr>
          <w:sz w:val="20"/>
        </w:rPr>
        <w:t xml:space="preserve"> </w:t>
      </w:r>
      <w:r>
        <w:rPr>
          <w:sz w:val="20"/>
        </w:rPr>
        <w:t xml:space="preserve">as of </w:t>
      </w:r>
      <w:r w:rsidRPr="00216000">
        <w:rPr>
          <w:sz w:val="20"/>
        </w:rPr>
        <w:t>6/6/14</w:t>
      </w:r>
    </w:p>
    <w:p w:rsidR="00216000" w:rsidRDefault="00216000" w:rsidP="00216000">
      <w:pPr>
        <w:pStyle w:val="Subtitle"/>
        <w:rPr>
          <w:sz w:val="22"/>
        </w:rPr>
      </w:pPr>
    </w:p>
    <w:p w:rsidR="00216000" w:rsidRDefault="00DC6C25" w:rsidP="00216000">
      <w:pPr>
        <w:pStyle w:val="Subtitle"/>
        <w:rPr>
          <w:sz w:val="22"/>
        </w:rPr>
      </w:pPr>
      <w:r>
        <w:rPr>
          <w:sz w:val="22"/>
        </w:rPr>
        <w:t>Anti-corruption related material:</w:t>
      </w:r>
    </w:p>
    <w:p w:rsidR="00216A9E" w:rsidRPr="00216A9E" w:rsidRDefault="007F5D90" w:rsidP="006B4C86">
      <w:pPr>
        <w:ind w:left="720"/>
      </w:pPr>
      <w:hyperlink r:id="rId12" w:history="1">
        <w:r w:rsidR="006B4C86" w:rsidRPr="006B4C86">
          <w:rPr>
            <w:rStyle w:val="Hyperlink"/>
          </w:rPr>
          <w:t xml:space="preserve">Guide to </w:t>
        </w:r>
        <w:r w:rsidR="00216A9E" w:rsidRPr="006B4C86">
          <w:rPr>
            <w:rStyle w:val="Hyperlink"/>
          </w:rPr>
          <w:t>Corruption Risks Assessments</w:t>
        </w:r>
      </w:hyperlink>
      <w:r w:rsidR="00216A9E">
        <w:t xml:space="preserve">; </w:t>
      </w:r>
      <w:hyperlink r:id="rId13" w:history="1">
        <w:r w:rsidR="006B4C86" w:rsidRPr="006B4C86">
          <w:rPr>
            <w:rStyle w:val="Hyperlink"/>
          </w:rPr>
          <w:t>Kenya Corruption Risk Assessment</w:t>
        </w:r>
      </w:hyperlink>
      <w:r w:rsidR="006B4C86">
        <w:t xml:space="preserve">; </w:t>
      </w:r>
      <w:hyperlink r:id="rId14" w:history="1">
        <w:r w:rsidR="00216A9E" w:rsidRPr="006B4C86">
          <w:rPr>
            <w:rStyle w:val="Hyperlink"/>
          </w:rPr>
          <w:t>Freedom of Information</w:t>
        </w:r>
        <w:r w:rsidR="006B4C86" w:rsidRPr="006B4C86">
          <w:rPr>
            <w:rStyle w:val="Hyperlink"/>
          </w:rPr>
          <w:t xml:space="preserve"> for REDD+</w:t>
        </w:r>
      </w:hyperlink>
    </w:p>
    <w:p w:rsidR="006B4C86" w:rsidRDefault="006B4C86" w:rsidP="00216A9E">
      <w:pPr>
        <w:pStyle w:val="Subtitle"/>
        <w:rPr>
          <w:sz w:val="22"/>
        </w:rPr>
      </w:pPr>
    </w:p>
    <w:p w:rsidR="00216A9E" w:rsidRPr="00216A9E" w:rsidRDefault="00216A9E" w:rsidP="00216A9E">
      <w:pPr>
        <w:pStyle w:val="Subtitle"/>
      </w:pPr>
      <w:r w:rsidRPr="00216000">
        <w:rPr>
          <w:sz w:val="22"/>
        </w:rPr>
        <w:t xml:space="preserve">Safeguards: </w:t>
      </w:r>
    </w:p>
    <w:bookmarkStart w:id="0" w:name="_GoBack"/>
    <w:bookmarkEnd w:id="0"/>
    <w:p w:rsidR="0028144E" w:rsidRDefault="0028144E" w:rsidP="00B162E2">
      <w:pPr>
        <w:pStyle w:val="Default"/>
        <w:ind w:left="720"/>
      </w:pPr>
      <w:r w:rsidRPr="0028144E">
        <w:rPr>
          <w:bCs/>
          <w:sz w:val="22"/>
          <w:szCs w:val="22"/>
        </w:rPr>
        <w:fldChar w:fldCharType="begin"/>
      </w:r>
      <w:r w:rsidRPr="0028144E">
        <w:rPr>
          <w:bCs/>
          <w:sz w:val="22"/>
          <w:szCs w:val="22"/>
        </w:rPr>
        <w:instrText xml:space="preserve"> HYPERLINK "http://www.un-redd.org/Newsletter43/SafeguardApproaches/tabid/131882/Default.aspx" </w:instrText>
      </w:r>
      <w:r w:rsidRPr="0028144E">
        <w:rPr>
          <w:bCs/>
          <w:sz w:val="22"/>
          <w:szCs w:val="22"/>
        </w:rPr>
      </w:r>
      <w:r w:rsidRPr="0028144E">
        <w:rPr>
          <w:bCs/>
          <w:sz w:val="22"/>
          <w:szCs w:val="22"/>
        </w:rPr>
        <w:fldChar w:fldCharType="separate"/>
      </w:r>
      <w:r w:rsidR="00F701F0" w:rsidRPr="0028144E">
        <w:rPr>
          <w:rStyle w:val="Hyperlink"/>
          <w:bCs/>
          <w:sz w:val="22"/>
          <w:szCs w:val="22"/>
        </w:rPr>
        <w:t>UN-REDD Framework for Supporting the Development of Country Approaches to Safeguards</w:t>
      </w:r>
      <w:r w:rsidRPr="0028144E"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; </w:t>
      </w:r>
      <w:hyperlink r:id="rId15" w:history="1">
        <w:r w:rsidRPr="00182F66">
          <w:rPr>
            <w:rStyle w:val="Hyperlink"/>
            <w:sz w:val="22"/>
            <w:szCs w:val="22"/>
          </w:rPr>
          <w:t>Putting REDD+ Safeguards and  Safeguard Information Systems Into Practice</w:t>
        </w:r>
      </w:hyperlink>
      <w:r w:rsidRPr="00182F66">
        <w:rPr>
          <w:sz w:val="22"/>
          <w:szCs w:val="22"/>
        </w:rPr>
        <w:t xml:space="preserve">; </w:t>
      </w:r>
    </w:p>
    <w:p w:rsidR="00F701F0" w:rsidRPr="0028144E" w:rsidRDefault="00F701F0" w:rsidP="00F701F0">
      <w:pPr>
        <w:pStyle w:val="Default"/>
      </w:pPr>
    </w:p>
    <w:p w:rsidR="00216A9E" w:rsidRDefault="00216A9E" w:rsidP="00216A9E">
      <w:pPr>
        <w:rPr>
          <w:sz w:val="20"/>
          <w:lang w:val="en-US"/>
        </w:rPr>
      </w:pPr>
    </w:p>
    <w:p w:rsidR="0028144E" w:rsidRPr="00B162E2" w:rsidRDefault="0028144E" w:rsidP="00B162E2">
      <w:pPr>
        <w:pStyle w:val="Subtitle"/>
        <w:rPr>
          <w:sz w:val="22"/>
        </w:rPr>
      </w:pPr>
      <w:r w:rsidRPr="00B162E2">
        <w:rPr>
          <w:sz w:val="22"/>
        </w:rPr>
        <w:t>Data collection</w:t>
      </w:r>
      <w:r w:rsidR="00182F66">
        <w:rPr>
          <w:sz w:val="22"/>
        </w:rPr>
        <w:t xml:space="preserve"> guidance</w:t>
      </w:r>
      <w:r w:rsidRPr="00B162E2">
        <w:rPr>
          <w:sz w:val="22"/>
        </w:rPr>
        <w:t>:</w:t>
      </w:r>
    </w:p>
    <w:p w:rsidR="009C40BD" w:rsidRPr="00B162E2" w:rsidRDefault="0028144E" w:rsidP="00B162E2">
      <w:pPr>
        <w:pStyle w:val="Default"/>
        <w:ind w:left="720"/>
        <w:rPr>
          <w:rFonts w:ascii="Symbol" w:hAnsi="Symbol" w:cs="Symbol"/>
        </w:rPr>
      </w:pPr>
      <w:hyperlink r:id="rId16" w:history="1">
        <w:r w:rsidRPr="00B162E2">
          <w:rPr>
            <w:rStyle w:val="Hyperlink"/>
            <w:bCs/>
            <w:sz w:val="22"/>
            <w:szCs w:val="22"/>
          </w:rPr>
          <w:t>Framework for Assessing and Monitoring Forest Governance</w:t>
        </w:r>
      </w:hyperlink>
      <w:r w:rsidR="00B162E2" w:rsidRPr="00B162E2">
        <w:rPr>
          <w:bCs/>
          <w:sz w:val="22"/>
          <w:szCs w:val="22"/>
        </w:rPr>
        <w:t xml:space="preserve">; </w:t>
      </w:r>
      <w:hyperlink r:id="rId17" w:history="1">
        <w:r w:rsidR="00B162E2" w:rsidRPr="00B162E2">
          <w:rPr>
            <w:rStyle w:val="Hyperlink"/>
            <w:bCs/>
            <w:sz w:val="22"/>
            <w:szCs w:val="22"/>
          </w:rPr>
          <w:t>Assessing Forest Governance: A Practical Guide to Data Collection, Analysis and Use</w:t>
        </w:r>
      </w:hyperlink>
      <w:r w:rsidR="00B162E2" w:rsidRPr="00B162E2">
        <w:rPr>
          <w:bCs/>
          <w:sz w:val="22"/>
          <w:szCs w:val="22"/>
        </w:rPr>
        <w:t xml:space="preserve"> </w:t>
      </w:r>
      <w:r w:rsidR="009C40BD" w:rsidRPr="00B162E2">
        <w:rPr>
          <w:bCs/>
          <w:sz w:val="22"/>
          <w:szCs w:val="22"/>
        </w:rPr>
        <w:t>(</w:t>
      </w:r>
      <w:r w:rsidR="00B162E2" w:rsidRPr="00B162E2">
        <w:rPr>
          <w:bCs/>
          <w:sz w:val="22"/>
          <w:szCs w:val="22"/>
        </w:rPr>
        <w:t xml:space="preserve">will be available the </w:t>
      </w:r>
      <w:r w:rsidR="009C40BD" w:rsidRPr="00B162E2">
        <w:rPr>
          <w:bCs/>
          <w:sz w:val="22"/>
          <w:szCs w:val="22"/>
        </w:rPr>
        <w:t>week of 23 June</w:t>
      </w:r>
      <w:r w:rsidR="00B162E2" w:rsidRPr="00B162E2">
        <w:rPr>
          <w:bCs/>
          <w:sz w:val="22"/>
          <w:szCs w:val="22"/>
        </w:rPr>
        <w:t xml:space="preserve"> 2014</w:t>
      </w:r>
      <w:r w:rsidR="009C40BD" w:rsidRPr="00B162E2">
        <w:rPr>
          <w:bCs/>
          <w:sz w:val="22"/>
          <w:szCs w:val="22"/>
        </w:rPr>
        <w:t>)</w:t>
      </w:r>
    </w:p>
    <w:p w:rsidR="0028144E" w:rsidRDefault="0028144E" w:rsidP="00216A9E">
      <w:pPr>
        <w:rPr>
          <w:sz w:val="20"/>
          <w:lang w:val="en-US"/>
        </w:rPr>
      </w:pPr>
    </w:p>
    <w:p w:rsidR="00B162E2" w:rsidRPr="00B162E2" w:rsidRDefault="00B162E2" w:rsidP="00B162E2">
      <w:pPr>
        <w:pStyle w:val="Subtitle"/>
        <w:rPr>
          <w:sz w:val="22"/>
        </w:rPr>
      </w:pPr>
      <w:r w:rsidRPr="00B162E2">
        <w:rPr>
          <w:sz w:val="22"/>
        </w:rPr>
        <w:t>Tenure</w:t>
      </w:r>
      <w:r w:rsidR="00182F66">
        <w:rPr>
          <w:sz w:val="22"/>
        </w:rPr>
        <w:t>-related material</w:t>
      </w:r>
      <w:r w:rsidRPr="00B162E2">
        <w:rPr>
          <w:sz w:val="22"/>
        </w:rPr>
        <w:t>:</w:t>
      </w:r>
    </w:p>
    <w:p w:rsidR="00B162E2" w:rsidRDefault="00B162E2" w:rsidP="00182F66">
      <w:pPr>
        <w:ind w:left="720"/>
        <w:rPr>
          <w:color w:val="1F497D"/>
        </w:rPr>
      </w:pPr>
      <w:hyperlink r:id="rId18" w:history="1">
        <w:r w:rsidRPr="00B162E2">
          <w:rPr>
            <w:rStyle w:val="Hyperlink"/>
          </w:rPr>
          <w:t>Tenure and REDD+: Developing Enabling Tenure Conditions for REDD+</w:t>
        </w:r>
      </w:hyperlink>
      <w:r>
        <w:rPr>
          <w:color w:val="1F497D"/>
        </w:rPr>
        <w:t xml:space="preserve">; </w:t>
      </w:r>
      <w:hyperlink r:id="rId19" w:history="1">
        <w:r w:rsidR="00182F66" w:rsidRPr="00182F66">
          <w:rPr>
            <w:rStyle w:val="Hyperlink"/>
          </w:rPr>
          <w:t>Voluntary Guidelines on the Responsible Governance of Tenure</w:t>
        </w:r>
      </w:hyperlink>
    </w:p>
    <w:p w:rsidR="00B162E2" w:rsidRDefault="00B162E2" w:rsidP="00216A9E">
      <w:pPr>
        <w:rPr>
          <w:sz w:val="20"/>
        </w:rPr>
      </w:pPr>
    </w:p>
    <w:p w:rsidR="00B162E2" w:rsidRPr="00182F66" w:rsidRDefault="00B162E2" w:rsidP="00182F66">
      <w:pPr>
        <w:pStyle w:val="Subtitle"/>
        <w:rPr>
          <w:sz w:val="22"/>
        </w:rPr>
      </w:pPr>
      <w:r w:rsidRPr="00182F66">
        <w:rPr>
          <w:sz w:val="22"/>
        </w:rPr>
        <w:t xml:space="preserve">Legal: </w:t>
      </w:r>
    </w:p>
    <w:p w:rsidR="00B162E2" w:rsidRDefault="00B162E2" w:rsidP="00B162E2">
      <w:pPr>
        <w:ind w:left="720"/>
      </w:pPr>
      <w:hyperlink r:id="rId20" w:history="1">
        <w:r w:rsidRPr="00B162E2">
          <w:rPr>
            <w:rStyle w:val="Hyperlink"/>
          </w:rPr>
          <w:t>Legal report on Forest Governance, REDD+ and Sustainable Development in Kenya</w:t>
        </w:r>
      </w:hyperlink>
      <w:r w:rsidR="00182F66">
        <w:t xml:space="preserve">; </w:t>
      </w:r>
      <w:hyperlink r:id="rId21" w:history="1">
        <w:r w:rsidR="00182F66" w:rsidRPr="00B162E2">
          <w:rPr>
            <w:rStyle w:val="Hyperlink"/>
          </w:rPr>
          <w:t>Final recommendations to enact legal reforms for REDD+ implementation in Kenya</w:t>
        </w:r>
      </w:hyperlink>
    </w:p>
    <w:p w:rsidR="00B162E2" w:rsidRPr="00B162E2" w:rsidRDefault="00B162E2" w:rsidP="00216A9E">
      <w:pPr>
        <w:rPr>
          <w:sz w:val="20"/>
        </w:rPr>
      </w:pPr>
    </w:p>
    <w:p w:rsidR="006B4C86" w:rsidRPr="00F701F0" w:rsidRDefault="006B4C86" w:rsidP="006B4C86">
      <w:pPr>
        <w:pStyle w:val="Subtitle"/>
        <w:rPr>
          <w:sz w:val="22"/>
          <w:lang w:val="it-IT"/>
        </w:rPr>
      </w:pPr>
      <w:r w:rsidRPr="00F701F0">
        <w:rPr>
          <w:sz w:val="22"/>
          <w:lang w:val="it-IT"/>
        </w:rPr>
        <w:t>Gender:</w:t>
      </w:r>
    </w:p>
    <w:p w:rsidR="006B4C86" w:rsidRPr="00F701F0" w:rsidRDefault="00E021D2" w:rsidP="006B4C86">
      <w:pPr>
        <w:rPr>
          <w:lang w:val="it-IT"/>
        </w:rPr>
      </w:pPr>
      <w:r w:rsidRPr="00F701F0">
        <w:rPr>
          <w:lang w:val="it-IT"/>
        </w:rPr>
        <w:tab/>
      </w:r>
      <w:hyperlink r:id="rId22" w:history="1">
        <w:r w:rsidRPr="00F701F0">
          <w:rPr>
            <w:rStyle w:val="Hyperlink"/>
            <w:lang w:val="it-IT"/>
          </w:rPr>
          <w:t xml:space="preserve">UN-REDD’s </w:t>
        </w:r>
        <w:proofErr w:type="spellStart"/>
        <w:r w:rsidRPr="00F701F0">
          <w:rPr>
            <w:rStyle w:val="Hyperlink"/>
            <w:rFonts w:cs="Arial"/>
            <w:lang w:val="it-IT"/>
          </w:rPr>
          <w:t>Guidance</w:t>
        </w:r>
        <w:proofErr w:type="spellEnd"/>
        <w:r w:rsidRPr="00F701F0">
          <w:rPr>
            <w:rStyle w:val="Hyperlink"/>
            <w:rFonts w:cs="Arial"/>
            <w:lang w:val="it-IT"/>
          </w:rPr>
          <w:t xml:space="preserve"> Note Gender Sensitive </w:t>
        </w:r>
        <w:proofErr w:type="spellStart"/>
        <w:r w:rsidRPr="00F701F0">
          <w:rPr>
            <w:rStyle w:val="Hyperlink"/>
            <w:rFonts w:cs="Arial"/>
            <w:lang w:val="it-IT"/>
          </w:rPr>
          <w:t>REDD+</w:t>
        </w:r>
        <w:proofErr w:type="spellEnd"/>
      </w:hyperlink>
    </w:p>
    <w:p w:rsidR="006B4C86" w:rsidRPr="00F701F0" w:rsidRDefault="006B4C86" w:rsidP="006B4C86">
      <w:pPr>
        <w:rPr>
          <w:lang w:val="it-IT"/>
        </w:rPr>
      </w:pPr>
    </w:p>
    <w:p w:rsidR="00216000" w:rsidRPr="00216000" w:rsidRDefault="00DC6C25" w:rsidP="00216000">
      <w:pPr>
        <w:pStyle w:val="Subtitle"/>
        <w:rPr>
          <w:sz w:val="22"/>
        </w:rPr>
      </w:pPr>
      <w:r>
        <w:rPr>
          <w:sz w:val="22"/>
        </w:rPr>
        <w:t xml:space="preserve">Norwegian </w:t>
      </w:r>
      <w:r w:rsidR="006B4C86">
        <w:rPr>
          <w:sz w:val="22"/>
        </w:rPr>
        <w:t xml:space="preserve">government </w:t>
      </w:r>
      <w:r>
        <w:rPr>
          <w:sz w:val="22"/>
        </w:rPr>
        <w:t>counterparts</w:t>
      </w:r>
      <w:r w:rsidR="006B4C86">
        <w:rPr>
          <w:sz w:val="22"/>
        </w:rPr>
        <w:t>:</w:t>
      </w:r>
    </w:p>
    <w:p w:rsidR="00216000" w:rsidRPr="006B4C86" w:rsidRDefault="007F5D90" w:rsidP="00216A9E">
      <w:pPr>
        <w:ind w:left="720"/>
        <w:rPr>
          <w:sz w:val="18"/>
        </w:rPr>
      </w:pPr>
      <w:hyperlink r:id="rId23" w:history="1">
        <w:r w:rsidR="00216000" w:rsidRPr="00DC6C25">
          <w:rPr>
            <w:rStyle w:val="Hyperlink"/>
            <w:sz w:val="20"/>
          </w:rPr>
          <w:t>NICFI home page</w:t>
        </w:r>
      </w:hyperlink>
      <w:r w:rsidR="00DC6C25">
        <w:rPr>
          <w:sz w:val="20"/>
        </w:rPr>
        <w:t xml:space="preserve">  :</w:t>
      </w:r>
      <w:r w:rsidR="00216A9E">
        <w:rPr>
          <w:sz w:val="20"/>
        </w:rPr>
        <w:t xml:space="preserve"> </w:t>
      </w:r>
      <w:r w:rsidR="00216A9E" w:rsidRPr="006B4C86">
        <w:rPr>
          <w:sz w:val="18"/>
        </w:rPr>
        <w:t>NICFI</w:t>
      </w:r>
      <w:r w:rsidR="00DC6C25" w:rsidRPr="006B4C86">
        <w:rPr>
          <w:sz w:val="18"/>
        </w:rPr>
        <w:t xml:space="preserve"> </w:t>
      </w:r>
      <w:r w:rsidR="00DC6C25" w:rsidRPr="006B4C86">
        <w:rPr>
          <w:sz w:val="18"/>
          <w:u w:val="single"/>
        </w:rPr>
        <w:t>leads</w:t>
      </w:r>
      <w:r w:rsidR="00DC6C25" w:rsidRPr="006B4C86">
        <w:rPr>
          <w:sz w:val="18"/>
        </w:rPr>
        <w:t xml:space="preserve"> Norway’s REDD+ work and support at the strategic level</w:t>
      </w:r>
      <w:r w:rsidR="00216A9E" w:rsidRPr="006B4C86">
        <w:rPr>
          <w:sz w:val="18"/>
        </w:rPr>
        <w:t>. This is situated within the Norwegian Ministry of Climate and Environmental Affairs</w:t>
      </w:r>
    </w:p>
    <w:p w:rsidR="00DC6C25" w:rsidRDefault="007F5D90" w:rsidP="00DC6C25">
      <w:pPr>
        <w:ind w:left="720"/>
        <w:rPr>
          <w:sz w:val="18"/>
        </w:rPr>
      </w:pPr>
      <w:hyperlink r:id="rId24" w:history="1">
        <w:proofErr w:type="spellStart"/>
        <w:r w:rsidR="00DC6C25" w:rsidRPr="00216A9E">
          <w:rPr>
            <w:rStyle w:val="Hyperlink"/>
            <w:sz w:val="20"/>
          </w:rPr>
          <w:t>Norad</w:t>
        </w:r>
        <w:proofErr w:type="spellEnd"/>
        <w:r w:rsidR="00DC6C25" w:rsidRPr="00216A9E">
          <w:rPr>
            <w:rStyle w:val="Hyperlink"/>
            <w:sz w:val="20"/>
          </w:rPr>
          <w:t xml:space="preserve"> home page for REDD+ support</w:t>
        </w:r>
      </w:hyperlink>
      <w:r w:rsidR="00DC6C25">
        <w:rPr>
          <w:sz w:val="20"/>
        </w:rPr>
        <w:t xml:space="preserve"> : </w:t>
      </w:r>
      <w:proofErr w:type="spellStart"/>
      <w:r w:rsidR="00DC6C25" w:rsidRPr="006B4C86">
        <w:rPr>
          <w:sz w:val="18"/>
        </w:rPr>
        <w:t>Norad</w:t>
      </w:r>
      <w:proofErr w:type="spellEnd"/>
      <w:r w:rsidR="00DC6C25" w:rsidRPr="006B4C86">
        <w:rPr>
          <w:sz w:val="18"/>
        </w:rPr>
        <w:t xml:space="preserve"> provides </w:t>
      </w:r>
      <w:r w:rsidR="00DC6C25" w:rsidRPr="006B4C86">
        <w:rPr>
          <w:sz w:val="18"/>
          <w:u w:val="single"/>
        </w:rPr>
        <w:t>technical support and quality assurance</w:t>
      </w:r>
      <w:r w:rsidR="00DC6C25" w:rsidRPr="006B4C86">
        <w:rPr>
          <w:sz w:val="18"/>
        </w:rPr>
        <w:t xml:space="preserve"> in Norway’s REDD+ support and work, and leads the REDD+ fund management (i.e. contracts, payments, reporting etc)</w:t>
      </w:r>
      <w:r w:rsidR="00216A9E" w:rsidRPr="006B4C86">
        <w:rPr>
          <w:sz w:val="18"/>
        </w:rPr>
        <w:t>, also responsible for the civil society component within Norway’s REDD+ work/ support</w:t>
      </w:r>
    </w:p>
    <w:p w:rsidR="009C40BD" w:rsidRDefault="009C40BD" w:rsidP="00DC6C25">
      <w:pPr>
        <w:ind w:left="720"/>
        <w:rPr>
          <w:sz w:val="18"/>
        </w:rPr>
      </w:pPr>
    </w:p>
    <w:p w:rsidR="009C40BD" w:rsidRDefault="009C40BD" w:rsidP="00DC6C25">
      <w:pPr>
        <w:ind w:left="720"/>
        <w:rPr>
          <w:sz w:val="18"/>
        </w:rPr>
      </w:pPr>
    </w:p>
    <w:p w:rsidR="009C40BD" w:rsidRDefault="009C40BD" w:rsidP="009C40BD">
      <w:pPr>
        <w:rPr>
          <w:color w:val="1F497D"/>
        </w:rPr>
      </w:pPr>
    </w:p>
    <w:p w:rsidR="009C40BD" w:rsidRDefault="009C40BD" w:rsidP="009C40BD">
      <w:pPr>
        <w:rPr>
          <w:color w:val="1F497D"/>
        </w:rPr>
      </w:pPr>
    </w:p>
    <w:p w:rsidR="009C40BD" w:rsidRDefault="009C40BD" w:rsidP="009C40BD"/>
    <w:p w:rsidR="009C40BD" w:rsidRPr="006B4C86" w:rsidRDefault="009C40BD" w:rsidP="00DC6C25">
      <w:pPr>
        <w:ind w:left="720"/>
        <w:rPr>
          <w:sz w:val="18"/>
        </w:rPr>
      </w:pPr>
    </w:p>
    <w:sectPr w:rsidR="009C40BD" w:rsidRPr="006B4C86" w:rsidSect="007F5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16000"/>
    <w:rsid w:val="00182F66"/>
    <w:rsid w:val="00216000"/>
    <w:rsid w:val="00216A9E"/>
    <w:rsid w:val="0028144E"/>
    <w:rsid w:val="00572290"/>
    <w:rsid w:val="006B4C86"/>
    <w:rsid w:val="007F5D90"/>
    <w:rsid w:val="009C40BD"/>
    <w:rsid w:val="00AC78F1"/>
    <w:rsid w:val="00B162E2"/>
    <w:rsid w:val="00DC6C25"/>
    <w:rsid w:val="00E021D2"/>
    <w:rsid w:val="00F7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D90"/>
    <w:pPr>
      <w:spacing w:after="200" w:line="276" w:lineRule="auto"/>
    </w:pPr>
    <w:rPr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00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60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60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00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600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160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60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1F0"/>
    <w:rPr>
      <w:color w:val="800080"/>
      <w:u w:val="single"/>
    </w:rPr>
  </w:style>
  <w:style w:type="paragraph" w:customStyle="1" w:styleId="Default">
    <w:name w:val="Default"/>
    <w:rsid w:val="00F701F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0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60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60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0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6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16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60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redd.net/index.php?option=com_docman&amp;task=doc_download&amp;gid=12443&amp;Itemid=53" TargetMode="External"/><Relationship Id="rId13" Type="http://schemas.openxmlformats.org/officeDocument/2006/relationships/hyperlink" Target="http://www.tinyurl.com/kenya-REDD-CRA" TargetMode="External"/><Relationship Id="rId18" Type="http://schemas.openxmlformats.org/officeDocument/2006/relationships/hyperlink" Target="http://www.unredd.net/index.php?option=com_docman&amp;task=doc_download&amp;gid=11776&amp;Itemid=5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unredd.net/index.php?option=com_docman&amp;task=doc_download&amp;gid=12797&amp;Itemid=53" TargetMode="External"/><Relationship Id="rId7" Type="http://schemas.openxmlformats.org/officeDocument/2006/relationships/hyperlink" Target="http://www.unredd.net/index.php?option=com_docman&amp;task=doc_download&amp;gid=10775&amp;Itemid=53" TargetMode="External"/><Relationship Id="rId12" Type="http://schemas.openxmlformats.org/officeDocument/2006/relationships/hyperlink" Target="http://www.tinyurl.com/redd-CRA-V2" TargetMode="External"/><Relationship Id="rId17" Type="http://schemas.openxmlformats.org/officeDocument/2006/relationships/hyperlink" Target="http://www.unredd.net/index.php?option=com_docman&amp;task=doc_download&amp;gid=12800&amp;Itemid=5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fao.org/climatechange/27526-0cc61ecc084048c7a9425f64942df70a8.pdf" TargetMode="External"/><Relationship Id="rId20" Type="http://schemas.openxmlformats.org/officeDocument/2006/relationships/hyperlink" Target="http://www.unredd.net/index.php?option=com_docman&amp;task=doc_download&amp;gid=12796&amp;Itemid=5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nredd.net/index.php?option=com_docman&amp;task=doc_download&amp;gid=10777&amp;Itemid=53" TargetMode="External"/><Relationship Id="rId11" Type="http://schemas.openxmlformats.org/officeDocument/2006/relationships/hyperlink" Target="http://www.unredd.net/index.php?option=com_docman&amp;task=doc_download&amp;gid=12821" TargetMode="External"/><Relationship Id="rId24" Type="http://schemas.openxmlformats.org/officeDocument/2006/relationships/hyperlink" Target="http://www.norad.no/en/support/climate-and-forest-initiative-support-scheme?thematic=407186" TargetMode="External"/><Relationship Id="rId5" Type="http://schemas.openxmlformats.org/officeDocument/2006/relationships/hyperlink" Target="http://www.unredd.net/index.php?option=com_docman&amp;task=doc_download&amp;gid=10535&amp;Itemid=53" TargetMode="External"/><Relationship Id="rId15" Type="http://schemas.openxmlformats.org/officeDocument/2006/relationships/hyperlink" Target="http://www.unredd.net/index.php?option=com_docman&amp;task=doc_download&amp;gid=9167&amp;Itemid=53" TargetMode="External"/><Relationship Id="rId23" Type="http://schemas.openxmlformats.org/officeDocument/2006/relationships/hyperlink" Target="http://www.regjeringen.no/en/dep/kld/kampanjer/the-governments-climate-and-tree-project.html?id=733947" TargetMode="External"/><Relationship Id="rId10" Type="http://schemas.openxmlformats.org/officeDocument/2006/relationships/hyperlink" Target="http://www.unredd.net/index.php?option=com_docman&amp;task=cat_view&amp;gid=3440&amp;Itemid=53" TargetMode="External"/><Relationship Id="rId19" Type="http://schemas.openxmlformats.org/officeDocument/2006/relationships/hyperlink" Target="http://www.fao.org/nr/tenure/voluntary-guidelines/en/" TargetMode="External"/><Relationship Id="rId4" Type="http://schemas.openxmlformats.org/officeDocument/2006/relationships/hyperlink" Target="http://www.unredd.net/index.php?option=com_docman&amp;task=doc_download&amp;gid=10404&amp;Itemid=53" TargetMode="External"/><Relationship Id="rId9" Type="http://schemas.openxmlformats.org/officeDocument/2006/relationships/hyperlink" Target="http://www.unredd.net/index.php?option=com_docman&amp;task=doc_download&amp;gid=12548" TargetMode="External"/><Relationship Id="rId14" Type="http://schemas.openxmlformats.org/officeDocument/2006/relationships/hyperlink" Target="http://www.unredd.net/index.php?option=com_docman&amp;task=doc_download&amp;gid=9720&amp;Itemid=53" TargetMode="External"/><Relationship Id="rId22" Type="http://schemas.openxmlformats.org/officeDocument/2006/relationships/hyperlink" Target="http://www.unredd.net/index.php?option=com_docman&amp;task=doc_download&amp;gid=11824&amp;Itemid=53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3534</Characters>
  <Application>Microsoft Office Word</Application>
  <DocSecurity>0</DocSecurity>
  <Lines>29</Lines>
  <Paragraphs>8</Paragraphs>
  <ScaleCrop>false</ScaleCrop>
  <Company>FAO of the UN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Solvberg</dc:creator>
  <cp:lastModifiedBy>Kristin Devalue (NRC)</cp:lastModifiedBy>
  <cp:revision>2</cp:revision>
  <dcterms:created xsi:type="dcterms:W3CDTF">2014-06-12T13:05:00Z</dcterms:created>
  <dcterms:modified xsi:type="dcterms:W3CDTF">2014-06-12T13:05:00Z</dcterms:modified>
</cp:coreProperties>
</file>