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BB4" w:rsidRDefault="00E3293A" w:rsidP="00A3615E">
      <w:pPr>
        <w:pBdr>
          <w:bottom w:val="single" w:sz="4" w:space="1" w:color="auto"/>
        </w:pBdr>
        <w:spacing w:after="0" w:line="240" w:lineRule="auto"/>
        <w:jc w:val="center"/>
        <w:rPr>
          <w:b/>
          <w:bCs/>
          <w:sz w:val="26"/>
          <w:szCs w:val="26"/>
        </w:rPr>
      </w:pPr>
      <w:r w:rsidRPr="00480BB4">
        <w:rPr>
          <w:b/>
          <w:bCs/>
          <w:sz w:val="26"/>
          <w:szCs w:val="26"/>
        </w:rPr>
        <w:t>A comparative O</w:t>
      </w:r>
      <w:r w:rsidR="00FE6B14" w:rsidRPr="00480BB4">
        <w:rPr>
          <w:b/>
          <w:bCs/>
          <w:sz w:val="26"/>
          <w:szCs w:val="26"/>
        </w:rPr>
        <w:t xml:space="preserve">verview of </w:t>
      </w:r>
      <w:r w:rsidRPr="00480BB4">
        <w:rPr>
          <w:b/>
          <w:bCs/>
          <w:sz w:val="26"/>
          <w:szCs w:val="26"/>
        </w:rPr>
        <w:t>REDD+ Policy and</w:t>
      </w:r>
    </w:p>
    <w:p w:rsidR="00FE6B14" w:rsidRPr="00480BB4" w:rsidRDefault="00E3293A" w:rsidP="00A3615E">
      <w:pPr>
        <w:pBdr>
          <w:bottom w:val="single" w:sz="4" w:space="1" w:color="auto"/>
        </w:pBdr>
        <w:spacing w:after="0" w:line="240" w:lineRule="auto"/>
        <w:jc w:val="center"/>
        <w:rPr>
          <w:b/>
          <w:bCs/>
          <w:sz w:val="26"/>
          <w:szCs w:val="26"/>
        </w:rPr>
      </w:pPr>
      <w:r w:rsidRPr="00480BB4">
        <w:rPr>
          <w:b/>
          <w:bCs/>
          <w:sz w:val="26"/>
          <w:szCs w:val="26"/>
        </w:rPr>
        <w:t>G</w:t>
      </w:r>
      <w:r w:rsidR="00FE6B14" w:rsidRPr="00480BB4">
        <w:rPr>
          <w:b/>
          <w:bCs/>
          <w:sz w:val="26"/>
          <w:szCs w:val="26"/>
        </w:rPr>
        <w:t xml:space="preserve">overnance </w:t>
      </w:r>
      <w:r w:rsidRPr="00480BB4">
        <w:rPr>
          <w:b/>
          <w:bCs/>
          <w:sz w:val="26"/>
          <w:szCs w:val="26"/>
        </w:rPr>
        <w:t xml:space="preserve">Approaches </w:t>
      </w:r>
      <w:proofErr w:type="gramStart"/>
      <w:r w:rsidRPr="00480BB4">
        <w:rPr>
          <w:b/>
          <w:bCs/>
          <w:sz w:val="26"/>
          <w:szCs w:val="26"/>
        </w:rPr>
        <w:t>A</w:t>
      </w:r>
      <w:r w:rsidR="00FE6B14" w:rsidRPr="00480BB4">
        <w:rPr>
          <w:b/>
          <w:bCs/>
          <w:sz w:val="26"/>
          <w:szCs w:val="26"/>
        </w:rPr>
        <w:t>cross</w:t>
      </w:r>
      <w:proofErr w:type="gramEnd"/>
      <w:r w:rsidR="00FE6B14" w:rsidRPr="00480BB4">
        <w:rPr>
          <w:b/>
          <w:bCs/>
          <w:sz w:val="26"/>
          <w:szCs w:val="26"/>
        </w:rPr>
        <w:t xml:space="preserve"> the Africa Region</w:t>
      </w:r>
    </w:p>
    <w:p w:rsidR="000F078B" w:rsidRPr="00E3293A" w:rsidRDefault="00786132" w:rsidP="00A3615E">
      <w:pPr>
        <w:pBdr>
          <w:bottom w:val="single" w:sz="4" w:space="1" w:color="auto"/>
        </w:pBdr>
        <w:spacing w:after="0" w:line="240" w:lineRule="auto"/>
        <w:jc w:val="center"/>
        <w:rPr>
          <w:b/>
          <w:bCs/>
          <w:i/>
          <w:sz w:val="20"/>
          <w:szCs w:val="20"/>
          <w:lang w:val="en-GB"/>
        </w:rPr>
      </w:pPr>
      <w:r w:rsidRPr="00E3293A">
        <w:rPr>
          <w:bCs/>
          <w:i/>
          <w:sz w:val="20"/>
          <w:szCs w:val="20"/>
        </w:rPr>
        <w:t>REDD+ Governance Assessment</w:t>
      </w:r>
      <w:r w:rsidR="00E2461A" w:rsidRPr="00E3293A">
        <w:rPr>
          <w:bCs/>
          <w:i/>
          <w:sz w:val="20"/>
          <w:szCs w:val="20"/>
        </w:rPr>
        <w:t xml:space="preserve"> Workshop</w:t>
      </w:r>
      <w:r w:rsidR="000F078B" w:rsidRPr="00E3293A">
        <w:rPr>
          <w:bCs/>
          <w:i/>
          <w:sz w:val="20"/>
          <w:szCs w:val="20"/>
          <w:lang w:val="en-GB"/>
        </w:rPr>
        <w:t>, Nairobi,</w:t>
      </w:r>
      <w:r w:rsidRPr="00E3293A">
        <w:rPr>
          <w:bCs/>
          <w:i/>
          <w:sz w:val="20"/>
          <w:szCs w:val="20"/>
          <w:lang w:val="en-GB"/>
        </w:rPr>
        <w:t xml:space="preserve"> </w:t>
      </w:r>
      <w:r w:rsidR="000F078B" w:rsidRPr="00E3293A">
        <w:rPr>
          <w:bCs/>
          <w:i/>
          <w:sz w:val="20"/>
          <w:szCs w:val="20"/>
          <w:lang w:val="en-GB"/>
        </w:rPr>
        <w:t>3. - 4. July 2013</w:t>
      </w:r>
    </w:p>
    <w:p w:rsidR="000F078B" w:rsidRPr="000F078B" w:rsidRDefault="00786132" w:rsidP="00A3615E">
      <w:pPr>
        <w:pBdr>
          <w:bottom w:val="single" w:sz="4" w:space="1" w:color="auto"/>
        </w:pBdr>
        <w:spacing w:after="0" w:line="240" w:lineRule="auto"/>
        <w:jc w:val="center"/>
        <w:rPr>
          <w:bCs/>
          <w:lang w:val="en-GB"/>
        </w:rPr>
      </w:pPr>
      <w:r w:rsidRPr="000F078B">
        <w:rPr>
          <w:bCs/>
          <w:lang w:val="en-GB"/>
        </w:rPr>
        <w:t>Johanna Wehkamp</w:t>
      </w:r>
    </w:p>
    <w:p w:rsidR="000F078B" w:rsidRPr="000F078B" w:rsidRDefault="000F078B" w:rsidP="000F078B">
      <w:pPr>
        <w:pBdr>
          <w:bottom w:val="single" w:sz="4" w:space="1" w:color="auto"/>
        </w:pBdr>
        <w:spacing w:after="0" w:line="240" w:lineRule="auto"/>
        <w:jc w:val="right"/>
        <w:rPr>
          <w:b/>
          <w:bCs/>
          <w:i/>
          <w:sz w:val="24"/>
          <w:szCs w:val="24"/>
          <w:lang w:val="en-GB"/>
        </w:rPr>
      </w:pPr>
    </w:p>
    <w:p w:rsidR="006A7C0B" w:rsidRDefault="006A7C0B" w:rsidP="00126806">
      <w:pPr>
        <w:spacing w:after="0" w:line="240" w:lineRule="auto"/>
        <w:jc w:val="both"/>
        <w:rPr>
          <w:b/>
          <w:i/>
          <w:lang w:val="en-GB"/>
        </w:rPr>
      </w:pPr>
    </w:p>
    <w:p w:rsidR="00126806" w:rsidRDefault="00126806" w:rsidP="00126806">
      <w:pPr>
        <w:spacing w:after="0" w:line="240" w:lineRule="auto"/>
        <w:jc w:val="both"/>
        <w:rPr>
          <w:b/>
          <w:i/>
          <w:lang w:val="en-GB"/>
        </w:rPr>
      </w:pPr>
    </w:p>
    <w:p w:rsidR="003F2C97" w:rsidRPr="00126806" w:rsidRDefault="003F2C97" w:rsidP="00126806">
      <w:pPr>
        <w:pStyle w:val="Kommentartext"/>
        <w:spacing w:after="0"/>
        <w:jc w:val="both"/>
      </w:pPr>
      <w:r w:rsidRPr="003425AF">
        <w:rPr>
          <w:b/>
          <w:i/>
          <w:lang w:val="en-GB"/>
        </w:rPr>
        <w:t>Background:</w:t>
      </w:r>
      <w:r w:rsidRPr="00286375">
        <w:rPr>
          <w:lang w:val="en-GB"/>
        </w:rPr>
        <w:t xml:space="preserve"> </w:t>
      </w:r>
      <w:r w:rsidR="00126806">
        <w:t xml:space="preserve"> </w:t>
      </w:r>
      <w:r w:rsidR="007878F6">
        <w:t>As many countries are moving forward in the REDD+ process, the institutional aspect</w:t>
      </w:r>
      <w:r w:rsidR="00126806">
        <w:t xml:space="preserve">s of </w:t>
      </w:r>
      <w:r w:rsidR="007878F6">
        <w:t xml:space="preserve">managing the process </w:t>
      </w:r>
      <w:r w:rsidR="007878F6" w:rsidRPr="00126806">
        <w:t>and activities are</w:t>
      </w:r>
      <w:r w:rsidR="005C47F6">
        <w:t xml:space="preserve"> becoming</w:t>
      </w:r>
      <w:r w:rsidR="00102659">
        <w:t xml:space="preserve"> increasingly important. ‘</w:t>
      </w:r>
      <w:r w:rsidR="001A4988" w:rsidRPr="00126806">
        <w:rPr>
          <w:lang w:val="en-GB"/>
        </w:rPr>
        <w:t>I</w:t>
      </w:r>
      <w:r w:rsidR="00102659">
        <w:rPr>
          <w:lang w:val="en-GB"/>
        </w:rPr>
        <w:t>nstitution’ in this context</w:t>
      </w:r>
      <w:r w:rsidR="001A4988" w:rsidRPr="00126806">
        <w:rPr>
          <w:lang w:val="en-GB"/>
        </w:rPr>
        <w:t xml:space="preserve"> </w:t>
      </w:r>
      <w:r w:rsidRPr="00126806">
        <w:rPr>
          <w:lang w:val="en-GB"/>
        </w:rPr>
        <w:t>refer</w:t>
      </w:r>
      <w:r w:rsidR="001A4988" w:rsidRPr="00126806">
        <w:rPr>
          <w:lang w:val="en-GB"/>
        </w:rPr>
        <w:t xml:space="preserve">s specifically </w:t>
      </w:r>
      <w:r w:rsidRPr="00126806">
        <w:rPr>
          <w:lang w:val="en-GB"/>
        </w:rPr>
        <w:t>to the set of rules and structures that organize and define human in</w:t>
      </w:r>
      <w:r w:rsidR="00102659">
        <w:rPr>
          <w:lang w:val="en-GB"/>
        </w:rPr>
        <w:t>teractions (Ostrom et al. 2007). In the</w:t>
      </w:r>
      <w:r w:rsidRPr="00126806">
        <w:rPr>
          <w:lang w:val="en-GB"/>
        </w:rPr>
        <w:t xml:space="preserve"> REDD+</w:t>
      </w:r>
      <w:r w:rsidR="00102659">
        <w:rPr>
          <w:lang w:val="en-GB"/>
        </w:rPr>
        <w:t xml:space="preserve"> framework</w:t>
      </w:r>
      <w:r w:rsidRPr="00126806">
        <w:rPr>
          <w:lang w:val="en-GB"/>
        </w:rPr>
        <w:t xml:space="preserve">, institutions </w:t>
      </w:r>
      <w:r w:rsidR="00102659">
        <w:rPr>
          <w:lang w:val="en-GB"/>
        </w:rPr>
        <w:t>are the</w:t>
      </w:r>
      <w:r w:rsidRPr="00126806">
        <w:rPr>
          <w:lang w:val="en-GB"/>
        </w:rPr>
        <w:t xml:space="preserve"> agreements that are made on </w:t>
      </w:r>
      <w:r w:rsidR="00CF2BD6">
        <w:rPr>
          <w:lang w:val="en-GB"/>
        </w:rPr>
        <w:t>structures for</w:t>
      </w:r>
      <w:r w:rsidRPr="00126806">
        <w:rPr>
          <w:lang w:val="en-GB"/>
        </w:rPr>
        <w:t xml:space="preserve"> management, deployment and monitoring of REDD+ funding. </w:t>
      </w:r>
    </w:p>
    <w:p w:rsidR="003F2C97" w:rsidRPr="00126806" w:rsidRDefault="003F2C97" w:rsidP="00126806">
      <w:pPr>
        <w:spacing w:after="0" w:line="240" w:lineRule="auto"/>
        <w:jc w:val="both"/>
        <w:rPr>
          <w:sz w:val="20"/>
          <w:szCs w:val="20"/>
          <w:lang w:val="en-GB"/>
        </w:rPr>
      </w:pPr>
      <w:r w:rsidRPr="00126806">
        <w:rPr>
          <w:b/>
          <w:i/>
          <w:sz w:val="20"/>
          <w:szCs w:val="20"/>
          <w:lang w:val="en-GB"/>
        </w:rPr>
        <w:t>REDD-Readiness Preparation Proposals (R-PP)</w:t>
      </w:r>
      <w:r w:rsidRPr="00126806">
        <w:rPr>
          <w:sz w:val="20"/>
          <w:szCs w:val="20"/>
          <w:lang w:val="en-GB"/>
        </w:rPr>
        <w:t xml:space="preserve"> </w:t>
      </w:r>
      <w:r w:rsidR="001A4988" w:rsidRPr="00126806">
        <w:rPr>
          <w:sz w:val="20"/>
          <w:szCs w:val="20"/>
          <w:lang w:val="en-GB"/>
        </w:rPr>
        <w:t xml:space="preserve">developed by each country </w:t>
      </w:r>
      <w:r w:rsidRPr="00126806">
        <w:rPr>
          <w:sz w:val="20"/>
          <w:szCs w:val="20"/>
          <w:lang w:val="en-GB"/>
        </w:rPr>
        <w:t xml:space="preserve">serve as a good </w:t>
      </w:r>
      <w:r w:rsidR="00125662">
        <w:rPr>
          <w:sz w:val="20"/>
          <w:szCs w:val="20"/>
          <w:lang w:val="en-GB"/>
        </w:rPr>
        <w:t>foundation</w:t>
      </w:r>
      <w:r w:rsidR="004E6CAA">
        <w:rPr>
          <w:sz w:val="20"/>
          <w:szCs w:val="20"/>
          <w:lang w:val="en-GB"/>
        </w:rPr>
        <w:t xml:space="preserve"> to compare</w:t>
      </w:r>
      <w:r w:rsidRPr="00126806">
        <w:rPr>
          <w:sz w:val="20"/>
          <w:szCs w:val="20"/>
          <w:lang w:val="en-GB"/>
        </w:rPr>
        <w:t xml:space="preserve"> first outline</w:t>
      </w:r>
      <w:r w:rsidR="004E6CAA">
        <w:rPr>
          <w:sz w:val="20"/>
          <w:szCs w:val="20"/>
          <w:lang w:val="en-GB"/>
        </w:rPr>
        <w:t>s</w:t>
      </w:r>
      <w:r w:rsidRPr="00126806">
        <w:rPr>
          <w:sz w:val="20"/>
          <w:szCs w:val="20"/>
          <w:lang w:val="en-GB"/>
        </w:rPr>
        <w:t xml:space="preserve"> of </w:t>
      </w:r>
      <w:r w:rsidR="004E6CAA">
        <w:rPr>
          <w:sz w:val="20"/>
          <w:szCs w:val="20"/>
          <w:lang w:val="en-GB"/>
        </w:rPr>
        <w:t xml:space="preserve">the </w:t>
      </w:r>
      <w:r w:rsidRPr="00126806">
        <w:rPr>
          <w:sz w:val="20"/>
          <w:szCs w:val="20"/>
          <w:lang w:val="en-GB"/>
        </w:rPr>
        <w:t xml:space="preserve">institutions </w:t>
      </w:r>
      <w:r w:rsidR="00125662">
        <w:rPr>
          <w:sz w:val="20"/>
          <w:szCs w:val="20"/>
          <w:lang w:val="en-GB"/>
        </w:rPr>
        <w:t>that countries are envisioning.</w:t>
      </w:r>
      <w:r w:rsidR="004E6CAA">
        <w:rPr>
          <w:sz w:val="20"/>
          <w:szCs w:val="20"/>
          <w:lang w:val="en-GB"/>
        </w:rPr>
        <w:t xml:space="preserve"> </w:t>
      </w:r>
      <w:r w:rsidR="00CE4A8B">
        <w:rPr>
          <w:sz w:val="20"/>
          <w:szCs w:val="20"/>
          <w:lang w:val="en-GB"/>
        </w:rPr>
        <w:t>With their</w:t>
      </w:r>
      <w:r w:rsidR="0066474D" w:rsidRPr="00126806">
        <w:rPr>
          <w:sz w:val="20"/>
          <w:szCs w:val="20"/>
          <w:lang w:val="en-GB"/>
        </w:rPr>
        <w:t xml:space="preserve"> R-PPs countries</w:t>
      </w:r>
      <w:r w:rsidRPr="00126806">
        <w:rPr>
          <w:sz w:val="20"/>
          <w:szCs w:val="20"/>
          <w:lang w:val="en-GB"/>
        </w:rPr>
        <w:t xml:space="preserve"> outline their respective REDD+ work plans in order to request funding</w:t>
      </w:r>
      <w:r w:rsidR="0066474D" w:rsidRPr="00126806">
        <w:rPr>
          <w:sz w:val="20"/>
          <w:szCs w:val="20"/>
          <w:lang w:val="en-GB"/>
        </w:rPr>
        <w:t xml:space="preserve"> from the World Bank’s Forest Carbon Partnership Facility (FCPF) and the UN-REDD programme</w:t>
      </w:r>
      <w:r w:rsidR="007A2F7B">
        <w:rPr>
          <w:sz w:val="20"/>
          <w:szCs w:val="20"/>
          <w:lang w:val="en-GB"/>
        </w:rPr>
        <w:t>. They outline</w:t>
      </w:r>
      <w:r w:rsidRPr="00126806">
        <w:rPr>
          <w:sz w:val="20"/>
          <w:szCs w:val="20"/>
          <w:lang w:val="en-GB"/>
        </w:rPr>
        <w:t xml:space="preserve"> management arrangements, consultation mechanisms, implementation frameworks reference levels and provisions for monitoring, reporting and verification. </w:t>
      </w:r>
    </w:p>
    <w:p w:rsidR="0066474D" w:rsidRPr="00126806" w:rsidRDefault="007A2F7B" w:rsidP="007A2F7B">
      <w:pPr>
        <w:tabs>
          <w:tab w:val="left" w:pos="7150"/>
        </w:tabs>
        <w:spacing w:after="0" w:line="240" w:lineRule="auto"/>
        <w:jc w:val="both"/>
        <w:rPr>
          <w:sz w:val="20"/>
          <w:szCs w:val="20"/>
          <w:lang w:val="en-GB"/>
        </w:rPr>
      </w:pPr>
      <w:r>
        <w:rPr>
          <w:sz w:val="20"/>
          <w:szCs w:val="20"/>
          <w:lang w:val="en-GB"/>
        </w:rPr>
        <w:tab/>
      </w:r>
    </w:p>
    <w:p w:rsidR="0066474D" w:rsidRPr="00126806" w:rsidRDefault="0066474D" w:rsidP="00126806">
      <w:pPr>
        <w:spacing w:after="0" w:line="240" w:lineRule="auto"/>
        <w:jc w:val="both"/>
        <w:rPr>
          <w:sz w:val="20"/>
          <w:szCs w:val="20"/>
          <w:lang w:val="en-GB"/>
        </w:rPr>
      </w:pPr>
      <w:r w:rsidRPr="00126806">
        <w:rPr>
          <w:b/>
          <w:i/>
          <w:sz w:val="20"/>
          <w:szCs w:val="20"/>
          <w:lang w:val="en-GB"/>
        </w:rPr>
        <w:t>Synopsis</w:t>
      </w:r>
      <w:r w:rsidRPr="00126806">
        <w:rPr>
          <w:sz w:val="20"/>
          <w:szCs w:val="20"/>
          <w:lang w:val="en-GB"/>
        </w:rPr>
        <w:t xml:space="preserve">: The purpose of the study </w:t>
      </w:r>
      <w:r w:rsidR="007A2F7B">
        <w:rPr>
          <w:sz w:val="20"/>
          <w:szCs w:val="20"/>
          <w:lang w:val="en-GB"/>
        </w:rPr>
        <w:t>– on which</w:t>
      </w:r>
      <w:r w:rsidRPr="00126806">
        <w:rPr>
          <w:sz w:val="20"/>
          <w:szCs w:val="20"/>
          <w:lang w:val="en-GB"/>
        </w:rPr>
        <w:t xml:space="preserve"> this short presentation</w:t>
      </w:r>
      <w:r w:rsidR="007A2F7B">
        <w:rPr>
          <w:sz w:val="20"/>
          <w:szCs w:val="20"/>
          <w:lang w:val="en-GB"/>
        </w:rPr>
        <w:t xml:space="preserve"> will be based</w:t>
      </w:r>
      <w:r w:rsidRPr="00126806">
        <w:rPr>
          <w:sz w:val="20"/>
          <w:szCs w:val="20"/>
          <w:lang w:val="en-GB"/>
        </w:rPr>
        <w:t xml:space="preserve"> - was to </w:t>
      </w:r>
      <w:r w:rsidR="001A4988" w:rsidRPr="00126806">
        <w:rPr>
          <w:sz w:val="20"/>
          <w:szCs w:val="20"/>
          <w:lang w:val="en-GB"/>
        </w:rPr>
        <w:t xml:space="preserve">gain a better </w:t>
      </w:r>
      <w:r w:rsidRPr="00126806">
        <w:rPr>
          <w:sz w:val="20"/>
          <w:szCs w:val="20"/>
          <w:lang w:val="en-GB"/>
        </w:rPr>
        <w:t>understand</w:t>
      </w:r>
      <w:r w:rsidR="001A4988" w:rsidRPr="00126806">
        <w:rPr>
          <w:sz w:val="20"/>
          <w:szCs w:val="20"/>
          <w:lang w:val="en-GB"/>
        </w:rPr>
        <w:t>ing of</w:t>
      </w:r>
      <w:r w:rsidR="007A2F7B">
        <w:rPr>
          <w:sz w:val="20"/>
          <w:szCs w:val="20"/>
          <w:lang w:val="en-GB"/>
        </w:rPr>
        <w:t xml:space="preserve"> the</w:t>
      </w:r>
      <w:r w:rsidRPr="00126806">
        <w:rPr>
          <w:sz w:val="20"/>
          <w:szCs w:val="20"/>
          <w:lang w:val="en-GB"/>
        </w:rPr>
        <w:t xml:space="preserve"> </w:t>
      </w:r>
      <w:r w:rsidR="001A4988" w:rsidRPr="00126806">
        <w:rPr>
          <w:sz w:val="20"/>
          <w:szCs w:val="20"/>
          <w:lang w:val="en-GB"/>
        </w:rPr>
        <w:t xml:space="preserve">approaches </w:t>
      </w:r>
      <w:r w:rsidRPr="00126806">
        <w:rPr>
          <w:sz w:val="20"/>
          <w:szCs w:val="20"/>
          <w:lang w:val="en-GB"/>
        </w:rPr>
        <w:t xml:space="preserve">African countries are </w:t>
      </w:r>
      <w:r w:rsidR="007A2F7B">
        <w:rPr>
          <w:sz w:val="20"/>
          <w:szCs w:val="20"/>
          <w:lang w:val="en-GB"/>
        </w:rPr>
        <w:t>taking, or expect</w:t>
      </w:r>
      <w:r w:rsidR="001A4988" w:rsidRPr="00126806">
        <w:rPr>
          <w:sz w:val="20"/>
          <w:szCs w:val="20"/>
          <w:lang w:val="en-GB"/>
        </w:rPr>
        <w:t xml:space="preserve"> to</w:t>
      </w:r>
      <w:r w:rsidR="007A2F7B">
        <w:rPr>
          <w:sz w:val="20"/>
          <w:szCs w:val="20"/>
          <w:lang w:val="en-GB"/>
        </w:rPr>
        <w:t xml:space="preserve"> be taking in terms of</w:t>
      </w:r>
      <w:r w:rsidR="001A4988" w:rsidRPr="00126806">
        <w:rPr>
          <w:sz w:val="20"/>
          <w:szCs w:val="20"/>
          <w:lang w:val="en-GB"/>
        </w:rPr>
        <w:t xml:space="preserve"> </w:t>
      </w:r>
      <w:r w:rsidRPr="00126806">
        <w:rPr>
          <w:sz w:val="20"/>
          <w:szCs w:val="20"/>
          <w:lang w:val="en-GB"/>
        </w:rPr>
        <w:t>institutional structures</w:t>
      </w:r>
      <w:r w:rsidR="001A4988" w:rsidRPr="00126806">
        <w:rPr>
          <w:sz w:val="20"/>
          <w:szCs w:val="20"/>
          <w:lang w:val="en-GB"/>
        </w:rPr>
        <w:t xml:space="preserve"> related to REDD+</w:t>
      </w:r>
      <w:r w:rsidR="004C05C2">
        <w:rPr>
          <w:sz w:val="20"/>
          <w:szCs w:val="20"/>
          <w:lang w:val="en-GB"/>
        </w:rPr>
        <w:t>.</w:t>
      </w:r>
      <w:r w:rsidRPr="00126806">
        <w:rPr>
          <w:sz w:val="20"/>
          <w:szCs w:val="20"/>
          <w:lang w:val="en-GB"/>
        </w:rPr>
        <w:t xml:space="preserve"> R-PPs of 13 African REDD+ countries (FCPF participants and candidates</w:t>
      </w:r>
      <w:r w:rsidR="0052349B" w:rsidRPr="00126806">
        <w:rPr>
          <w:sz w:val="20"/>
          <w:szCs w:val="20"/>
          <w:lang w:val="en-GB"/>
        </w:rPr>
        <w:t>) have been compared in a desk-analysis</w:t>
      </w:r>
      <w:r w:rsidRPr="00126806">
        <w:rPr>
          <w:sz w:val="20"/>
          <w:szCs w:val="20"/>
          <w:lang w:val="en-GB"/>
        </w:rPr>
        <w:t xml:space="preserve">. For </w:t>
      </w:r>
      <w:r w:rsidR="001A4988" w:rsidRPr="00126806">
        <w:rPr>
          <w:sz w:val="20"/>
          <w:szCs w:val="20"/>
          <w:lang w:val="en-GB"/>
        </w:rPr>
        <w:t>each section</w:t>
      </w:r>
      <w:r w:rsidR="00E2461A">
        <w:rPr>
          <w:sz w:val="20"/>
          <w:szCs w:val="20"/>
          <w:lang w:val="en-GB"/>
        </w:rPr>
        <w:t xml:space="preserve"> </w:t>
      </w:r>
      <w:r w:rsidRPr="00126806">
        <w:rPr>
          <w:sz w:val="20"/>
          <w:szCs w:val="20"/>
          <w:lang w:val="en-GB"/>
        </w:rPr>
        <w:t xml:space="preserve">of the R-PPs </w:t>
      </w:r>
      <w:r w:rsidR="001A4988" w:rsidRPr="00126806">
        <w:rPr>
          <w:sz w:val="20"/>
          <w:szCs w:val="20"/>
          <w:lang w:val="en-GB"/>
        </w:rPr>
        <w:t xml:space="preserve">different </w:t>
      </w:r>
      <w:r w:rsidR="004C05C2">
        <w:rPr>
          <w:sz w:val="20"/>
          <w:szCs w:val="20"/>
          <w:lang w:val="en-GB"/>
        </w:rPr>
        <w:t>indicators</w:t>
      </w:r>
      <w:r w:rsidRPr="00126806">
        <w:rPr>
          <w:sz w:val="20"/>
          <w:szCs w:val="20"/>
          <w:lang w:val="en-GB"/>
        </w:rPr>
        <w:t xml:space="preserve"> </w:t>
      </w:r>
      <w:r w:rsidR="001A4988" w:rsidRPr="00126806">
        <w:rPr>
          <w:sz w:val="20"/>
          <w:szCs w:val="20"/>
          <w:lang w:val="en-GB"/>
        </w:rPr>
        <w:t>serve as p</w:t>
      </w:r>
      <w:r w:rsidR="004C05C2">
        <w:rPr>
          <w:sz w:val="20"/>
          <w:szCs w:val="20"/>
          <w:lang w:val="en-GB"/>
        </w:rPr>
        <w:t xml:space="preserve">oints of comparison, </w:t>
      </w:r>
      <w:r w:rsidR="001A4988" w:rsidRPr="00126806">
        <w:rPr>
          <w:sz w:val="20"/>
          <w:szCs w:val="20"/>
          <w:lang w:val="en-GB"/>
        </w:rPr>
        <w:t xml:space="preserve">highlighting any similarities or differences in approach. </w:t>
      </w:r>
      <w:r w:rsidR="004C05C2">
        <w:rPr>
          <w:sz w:val="20"/>
          <w:szCs w:val="20"/>
          <w:lang w:val="en-GB"/>
        </w:rPr>
        <w:t>The result of the study was a</w:t>
      </w:r>
      <w:r w:rsidR="001A4988" w:rsidRPr="00126806">
        <w:rPr>
          <w:sz w:val="20"/>
          <w:szCs w:val="20"/>
          <w:lang w:val="en-GB"/>
        </w:rPr>
        <w:t xml:space="preserve"> </w:t>
      </w:r>
      <w:r w:rsidRPr="00126806">
        <w:rPr>
          <w:sz w:val="20"/>
          <w:szCs w:val="20"/>
          <w:lang w:val="en-GB"/>
        </w:rPr>
        <w:t>mapping of country positions and</w:t>
      </w:r>
      <w:r w:rsidR="00C2064D">
        <w:rPr>
          <w:sz w:val="20"/>
          <w:szCs w:val="20"/>
          <w:lang w:val="en-GB"/>
        </w:rPr>
        <w:t xml:space="preserve"> their respective</w:t>
      </w:r>
      <w:r w:rsidRPr="00126806">
        <w:rPr>
          <w:sz w:val="20"/>
          <w:szCs w:val="20"/>
          <w:lang w:val="en-GB"/>
        </w:rPr>
        <w:t xml:space="preserve"> approaches to the different </w:t>
      </w:r>
      <w:r w:rsidR="001A4988" w:rsidRPr="00126806">
        <w:rPr>
          <w:sz w:val="20"/>
          <w:szCs w:val="20"/>
          <w:lang w:val="en-GB"/>
        </w:rPr>
        <w:t>aspects of REDD+ institution</w:t>
      </w:r>
      <w:r w:rsidR="006519C0">
        <w:rPr>
          <w:sz w:val="20"/>
          <w:szCs w:val="20"/>
          <w:lang w:val="en-GB"/>
        </w:rPr>
        <w:t>s</w:t>
      </w:r>
      <w:r w:rsidR="001A4988" w:rsidRPr="00126806">
        <w:rPr>
          <w:sz w:val="20"/>
          <w:szCs w:val="20"/>
          <w:lang w:val="en-GB"/>
        </w:rPr>
        <w:t xml:space="preserve"> as articulated in the various </w:t>
      </w:r>
      <w:r w:rsidRPr="00126806">
        <w:rPr>
          <w:sz w:val="20"/>
          <w:szCs w:val="20"/>
          <w:lang w:val="en-GB"/>
        </w:rPr>
        <w:t xml:space="preserve">sections of the R-PPs.  </w:t>
      </w:r>
    </w:p>
    <w:p w:rsidR="0066474D" w:rsidRPr="00126806" w:rsidRDefault="0066474D" w:rsidP="00126806">
      <w:pPr>
        <w:spacing w:after="0" w:line="240" w:lineRule="auto"/>
        <w:jc w:val="both"/>
        <w:rPr>
          <w:sz w:val="20"/>
          <w:szCs w:val="20"/>
          <w:lang w:val="en-GB"/>
        </w:rPr>
      </w:pPr>
      <w:r w:rsidRPr="00126806">
        <w:rPr>
          <w:sz w:val="20"/>
          <w:szCs w:val="20"/>
          <w:lang w:val="en-GB"/>
        </w:rPr>
        <w:t xml:space="preserve">The study was commissioned by Carole </w:t>
      </w:r>
      <w:proofErr w:type="spellStart"/>
      <w:r w:rsidRPr="00126806">
        <w:rPr>
          <w:sz w:val="20"/>
          <w:szCs w:val="20"/>
          <w:lang w:val="en-GB"/>
        </w:rPr>
        <w:t>Megevand</w:t>
      </w:r>
      <w:proofErr w:type="spellEnd"/>
      <w:r w:rsidRPr="00126806">
        <w:rPr>
          <w:sz w:val="20"/>
          <w:szCs w:val="20"/>
          <w:lang w:val="en-GB"/>
        </w:rPr>
        <w:t xml:space="preserve"> (</w:t>
      </w:r>
      <w:r w:rsidR="001A4988" w:rsidRPr="00126806">
        <w:rPr>
          <w:sz w:val="20"/>
          <w:szCs w:val="20"/>
          <w:lang w:val="en-GB"/>
        </w:rPr>
        <w:t xml:space="preserve">Sustainable Development </w:t>
      </w:r>
      <w:r w:rsidRPr="00126806">
        <w:rPr>
          <w:sz w:val="20"/>
          <w:szCs w:val="20"/>
          <w:lang w:val="en-GB"/>
        </w:rPr>
        <w:t>Unit</w:t>
      </w:r>
      <w:r w:rsidR="001A4988" w:rsidRPr="00126806">
        <w:rPr>
          <w:sz w:val="20"/>
          <w:szCs w:val="20"/>
          <w:lang w:val="en-GB"/>
        </w:rPr>
        <w:t xml:space="preserve"> in the African Region of the</w:t>
      </w:r>
      <w:r w:rsidRPr="00126806">
        <w:rPr>
          <w:sz w:val="20"/>
          <w:szCs w:val="20"/>
          <w:lang w:val="en-GB"/>
        </w:rPr>
        <w:t xml:space="preserve"> Word Bank) and Benoit </w:t>
      </w:r>
      <w:proofErr w:type="spellStart"/>
      <w:r w:rsidRPr="00126806">
        <w:rPr>
          <w:sz w:val="20"/>
          <w:szCs w:val="20"/>
          <w:lang w:val="en-GB"/>
        </w:rPr>
        <w:t>Bosquet</w:t>
      </w:r>
      <w:proofErr w:type="spellEnd"/>
      <w:r w:rsidRPr="00126806">
        <w:rPr>
          <w:sz w:val="20"/>
          <w:szCs w:val="20"/>
          <w:lang w:val="en-GB"/>
        </w:rPr>
        <w:t xml:space="preserve"> (</w:t>
      </w:r>
      <w:r w:rsidR="001A4988" w:rsidRPr="00126806">
        <w:rPr>
          <w:sz w:val="20"/>
          <w:szCs w:val="20"/>
          <w:lang w:val="en-GB"/>
        </w:rPr>
        <w:t xml:space="preserve">at that time Head of the </w:t>
      </w:r>
      <w:r w:rsidRPr="00126806">
        <w:rPr>
          <w:sz w:val="20"/>
          <w:szCs w:val="20"/>
          <w:lang w:val="en-GB"/>
        </w:rPr>
        <w:t>Forest Carbon Partnership Facility, World Bank)</w:t>
      </w:r>
      <w:r w:rsidR="001A4988" w:rsidRPr="00126806">
        <w:rPr>
          <w:sz w:val="20"/>
          <w:szCs w:val="20"/>
          <w:lang w:val="en-GB"/>
        </w:rPr>
        <w:t>. The study was</w:t>
      </w:r>
      <w:r w:rsidRPr="00126806">
        <w:rPr>
          <w:sz w:val="20"/>
          <w:szCs w:val="20"/>
          <w:lang w:val="en-GB"/>
        </w:rPr>
        <w:t xml:space="preserve"> conducted by Johanna Wehkamp, Erik Winter Reed and Rajesh </w:t>
      </w:r>
      <w:proofErr w:type="spellStart"/>
      <w:r w:rsidRPr="00126806">
        <w:rPr>
          <w:sz w:val="20"/>
          <w:szCs w:val="20"/>
          <w:lang w:val="en-GB"/>
        </w:rPr>
        <w:t>Koirala</w:t>
      </w:r>
      <w:proofErr w:type="spellEnd"/>
      <w:r w:rsidRPr="00126806">
        <w:rPr>
          <w:sz w:val="20"/>
          <w:szCs w:val="20"/>
          <w:lang w:val="en-GB"/>
        </w:rPr>
        <w:t xml:space="preserve">. </w:t>
      </w:r>
      <w:r w:rsidR="001A4988" w:rsidRPr="00126806">
        <w:rPr>
          <w:sz w:val="20"/>
          <w:szCs w:val="20"/>
          <w:lang w:val="en-GB"/>
        </w:rPr>
        <w:t xml:space="preserve">The study </w:t>
      </w:r>
      <w:r w:rsidRPr="00126806">
        <w:rPr>
          <w:sz w:val="20"/>
          <w:szCs w:val="20"/>
          <w:lang w:val="en-GB"/>
        </w:rPr>
        <w:t xml:space="preserve">is currently unpublished and in the review process. The results and views expressed </w:t>
      </w:r>
      <w:r w:rsidR="001A4988" w:rsidRPr="00126806">
        <w:rPr>
          <w:sz w:val="20"/>
          <w:szCs w:val="20"/>
          <w:lang w:val="en-GB"/>
        </w:rPr>
        <w:t>d</w:t>
      </w:r>
      <w:r w:rsidRPr="00126806">
        <w:rPr>
          <w:sz w:val="20"/>
          <w:szCs w:val="20"/>
          <w:lang w:val="en-GB"/>
        </w:rPr>
        <w:t xml:space="preserve">o not reflect official positions of the World Bank. </w:t>
      </w:r>
    </w:p>
    <w:p w:rsidR="001B459B" w:rsidRDefault="001B459B" w:rsidP="00126806">
      <w:pPr>
        <w:spacing w:after="0" w:line="240" w:lineRule="auto"/>
        <w:jc w:val="both"/>
        <w:rPr>
          <w:lang w:val="en-GB"/>
        </w:rPr>
      </w:pPr>
    </w:p>
    <w:p w:rsidR="0066474D" w:rsidRDefault="0066474D" w:rsidP="00126806">
      <w:pPr>
        <w:spacing w:after="0" w:line="240" w:lineRule="auto"/>
        <w:jc w:val="both"/>
        <w:rPr>
          <w:lang w:val="en-GB"/>
        </w:rPr>
      </w:pPr>
    </w:p>
    <w:p w:rsidR="0066474D" w:rsidRPr="0052349B" w:rsidRDefault="001B459B" w:rsidP="00126806">
      <w:pPr>
        <w:spacing w:after="0" w:line="240" w:lineRule="auto"/>
        <w:jc w:val="both"/>
        <w:rPr>
          <w:b/>
          <w:i/>
          <w:sz w:val="24"/>
          <w:szCs w:val="24"/>
          <w:lang w:val="en-GB"/>
        </w:rPr>
      </w:pPr>
      <w:r>
        <w:rPr>
          <w:b/>
          <w:i/>
          <w:sz w:val="24"/>
          <w:szCs w:val="24"/>
          <w:lang w:val="en-GB"/>
        </w:rPr>
        <w:t>Major Findings</w:t>
      </w:r>
      <w:r w:rsidR="0066474D" w:rsidRPr="0052349B">
        <w:rPr>
          <w:b/>
          <w:i/>
          <w:sz w:val="24"/>
          <w:szCs w:val="24"/>
          <w:lang w:val="en-GB"/>
        </w:rPr>
        <w:t xml:space="preserve"> </w:t>
      </w:r>
    </w:p>
    <w:p w:rsidR="00862991" w:rsidRDefault="00862991" w:rsidP="00126806">
      <w:pPr>
        <w:spacing w:after="0" w:line="240" w:lineRule="auto"/>
        <w:jc w:val="both"/>
        <w:rPr>
          <w:b/>
          <w:i/>
          <w:lang w:val="en-GB"/>
        </w:rPr>
      </w:pPr>
    </w:p>
    <w:p w:rsidR="00CD528D" w:rsidRPr="00126806" w:rsidRDefault="001B459B" w:rsidP="00126806">
      <w:pPr>
        <w:spacing w:after="0" w:line="240" w:lineRule="auto"/>
        <w:jc w:val="both"/>
        <w:rPr>
          <w:b/>
          <w:i/>
          <w:lang w:val="en-GB"/>
        </w:rPr>
      </w:pPr>
      <w:r>
        <w:rPr>
          <w:b/>
          <w:i/>
          <w:lang w:val="en-GB"/>
        </w:rPr>
        <w:t>1. Governance issues are a cen</w:t>
      </w:r>
      <w:r w:rsidR="00433126">
        <w:rPr>
          <w:b/>
          <w:i/>
          <w:lang w:val="en-GB"/>
        </w:rPr>
        <w:t>tral driver of deforestation in</w:t>
      </w:r>
      <w:r>
        <w:rPr>
          <w:b/>
          <w:i/>
          <w:lang w:val="en-GB"/>
        </w:rPr>
        <w:t xml:space="preserve"> African countries</w:t>
      </w:r>
      <w:r w:rsidR="00862991" w:rsidRPr="0052349B">
        <w:rPr>
          <w:b/>
          <w:i/>
          <w:lang w:val="en-GB"/>
        </w:rPr>
        <w:t xml:space="preserve">  </w:t>
      </w:r>
    </w:p>
    <w:p w:rsidR="002C76C1" w:rsidRPr="00602777" w:rsidRDefault="00E3293A" w:rsidP="00602777">
      <w:pPr>
        <w:spacing w:after="0" w:line="240" w:lineRule="auto"/>
        <w:jc w:val="both"/>
        <w:rPr>
          <w:sz w:val="20"/>
          <w:szCs w:val="20"/>
          <w:lang w:val="en-GB"/>
        </w:rPr>
      </w:pPr>
      <w:r>
        <w:rPr>
          <w:noProof/>
          <w:sz w:val="20"/>
          <w:szCs w:val="20"/>
          <w:lang w:val="de-DE" w:eastAsia="de-DE"/>
        </w:rPr>
        <w:drawing>
          <wp:anchor distT="0" distB="0" distL="114300" distR="114300" simplePos="0" relativeHeight="251659264" behindDoc="1" locked="0" layoutInCell="1" allowOverlap="1">
            <wp:simplePos x="0" y="0"/>
            <wp:positionH relativeFrom="column">
              <wp:posOffset>22860</wp:posOffset>
            </wp:positionH>
            <wp:positionV relativeFrom="paragraph">
              <wp:posOffset>833120</wp:posOffset>
            </wp:positionV>
            <wp:extent cx="5731510" cy="2030730"/>
            <wp:effectExtent l="19050" t="0" r="2540" b="0"/>
            <wp:wrapTight wrapText="bothSides">
              <wp:wrapPolygon edited="0">
                <wp:start x="-72" y="0"/>
                <wp:lineTo x="-72" y="21478"/>
                <wp:lineTo x="21610" y="21478"/>
                <wp:lineTo x="21610" y="0"/>
                <wp:lineTo x="-72" y="0"/>
              </wp:wrapPolygon>
            </wp:wrapTight>
            <wp:docPr id="1"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srcRect l="5282" t="37939" r="29374" b="20588"/>
                    <a:stretch>
                      <a:fillRect/>
                    </a:stretch>
                  </pic:blipFill>
                  <pic:spPr bwMode="auto">
                    <a:xfrm>
                      <a:off x="0" y="0"/>
                      <a:ext cx="5731510" cy="2030730"/>
                    </a:xfrm>
                    <a:prstGeom prst="rect">
                      <a:avLst/>
                    </a:prstGeom>
                    <a:noFill/>
                    <a:ln w="9525">
                      <a:noFill/>
                      <a:miter lim="800000"/>
                      <a:headEnd/>
                      <a:tailEnd/>
                    </a:ln>
                  </pic:spPr>
                </pic:pic>
              </a:graphicData>
            </a:graphic>
          </wp:anchor>
        </w:drawing>
      </w:r>
      <w:r w:rsidR="00CB708C" w:rsidRPr="00126806">
        <w:rPr>
          <w:sz w:val="20"/>
          <w:szCs w:val="20"/>
          <w:lang w:val="en-GB"/>
        </w:rPr>
        <w:t xml:space="preserve">Governance – as a broader concept – can be defined as efforts to coordinate human action towards a goal. </w:t>
      </w:r>
      <w:r w:rsidR="00CB708C" w:rsidRPr="00126806">
        <w:rPr>
          <w:rStyle w:val="Funotenzeichen"/>
          <w:sz w:val="20"/>
          <w:szCs w:val="20"/>
          <w:lang w:val="en-GB"/>
        </w:rPr>
        <w:footnoteReference w:id="1"/>
      </w:r>
      <w:r w:rsidR="00CB708C" w:rsidRPr="00126806">
        <w:rPr>
          <w:sz w:val="20"/>
          <w:szCs w:val="20"/>
          <w:lang w:val="en-GB"/>
        </w:rPr>
        <w:t xml:space="preserve"> </w:t>
      </w:r>
      <w:r w:rsidR="00862991" w:rsidRPr="00126806">
        <w:rPr>
          <w:sz w:val="20"/>
          <w:szCs w:val="20"/>
          <w:lang w:val="en-GB"/>
        </w:rPr>
        <w:t xml:space="preserve">Governance issues </w:t>
      </w:r>
      <w:r w:rsidR="00CB708C" w:rsidRPr="00126806">
        <w:rPr>
          <w:sz w:val="20"/>
          <w:szCs w:val="20"/>
          <w:lang w:val="en-GB"/>
        </w:rPr>
        <w:t>(</w:t>
      </w:r>
      <w:r>
        <w:rPr>
          <w:sz w:val="20"/>
          <w:szCs w:val="20"/>
          <w:lang w:val="en-GB"/>
        </w:rPr>
        <w:t xml:space="preserve">corruption, </w:t>
      </w:r>
      <w:r w:rsidR="00CB708C" w:rsidRPr="00126806">
        <w:rPr>
          <w:sz w:val="20"/>
          <w:szCs w:val="20"/>
          <w:lang w:val="en-GB"/>
        </w:rPr>
        <w:t xml:space="preserve">weak land tenure, inconsistencies in policy, </w:t>
      </w:r>
      <w:r w:rsidR="00E2461A">
        <w:rPr>
          <w:sz w:val="20"/>
          <w:szCs w:val="20"/>
          <w:lang w:val="en-GB"/>
        </w:rPr>
        <w:t xml:space="preserve">lack of coordination among sectors, </w:t>
      </w:r>
      <w:r w:rsidR="00CB708C" w:rsidRPr="00126806">
        <w:rPr>
          <w:sz w:val="20"/>
          <w:szCs w:val="20"/>
          <w:lang w:val="en-GB"/>
        </w:rPr>
        <w:t>non-enforcement of land management plans</w:t>
      </w:r>
      <w:r w:rsidR="00E2461A">
        <w:rPr>
          <w:sz w:val="20"/>
          <w:szCs w:val="20"/>
          <w:lang w:val="en-GB"/>
        </w:rPr>
        <w:t xml:space="preserve"> etc.</w:t>
      </w:r>
      <w:r w:rsidR="00CB708C" w:rsidRPr="00126806">
        <w:rPr>
          <w:sz w:val="20"/>
          <w:szCs w:val="20"/>
          <w:lang w:val="en-GB"/>
        </w:rPr>
        <w:t xml:space="preserve">) </w:t>
      </w:r>
      <w:r w:rsidR="00433126">
        <w:rPr>
          <w:sz w:val="20"/>
          <w:szCs w:val="20"/>
          <w:lang w:val="en-GB"/>
        </w:rPr>
        <w:t>were emphatically identified</w:t>
      </w:r>
      <w:r w:rsidR="0005138E" w:rsidRPr="00126806">
        <w:rPr>
          <w:sz w:val="20"/>
          <w:szCs w:val="20"/>
          <w:lang w:val="en-GB"/>
        </w:rPr>
        <w:t xml:space="preserve"> as domestic drivers of deforestation in Africa, as described in national R-PPs. </w:t>
      </w:r>
      <w:r w:rsidR="00862991" w:rsidRPr="00126806">
        <w:rPr>
          <w:sz w:val="20"/>
          <w:szCs w:val="20"/>
          <w:lang w:val="en-GB"/>
        </w:rPr>
        <w:t>As the figure below shows</w:t>
      </w:r>
      <w:r w:rsidR="00602777">
        <w:rPr>
          <w:sz w:val="20"/>
          <w:szCs w:val="20"/>
          <w:lang w:val="en-GB"/>
        </w:rPr>
        <w:t>,</w:t>
      </w:r>
      <w:r w:rsidR="00862991" w:rsidRPr="00126806">
        <w:rPr>
          <w:sz w:val="20"/>
          <w:szCs w:val="20"/>
          <w:lang w:val="en-GB"/>
        </w:rPr>
        <w:t xml:space="preserve"> governance issues are systematically identified as </w:t>
      </w:r>
      <w:r w:rsidR="00A6492A" w:rsidRPr="00126806">
        <w:rPr>
          <w:sz w:val="20"/>
          <w:szCs w:val="20"/>
          <w:lang w:val="en-GB"/>
        </w:rPr>
        <w:t xml:space="preserve">a dominant </w:t>
      </w:r>
      <w:r w:rsidR="0005138E" w:rsidRPr="00126806">
        <w:rPr>
          <w:sz w:val="20"/>
          <w:szCs w:val="20"/>
          <w:lang w:val="en-GB"/>
        </w:rPr>
        <w:t>concern when it comes to drivers of deforestation</w:t>
      </w:r>
      <w:r w:rsidR="00A6492A" w:rsidRPr="00126806">
        <w:rPr>
          <w:sz w:val="20"/>
          <w:szCs w:val="20"/>
          <w:lang w:val="en-GB"/>
        </w:rPr>
        <w:t xml:space="preserve">. </w:t>
      </w:r>
    </w:p>
    <w:p w:rsidR="0052349B" w:rsidRPr="00E3293A" w:rsidRDefault="0052349B" w:rsidP="00602777">
      <w:pPr>
        <w:spacing w:after="0" w:line="240" w:lineRule="auto"/>
        <w:rPr>
          <w:sz w:val="18"/>
          <w:szCs w:val="18"/>
          <w:lang w:val="en-GB"/>
        </w:rPr>
      </w:pPr>
      <w:r w:rsidRPr="00126806">
        <w:rPr>
          <w:b/>
          <w:sz w:val="18"/>
          <w:szCs w:val="18"/>
          <w:lang w:val="en-GB"/>
        </w:rPr>
        <w:t>Figure 1</w:t>
      </w:r>
      <w:r w:rsidRPr="00126806">
        <w:rPr>
          <w:i/>
          <w:sz w:val="18"/>
          <w:szCs w:val="18"/>
          <w:lang w:val="en-GB"/>
        </w:rPr>
        <w:t>: Relative frequency of different drivers of deforestation (as mentioned in the R-PPs)</w:t>
      </w:r>
    </w:p>
    <w:p w:rsidR="00862991" w:rsidRPr="00126806" w:rsidRDefault="0005138E" w:rsidP="00126806">
      <w:pPr>
        <w:spacing w:after="0" w:line="240" w:lineRule="auto"/>
        <w:jc w:val="both"/>
        <w:rPr>
          <w:sz w:val="20"/>
          <w:szCs w:val="20"/>
          <w:lang w:val="en-GB"/>
        </w:rPr>
      </w:pPr>
      <w:r w:rsidRPr="00126806">
        <w:rPr>
          <w:sz w:val="20"/>
          <w:szCs w:val="20"/>
          <w:lang w:val="en-GB"/>
        </w:rPr>
        <w:lastRenderedPageBreak/>
        <w:t xml:space="preserve">Part of the </w:t>
      </w:r>
      <w:r w:rsidR="00862991" w:rsidRPr="00126806">
        <w:rPr>
          <w:sz w:val="20"/>
          <w:szCs w:val="20"/>
          <w:lang w:val="en-GB"/>
        </w:rPr>
        <w:t>difficulty of this assessment is that most countries do</w:t>
      </w:r>
      <w:r w:rsidRPr="00126806">
        <w:rPr>
          <w:sz w:val="20"/>
          <w:szCs w:val="20"/>
          <w:lang w:val="en-GB"/>
        </w:rPr>
        <w:t xml:space="preserve"> not have </w:t>
      </w:r>
      <w:r w:rsidR="00862991" w:rsidRPr="00126806">
        <w:rPr>
          <w:sz w:val="20"/>
          <w:szCs w:val="20"/>
          <w:lang w:val="en-GB"/>
        </w:rPr>
        <w:t xml:space="preserve">reliable data on drivers of </w:t>
      </w:r>
      <w:r w:rsidRPr="00126806">
        <w:rPr>
          <w:sz w:val="20"/>
          <w:szCs w:val="20"/>
          <w:lang w:val="en-GB"/>
        </w:rPr>
        <w:t>deforestation</w:t>
      </w:r>
      <w:r w:rsidR="00862991" w:rsidRPr="00126806">
        <w:rPr>
          <w:sz w:val="20"/>
          <w:szCs w:val="20"/>
          <w:lang w:val="en-GB"/>
        </w:rPr>
        <w:t xml:space="preserve"> </w:t>
      </w:r>
      <w:r w:rsidRPr="00126806">
        <w:rPr>
          <w:sz w:val="20"/>
          <w:szCs w:val="20"/>
          <w:lang w:val="en-GB"/>
        </w:rPr>
        <w:t xml:space="preserve">and </w:t>
      </w:r>
      <w:r w:rsidR="00862991" w:rsidRPr="00126806">
        <w:rPr>
          <w:sz w:val="20"/>
          <w:szCs w:val="20"/>
          <w:lang w:val="en-GB"/>
        </w:rPr>
        <w:t>the</w:t>
      </w:r>
      <w:r w:rsidRPr="00126806">
        <w:rPr>
          <w:sz w:val="20"/>
          <w:szCs w:val="20"/>
          <w:lang w:val="en-GB"/>
        </w:rPr>
        <w:t xml:space="preserve"> </w:t>
      </w:r>
      <w:r w:rsidR="00862991" w:rsidRPr="00126806">
        <w:rPr>
          <w:sz w:val="20"/>
          <w:szCs w:val="20"/>
          <w:lang w:val="en-GB"/>
        </w:rPr>
        <w:t xml:space="preserve">identified drivers are estimates. </w:t>
      </w:r>
      <w:r w:rsidRPr="00126806">
        <w:rPr>
          <w:sz w:val="20"/>
          <w:szCs w:val="20"/>
          <w:lang w:val="en-GB"/>
        </w:rPr>
        <w:t>I</w:t>
      </w:r>
      <w:r w:rsidR="00862991" w:rsidRPr="00126806">
        <w:rPr>
          <w:sz w:val="20"/>
          <w:szCs w:val="20"/>
          <w:lang w:val="en-GB"/>
        </w:rPr>
        <w:t>t is very difficult to assess and prove the direct impact of weak governance on forest cover</w:t>
      </w:r>
      <w:r w:rsidR="00602777">
        <w:rPr>
          <w:sz w:val="20"/>
          <w:szCs w:val="20"/>
          <w:lang w:val="en-GB"/>
        </w:rPr>
        <w:t>. M</w:t>
      </w:r>
      <w:r w:rsidRPr="00126806">
        <w:rPr>
          <w:sz w:val="20"/>
          <w:szCs w:val="20"/>
          <w:lang w:val="en-GB"/>
        </w:rPr>
        <w:t>ost R-PPs are generally based on stakeholder feedback and reflect the given information that is available</w:t>
      </w:r>
      <w:r w:rsidR="00862991" w:rsidRPr="00126806">
        <w:rPr>
          <w:sz w:val="20"/>
          <w:szCs w:val="20"/>
          <w:lang w:val="en-GB"/>
        </w:rPr>
        <w:t xml:space="preserve">.  </w:t>
      </w:r>
      <w:r w:rsidR="00A369F8" w:rsidRPr="00126806">
        <w:rPr>
          <w:sz w:val="20"/>
          <w:szCs w:val="20"/>
          <w:lang w:val="en-GB"/>
        </w:rPr>
        <w:t xml:space="preserve"> </w:t>
      </w:r>
    </w:p>
    <w:p w:rsidR="00A369F8" w:rsidRPr="00126806" w:rsidRDefault="00A369F8" w:rsidP="00126806">
      <w:pPr>
        <w:spacing w:after="0" w:line="240" w:lineRule="auto"/>
        <w:jc w:val="both"/>
        <w:rPr>
          <w:sz w:val="20"/>
          <w:szCs w:val="20"/>
          <w:lang w:val="en-GB"/>
        </w:rPr>
      </w:pPr>
    </w:p>
    <w:p w:rsidR="0052349B" w:rsidRPr="00126806" w:rsidRDefault="0005138E" w:rsidP="00126806">
      <w:pPr>
        <w:spacing w:after="0" w:line="240" w:lineRule="auto"/>
        <w:jc w:val="both"/>
        <w:rPr>
          <w:sz w:val="20"/>
          <w:szCs w:val="20"/>
          <w:lang w:val="en-GB"/>
        </w:rPr>
      </w:pPr>
      <w:r w:rsidRPr="00126806">
        <w:rPr>
          <w:sz w:val="20"/>
          <w:szCs w:val="20"/>
          <w:lang w:val="en-GB"/>
        </w:rPr>
        <w:t xml:space="preserve">The </w:t>
      </w:r>
      <w:r w:rsidR="00A6492A" w:rsidRPr="00126806">
        <w:rPr>
          <w:sz w:val="20"/>
          <w:szCs w:val="20"/>
          <w:lang w:val="en-GB"/>
        </w:rPr>
        <w:t>high priority given to governance issues create</w:t>
      </w:r>
      <w:r w:rsidRPr="00126806">
        <w:rPr>
          <w:sz w:val="20"/>
          <w:szCs w:val="20"/>
          <w:lang w:val="en-GB"/>
        </w:rPr>
        <w:t>s</w:t>
      </w:r>
      <w:r w:rsidR="00A6492A" w:rsidRPr="00126806">
        <w:rPr>
          <w:sz w:val="20"/>
          <w:szCs w:val="20"/>
          <w:lang w:val="en-GB"/>
        </w:rPr>
        <w:t xml:space="preserve"> a paradox: On the one hand countries tend to perceive them as crucial, but on the other </w:t>
      </w:r>
      <w:r w:rsidR="00602777">
        <w:rPr>
          <w:sz w:val="20"/>
          <w:szCs w:val="20"/>
          <w:lang w:val="en-GB"/>
        </w:rPr>
        <w:t xml:space="preserve">hand </w:t>
      </w:r>
      <w:r w:rsidR="00E2461A">
        <w:rPr>
          <w:sz w:val="20"/>
          <w:szCs w:val="20"/>
          <w:lang w:val="en-GB"/>
        </w:rPr>
        <w:t>most of them</w:t>
      </w:r>
      <w:r w:rsidR="00A6492A" w:rsidRPr="00126806">
        <w:rPr>
          <w:sz w:val="20"/>
          <w:szCs w:val="20"/>
          <w:lang w:val="en-GB"/>
        </w:rPr>
        <w:t xml:space="preserve"> do not propose </w:t>
      </w:r>
      <w:r w:rsidR="00E2461A">
        <w:rPr>
          <w:sz w:val="20"/>
          <w:szCs w:val="20"/>
          <w:lang w:val="en-GB"/>
        </w:rPr>
        <w:t xml:space="preserve">concrete measure </w:t>
      </w:r>
      <w:r w:rsidR="00A6492A" w:rsidRPr="00126806">
        <w:rPr>
          <w:sz w:val="20"/>
          <w:szCs w:val="20"/>
          <w:lang w:val="en-GB"/>
        </w:rPr>
        <w:t>to address governance iss</w:t>
      </w:r>
      <w:r w:rsidR="0052349B" w:rsidRPr="00126806">
        <w:rPr>
          <w:sz w:val="20"/>
          <w:szCs w:val="20"/>
          <w:lang w:val="en-GB"/>
        </w:rPr>
        <w:t>ues beyond the early preparation phase. Governance issues</w:t>
      </w:r>
      <w:r w:rsidR="007C347E" w:rsidRPr="00126806">
        <w:rPr>
          <w:sz w:val="20"/>
          <w:szCs w:val="20"/>
          <w:lang w:val="en-GB"/>
        </w:rPr>
        <w:t xml:space="preserve"> </w:t>
      </w:r>
      <w:r w:rsidR="00602777">
        <w:rPr>
          <w:sz w:val="20"/>
          <w:szCs w:val="20"/>
          <w:lang w:val="en-GB"/>
        </w:rPr>
        <w:t>create</w:t>
      </w:r>
      <w:r w:rsidR="0052349B" w:rsidRPr="00126806">
        <w:rPr>
          <w:sz w:val="20"/>
          <w:szCs w:val="20"/>
          <w:lang w:val="en-GB"/>
        </w:rPr>
        <w:t xml:space="preserve"> the challenge for countries</w:t>
      </w:r>
      <w:r w:rsidR="00A6492A" w:rsidRPr="00126806">
        <w:rPr>
          <w:sz w:val="20"/>
          <w:szCs w:val="20"/>
          <w:lang w:val="en-GB"/>
        </w:rPr>
        <w:t xml:space="preserve"> to define actions t</w:t>
      </w:r>
      <w:r w:rsidR="0052349B" w:rsidRPr="00126806">
        <w:rPr>
          <w:sz w:val="20"/>
          <w:szCs w:val="20"/>
          <w:lang w:val="en-GB"/>
        </w:rPr>
        <w:t>hat are concrete and feasible</w:t>
      </w:r>
      <w:r w:rsidR="00D47B91" w:rsidRPr="00126806">
        <w:rPr>
          <w:sz w:val="20"/>
          <w:szCs w:val="20"/>
          <w:lang w:val="en-GB"/>
        </w:rPr>
        <w:t xml:space="preserve">. </w:t>
      </w:r>
      <w:r w:rsidR="0052349B" w:rsidRPr="00126806">
        <w:rPr>
          <w:sz w:val="20"/>
          <w:szCs w:val="20"/>
          <w:lang w:val="en-GB"/>
        </w:rPr>
        <w:t xml:space="preserve"> </w:t>
      </w:r>
    </w:p>
    <w:p w:rsidR="00C96351" w:rsidRDefault="00C96351" w:rsidP="00126806">
      <w:pPr>
        <w:spacing w:after="0" w:line="240" w:lineRule="auto"/>
        <w:ind w:left="360"/>
        <w:jc w:val="both"/>
        <w:rPr>
          <w:lang w:val="en-GB"/>
        </w:rPr>
      </w:pPr>
    </w:p>
    <w:p w:rsidR="006A7C0B" w:rsidRPr="00286375" w:rsidRDefault="006A7C0B" w:rsidP="00126806">
      <w:pPr>
        <w:spacing w:after="0" w:line="240" w:lineRule="auto"/>
        <w:ind w:left="360"/>
        <w:jc w:val="both"/>
        <w:rPr>
          <w:lang w:val="en-GB"/>
        </w:rPr>
      </w:pPr>
    </w:p>
    <w:p w:rsidR="003B4A5C" w:rsidRDefault="0052349B" w:rsidP="00126806">
      <w:pPr>
        <w:spacing w:after="0" w:line="240" w:lineRule="auto"/>
        <w:jc w:val="both"/>
        <w:rPr>
          <w:b/>
          <w:i/>
          <w:lang w:val="en-GB"/>
        </w:rPr>
      </w:pPr>
      <w:r w:rsidRPr="001B459B">
        <w:rPr>
          <w:b/>
          <w:i/>
          <w:lang w:val="en-GB"/>
        </w:rPr>
        <w:t xml:space="preserve">2. </w:t>
      </w:r>
      <w:r w:rsidR="001B459B">
        <w:rPr>
          <w:b/>
          <w:i/>
          <w:lang w:val="en-GB"/>
        </w:rPr>
        <w:t xml:space="preserve">African countries have different priorities in their REDD+ strategies </w:t>
      </w:r>
    </w:p>
    <w:p w:rsidR="009E2379" w:rsidRPr="009E2379" w:rsidRDefault="009E2379" w:rsidP="00126806">
      <w:pPr>
        <w:spacing w:after="0" w:line="240" w:lineRule="auto"/>
        <w:jc w:val="both"/>
        <w:rPr>
          <w:b/>
          <w:i/>
          <w:lang w:val="en-GB"/>
        </w:rPr>
      </w:pPr>
    </w:p>
    <w:p w:rsidR="00052A4C" w:rsidRPr="00126806" w:rsidRDefault="001B459B" w:rsidP="00126806">
      <w:pPr>
        <w:spacing w:after="0" w:line="240" w:lineRule="auto"/>
        <w:jc w:val="both"/>
        <w:rPr>
          <w:sz w:val="20"/>
          <w:szCs w:val="20"/>
          <w:lang w:val="en-GB"/>
        </w:rPr>
      </w:pPr>
      <w:r w:rsidRPr="00126806">
        <w:rPr>
          <w:sz w:val="20"/>
          <w:szCs w:val="20"/>
          <w:lang w:val="en-GB"/>
        </w:rPr>
        <w:t>In spite of the similarities in drivers of deforestation, c</w:t>
      </w:r>
      <w:r w:rsidR="00052A4C" w:rsidRPr="00126806">
        <w:rPr>
          <w:sz w:val="20"/>
          <w:szCs w:val="20"/>
          <w:lang w:val="en-GB"/>
        </w:rPr>
        <w:t>ountries put forw</w:t>
      </w:r>
      <w:r w:rsidRPr="00126806">
        <w:rPr>
          <w:sz w:val="20"/>
          <w:szCs w:val="20"/>
          <w:lang w:val="en-GB"/>
        </w:rPr>
        <w:t xml:space="preserve">ard </w:t>
      </w:r>
      <w:r w:rsidR="005D0D8F">
        <w:rPr>
          <w:sz w:val="20"/>
          <w:szCs w:val="20"/>
          <w:lang w:val="en-GB"/>
        </w:rPr>
        <w:t>rather</w:t>
      </w:r>
      <w:r w:rsidRPr="00126806">
        <w:rPr>
          <w:sz w:val="20"/>
          <w:szCs w:val="20"/>
          <w:lang w:val="en-GB"/>
        </w:rPr>
        <w:t xml:space="preserve"> different</w:t>
      </w:r>
      <w:r w:rsidR="00CB708C" w:rsidRPr="00126806">
        <w:rPr>
          <w:sz w:val="20"/>
          <w:szCs w:val="20"/>
          <w:lang w:val="en-GB"/>
        </w:rPr>
        <w:t xml:space="preserve"> REDD+</w:t>
      </w:r>
      <w:r w:rsidRPr="00126806">
        <w:rPr>
          <w:sz w:val="20"/>
          <w:szCs w:val="20"/>
          <w:lang w:val="en-GB"/>
        </w:rPr>
        <w:t xml:space="preserve"> strategies, adopting </w:t>
      </w:r>
      <w:r w:rsidR="00052A4C" w:rsidRPr="00126806">
        <w:rPr>
          <w:sz w:val="20"/>
          <w:szCs w:val="20"/>
          <w:lang w:val="en-GB"/>
        </w:rPr>
        <w:t xml:space="preserve">REDD+ to their needs, political system and national context. </w:t>
      </w:r>
    </w:p>
    <w:p w:rsidR="00F459A9" w:rsidRPr="00126806" w:rsidRDefault="00D47B91" w:rsidP="00126806">
      <w:pPr>
        <w:spacing w:after="0" w:line="240" w:lineRule="auto"/>
        <w:jc w:val="both"/>
        <w:rPr>
          <w:sz w:val="20"/>
          <w:szCs w:val="20"/>
          <w:lang w:val="en-GB"/>
        </w:rPr>
      </w:pPr>
      <w:r w:rsidRPr="00126806">
        <w:rPr>
          <w:sz w:val="20"/>
          <w:szCs w:val="20"/>
          <w:lang w:val="en-GB"/>
        </w:rPr>
        <w:t xml:space="preserve">The approach that countries identified related to improving institutions for REDD+ can </w:t>
      </w:r>
      <w:r w:rsidR="001B459B" w:rsidRPr="00126806">
        <w:rPr>
          <w:sz w:val="20"/>
          <w:szCs w:val="20"/>
          <w:lang w:val="en-GB"/>
        </w:rPr>
        <w:t xml:space="preserve">be distinguished </w:t>
      </w:r>
      <w:r w:rsidRPr="00126806">
        <w:rPr>
          <w:sz w:val="20"/>
          <w:szCs w:val="20"/>
          <w:lang w:val="en-GB"/>
        </w:rPr>
        <w:t>along</w:t>
      </w:r>
      <w:r w:rsidR="001B459B" w:rsidRPr="00126806">
        <w:rPr>
          <w:sz w:val="20"/>
          <w:szCs w:val="20"/>
          <w:lang w:val="en-GB"/>
        </w:rPr>
        <w:t xml:space="preserve"> three major </w:t>
      </w:r>
      <w:r w:rsidRPr="00126806">
        <w:rPr>
          <w:sz w:val="20"/>
          <w:szCs w:val="20"/>
          <w:lang w:val="en-GB"/>
        </w:rPr>
        <w:t>lines</w:t>
      </w:r>
      <w:r w:rsidR="001B459B" w:rsidRPr="00126806">
        <w:rPr>
          <w:sz w:val="20"/>
          <w:szCs w:val="20"/>
          <w:lang w:val="en-GB"/>
        </w:rPr>
        <w:t xml:space="preserve">: </w:t>
      </w:r>
    </w:p>
    <w:p w:rsidR="00F459A9" w:rsidRPr="00126806" w:rsidRDefault="001B459B" w:rsidP="00126806">
      <w:pPr>
        <w:spacing w:after="0" w:line="240" w:lineRule="auto"/>
        <w:ind w:left="708"/>
        <w:jc w:val="both"/>
        <w:rPr>
          <w:sz w:val="20"/>
          <w:szCs w:val="20"/>
          <w:lang w:val="en-GB"/>
        </w:rPr>
      </w:pPr>
      <w:r w:rsidRPr="00126806">
        <w:rPr>
          <w:sz w:val="20"/>
          <w:szCs w:val="20"/>
          <w:lang w:val="en-GB"/>
        </w:rPr>
        <w:t xml:space="preserve">(1) </w:t>
      </w:r>
      <w:r w:rsidR="00377907" w:rsidRPr="00126806">
        <w:rPr>
          <w:sz w:val="20"/>
          <w:szCs w:val="20"/>
          <w:lang w:val="en-GB"/>
        </w:rPr>
        <w:t xml:space="preserve">Focus </w:t>
      </w:r>
      <w:r w:rsidR="00052A4C" w:rsidRPr="00126806">
        <w:rPr>
          <w:sz w:val="20"/>
          <w:szCs w:val="20"/>
          <w:lang w:val="en-GB"/>
        </w:rPr>
        <w:t xml:space="preserve">on </w:t>
      </w:r>
      <w:r w:rsidR="00052A4C" w:rsidRPr="00126806">
        <w:rPr>
          <w:i/>
          <w:sz w:val="20"/>
          <w:szCs w:val="20"/>
          <w:lang w:val="en-GB"/>
        </w:rPr>
        <w:t>designing</w:t>
      </w:r>
      <w:r w:rsidR="00D47B91" w:rsidRPr="00126806">
        <w:rPr>
          <w:i/>
          <w:sz w:val="20"/>
          <w:szCs w:val="20"/>
          <w:lang w:val="en-GB"/>
        </w:rPr>
        <w:t xml:space="preserve"> a</w:t>
      </w:r>
      <w:r w:rsidR="00052A4C" w:rsidRPr="00126806">
        <w:rPr>
          <w:i/>
          <w:sz w:val="20"/>
          <w:szCs w:val="20"/>
          <w:lang w:val="en-GB"/>
        </w:rPr>
        <w:t xml:space="preserve"> new legal framework</w:t>
      </w:r>
      <w:r w:rsidR="00052A4C" w:rsidRPr="00126806">
        <w:rPr>
          <w:sz w:val="20"/>
          <w:szCs w:val="20"/>
          <w:lang w:val="en-GB"/>
        </w:rPr>
        <w:t xml:space="preserve"> (</w:t>
      </w:r>
      <w:r w:rsidR="00F459A9" w:rsidRPr="00126806">
        <w:rPr>
          <w:rFonts w:cstheme="minorHAnsi"/>
          <w:sz w:val="20"/>
          <w:szCs w:val="20"/>
          <w:lang w:val="en-GB"/>
        </w:rPr>
        <w:t>improving the legal framework, e.g. reforms in the land tenure system, reforms in the tax system</w:t>
      </w:r>
      <w:r w:rsidR="00D47B91" w:rsidRPr="00126806">
        <w:rPr>
          <w:rFonts w:cstheme="minorHAnsi"/>
          <w:sz w:val="20"/>
          <w:szCs w:val="20"/>
          <w:lang w:val="en-GB"/>
        </w:rPr>
        <w:t xml:space="preserve"> (or code)</w:t>
      </w:r>
      <w:r w:rsidR="00F459A9" w:rsidRPr="00126806">
        <w:rPr>
          <w:rFonts w:cstheme="minorHAnsi"/>
          <w:sz w:val="20"/>
          <w:szCs w:val="20"/>
          <w:lang w:val="en-GB"/>
        </w:rPr>
        <w:t>)</w:t>
      </w:r>
      <w:r w:rsidR="00052A4C" w:rsidRPr="00126806">
        <w:rPr>
          <w:sz w:val="20"/>
          <w:szCs w:val="20"/>
          <w:lang w:val="en-GB"/>
        </w:rPr>
        <w:t xml:space="preserve">, </w:t>
      </w:r>
    </w:p>
    <w:p w:rsidR="00F459A9" w:rsidRPr="00126806" w:rsidRDefault="001B459B" w:rsidP="00126806">
      <w:pPr>
        <w:spacing w:after="0" w:line="240" w:lineRule="auto"/>
        <w:ind w:left="708"/>
        <w:jc w:val="both"/>
        <w:rPr>
          <w:sz w:val="20"/>
          <w:szCs w:val="20"/>
          <w:lang w:val="en-GB"/>
        </w:rPr>
      </w:pPr>
      <w:r w:rsidRPr="00126806">
        <w:rPr>
          <w:sz w:val="20"/>
          <w:szCs w:val="20"/>
          <w:lang w:val="en-GB"/>
        </w:rPr>
        <w:t xml:space="preserve">(2) </w:t>
      </w:r>
      <w:r w:rsidR="00CB708C" w:rsidRPr="00126806">
        <w:rPr>
          <w:i/>
          <w:sz w:val="20"/>
          <w:szCs w:val="20"/>
          <w:lang w:val="en-GB"/>
        </w:rPr>
        <w:t>Strengthen the existing institutional framework</w:t>
      </w:r>
      <w:r w:rsidRPr="00126806">
        <w:rPr>
          <w:sz w:val="20"/>
          <w:szCs w:val="20"/>
          <w:lang w:val="en-GB"/>
        </w:rPr>
        <w:t xml:space="preserve"> and policies</w:t>
      </w:r>
      <w:r w:rsidR="00CB708C" w:rsidRPr="00126806">
        <w:rPr>
          <w:sz w:val="20"/>
          <w:szCs w:val="20"/>
          <w:lang w:val="en-GB"/>
        </w:rPr>
        <w:t xml:space="preserve"> </w:t>
      </w:r>
      <w:r w:rsidR="00F459A9" w:rsidRPr="00126806">
        <w:rPr>
          <w:sz w:val="20"/>
          <w:szCs w:val="20"/>
          <w:lang w:val="en-GB"/>
        </w:rPr>
        <w:t>(e.g. monitoring of implementation, enforcement and capacity building)</w:t>
      </w:r>
      <w:r w:rsidR="00DD2BBF">
        <w:rPr>
          <w:sz w:val="20"/>
          <w:szCs w:val="20"/>
          <w:lang w:val="en-GB"/>
        </w:rPr>
        <w:t>,</w:t>
      </w:r>
    </w:p>
    <w:p w:rsidR="00052A4C" w:rsidRDefault="001B459B" w:rsidP="00126806">
      <w:pPr>
        <w:spacing w:after="0" w:line="240" w:lineRule="auto"/>
        <w:ind w:left="708"/>
        <w:jc w:val="both"/>
        <w:rPr>
          <w:lang w:val="en-GB"/>
        </w:rPr>
      </w:pPr>
      <w:r w:rsidRPr="00126806">
        <w:rPr>
          <w:sz w:val="20"/>
          <w:szCs w:val="20"/>
          <w:lang w:val="en-GB"/>
        </w:rPr>
        <w:t xml:space="preserve">(3) </w:t>
      </w:r>
      <w:r w:rsidR="00377907" w:rsidRPr="00126806">
        <w:rPr>
          <w:sz w:val="20"/>
          <w:szCs w:val="20"/>
          <w:lang w:val="en-GB"/>
        </w:rPr>
        <w:t xml:space="preserve">Focus </w:t>
      </w:r>
      <w:r w:rsidRPr="00126806">
        <w:rPr>
          <w:sz w:val="20"/>
          <w:szCs w:val="20"/>
          <w:lang w:val="en-GB"/>
        </w:rPr>
        <w:t xml:space="preserve">on </w:t>
      </w:r>
      <w:r w:rsidRPr="00126806">
        <w:rPr>
          <w:i/>
          <w:sz w:val="20"/>
          <w:szCs w:val="20"/>
          <w:lang w:val="en-GB"/>
        </w:rPr>
        <w:t>direct</w:t>
      </w:r>
      <w:r w:rsidR="00052A4C" w:rsidRPr="00126806">
        <w:rPr>
          <w:i/>
          <w:sz w:val="20"/>
          <w:szCs w:val="20"/>
          <w:lang w:val="en-GB"/>
        </w:rPr>
        <w:t xml:space="preserve"> emission reduction</w:t>
      </w:r>
      <w:r w:rsidR="00F459A9" w:rsidRPr="00126806">
        <w:rPr>
          <w:i/>
          <w:sz w:val="20"/>
          <w:szCs w:val="20"/>
          <w:lang w:val="en-GB"/>
        </w:rPr>
        <w:t xml:space="preserve"> projects</w:t>
      </w:r>
      <w:r w:rsidR="00F459A9" w:rsidRPr="00126806">
        <w:rPr>
          <w:sz w:val="20"/>
          <w:szCs w:val="20"/>
          <w:lang w:val="en-GB"/>
        </w:rPr>
        <w:t xml:space="preserve"> </w:t>
      </w:r>
      <w:r w:rsidR="00F459A9" w:rsidRPr="00126806">
        <w:rPr>
          <w:rFonts w:cstheme="minorHAnsi"/>
          <w:sz w:val="20"/>
          <w:szCs w:val="20"/>
          <w:lang w:val="en-GB"/>
        </w:rPr>
        <w:t>(e.g. reforestation, agro-forestry of the distribution of improved plant material…)</w:t>
      </w:r>
      <w:r w:rsidR="00F459A9" w:rsidRPr="00126806">
        <w:rPr>
          <w:sz w:val="20"/>
          <w:szCs w:val="20"/>
          <w:lang w:val="en-GB"/>
        </w:rPr>
        <w:t xml:space="preserve">. </w:t>
      </w:r>
      <w:r w:rsidR="00052A4C" w:rsidRPr="00126806">
        <w:rPr>
          <w:sz w:val="20"/>
          <w:szCs w:val="20"/>
          <w:lang w:val="en-GB"/>
        </w:rPr>
        <w:t xml:space="preserve"> </w:t>
      </w:r>
    </w:p>
    <w:p w:rsidR="009E2379" w:rsidRDefault="009E2379" w:rsidP="00126806">
      <w:pPr>
        <w:spacing w:after="0" w:line="240" w:lineRule="auto"/>
        <w:ind w:left="708"/>
        <w:jc w:val="both"/>
        <w:rPr>
          <w:lang w:val="en-GB"/>
        </w:rPr>
      </w:pPr>
    </w:p>
    <w:p w:rsidR="00F459A9" w:rsidRPr="00F459A9" w:rsidRDefault="00126806" w:rsidP="00126806">
      <w:pPr>
        <w:spacing w:after="0" w:line="240" w:lineRule="auto"/>
        <w:jc w:val="both"/>
        <w:rPr>
          <w:rFonts w:cstheme="minorHAnsi"/>
          <w:lang w:val="en-GB"/>
        </w:rPr>
      </w:pPr>
      <w:r>
        <w:rPr>
          <w:rFonts w:cstheme="minorHAnsi"/>
          <w:noProof/>
          <w:lang w:val="de-DE" w:eastAsia="de-DE"/>
        </w:rPr>
        <w:drawing>
          <wp:inline distT="0" distB="0" distL="0" distR="0">
            <wp:extent cx="5821033" cy="2763355"/>
            <wp:effectExtent l="19050" t="0" r="8267"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25126" t="36968" r="21564" b="18085"/>
                    <a:stretch>
                      <a:fillRect/>
                    </a:stretch>
                  </pic:blipFill>
                  <pic:spPr bwMode="auto">
                    <a:xfrm>
                      <a:off x="0" y="0"/>
                      <a:ext cx="5824441" cy="2764973"/>
                    </a:xfrm>
                    <a:prstGeom prst="rect">
                      <a:avLst/>
                    </a:prstGeom>
                    <a:noFill/>
                    <a:ln w="9525">
                      <a:noFill/>
                      <a:miter lim="800000"/>
                      <a:headEnd/>
                      <a:tailEnd/>
                    </a:ln>
                  </pic:spPr>
                </pic:pic>
              </a:graphicData>
            </a:graphic>
          </wp:inline>
        </w:drawing>
      </w:r>
    </w:p>
    <w:p w:rsidR="00B107FF" w:rsidRPr="00126806" w:rsidRDefault="006A7C0B" w:rsidP="00126806">
      <w:pPr>
        <w:spacing w:after="0" w:line="240" w:lineRule="auto"/>
        <w:jc w:val="center"/>
        <w:rPr>
          <w:sz w:val="18"/>
          <w:szCs w:val="18"/>
          <w:lang w:val="en-GB"/>
        </w:rPr>
      </w:pPr>
      <w:r w:rsidRPr="00126806">
        <w:rPr>
          <w:b/>
          <w:sz w:val="18"/>
          <w:szCs w:val="18"/>
          <w:lang w:val="en-GB"/>
        </w:rPr>
        <w:t>Figure 2:</w:t>
      </w:r>
      <w:r w:rsidRPr="00126806">
        <w:rPr>
          <w:sz w:val="18"/>
          <w:szCs w:val="18"/>
          <w:lang w:val="en-GB"/>
        </w:rPr>
        <w:t xml:space="preserve"> </w:t>
      </w:r>
      <w:r w:rsidRPr="00126806">
        <w:rPr>
          <w:i/>
          <w:sz w:val="18"/>
          <w:szCs w:val="18"/>
          <w:lang w:val="en-GB"/>
        </w:rPr>
        <w:t>Mapping of the priorities in the REDD+ strategies of African countries</w:t>
      </w:r>
      <w:r w:rsidR="002C76C1">
        <w:rPr>
          <w:rStyle w:val="Funotenzeichen"/>
          <w:i/>
          <w:sz w:val="18"/>
          <w:szCs w:val="18"/>
          <w:lang w:val="en-GB"/>
        </w:rPr>
        <w:footnoteReference w:id="2"/>
      </w:r>
    </w:p>
    <w:p w:rsidR="003B4A5C" w:rsidRDefault="003B4A5C" w:rsidP="00126806">
      <w:pPr>
        <w:spacing w:after="0" w:line="240" w:lineRule="auto"/>
        <w:jc w:val="both"/>
        <w:rPr>
          <w:lang w:val="en-GB"/>
        </w:rPr>
      </w:pPr>
    </w:p>
    <w:p w:rsidR="003B4A5C" w:rsidRDefault="003B4A5C" w:rsidP="00126806">
      <w:pPr>
        <w:spacing w:after="0" w:line="240" w:lineRule="auto"/>
        <w:jc w:val="both"/>
        <w:rPr>
          <w:b/>
          <w:i/>
          <w:lang w:val="en-GB"/>
        </w:rPr>
      </w:pPr>
    </w:p>
    <w:p w:rsidR="009E2C56" w:rsidRDefault="006A7C0B" w:rsidP="00126806">
      <w:pPr>
        <w:spacing w:after="0" w:line="240" w:lineRule="auto"/>
        <w:jc w:val="both"/>
        <w:rPr>
          <w:b/>
          <w:i/>
          <w:lang w:val="en-GB"/>
        </w:rPr>
      </w:pPr>
      <w:r w:rsidRPr="003B4A5C">
        <w:rPr>
          <w:b/>
          <w:i/>
          <w:lang w:val="en-GB"/>
        </w:rPr>
        <w:t xml:space="preserve">3. </w:t>
      </w:r>
      <w:r w:rsidR="009E2C56" w:rsidRPr="003B4A5C">
        <w:rPr>
          <w:b/>
          <w:i/>
          <w:lang w:val="en-GB"/>
        </w:rPr>
        <w:t>The interconnectedness of different elements of the implementation framework</w:t>
      </w:r>
    </w:p>
    <w:p w:rsidR="003B4A5C" w:rsidRPr="003B4A5C" w:rsidRDefault="003B4A5C" w:rsidP="00126806">
      <w:pPr>
        <w:spacing w:after="0" w:line="240" w:lineRule="auto"/>
        <w:jc w:val="both"/>
        <w:rPr>
          <w:b/>
          <w:i/>
          <w:lang w:val="en-GB"/>
        </w:rPr>
      </w:pPr>
    </w:p>
    <w:p w:rsidR="003B4A5C" w:rsidRPr="00126806" w:rsidRDefault="003B4A5C" w:rsidP="00126806">
      <w:pPr>
        <w:spacing w:after="0" w:line="240" w:lineRule="auto"/>
        <w:jc w:val="both"/>
        <w:rPr>
          <w:sz w:val="20"/>
          <w:szCs w:val="20"/>
          <w:lang w:val="en-GB"/>
        </w:rPr>
      </w:pPr>
      <w:r w:rsidRPr="00126806">
        <w:rPr>
          <w:sz w:val="20"/>
          <w:szCs w:val="20"/>
          <w:lang w:val="en-GB"/>
        </w:rPr>
        <w:t>The implementation framework in the R-PPs outlines the set of rules and institutions that countries propose in order to implement their strategy. Th</w:t>
      </w:r>
      <w:r w:rsidR="00CE55A7" w:rsidRPr="00126806">
        <w:rPr>
          <w:sz w:val="20"/>
          <w:szCs w:val="20"/>
          <w:lang w:val="en-GB"/>
        </w:rPr>
        <w:t>e th</w:t>
      </w:r>
      <w:r w:rsidRPr="00126806">
        <w:rPr>
          <w:sz w:val="20"/>
          <w:szCs w:val="20"/>
          <w:lang w:val="en-GB"/>
        </w:rPr>
        <w:t>ree major ele</w:t>
      </w:r>
      <w:r w:rsidR="00CE55A7" w:rsidRPr="00126806">
        <w:rPr>
          <w:sz w:val="20"/>
          <w:szCs w:val="20"/>
          <w:lang w:val="en-GB"/>
        </w:rPr>
        <w:t>ments that have been analyzed in the report are</w:t>
      </w:r>
      <w:r w:rsidRPr="00126806">
        <w:rPr>
          <w:sz w:val="20"/>
          <w:szCs w:val="20"/>
          <w:lang w:val="en-GB"/>
        </w:rPr>
        <w:t xml:space="preserve"> (1) the definition of carbon rights, (2) the financial architecture for REDD+</w:t>
      </w:r>
      <w:r w:rsidR="002A348E">
        <w:rPr>
          <w:sz w:val="20"/>
          <w:szCs w:val="20"/>
          <w:lang w:val="en-GB"/>
        </w:rPr>
        <w:t>,</w:t>
      </w:r>
      <w:r w:rsidRPr="00126806">
        <w:rPr>
          <w:sz w:val="20"/>
          <w:szCs w:val="20"/>
          <w:lang w:val="en-GB"/>
        </w:rPr>
        <w:t xml:space="preserve"> and (3) the proposed benefit sharing mechanism. In most cases, there is still a high level of uncertainty regarding the definition of these elements and propositions are preliminary. </w:t>
      </w:r>
    </w:p>
    <w:p w:rsidR="002C76C1" w:rsidRPr="00126806" w:rsidRDefault="003B4A5C" w:rsidP="00126806">
      <w:pPr>
        <w:spacing w:after="0" w:line="240" w:lineRule="auto"/>
        <w:jc w:val="both"/>
        <w:rPr>
          <w:sz w:val="20"/>
          <w:szCs w:val="20"/>
          <w:lang w:val="en-GB"/>
        </w:rPr>
      </w:pPr>
      <w:r w:rsidRPr="00126806">
        <w:rPr>
          <w:sz w:val="20"/>
          <w:szCs w:val="20"/>
          <w:lang w:val="en-GB"/>
        </w:rPr>
        <w:t xml:space="preserve">In the context of this workshop, </w:t>
      </w:r>
      <w:r w:rsidR="00C82BD2">
        <w:rPr>
          <w:sz w:val="20"/>
          <w:szCs w:val="20"/>
          <w:lang w:val="en-GB"/>
        </w:rPr>
        <w:t>I</w:t>
      </w:r>
      <w:r w:rsidRPr="00126806">
        <w:rPr>
          <w:sz w:val="20"/>
          <w:szCs w:val="20"/>
          <w:lang w:val="en-GB"/>
        </w:rPr>
        <w:t xml:space="preserve"> will concentrate on the definition of carbon rights and the proposed benefit sharing mechanism</w:t>
      </w:r>
      <w:r w:rsidR="00AC4B09" w:rsidRPr="00126806">
        <w:rPr>
          <w:sz w:val="20"/>
          <w:szCs w:val="20"/>
          <w:lang w:val="en-GB"/>
        </w:rPr>
        <w:t>, becau</w:t>
      </w:r>
      <w:r w:rsidR="00C82BD2">
        <w:rPr>
          <w:sz w:val="20"/>
          <w:szCs w:val="20"/>
          <w:lang w:val="en-GB"/>
        </w:rPr>
        <w:t>se they are more relevant to our</w:t>
      </w:r>
      <w:r w:rsidR="00AC4B09" w:rsidRPr="00126806">
        <w:rPr>
          <w:sz w:val="20"/>
          <w:szCs w:val="20"/>
          <w:lang w:val="en-GB"/>
        </w:rPr>
        <w:t xml:space="preserve"> </w:t>
      </w:r>
      <w:r w:rsidR="002C76C1">
        <w:rPr>
          <w:sz w:val="20"/>
          <w:szCs w:val="20"/>
          <w:lang w:val="en-GB"/>
        </w:rPr>
        <w:t>discussion</w:t>
      </w:r>
      <w:r w:rsidR="00EA26A6">
        <w:rPr>
          <w:sz w:val="20"/>
          <w:szCs w:val="20"/>
          <w:lang w:val="en-GB"/>
        </w:rPr>
        <w:t>.</w:t>
      </w:r>
    </w:p>
    <w:p w:rsidR="00126806" w:rsidRDefault="009E2C56" w:rsidP="00D70385">
      <w:pPr>
        <w:spacing w:after="0" w:line="240" w:lineRule="auto"/>
        <w:jc w:val="both"/>
        <w:rPr>
          <w:b/>
          <w:i/>
          <w:lang w:val="en-GB"/>
        </w:rPr>
      </w:pPr>
      <w:r w:rsidRPr="00EA26A6">
        <w:rPr>
          <w:b/>
          <w:i/>
          <w:lang w:val="en-GB"/>
        </w:rPr>
        <w:lastRenderedPageBreak/>
        <w:t>3.1.</w:t>
      </w:r>
      <w:r w:rsidR="00CE55A7" w:rsidRPr="00EA26A6">
        <w:rPr>
          <w:b/>
          <w:i/>
          <w:lang w:val="en-GB"/>
        </w:rPr>
        <w:t xml:space="preserve"> The</w:t>
      </w:r>
      <w:r w:rsidRPr="00EA26A6">
        <w:rPr>
          <w:b/>
          <w:i/>
          <w:lang w:val="en-GB"/>
        </w:rPr>
        <w:t xml:space="preserve"> Definition of Carbon Rights</w:t>
      </w:r>
    </w:p>
    <w:p w:rsidR="00003A2E" w:rsidRPr="00EA26A6" w:rsidRDefault="00003A2E" w:rsidP="00126806">
      <w:pPr>
        <w:spacing w:after="0" w:line="240" w:lineRule="auto"/>
        <w:ind w:firstLine="708"/>
        <w:jc w:val="both"/>
        <w:rPr>
          <w:b/>
          <w:i/>
          <w:lang w:val="en-GB"/>
        </w:rPr>
      </w:pPr>
    </w:p>
    <w:p w:rsidR="00CD528D" w:rsidRPr="00CD528D" w:rsidRDefault="00CD528D" w:rsidP="00CD528D">
      <w:pPr>
        <w:spacing w:after="0" w:line="240" w:lineRule="auto"/>
        <w:jc w:val="both"/>
        <w:rPr>
          <w:lang w:val="en-GB"/>
        </w:rPr>
      </w:pPr>
      <w:r w:rsidRPr="00CD528D">
        <w:rPr>
          <w:lang w:val="en-GB"/>
        </w:rPr>
        <w:t>Models for Carbon Ownership range from state ownership to individual ownership. Yet, a lot of countries ha</w:t>
      </w:r>
      <w:r w:rsidR="00D70385">
        <w:rPr>
          <w:lang w:val="en-GB"/>
        </w:rPr>
        <w:t>ven’t taken a clear stance on this</w:t>
      </w:r>
      <w:r w:rsidRPr="00CD528D">
        <w:rPr>
          <w:lang w:val="en-GB"/>
        </w:rPr>
        <w:t xml:space="preserve"> yet. </w:t>
      </w:r>
    </w:p>
    <w:p w:rsidR="00283308" w:rsidRPr="00126806" w:rsidRDefault="00283308" w:rsidP="00126806">
      <w:pPr>
        <w:spacing w:after="0" w:line="240" w:lineRule="auto"/>
        <w:jc w:val="both"/>
        <w:rPr>
          <w:sz w:val="20"/>
          <w:szCs w:val="20"/>
          <w:lang w:val="en-GB"/>
        </w:rPr>
      </w:pPr>
    </w:p>
    <w:p w:rsidR="00283308" w:rsidRPr="00126806" w:rsidRDefault="00283308" w:rsidP="00E2461A">
      <w:pPr>
        <w:pStyle w:val="Listenabsatz"/>
        <w:numPr>
          <w:ilvl w:val="1"/>
          <w:numId w:val="1"/>
        </w:numPr>
        <w:spacing w:after="0" w:line="240" w:lineRule="auto"/>
        <w:ind w:left="1418" w:hanging="425"/>
        <w:jc w:val="both"/>
        <w:rPr>
          <w:sz w:val="20"/>
          <w:szCs w:val="20"/>
          <w:lang w:val="en-GB"/>
        </w:rPr>
      </w:pPr>
      <w:r w:rsidRPr="00126806">
        <w:rPr>
          <w:b/>
          <w:i/>
          <w:sz w:val="20"/>
          <w:szCs w:val="20"/>
          <w:lang w:val="en-GB"/>
        </w:rPr>
        <w:t>National</w:t>
      </w:r>
      <w:r w:rsidR="00CE55A7" w:rsidRPr="00126806">
        <w:rPr>
          <w:b/>
          <w:i/>
          <w:sz w:val="20"/>
          <w:szCs w:val="20"/>
          <w:lang w:val="en-GB"/>
        </w:rPr>
        <w:t xml:space="preserve"> o</w:t>
      </w:r>
      <w:r w:rsidR="009E2C56" w:rsidRPr="00126806">
        <w:rPr>
          <w:b/>
          <w:i/>
          <w:sz w:val="20"/>
          <w:szCs w:val="20"/>
          <w:lang w:val="en-GB"/>
        </w:rPr>
        <w:t>wnership</w:t>
      </w:r>
      <w:r w:rsidR="009E2C56" w:rsidRPr="00126806">
        <w:rPr>
          <w:sz w:val="20"/>
          <w:szCs w:val="20"/>
          <w:lang w:val="en-GB"/>
        </w:rPr>
        <w:t xml:space="preserve"> </w:t>
      </w:r>
      <w:r w:rsidR="00CE55A7" w:rsidRPr="00126806">
        <w:rPr>
          <w:sz w:val="20"/>
          <w:szCs w:val="20"/>
          <w:lang w:val="en-GB"/>
        </w:rPr>
        <w:t xml:space="preserve">of carbon </w:t>
      </w:r>
      <w:r w:rsidR="009E2C56" w:rsidRPr="00126806">
        <w:rPr>
          <w:sz w:val="20"/>
          <w:szCs w:val="20"/>
          <w:lang w:val="en-GB"/>
        </w:rPr>
        <w:t>might allow more structur</w:t>
      </w:r>
      <w:r w:rsidR="00CE55A7" w:rsidRPr="00126806">
        <w:rPr>
          <w:sz w:val="20"/>
          <w:szCs w:val="20"/>
          <w:lang w:val="en-GB"/>
        </w:rPr>
        <w:t>al and coordinated action, yet it is not sure how muc</w:t>
      </w:r>
      <w:r w:rsidR="005050E8">
        <w:rPr>
          <w:sz w:val="20"/>
          <w:szCs w:val="20"/>
          <w:lang w:val="en-GB"/>
        </w:rPr>
        <w:t>h local ownership of REDD+ could</w:t>
      </w:r>
      <w:r w:rsidR="00CE55A7" w:rsidRPr="00126806">
        <w:rPr>
          <w:sz w:val="20"/>
          <w:szCs w:val="20"/>
          <w:lang w:val="en-GB"/>
        </w:rPr>
        <w:t xml:space="preserve"> ultimately be achieved through state ownership</w:t>
      </w:r>
      <w:r w:rsidR="007B4B50" w:rsidRPr="00126806">
        <w:rPr>
          <w:sz w:val="20"/>
          <w:szCs w:val="20"/>
          <w:lang w:val="en-GB"/>
        </w:rPr>
        <w:t xml:space="preserve">. </w:t>
      </w:r>
    </w:p>
    <w:p w:rsidR="00E2461A" w:rsidRPr="00E2461A" w:rsidRDefault="00CE55A7" w:rsidP="00E2461A">
      <w:pPr>
        <w:pStyle w:val="Listenabsatz"/>
        <w:numPr>
          <w:ilvl w:val="1"/>
          <w:numId w:val="1"/>
        </w:numPr>
        <w:spacing w:after="0" w:line="240" w:lineRule="auto"/>
        <w:ind w:left="1418" w:hanging="425"/>
        <w:jc w:val="both"/>
        <w:rPr>
          <w:i/>
          <w:sz w:val="20"/>
          <w:szCs w:val="20"/>
          <w:lang w:val="en-GB"/>
        </w:rPr>
      </w:pPr>
      <w:r w:rsidRPr="00126806">
        <w:rPr>
          <w:b/>
          <w:i/>
          <w:sz w:val="20"/>
          <w:szCs w:val="20"/>
          <w:lang w:val="en-GB"/>
        </w:rPr>
        <w:t>I</w:t>
      </w:r>
      <w:r w:rsidR="009E2C56" w:rsidRPr="00126806">
        <w:rPr>
          <w:b/>
          <w:i/>
          <w:sz w:val="20"/>
          <w:szCs w:val="20"/>
          <w:lang w:val="en-GB"/>
        </w:rPr>
        <w:t>ndividual</w:t>
      </w:r>
      <w:r w:rsidR="00536088">
        <w:rPr>
          <w:b/>
          <w:i/>
          <w:sz w:val="20"/>
          <w:szCs w:val="20"/>
          <w:lang w:val="en-GB"/>
        </w:rPr>
        <w:t>/</w:t>
      </w:r>
      <w:r w:rsidR="00AC4B09" w:rsidRPr="00126806">
        <w:rPr>
          <w:b/>
          <w:i/>
          <w:sz w:val="20"/>
          <w:szCs w:val="20"/>
          <w:lang w:val="en-GB"/>
        </w:rPr>
        <w:t>Communal</w:t>
      </w:r>
      <w:r w:rsidR="009E2C56" w:rsidRPr="00126806">
        <w:rPr>
          <w:b/>
          <w:i/>
          <w:sz w:val="20"/>
          <w:szCs w:val="20"/>
          <w:lang w:val="en-GB"/>
        </w:rPr>
        <w:t xml:space="preserve"> ownership</w:t>
      </w:r>
      <w:r w:rsidR="009E2C56" w:rsidRPr="00126806">
        <w:rPr>
          <w:sz w:val="20"/>
          <w:szCs w:val="20"/>
          <w:lang w:val="en-GB"/>
        </w:rPr>
        <w:t xml:space="preserve"> </w:t>
      </w:r>
      <w:r w:rsidRPr="00126806">
        <w:rPr>
          <w:sz w:val="20"/>
          <w:szCs w:val="20"/>
          <w:lang w:val="en-GB"/>
        </w:rPr>
        <w:t>of carbon</w:t>
      </w:r>
      <w:r w:rsidR="00126806" w:rsidRPr="00126806">
        <w:rPr>
          <w:sz w:val="20"/>
          <w:szCs w:val="20"/>
          <w:lang w:val="en-GB"/>
        </w:rPr>
        <w:t xml:space="preserve"> </w:t>
      </w:r>
      <w:r w:rsidR="000C50D7">
        <w:rPr>
          <w:sz w:val="20"/>
          <w:szCs w:val="20"/>
          <w:lang w:val="en-GB"/>
        </w:rPr>
        <w:t>can allow</w:t>
      </w:r>
      <w:r w:rsidR="00126806" w:rsidRPr="00126806">
        <w:rPr>
          <w:sz w:val="20"/>
          <w:szCs w:val="20"/>
          <w:lang w:val="en-GB"/>
        </w:rPr>
        <w:t xml:space="preserve"> a higher level of local </w:t>
      </w:r>
      <w:r w:rsidR="007B4B50" w:rsidRPr="00126806">
        <w:rPr>
          <w:sz w:val="20"/>
          <w:szCs w:val="20"/>
          <w:lang w:val="en-GB"/>
        </w:rPr>
        <w:t xml:space="preserve">involvement. It is as such a </w:t>
      </w:r>
      <w:r w:rsidR="000C50D7">
        <w:rPr>
          <w:sz w:val="20"/>
          <w:szCs w:val="20"/>
          <w:lang w:val="en-GB"/>
        </w:rPr>
        <w:t xml:space="preserve">relatively </w:t>
      </w:r>
      <w:r w:rsidR="007B4B50" w:rsidRPr="00126806">
        <w:rPr>
          <w:sz w:val="20"/>
          <w:szCs w:val="20"/>
          <w:lang w:val="en-GB"/>
        </w:rPr>
        <w:t xml:space="preserve">more liberal model, </w:t>
      </w:r>
      <w:r w:rsidR="000C50D7">
        <w:rPr>
          <w:sz w:val="20"/>
          <w:szCs w:val="20"/>
          <w:lang w:val="en-GB"/>
        </w:rPr>
        <w:t xml:space="preserve">with </w:t>
      </w:r>
      <w:r w:rsidR="001C39D8">
        <w:rPr>
          <w:sz w:val="20"/>
          <w:szCs w:val="20"/>
          <w:lang w:val="en-GB"/>
        </w:rPr>
        <w:t>stronger links</w:t>
      </w:r>
      <w:r w:rsidR="007B4B50" w:rsidRPr="00126806">
        <w:rPr>
          <w:sz w:val="20"/>
          <w:szCs w:val="20"/>
          <w:lang w:val="en-GB"/>
        </w:rPr>
        <w:t xml:space="preserve"> to the idea of carbon trading. However, individual ownership restricts the state in its capacity to implement structural measures and address indirect drivers of deforestation. </w:t>
      </w:r>
    </w:p>
    <w:p w:rsidR="00283308" w:rsidRPr="00126806" w:rsidRDefault="00283308" w:rsidP="00126806">
      <w:pPr>
        <w:pStyle w:val="Listenabsatz"/>
        <w:spacing w:after="0" w:line="240" w:lineRule="auto"/>
        <w:ind w:left="1080"/>
        <w:jc w:val="both"/>
        <w:rPr>
          <w:sz w:val="20"/>
          <w:szCs w:val="20"/>
          <w:lang w:val="en-GB"/>
        </w:rPr>
      </w:pPr>
    </w:p>
    <w:p w:rsidR="007B4B50" w:rsidRPr="00126806" w:rsidRDefault="007B4B50" w:rsidP="00126806">
      <w:pPr>
        <w:spacing w:after="0" w:line="240" w:lineRule="auto"/>
        <w:jc w:val="both"/>
        <w:rPr>
          <w:sz w:val="20"/>
          <w:szCs w:val="20"/>
          <w:lang w:val="en-GB"/>
        </w:rPr>
      </w:pPr>
      <w:r w:rsidRPr="00126806">
        <w:rPr>
          <w:sz w:val="20"/>
          <w:szCs w:val="20"/>
          <w:lang w:val="en-GB"/>
        </w:rPr>
        <w:t>The table below gives an overview of different approaches to carb</w:t>
      </w:r>
      <w:r w:rsidR="002C76C1">
        <w:rPr>
          <w:sz w:val="20"/>
          <w:szCs w:val="20"/>
          <w:lang w:val="en-GB"/>
        </w:rPr>
        <w:t xml:space="preserve">on rights of African countries that have been advanced in a preliminary manner in the R-PPs. </w:t>
      </w:r>
    </w:p>
    <w:p w:rsidR="009E2C56" w:rsidRPr="00286375" w:rsidRDefault="009E2C56" w:rsidP="00126806">
      <w:pPr>
        <w:spacing w:after="0" w:line="240" w:lineRule="auto"/>
        <w:jc w:val="both"/>
        <w:rPr>
          <w:lang w:val="en-GB"/>
        </w:rPr>
      </w:pPr>
    </w:p>
    <w:tbl>
      <w:tblPr>
        <w:tblW w:w="6804" w:type="dxa"/>
        <w:jc w:val="center"/>
        <w:tblCellMar>
          <w:left w:w="70" w:type="dxa"/>
          <w:right w:w="70" w:type="dxa"/>
        </w:tblCellMar>
        <w:tblLook w:val="04A0"/>
      </w:tblPr>
      <w:tblGrid>
        <w:gridCol w:w="1701"/>
        <w:gridCol w:w="1532"/>
        <w:gridCol w:w="1984"/>
        <w:gridCol w:w="1587"/>
      </w:tblGrid>
      <w:tr w:rsidR="009E2C56" w:rsidRPr="000465A6" w:rsidTr="001A737C">
        <w:trPr>
          <w:trHeight w:val="600"/>
          <w:jc w:val="center"/>
        </w:trPr>
        <w:tc>
          <w:tcPr>
            <w:tcW w:w="1701" w:type="dxa"/>
            <w:tcBorders>
              <w:top w:val="single" w:sz="4" w:space="0" w:color="auto"/>
              <w:left w:val="single" w:sz="4" w:space="0" w:color="auto"/>
              <w:bottom w:val="single" w:sz="4" w:space="0" w:color="auto"/>
              <w:right w:val="single" w:sz="4" w:space="0" w:color="auto"/>
            </w:tcBorders>
            <w:shd w:val="clear" w:color="000000" w:fill="D8D8D8"/>
            <w:hideMark/>
          </w:tcPr>
          <w:p w:rsidR="009E2C56" w:rsidRPr="00286375" w:rsidRDefault="009E2C56" w:rsidP="00126806">
            <w:pPr>
              <w:spacing w:after="0" w:line="240" w:lineRule="auto"/>
              <w:rPr>
                <w:rFonts w:ascii="Calibri" w:eastAsia="Times New Roman" w:hAnsi="Calibri" w:cs="Calibri"/>
                <w:b/>
                <w:bCs/>
                <w:sz w:val="20"/>
                <w:szCs w:val="20"/>
                <w:lang w:val="en-GB" w:eastAsia="de-DE"/>
              </w:rPr>
            </w:pPr>
            <w:r w:rsidRPr="00286375">
              <w:rPr>
                <w:rFonts w:ascii="Calibri" w:eastAsia="Times New Roman" w:hAnsi="Calibri" w:cs="Calibri"/>
                <w:b/>
                <w:bCs/>
                <w:sz w:val="20"/>
                <w:szCs w:val="20"/>
                <w:lang w:val="en-GB" w:eastAsia="de-DE"/>
              </w:rPr>
              <w:t>State Ownership</w:t>
            </w:r>
          </w:p>
        </w:tc>
        <w:tc>
          <w:tcPr>
            <w:tcW w:w="1532" w:type="dxa"/>
            <w:tcBorders>
              <w:top w:val="single" w:sz="4" w:space="0" w:color="auto"/>
              <w:left w:val="nil"/>
              <w:bottom w:val="single" w:sz="4" w:space="0" w:color="auto"/>
              <w:right w:val="single" w:sz="4" w:space="0" w:color="auto"/>
            </w:tcBorders>
            <w:shd w:val="clear" w:color="000000" w:fill="D8D8D8"/>
            <w:hideMark/>
          </w:tcPr>
          <w:p w:rsidR="009E2C56" w:rsidRPr="00286375" w:rsidRDefault="009E2C56" w:rsidP="00126806">
            <w:pPr>
              <w:spacing w:after="0" w:line="240" w:lineRule="auto"/>
              <w:rPr>
                <w:rFonts w:ascii="Calibri" w:eastAsia="Times New Roman" w:hAnsi="Calibri" w:cs="Calibri"/>
                <w:b/>
                <w:bCs/>
                <w:sz w:val="20"/>
                <w:szCs w:val="20"/>
                <w:lang w:val="en-GB" w:eastAsia="de-DE"/>
              </w:rPr>
            </w:pPr>
            <w:r w:rsidRPr="00286375">
              <w:rPr>
                <w:rFonts w:ascii="Calibri" w:eastAsia="Times New Roman" w:hAnsi="Calibri" w:cs="Calibri"/>
                <w:b/>
                <w:bCs/>
                <w:sz w:val="20"/>
                <w:szCs w:val="20"/>
                <w:lang w:val="en-GB" w:eastAsia="de-DE"/>
              </w:rPr>
              <w:t xml:space="preserve">Individual </w:t>
            </w:r>
            <w:r w:rsidR="002C76C1">
              <w:rPr>
                <w:rFonts w:ascii="Calibri" w:eastAsia="Times New Roman" w:hAnsi="Calibri" w:cs="Calibri"/>
                <w:b/>
                <w:bCs/>
                <w:sz w:val="20"/>
                <w:szCs w:val="20"/>
                <w:lang w:val="en-GB" w:eastAsia="de-DE"/>
              </w:rPr>
              <w:t xml:space="preserve">/Community </w:t>
            </w:r>
            <w:r w:rsidRPr="00286375">
              <w:rPr>
                <w:rFonts w:ascii="Calibri" w:eastAsia="Times New Roman" w:hAnsi="Calibri" w:cs="Calibri"/>
                <w:b/>
                <w:bCs/>
                <w:sz w:val="20"/>
                <w:szCs w:val="20"/>
                <w:lang w:val="en-GB" w:eastAsia="de-DE"/>
              </w:rPr>
              <w:t>Ownership</w:t>
            </w:r>
          </w:p>
        </w:tc>
        <w:tc>
          <w:tcPr>
            <w:tcW w:w="1984" w:type="dxa"/>
            <w:tcBorders>
              <w:top w:val="single" w:sz="4" w:space="0" w:color="auto"/>
              <w:left w:val="nil"/>
              <w:bottom w:val="single" w:sz="4" w:space="0" w:color="auto"/>
              <w:right w:val="single" w:sz="4" w:space="0" w:color="auto"/>
            </w:tcBorders>
            <w:shd w:val="clear" w:color="000000" w:fill="D8D8D8"/>
            <w:hideMark/>
          </w:tcPr>
          <w:p w:rsidR="009E2C56" w:rsidRPr="00286375" w:rsidRDefault="009E2C56" w:rsidP="00126806">
            <w:pPr>
              <w:spacing w:after="0" w:line="240" w:lineRule="auto"/>
              <w:rPr>
                <w:rFonts w:ascii="Calibri" w:eastAsia="Times New Roman" w:hAnsi="Calibri" w:cs="Calibri"/>
                <w:b/>
                <w:bCs/>
                <w:sz w:val="20"/>
                <w:szCs w:val="20"/>
                <w:lang w:val="en-GB" w:eastAsia="de-DE"/>
              </w:rPr>
            </w:pPr>
            <w:r w:rsidRPr="00286375">
              <w:rPr>
                <w:rFonts w:ascii="Calibri" w:eastAsia="Times New Roman" w:hAnsi="Calibri" w:cs="Calibri"/>
                <w:b/>
                <w:bCs/>
                <w:sz w:val="20"/>
                <w:szCs w:val="20"/>
                <w:lang w:val="en-GB" w:eastAsia="de-DE"/>
              </w:rPr>
              <w:t xml:space="preserve">Both approaches are considered  </w:t>
            </w:r>
          </w:p>
        </w:tc>
        <w:tc>
          <w:tcPr>
            <w:tcW w:w="1587" w:type="dxa"/>
            <w:tcBorders>
              <w:top w:val="single" w:sz="4" w:space="0" w:color="auto"/>
              <w:left w:val="nil"/>
              <w:bottom w:val="single" w:sz="4" w:space="0" w:color="auto"/>
              <w:right w:val="single" w:sz="4" w:space="0" w:color="auto"/>
            </w:tcBorders>
            <w:shd w:val="clear" w:color="000000" w:fill="D8D8D8"/>
            <w:hideMark/>
          </w:tcPr>
          <w:p w:rsidR="009E2C56" w:rsidRPr="00286375" w:rsidRDefault="009E2C56" w:rsidP="00126806">
            <w:pPr>
              <w:spacing w:after="0" w:line="240" w:lineRule="auto"/>
              <w:rPr>
                <w:rFonts w:ascii="Calibri" w:eastAsia="Times New Roman" w:hAnsi="Calibri" w:cs="Calibri"/>
                <w:b/>
                <w:bCs/>
                <w:sz w:val="20"/>
                <w:szCs w:val="20"/>
                <w:lang w:val="en-GB" w:eastAsia="de-DE"/>
              </w:rPr>
            </w:pPr>
            <w:r w:rsidRPr="00286375">
              <w:rPr>
                <w:rFonts w:ascii="Calibri" w:eastAsia="Times New Roman" w:hAnsi="Calibri" w:cs="Calibri"/>
                <w:b/>
                <w:bCs/>
                <w:sz w:val="20"/>
                <w:szCs w:val="20"/>
                <w:lang w:val="en-GB" w:eastAsia="de-DE"/>
              </w:rPr>
              <w:t xml:space="preserve">Issue has not been explored yet </w:t>
            </w:r>
          </w:p>
        </w:tc>
      </w:tr>
      <w:tr w:rsidR="009E2C56" w:rsidRPr="00286375" w:rsidTr="001A737C">
        <w:trPr>
          <w:trHeight w:val="1083"/>
          <w:jc w:val="center"/>
        </w:trPr>
        <w:tc>
          <w:tcPr>
            <w:tcW w:w="1701" w:type="dxa"/>
            <w:tcBorders>
              <w:top w:val="nil"/>
              <w:left w:val="single" w:sz="4" w:space="0" w:color="auto"/>
              <w:bottom w:val="single" w:sz="4" w:space="0" w:color="auto"/>
              <w:right w:val="single" w:sz="4" w:space="0" w:color="auto"/>
            </w:tcBorders>
            <w:shd w:val="clear" w:color="000000" w:fill="EAF1DD"/>
            <w:hideMark/>
          </w:tcPr>
          <w:p w:rsidR="009E2C56" w:rsidRPr="007878F6" w:rsidRDefault="002F1FA3" w:rsidP="00126806">
            <w:pPr>
              <w:spacing w:after="0" w:line="240" w:lineRule="auto"/>
              <w:rPr>
                <w:rFonts w:ascii="Calibri" w:eastAsia="Times New Roman" w:hAnsi="Calibri" w:cs="Calibri"/>
                <w:sz w:val="20"/>
                <w:szCs w:val="20"/>
                <w:lang w:val="es-ES" w:eastAsia="de-DE"/>
              </w:rPr>
            </w:pPr>
            <w:r w:rsidRPr="007878F6">
              <w:rPr>
                <w:rFonts w:ascii="Calibri" w:eastAsia="Times New Roman" w:hAnsi="Calibri" w:cs="Calibri"/>
                <w:sz w:val="20"/>
                <w:szCs w:val="20"/>
                <w:lang w:val="es-ES" w:eastAsia="de-DE"/>
              </w:rPr>
              <w:t xml:space="preserve">Burkina Faso </w:t>
            </w:r>
            <w:r w:rsidRPr="007878F6">
              <w:rPr>
                <w:rFonts w:ascii="Calibri" w:eastAsia="Times New Roman" w:hAnsi="Calibri" w:cs="Calibri"/>
                <w:sz w:val="20"/>
                <w:szCs w:val="20"/>
                <w:lang w:val="es-ES" w:eastAsia="de-DE"/>
              </w:rPr>
              <w:br/>
            </w:r>
            <w:proofErr w:type="spellStart"/>
            <w:r w:rsidRPr="00480BB4">
              <w:rPr>
                <w:rFonts w:ascii="Calibri" w:eastAsia="Times New Roman" w:hAnsi="Calibri" w:cs="Calibri"/>
                <w:sz w:val="20"/>
                <w:szCs w:val="20"/>
                <w:lang w:val="es-ES" w:eastAsia="de-DE"/>
              </w:rPr>
              <w:t>Cameroon</w:t>
            </w:r>
            <w:proofErr w:type="spellEnd"/>
            <w:r w:rsidRPr="007878F6">
              <w:rPr>
                <w:rFonts w:ascii="Calibri" w:eastAsia="Times New Roman" w:hAnsi="Calibri" w:cs="Calibri"/>
                <w:sz w:val="20"/>
                <w:szCs w:val="20"/>
                <w:lang w:val="es-ES" w:eastAsia="de-DE"/>
              </w:rPr>
              <w:br/>
              <w:t xml:space="preserve">Ghana </w:t>
            </w:r>
            <w:r w:rsidRPr="007878F6">
              <w:rPr>
                <w:rFonts w:ascii="Calibri" w:eastAsia="Times New Roman" w:hAnsi="Calibri" w:cs="Calibri"/>
                <w:sz w:val="20"/>
                <w:szCs w:val="20"/>
                <w:lang w:val="es-ES" w:eastAsia="de-DE"/>
              </w:rPr>
              <w:br/>
              <w:t>Liberia</w:t>
            </w:r>
          </w:p>
        </w:tc>
        <w:tc>
          <w:tcPr>
            <w:tcW w:w="1532" w:type="dxa"/>
            <w:tcBorders>
              <w:top w:val="nil"/>
              <w:left w:val="nil"/>
              <w:bottom w:val="single" w:sz="4" w:space="0" w:color="auto"/>
              <w:right w:val="single" w:sz="4" w:space="0" w:color="auto"/>
            </w:tcBorders>
            <w:shd w:val="clear" w:color="000000" w:fill="D7E4BC"/>
            <w:hideMark/>
          </w:tcPr>
          <w:p w:rsidR="009E2C56" w:rsidRPr="00286375" w:rsidRDefault="009E2C56" w:rsidP="00126806">
            <w:pPr>
              <w:spacing w:after="0" w:line="240" w:lineRule="auto"/>
              <w:rPr>
                <w:rFonts w:ascii="Calibri" w:eastAsia="Times New Roman" w:hAnsi="Calibri" w:cs="Calibri"/>
                <w:sz w:val="20"/>
                <w:szCs w:val="20"/>
                <w:lang w:val="en-GB" w:eastAsia="de-DE"/>
              </w:rPr>
            </w:pPr>
            <w:r w:rsidRPr="00286375">
              <w:rPr>
                <w:rFonts w:ascii="Calibri" w:eastAsia="Times New Roman" w:hAnsi="Calibri" w:cs="Calibri"/>
                <w:sz w:val="20"/>
                <w:szCs w:val="20"/>
                <w:lang w:val="en-GB" w:eastAsia="de-DE"/>
              </w:rPr>
              <w:t xml:space="preserve">Kenya </w:t>
            </w:r>
            <w:r w:rsidRPr="00286375">
              <w:rPr>
                <w:rFonts w:ascii="Calibri" w:eastAsia="Times New Roman" w:hAnsi="Calibri" w:cs="Calibri"/>
                <w:sz w:val="20"/>
                <w:szCs w:val="20"/>
                <w:lang w:val="en-GB" w:eastAsia="de-DE"/>
              </w:rPr>
              <w:br/>
              <w:t>Madagascar</w:t>
            </w:r>
            <w:r w:rsidRPr="00286375">
              <w:rPr>
                <w:rFonts w:ascii="Calibri" w:eastAsia="Times New Roman" w:hAnsi="Calibri" w:cs="Calibri"/>
                <w:sz w:val="20"/>
                <w:szCs w:val="20"/>
                <w:lang w:val="en-GB" w:eastAsia="de-DE"/>
              </w:rPr>
              <w:br/>
              <w:t>Mozambique</w:t>
            </w:r>
            <w:r w:rsidRPr="00286375">
              <w:rPr>
                <w:rFonts w:ascii="Calibri" w:eastAsia="Times New Roman" w:hAnsi="Calibri" w:cs="Calibri"/>
                <w:sz w:val="20"/>
                <w:szCs w:val="20"/>
                <w:lang w:val="en-GB" w:eastAsia="de-DE"/>
              </w:rPr>
              <w:br/>
              <w:t xml:space="preserve">Uganda </w:t>
            </w:r>
          </w:p>
        </w:tc>
        <w:tc>
          <w:tcPr>
            <w:tcW w:w="1984" w:type="dxa"/>
            <w:tcBorders>
              <w:top w:val="nil"/>
              <w:left w:val="nil"/>
              <w:bottom w:val="single" w:sz="4" w:space="0" w:color="auto"/>
              <w:right w:val="single" w:sz="4" w:space="0" w:color="auto"/>
            </w:tcBorders>
            <w:shd w:val="clear" w:color="000000" w:fill="C2D69A"/>
            <w:hideMark/>
          </w:tcPr>
          <w:p w:rsidR="009E2C56" w:rsidRPr="00286375" w:rsidRDefault="009E2C56" w:rsidP="00126806">
            <w:pPr>
              <w:spacing w:after="0" w:line="240" w:lineRule="auto"/>
              <w:rPr>
                <w:rFonts w:ascii="Calibri" w:eastAsia="Times New Roman" w:hAnsi="Calibri" w:cs="Calibri"/>
                <w:sz w:val="20"/>
                <w:szCs w:val="20"/>
                <w:lang w:val="en-GB" w:eastAsia="de-DE"/>
              </w:rPr>
            </w:pPr>
            <w:r w:rsidRPr="00286375">
              <w:rPr>
                <w:rFonts w:ascii="Calibri" w:eastAsia="Times New Roman" w:hAnsi="Calibri" w:cs="Calibri"/>
                <w:sz w:val="20"/>
                <w:szCs w:val="20"/>
                <w:lang w:val="en-GB" w:eastAsia="de-DE"/>
              </w:rPr>
              <w:t xml:space="preserve">Central African Republic </w:t>
            </w:r>
            <w:r w:rsidRPr="00286375">
              <w:rPr>
                <w:rFonts w:ascii="Calibri" w:eastAsia="Times New Roman" w:hAnsi="Calibri" w:cs="Calibri"/>
                <w:sz w:val="20"/>
                <w:szCs w:val="20"/>
                <w:lang w:val="en-GB" w:eastAsia="de-DE"/>
              </w:rPr>
              <w:br/>
              <w:t>Republic of the Congo</w:t>
            </w:r>
            <w:r w:rsidRPr="00286375">
              <w:rPr>
                <w:rFonts w:ascii="Calibri" w:eastAsia="Times New Roman" w:hAnsi="Calibri" w:cs="Calibri"/>
                <w:sz w:val="20"/>
                <w:szCs w:val="20"/>
                <w:lang w:val="en-GB" w:eastAsia="de-DE"/>
              </w:rPr>
              <w:br/>
              <w:t>DR Congo</w:t>
            </w:r>
          </w:p>
        </w:tc>
        <w:tc>
          <w:tcPr>
            <w:tcW w:w="1587" w:type="dxa"/>
            <w:tcBorders>
              <w:top w:val="nil"/>
              <w:left w:val="nil"/>
              <w:bottom w:val="single" w:sz="4" w:space="0" w:color="auto"/>
              <w:right w:val="single" w:sz="4" w:space="0" w:color="auto"/>
            </w:tcBorders>
            <w:shd w:val="clear" w:color="000000" w:fill="75923C"/>
            <w:hideMark/>
          </w:tcPr>
          <w:p w:rsidR="009E2C56" w:rsidRPr="00286375" w:rsidRDefault="009E2C56" w:rsidP="00126806">
            <w:pPr>
              <w:spacing w:after="0" w:line="240" w:lineRule="auto"/>
              <w:rPr>
                <w:rFonts w:ascii="Calibri" w:eastAsia="Times New Roman" w:hAnsi="Calibri" w:cs="Calibri"/>
                <w:sz w:val="20"/>
                <w:szCs w:val="20"/>
                <w:lang w:val="en-GB" w:eastAsia="de-DE"/>
              </w:rPr>
            </w:pPr>
            <w:r w:rsidRPr="00286375">
              <w:rPr>
                <w:rFonts w:ascii="Calibri" w:eastAsia="Times New Roman" w:hAnsi="Calibri" w:cs="Calibri"/>
                <w:sz w:val="20"/>
                <w:szCs w:val="20"/>
                <w:lang w:val="en-GB" w:eastAsia="de-DE"/>
              </w:rPr>
              <w:t>Ethiopia</w:t>
            </w:r>
            <w:r w:rsidRPr="00286375">
              <w:rPr>
                <w:rFonts w:ascii="Calibri" w:eastAsia="Times New Roman" w:hAnsi="Calibri" w:cs="Calibri"/>
                <w:sz w:val="20"/>
                <w:szCs w:val="20"/>
                <w:lang w:val="en-GB" w:eastAsia="de-DE"/>
              </w:rPr>
              <w:br/>
              <w:t>Tanzania</w:t>
            </w:r>
          </w:p>
        </w:tc>
      </w:tr>
    </w:tbl>
    <w:p w:rsidR="009E2C56" w:rsidRPr="00126806" w:rsidRDefault="00283308" w:rsidP="00126806">
      <w:pPr>
        <w:spacing w:after="0" w:line="240" w:lineRule="auto"/>
        <w:ind w:firstLine="708"/>
        <w:jc w:val="both"/>
        <w:rPr>
          <w:sz w:val="18"/>
          <w:szCs w:val="18"/>
          <w:lang w:val="en-GB"/>
        </w:rPr>
      </w:pPr>
      <w:r>
        <w:rPr>
          <w:lang w:val="en-GB"/>
        </w:rPr>
        <w:tab/>
      </w:r>
      <w:r>
        <w:rPr>
          <w:lang w:val="en-GB"/>
        </w:rPr>
        <w:tab/>
      </w:r>
      <w:r w:rsidR="007B4B50" w:rsidRPr="00126806">
        <w:rPr>
          <w:b/>
          <w:sz w:val="18"/>
          <w:szCs w:val="18"/>
          <w:lang w:val="en-GB"/>
        </w:rPr>
        <w:t xml:space="preserve">Figure </w:t>
      </w:r>
      <w:r w:rsidR="00CD528D">
        <w:rPr>
          <w:b/>
          <w:sz w:val="18"/>
          <w:szCs w:val="18"/>
          <w:lang w:val="en-GB"/>
        </w:rPr>
        <w:t>3</w:t>
      </w:r>
      <w:r w:rsidR="007B4B50" w:rsidRPr="00126806">
        <w:rPr>
          <w:sz w:val="18"/>
          <w:szCs w:val="18"/>
          <w:lang w:val="en-GB"/>
        </w:rPr>
        <w:t xml:space="preserve">: </w:t>
      </w:r>
      <w:r w:rsidR="007B4B50" w:rsidRPr="00126806">
        <w:rPr>
          <w:i/>
          <w:sz w:val="18"/>
          <w:szCs w:val="18"/>
          <w:lang w:val="en-GB"/>
        </w:rPr>
        <w:t>Mapping different approaches to carbon ownership</w:t>
      </w:r>
      <w:r w:rsidR="00B107FF" w:rsidRPr="00126806">
        <w:rPr>
          <w:sz w:val="18"/>
          <w:szCs w:val="18"/>
          <w:lang w:val="en-GB"/>
        </w:rPr>
        <w:t xml:space="preserve"> </w:t>
      </w:r>
      <w:r w:rsidR="002C76C1">
        <w:rPr>
          <w:rStyle w:val="Funotenzeichen"/>
          <w:sz w:val="18"/>
          <w:szCs w:val="18"/>
          <w:lang w:val="en-GB"/>
        </w:rPr>
        <w:footnoteReference w:id="3"/>
      </w:r>
    </w:p>
    <w:p w:rsidR="001A737C" w:rsidRPr="001A737C" w:rsidRDefault="001A737C" w:rsidP="00126806">
      <w:pPr>
        <w:spacing w:after="0" w:line="240" w:lineRule="auto"/>
        <w:jc w:val="both"/>
        <w:rPr>
          <w:lang w:val="en-GB"/>
        </w:rPr>
      </w:pPr>
    </w:p>
    <w:p w:rsidR="009E2379" w:rsidRPr="00286375" w:rsidRDefault="009E2379" w:rsidP="00126806">
      <w:pPr>
        <w:pStyle w:val="Listenabsatz"/>
        <w:spacing w:after="0" w:line="240" w:lineRule="auto"/>
        <w:ind w:left="1416"/>
        <w:jc w:val="both"/>
        <w:rPr>
          <w:lang w:val="en-GB"/>
        </w:rPr>
      </w:pPr>
    </w:p>
    <w:p w:rsidR="007B4B50" w:rsidRDefault="00CE55A7" w:rsidP="007D641A">
      <w:pPr>
        <w:spacing w:after="0" w:line="240" w:lineRule="auto"/>
        <w:jc w:val="both"/>
        <w:rPr>
          <w:b/>
          <w:i/>
          <w:lang w:val="en-GB"/>
        </w:rPr>
      </w:pPr>
      <w:r w:rsidRPr="00EA26A6">
        <w:rPr>
          <w:b/>
          <w:i/>
          <w:lang w:val="en-GB"/>
        </w:rPr>
        <w:t>3.2</w:t>
      </w:r>
      <w:r w:rsidR="00B107FF" w:rsidRPr="00EA26A6">
        <w:rPr>
          <w:b/>
          <w:i/>
          <w:lang w:val="en-GB"/>
        </w:rPr>
        <w:t xml:space="preserve">. Benefit Sharing Mechanism </w:t>
      </w:r>
    </w:p>
    <w:p w:rsidR="00003A2E" w:rsidRPr="00EA26A6" w:rsidRDefault="00003A2E" w:rsidP="00126806">
      <w:pPr>
        <w:spacing w:after="0" w:line="240" w:lineRule="auto"/>
        <w:ind w:left="708"/>
        <w:jc w:val="both"/>
        <w:rPr>
          <w:b/>
          <w:i/>
          <w:lang w:val="en-GB"/>
        </w:rPr>
      </w:pPr>
    </w:p>
    <w:p w:rsidR="007B4B50" w:rsidRPr="00126806" w:rsidRDefault="000A07D9" w:rsidP="00126806">
      <w:pPr>
        <w:spacing w:after="0" w:line="240" w:lineRule="auto"/>
        <w:jc w:val="both"/>
        <w:rPr>
          <w:sz w:val="20"/>
          <w:szCs w:val="20"/>
          <w:lang w:val="en-GB"/>
        </w:rPr>
      </w:pPr>
      <w:r w:rsidRPr="00126806">
        <w:rPr>
          <w:sz w:val="20"/>
          <w:szCs w:val="20"/>
          <w:lang w:val="en-GB"/>
        </w:rPr>
        <w:t xml:space="preserve">Models on benefit sharing range from national benefit sharing mechanisms to decentralized local benefit sharing mechanisms. </w:t>
      </w:r>
    </w:p>
    <w:p w:rsidR="007B4B50" w:rsidRPr="00126806" w:rsidRDefault="007B4B50" w:rsidP="00126806">
      <w:pPr>
        <w:pStyle w:val="Listenabsatz"/>
        <w:numPr>
          <w:ilvl w:val="0"/>
          <w:numId w:val="7"/>
        </w:numPr>
        <w:spacing w:after="0" w:line="240" w:lineRule="auto"/>
        <w:jc w:val="both"/>
        <w:rPr>
          <w:sz w:val="20"/>
          <w:szCs w:val="20"/>
          <w:lang w:val="en-GB"/>
        </w:rPr>
      </w:pPr>
      <w:r w:rsidRPr="00126806">
        <w:rPr>
          <w:i/>
          <w:sz w:val="20"/>
          <w:szCs w:val="20"/>
          <w:lang w:val="en-GB"/>
        </w:rPr>
        <w:t>National benefit sharing</w:t>
      </w:r>
      <w:r w:rsidRPr="00126806">
        <w:rPr>
          <w:sz w:val="20"/>
          <w:szCs w:val="20"/>
          <w:lang w:val="en-GB"/>
        </w:rPr>
        <w:t xml:space="preserve">: </w:t>
      </w:r>
      <w:r w:rsidR="000A07D9" w:rsidRPr="00126806">
        <w:rPr>
          <w:sz w:val="20"/>
          <w:szCs w:val="20"/>
          <w:lang w:val="en-GB"/>
        </w:rPr>
        <w:t>With national benefit sharing mecha</w:t>
      </w:r>
      <w:r w:rsidRPr="00126806">
        <w:rPr>
          <w:sz w:val="20"/>
          <w:szCs w:val="20"/>
          <w:lang w:val="en-GB"/>
        </w:rPr>
        <w:t>nisms reforms could be financed</w:t>
      </w:r>
    </w:p>
    <w:p w:rsidR="007B4B50" w:rsidRPr="00126806" w:rsidRDefault="007B4B50" w:rsidP="00126806">
      <w:pPr>
        <w:pStyle w:val="Listenabsatz"/>
        <w:numPr>
          <w:ilvl w:val="0"/>
          <w:numId w:val="4"/>
        </w:numPr>
        <w:spacing w:after="0" w:line="240" w:lineRule="auto"/>
        <w:jc w:val="both"/>
        <w:rPr>
          <w:sz w:val="20"/>
          <w:szCs w:val="20"/>
          <w:lang w:val="en-GB"/>
        </w:rPr>
      </w:pPr>
      <w:r w:rsidRPr="00126806">
        <w:rPr>
          <w:i/>
          <w:sz w:val="20"/>
          <w:szCs w:val="20"/>
          <w:lang w:val="en-GB"/>
        </w:rPr>
        <w:t>National redistribution fund</w:t>
      </w:r>
      <w:r w:rsidR="007D641A">
        <w:rPr>
          <w:sz w:val="20"/>
          <w:szCs w:val="20"/>
          <w:lang w:val="en-GB"/>
        </w:rPr>
        <w:t>: S</w:t>
      </w:r>
      <w:r w:rsidRPr="00126806">
        <w:rPr>
          <w:sz w:val="20"/>
          <w:szCs w:val="20"/>
          <w:lang w:val="en-GB"/>
        </w:rPr>
        <w:t xml:space="preserve">trongly associated </w:t>
      </w:r>
      <w:r w:rsidR="00224B13" w:rsidRPr="00126806">
        <w:rPr>
          <w:sz w:val="20"/>
          <w:szCs w:val="20"/>
          <w:lang w:val="en-GB"/>
        </w:rPr>
        <w:t xml:space="preserve">with </w:t>
      </w:r>
      <w:r w:rsidRPr="00126806">
        <w:rPr>
          <w:sz w:val="20"/>
          <w:szCs w:val="20"/>
          <w:lang w:val="en-GB"/>
        </w:rPr>
        <w:t>the idea of natural resource redistribution funds. Yet, while many sovereign wealth funds (such a</w:t>
      </w:r>
      <w:r w:rsidR="007D641A">
        <w:rPr>
          <w:sz w:val="20"/>
          <w:szCs w:val="20"/>
          <w:lang w:val="en-GB"/>
        </w:rPr>
        <w:t>s Norway) attempt to invest in</w:t>
      </w:r>
      <w:r w:rsidR="00FD7D4B">
        <w:rPr>
          <w:sz w:val="20"/>
          <w:szCs w:val="20"/>
          <w:lang w:val="en-GB"/>
        </w:rPr>
        <w:t xml:space="preserve"> the long-</w:t>
      </w:r>
      <w:r w:rsidRPr="00126806">
        <w:rPr>
          <w:sz w:val="20"/>
          <w:szCs w:val="20"/>
          <w:lang w:val="en-GB"/>
        </w:rPr>
        <w:t>term needs of the country, in the REDD+ context national redistribution funds are often associated</w:t>
      </w:r>
      <w:r w:rsidR="00FD7D4B">
        <w:rPr>
          <w:sz w:val="20"/>
          <w:szCs w:val="20"/>
          <w:lang w:val="en-GB"/>
        </w:rPr>
        <w:t xml:space="preserve"> with a</w:t>
      </w:r>
      <w:r w:rsidR="00224B13" w:rsidRPr="00126806">
        <w:rPr>
          <w:sz w:val="20"/>
          <w:szCs w:val="20"/>
          <w:lang w:val="en-GB"/>
        </w:rPr>
        <w:t xml:space="preserve"> potential link</w:t>
      </w:r>
      <w:r w:rsidRPr="00126806">
        <w:rPr>
          <w:sz w:val="20"/>
          <w:szCs w:val="20"/>
          <w:lang w:val="en-GB"/>
        </w:rPr>
        <w:t xml:space="preserve"> to direct cash-transfer. </w:t>
      </w:r>
    </w:p>
    <w:p w:rsidR="007B4B50" w:rsidRPr="00126806" w:rsidRDefault="007B4B50" w:rsidP="00126806">
      <w:pPr>
        <w:pStyle w:val="Listenabsatz"/>
        <w:numPr>
          <w:ilvl w:val="0"/>
          <w:numId w:val="4"/>
        </w:numPr>
        <w:spacing w:after="0" w:line="240" w:lineRule="auto"/>
        <w:jc w:val="both"/>
        <w:rPr>
          <w:sz w:val="20"/>
          <w:szCs w:val="20"/>
          <w:lang w:val="en-GB"/>
        </w:rPr>
      </w:pPr>
      <w:r w:rsidRPr="00126806">
        <w:rPr>
          <w:i/>
          <w:sz w:val="20"/>
          <w:szCs w:val="20"/>
          <w:lang w:val="en-GB"/>
        </w:rPr>
        <w:t>L</w:t>
      </w:r>
      <w:r w:rsidR="000A07D9" w:rsidRPr="00126806">
        <w:rPr>
          <w:i/>
          <w:sz w:val="20"/>
          <w:szCs w:val="20"/>
          <w:lang w:val="en-GB"/>
        </w:rPr>
        <w:t>ocal level benefit sharing</w:t>
      </w:r>
      <w:r w:rsidR="00D56775" w:rsidRPr="00126806">
        <w:rPr>
          <w:i/>
          <w:sz w:val="20"/>
          <w:szCs w:val="20"/>
          <w:lang w:val="en-GB"/>
        </w:rPr>
        <w:t xml:space="preserve"> through state authority</w:t>
      </w:r>
      <w:r w:rsidRPr="00126806">
        <w:rPr>
          <w:sz w:val="20"/>
          <w:szCs w:val="20"/>
          <w:lang w:val="en-GB"/>
        </w:rPr>
        <w:t xml:space="preserve">: With local level benefit sharing </w:t>
      </w:r>
      <w:r w:rsidR="00D56775" w:rsidRPr="00126806">
        <w:rPr>
          <w:sz w:val="20"/>
          <w:szCs w:val="20"/>
          <w:lang w:val="en-GB"/>
        </w:rPr>
        <w:t xml:space="preserve">mechanisms the needs of the population surrounding the project can be addressed effectively (e.g. schools, clinics…). </w:t>
      </w:r>
    </w:p>
    <w:p w:rsidR="00D56775" w:rsidRPr="00126806" w:rsidRDefault="00D56775" w:rsidP="00126806">
      <w:pPr>
        <w:pStyle w:val="Listenabsatz"/>
        <w:numPr>
          <w:ilvl w:val="0"/>
          <w:numId w:val="4"/>
        </w:numPr>
        <w:spacing w:after="0" w:line="240" w:lineRule="auto"/>
        <w:jc w:val="both"/>
        <w:rPr>
          <w:sz w:val="20"/>
          <w:szCs w:val="20"/>
          <w:lang w:val="en-GB"/>
        </w:rPr>
      </w:pPr>
      <w:r w:rsidRPr="00126806">
        <w:rPr>
          <w:i/>
          <w:sz w:val="20"/>
          <w:szCs w:val="20"/>
          <w:lang w:val="en-GB"/>
        </w:rPr>
        <w:t>Project level benefit sharing:</w:t>
      </w:r>
      <w:r w:rsidRPr="00126806">
        <w:rPr>
          <w:sz w:val="20"/>
          <w:szCs w:val="20"/>
          <w:lang w:val="en-GB"/>
        </w:rPr>
        <w:t xml:space="preserve"> Some propose direct project level benefit sharing, realised by the project operators, </w:t>
      </w:r>
      <w:r w:rsidR="00224B13" w:rsidRPr="00126806">
        <w:rPr>
          <w:sz w:val="20"/>
          <w:szCs w:val="20"/>
          <w:lang w:val="en-GB"/>
        </w:rPr>
        <w:t xml:space="preserve">with </w:t>
      </w:r>
      <w:r w:rsidRPr="00126806">
        <w:rPr>
          <w:sz w:val="20"/>
          <w:szCs w:val="20"/>
          <w:lang w:val="en-GB"/>
        </w:rPr>
        <w:t>taxes</w:t>
      </w:r>
      <w:r w:rsidR="00224B13" w:rsidRPr="00126806">
        <w:rPr>
          <w:sz w:val="20"/>
          <w:szCs w:val="20"/>
          <w:lang w:val="en-GB"/>
        </w:rPr>
        <w:t xml:space="preserve"> on carbon credits being directed to</w:t>
      </w:r>
      <w:r w:rsidRPr="00126806">
        <w:rPr>
          <w:sz w:val="20"/>
          <w:szCs w:val="20"/>
          <w:lang w:val="en-GB"/>
        </w:rPr>
        <w:t xml:space="preserve"> the state</w:t>
      </w:r>
      <w:r w:rsidR="00224B13" w:rsidRPr="00126806">
        <w:rPr>
          <w:sz w:val="20"/>
          <w:szCs w:val="20"/>
          <w:lang w:val="en-GB"/>
        </w:rPr>
        <w:t xml:space="preserve"> to a</w:t>
      </w:r>
      <w:r w:rsidR="00AC4B09" w:rsidRPr="00126806">
        <w:rPr>
          <w:sz w:val="20"/>
          <w:szCs w:val="20"/>
          <w:lang w:val="en-GB"/>
        </w:rPr>
        <w:t>s</w:t>
      </w:r>
      <w:r w:rsidR="00224B13" w:rsidRPr="00126806">
        <w:rPr>
          <w:sz w:val="20"/>
          <w:szCs w:val="20"/>
          <w:lang w:val="en-GB"/>
        </w:rPr>
        <w:t>sure</w:t>
      </w:r>
      <w:r w:rsidR="00FD7D4B">
        <w:rPr>
          <w:sz w:val="20"/>
          <w:szCs w:val="20"/>
          <w:lang w:val="en-GB"/>
        </w:rPr>
        <w:t xml:space="preserve"> its share of the revenue.</w:t>
      </w:r>
    </w:p>
    <w:p w:rsidR="00B107FF" w:rsidRPr="00126806" w:rsidRDefault="00D56775" w:rsidP="00126806">
      <w:pPr>
        <w:spacing w:after="0" w:line="240" w:lineRule="auto"/>
        <w:jc w:val="both"/>
        <w:rPr>
          <w:sz w:val="20"/>
          <w:szCs w:val="20"/>
          <w:lang w:val="en-GB"/>
        </w:rPr>
      </w:pPr>
      <w:r w:rsidRPr="00126806">
        <w:rPr>
          <w:sz w:val="20"/>
          <w:szCs w:val="20"/>
          <w:lang w:val="en-GB"/>
        </w:rPr>
        <w:t>The below figure illustrates the different p</w:t>
      </w:r>
      <w:r w:rsidR="002C76C1">
        <w:rPr>
          <w:sz w:val="20"/>
          <w:szCs w:val="20"/>
          <w:lang w:val="en-GB"/>
        </w:rPr>
        <w:t>ropositions</w:t>
      </w:r>
      <w:r w:rsidRPr="00126806">
        <w:rPr>
          <w:sz w:val="20"/>
          <w:szCs w:val="20"/>
          <w:lang w:val="en-GB"/>
        </w:rPr>
        <w:t xml:space="preserve"> of Africa</w:t>
      </w:r>
      <w:r w:rsidR="00FD7D4B">
        <w:rPr>
          <w:sz w:val="20"/>
          <w:szCs w:val="20"/>
          <w:lang w:val="en-GB"/>
        </w:rPr>
        <w:t>n countries regarding</w:t>
      </w:r>
      <w:r w:rsidR="00D610F1">
        <w:rPr>
          <w:sz w:val="20"/>
          <w:szCs w:val="20"/>
          <w:lang w:val="en-GB"/>
        </w:rPr>
        <w:t xml:space="preserve"> benefit sharing. M</w:t>
      </w:r>
      <w:r w:rsidR="002C76C1">
        <w:rPr>
          <w:sz w:val="20"/>
          <w:szCs w:val="20"/>
          <w:lang w:val="en-GB"/>
        </w:rPr>
        <w:t xml:space="preserve">ost countries have not yet definitely decided on one of the approaches. </w:t>
      </w:r>
    </w:p>
    <w:p w:rsidR="00D56775" w:rsidRPr="00D56775" w:rsidRDefault="00D56775" w:rsidP="00126806">
      <w:pPr>
        <w:spacing w:after="0" w:line="240" w:lineRule="auto"/>
        <w:jc w:val="both"/>
        <w:rPr>
          <w:lang w:val="en-GB"/>
        </w:rPr>
      </w:pPr>
    </w:p>
    <w:tbl>
      <w:tblPr>
        <w:tblW w:w="8788" w:type="dxa"/>
        <w:tblInd w:w="496" w:type="dxa"/>
        <w:tblCellMar>
          <w:left w:w="70" w:type="dxa"/>
          <w:right w:w="70" w:type="dxa"/>
        </w:tblCellMar>
        <w:tblLook w:val="04A0"/>
      </w:tblPr>
      <w:tblGrid>
        <w:gridCol w:w="1397"/>
        <w:gridCol w:w="1579"/>
        <w:gridCol w:w="1985"/>
        <w:gridCol w:w="1984"/>
        <w:gridCol w:w="1843"/>
      </w:tblGrid>
      <w:tr w:rsidR="00B107FF" w:rsidRPr="00286375" w:rsidTr="00286375">
        <w:trPr>
          <w:trHeight w:val="725"/>
        </w:trPr>
        <w:tc>
          <w:tcPr>
            <w:tcW w:w="1397" w:type="dxa"/>
            <w:tcBorders>
              <w:top w:val="single" w:sz="4" w:space="0" w:color="auto"/>
              <w:left w:val="single" w:sz="4" w:space="0" w:color="auto"/>
              <w:bottom w:val="single" w:sz="4" w:space="0" w:color="auto"/>
              <w:right w:val="single" w:sz="4" w:space="0" w:color="auto"/>
            </w:tcBorders>
            <w:shd w:val="clear" w:color="000000" w:fill="D8D8D8"/>
            <w:hideMark/>
          </w:tcPr>
          <w:p w:rsidR="00B107FF" w:rsidRPr="00286375" w:rsidRDefault="00B107FF" w:rsidP="00126806">
            <w:pPr>
              <w:spacing w:after="0" w:line="240" w:lineRule="auto"/>
              <w:rPr>
                <w:rFonts w:ascii="Calibri" w:eastAsia="Times New Roman" w:hAnsi="Calibri" w:cs="Calibri"/>
                <w:b/>
                <w:bCs/>
                <w:sz w:val="18"/>
                <w:szCs w:val="18"/>
                <w:lang w:val="en-GB" w:eastAsia="de-DE"/>
              </w:rPr>
            </w:pPr>
            <w:r w:rsidRPr="00286375">
              <w:rPr>
                <w:rFonts w:ascii="Calibri" w:eastAsia="Times New Roman" w:hAnsi="Calibri" w:cs="Calibri"/>
                <w:b/>
                <w:bCs/>
                <w:sz w:val="18"/>
                <w:szCs w:val="18"/>
                <w:lang w:val="en-GB" w:eastAsia="de-DE"/>
              </w:rPr>
              <w:t>National benefit sharing mechanism</w:t>
            </w:r>
          </w:p>
        </w:tc>
        <w:tc>
          <w:tcPr>
            <w:tcW w:w="1579" w:type="dxa"/>
            <w:tcBorders>
              <w:top w:val="single" w:sz="4" w:space="0" w:color="auto"/>
              <w:left w:val="nil"/>
              <w:bottom w:val="single" w:sz="4" w:space="0" w:color="auto"/>
              <w:right w:val="single" w:sz="4" w:space="0" w:color="auto"/>
            </w:tcBorders>
            <w:shd w:val="clear" w:color="000000" w:fill="D8D8D8"/>
            <w:hideMark/>
          </w:tcPr>
          <w:p w:rsidR="00B107FF" w:rsidRPr="00286375" w:rsidRDefault="00B107FF" w:rsidP="00126806">
            <w:pPr>
              <w:spacing w:after="0" w:line="240" w:lineRule="auto"/>
              <w:rPr>
                <w:rFonts w:ascii="Calibri" w:eastAsia="Times New Roman" w:hAnsi="Calibri" w:cs="Calibri"/>
                <w:b/>
                <w:bCs/>
                <w:sz w:val="18"/>
                <w:szCs w:val="18"/>
                <w:lang w:val="en-GB" w:eastAsia="de-DE"/>
              </w:rPr>
            </w:pPr>
            <w:r w:rsidRPr="00286375">
              <w:rPr>
                <w:rFonts w:ascii="Calibri" w:eastAsia="Times New Roman" w:hAnsi="Calibri" w:cs="Calibri"/>
                <w:b/>
                <w:bCs/>
                <w:sz w:val="18"/>
                <w:szCs w:val="18"/>
                <w:lang w:val="en-GB" w:eastAsia="de-DE"/>
              </w:rPr>
              <w:t>National redistribution fund</w:t>
            </w:r>
          </w:p>
        </w:tc>
        <w:tc>
          <w:tcPr>
            <w:tcW w:w="1985" w:type="dxa"/>
            <w:tcBorders>
              <w:top w:val="single" w:sz="4" w:space="0" w:color="auto"/>
              <w:left w:val="nil"/>
              <w:bottom w:val="single" w:sz="4" w:space="0" w:color="auto"/>
              <w:right w:val="single" w:sz="4" w:space="0" w:color="auto"/>
            </w:tcBorders>
            <w:shd w:val="clear" w:color="000000" w:fill="D8D8D8"/>
            <w:hideMark/>
          </w:tcPr>
          <w:p w:rsidR="00B107FF" w:rsidRPr="00286375" w:rsidRDefault="00B107FF" w:rsidP="00126806">
            <w:pPr>
              <w:spacing w:after="0" w:line="240" w:lineRule="auto"/>
              <w:rPr>
                <w:rFonts w:ascii="Calibri" w:eastAsia="Times New Roman" w:hAnsi="Calibri" w:cs="Calibri"/>
                <w:b/>
                <w:bCs/>
                <w:sz w:val="18"/>
                <w:szCs w:val="18"/>
                <w:lang w:val="en-GB" w:eastAsia="de-DE"/>
              </w:rPr>
            </w:pPr>
            <w:r w:rsidRPr="00286375">
              <w:rPr>
                <w:rFonts w:ascii="Calibri" w:eastAsia="Times New Roman" w:hAnsi="Calibri" w:cs="Calibri"/>
                <w:b/>
                <w:bCs/>
                <w:sz w:val="18"/>
                <w:szCs w:val="18"/>
                <w:lang w:val="en-GB" w:eastAsia="de-DE"/>
              </w:rPr>
              <w:t xml:space="preserve">Local BS managed by a decentralized state authority </w:t>
            </w:r>
          </w:p>
        </w:tc>
        <w:tc>
          <w:tcPr>
            <w:tcW w:w="1984" w:type="dxa"/>
            <w:tcBorders>
              <w:top w:val="single" w:sz="4" w:space="0" w:color="auto"/>
              <w:left w:val="nil"/>
              <w:bottom w:val="single" w:sz="4" w:space="0" w:color="auto"/>
              <w:right w:val="single" w:sz="4" w:space="0" w:color="auto"/>
            </w:tcBorders>
            <w:shd w:val="clear" w:color="000000" w:fill="D8D8D8"/>
            <w:hideMark/>
          </w:tcPr>
          <w:p w:rsidR="00B107FF" w:rsidRPr="00286375" w:rsidRDefault="00B107FF" w:rsidP="00126806">
            <w:pPr>
              <w:spacing w:after="0" w:line="240" w:lineRule="auto"/>
              <w:rPr>
                <w:rFonts w:ascii="Calibri" w:eastAsia="Times New Roman" w:hAnsi="Calibri" w:cs="Calibri"/>
                <w:b/>
                <w:bCs/>
                <w:sz w:val="18"/>
                <w:szCs w:val="18"/>
                <w:lang w:val="en-GB" w:eastAsia="de-DE"/>
              </w:rPr>
            </w:pPr>
            <w:r w:rsidRPr="00286375">
              <w:rPr>
                <w:rFonts w:ascii="Calibri" w:eastAsia="Times New Roman" w:hAnsi="Calibri" w:cs="Calibri"/>
                <w:b/>
                <w:bCs/>
                <w:sz w:val="18"/>
                <w:szCs w:val="18"/>
                <w:lang w:val="en-GB" w:eastAsia="de-DE"/>
              </w:rPr>
              <w:t>Local or project level benefit sharing with a share to the state</w:t>
            </w:r>
          </w:p>
        </w:tc>
        <w:tc>
          <w:tcPr>
            <w:tcW w:w="1843" w:type="dxa"/>
            <w:tcBorders>
              <w:top w:val="single" w:sz="4" w:space="0" w:color="auto"/>
              <w:left w:val="nil"/>
              <w:bottom w:val="single" w:sz="4" w:space="0" w:color="auto"/>
              <w:right w:val="single" w:sz="4" w:space="0" w:color="auto"/>
            </w:tcBorders>
            <w:shd w:val="clear" w:color="000000" w:fill="D8D8D8"/>
            <w:hideMark/>
          </w:tcPr>
          <w:p w:rsidR="00B107FF" w:rsidRPr="00286375" w:rsidRDefault="00B107FF" w:rsidP="00126806">
            <w:pPr>
              <w:spacing w:after="0" w:line="240" w:lineRule="auto"/>
              <w:rPr>
                <w:rFonts w:ascii="Calibri" w:eastAsia="Times New Roman" w:hAnsi="Calibri" w:cs="Calibri"/>
                <w:b/>
                <w:bCs/>
                <w:sz w:val="18"/>
                <w:szCs w:val="18"/>
                <w:lang w:val="en-GB" w:eastAsia="de-DE"/>
              </w:rPr>
            </w:pPr>
            <w:r w:rsidRPr="00286375">
              <w:rPr>
                <w:rFonts w:ascii="Calibri" w:eastAsia="Times New Roman" w:hAnsi="Calibri" w:cs="Calibri"/>
                <w:b/>
                <w:bCs/>
                <w:sz w:val="18"/>
                <w:szCs w:val="18"/>
                <w:lang w:val="en-GB" w:eastAsia="de-DE"/>
              </w:rPr>
              <w:t xml:space="preserve">Not yet clarified </w:t>
            </w:r>
          </w:p>
        </w:tc>
      </w:tr>
      <w:tr w:rsidR="00B107FF" w:rsidRPr="00480BB4" w:rsidTr="001A737C">
        <w:trPr>
          <w:trHeight w:val="1049"/>
        </w:trPr>
        <w:tc>
          <w:tcPr>
            <w:tcW w:w="1397" w:type="dxa"/>
            <w:tcBorders>
              <w:top w:val="nil"/>
              <w:left w:val="single" w:sz="4" w:space="0" w:color="auto"/>
              <w:bottom w:val="single" w:sz="4" w:space="0" w:color="auto"/>
              <w:right w:val="single" w:sz="4" w:space="0" w:color="auto"/>
            </w:tcBorders>
            <w:shd w:val="clear" w:color="000000" w:fill="EAF1DD"/>
            <w:hideMark/>
          </w:tcPr>
          <w:p w:rsidR="00B107FF" w:rsidRPr="00286375" w:rsidRDefault="00B107FF" w:rsidP="00126806">
            <w:pPr>
              <w:spacing w:after="0" w:line="240" w:lineRule="auto"/>
              <w:rPr>
                <w:rFonts w:ascii="Calibri" w:eastAsia="Times New Roman" w:hAnsi="Calibri" w:cs="Calibri"/>
                <w:sz w:val="18"/>
                <w:szCs w:val="18"/>
                <w:lang w:val="en-GB" w:eastAsia="de-DE"/>
              </w:rPr>
            </w:pPr>
            <w:r w:rsidRPr="00286375">
              <w:rPr>
                <w:rFonts w:ascii="Calibri" w:eastAsia="Times New Roman" w:hAnsi="Calibri" w:cs="Calibri"/>
                <w:sz w:val="18"/>
                <w:szCs w:val="18"/>
                <w:lang w:val="en-GB" w:eastAsia="de-DE"/>
              </w:rPr>
              <w:t>Burkina Faso</w:t>
            </w:r>
            <w:r w:rsidRPr="00286375">
              <w:rPr>
                <w:rFonts w:ascii="Calibri" w:eastAsia="Times New Roman" w:hAnsi="Calibri" w:cs="Calibri"/>
                <w:sz w:val="18"/>
                <w:szCs w:val="18"/>
                <w:lang w:val="en-GB" w:eastAsia="de-DE"/>
              </w:rPr>
              <w:br/>
              <w:t>CAR</w:t>
            </w:r>
            <w:r w:rsidR="000A07D9">
              <w:rPr>
                <w:rFonts w:ascii="Calibri" w:eastAsia="Times New Roman" w:hAnsi="Calibri" w:cs="Calibri"/>
                <w:sz w:val="18"/>
                <w:szCs w:val="18"/>
                <w:lang w:val="en-GB" w:eastAsia="de-DE"/>
              </w:rPr>
              <w:t xml:space="preserve"> (1)</w:t>
            </w:r>
            <w:r w:rsidRPr="00286375">
              <w:rPr>
                <w:rFonts w:ascii="Calibri" w:eastAsia="Times New Roman" w:hAnsi="Calibri" w:cs="Calibri"/>
                <w:sz w:val="18"/>
                <w:szCs w:val="18"/>
                <w:lang w:val="en-GB" w:eastAsia="de-DE"/>
              </w:rPr>
              <w:br/>
              <w:t>Ghana</w:t>
            </w:r>
          </w:p>
        </w:tc>
        <w:tc>
          <w:tcPr>
            <w:tcW w:w="1579" w:type="dxa"/>
            <w:tcBorders>
              <w:top w:val="nil"/>
              <w:left w:val="nil"/>
              <w:bottom w:val="single" w:sz="4" w:space="0" w:color="auto"/>
              <w:right w:val="single" w:sz="4" w:space="0" w:color="auto"/>
            </w:tcBorders>
            <w:shd w:val="clear" w:color="000000" w:fill="D7E4BC"/>
            <w:hideMark/>
          </w:tcPr>
          <w:p w:rsidR="00B107FF" w:rsidRPr="00286375" w:rsidRDefault="00B107FF" w:rsidP="00126806">
            <w:pPr>
              <w:spacing w:after="0" w:line="240" w:lineRule="auto"/>
              <w:rPr>
                <w:rFonts w:ascii="Calibri" w:eastAsia="Times New Roman" w:hAnsi="Calibri" w:cs="Calibri"/>
                <w:sz w:val="18"/>
                <w:szCs w:val="18"/>
                <w:lang w:val="en-GB" w:eastAsia="de-DE"/>
              </w:rPr>
            </w:pPr>
            <w:r w:rsidRPr="00286375">
              <w:rPr>
                <w:rFonts w:ascii="Calibri" w:eastAsia="Times New Roman" w:hAnsi="Calibri" w:cs="Calibri"/>
                <w:sz w:val="18"/>
                <w:szCs w:val="18"/>
                <w:lang w:val="en-GB" w:eastAsia="de-DE"/>
              </w:rPr>
              <w:t>DRC</w:t>
            </w:r>
            <w:r w:rsidRPr="00286375">
              <w:rPr>
                <w:rFonts w:ascii="Calibri" w:eastAsia="Times New Roman" w:hAnsi="Calibri" w:cs="Calibri"/>
                <w:sz w:val="18"/>
                <w:szCs w:val="18"/>
                <w:lang w:val="en-GB" w:eastAsia="de-DE"/>
              </w:rPr>
              <w:br/>
              <w:t>Madagascar</w:t>
            </w:r>
          </w:p>
        </w:tc>
        <w:tc>
          <w:tcPr>
            <w:tcW w:w="1985" w:type="dxa"/>
            <w:tcBorders>
              <w:top w:val="nil"/>
              <w:left w:val="nil"/>
              <w:bottom w:val="single" w:sz="4" w:space="0" w:color="auto"/>
              <w:right w:val="single" w:sz="4" w:space="0" w:color="auto"/>
            </w:tcBorders>
            <w:shd w:val="clear" w:color="000000" w:fill="C2D69A"/>
            <w:hideMark/>
          </w:tcPr>
          <w:p w:rsidR="00B107FF" w:rsidRPr="00286375" w:rsidRDefault="00B107FF" w:rsidP="00126806">
            <w:pPr>
              <w:spacing w:after="0" w:line="240" w:lineRule="auto"/>
              <w:rPr>
                <w:rFonts w:ascii="Calibri" w:eastAsia="Times New Roman" w:hAnsi="Calibri" w:cs="Calibri"/>
                <w:sz w:val="18"/>
                <w:szCs w:val="18"/>
                <w:lang w:val="en-GB" w:eastAsia="de-DE"/>
              </w:rPr>
            </w:pPr>
            <w:r w:rsidRPr="00286375">
              <w:rPr>
                <w:rFonts w:ascii="Calibri" w:eastAsia="Times New Roman" w:hAnsi="Calibri" w:cs="Calibri"/>
                <w:sz w:val="18"/>
                <w:szCs w:val="18"/>
                <w:lang w:val="en-GB" w:eastAsia="de-DE"/>
              </w:rPr>
              <w:t>Republic of the Congo</w:t>
            </w:r>
          </w:p>
        </w:tc>
        <w:tc>
          <w:tcPr>
            <w:tcW w:w="1984" w:type="dxa"/>
            <w:tcBorders>
              <w:top w:val="nil"/>
              <w:left w:val="nil"/>
              <w:bottom w:val="single" w:sz="4" w:space="0" w:color="auto"/>
              <w:right w:val="single" w:sz="4" w:space="0" w:color="auto"/>
            </w:tcBorders>
            <w:shd w:val="clear" w:color="000000" w:fill="75923C"/>
            <w:hideMark/>
          </w:tcPr>
          <w:p w:rsidR="00B107FF" w:rsidRPr="00126806" w:rsidRDefault="00B107FF" w:rsidP="00126806">
            <w:pPr>
              <w:spacing w:after="0" w:line="240" w:lineRule="auto"/>
              <w:rPr>
                <w:rFonts w:ascii="Calibri" w:eastAsia="Times New Roman" w:hAnsi="Calibri" w:cs="Calibri"/>
                <w:sz w:val="18"/>
                <w:szCs w:val="18"/>
                <w:lang w:eastAsia="de-DE"/>
              </w:rPr>
            </w:pPr>
            <w:r w:rsidRPr="00126806">
              <w:rPr>
                <w:rFonts w:ascii="Calibri" w:eastAsia="Times New Roman" w:hAnsi="Calibri" w:cs="Calibri"/>
                <w:sz w:val="18"/>
                <w:szCs w:val="18"/>
                <w:lang w:eastAsia="de-DE"/>
              </w:rPr>
              <w:t xml:space="preserve">Cameroon </w:t>
            </w:r>
            <w:r w:rsidRPr="00126806">
              <w:rPr>
                <w:rFonts w:ascii="Calibri" w:eastAsia="Times New Roman" w:hAnsi="Calibri" w:cs="Calibri"/>
                <w:sz w:val="18"/>
                <w:szCs w:val="18"/>
                <w:lang w:eastAsia="de-DE"/>
              </w:rPr>
              <w:br/>
              <w:t>CAR</w:t>
            </w:r>
            <w:r w:rsidR="001A737C" w:rsidRPr="00126806">
              <w:rPr>
                <w:rFonts w:ascii="Calibri" w:eastAsia="Times New Roman" w:hAnsi="Calibri" w:cs="Calibri"/>
                <w:sz w:val="18"/>
                <w:szCs w:val="18"/>
                <w:lang w:eastAsia="de-DE"/>
              </w:rPr>
              <w:t xml:space="preserve"> </w:t>
            </w:r>
            <w:r w:rsidR="000A07D9" w:rsidRPr="00126806">
              <w:rPr>
                <w:rFonts w:ascii="Calibri" w:eastAsia="Times New Roman" w:hAnsi="Calibri" w:cs="Calibri"/>
                <w:sz w:val="18"/>
                <w:szCs w:val="18"/>
                <w:lang w:eastAsia="de-DE"/>
              </w:rPr>
              <w:t>(2)</w:t>
            </w:r>
            <w:r w:rsidRPr="00126806">
              <w:rPr>
                <w:rFonts w:ascii="Calibri" w:eastAsia="Times New Roman" w:hAnsi="Calibri" w:cs="Calibri"/>
                <w:sz w:val="18"/>
                <w:szCs w:val="18"/>
                <w:lang w:eastAsia="de-DE"/>
              </w:rPr>
              <w:br/>
              <w:t xml:space="preserve">Liberia </w:t>
            </w:r>
          </w:p>
        </w:tc>
        <w:tc>
          <w:tcPr>
            <w:tcW w:w="1843" w:type="dxa"/>
            <w:tcBorders>
              <w:top w:val="nil"/>
              <w:left w:val="nil"/>
              <w:bottom w:val="single" w:sz="4" w:space="0" w:color="auto"/>
              <w:right w:val="single" w:sz="4" w:space="0" w:color="auto"/>
            </w:tcBorders>
            <w:shd w:val="clear" w:color="000000" w:fill="4F6228"/>
            <w:hideMark/>
          </w:tcPr>
          <w:p w:rsidR="001A737C" w:rsidRPr="00FE6B14" w:rsidRDefault="00E3293A" w:rsidP="00126806">
            <w:pPr>
              <w:spacing w:after="0" w:line="240" w:lineRule="auto"/>
              <w:jc w:val="both"/>
              <w:rPr>
                <w:rFonts w:ascii="Calibri" w:eastAsia="Times New Roman" w:hAnsi="Calibri" w:cs="Calibri"/>
                <w:color w:val="FFFFFF" w:themeColor="background1"/>
                <w:sz w:val="18"/>
                <w:szCs w:val="18"/>
                <w:lang w:val="es-ES" w:eastAsia="de-DE"/>
              </w:rPr>
            </w:pPr>
            <w:proofErr w:type="spellStart"/>
            <w:r>
              <w:rPr>
                <w:rFonts w:ascii="Calibri" w:eastAsia="Times New Roman" w:hAnsi="Calibri" w:cs="Calibri"/>
                <w:color w:val="FFFFFF" w:themeColor="background1"/>
                <w:sz w:val="18"/>
                <w:szCs w:val="18"/>
                <w:lang w:val="es-ES" w:eastAsia="de-DE"/>
              </w:rPr>
              <w:t>Ethiopia</w:t>
            </w:r>
            <w:proofErr w:type="spellEnd"/>
            <w:r w:rsidR="002F1FA3" w:rsidRPr="00FE6B14">
              <w:rPr>
                <w:rFonts w:ascii="Calibri" w:eastAsia="Times New Roman" w:hAnsi="Calibri" w:cs="Calibri"/>
                <w:color w:val="FFFFFF" w:themeColor="background1"/>
                <w:sz w:val="18"/>
                <w:szCs w:val="18"/>
                <w:lang w:val="es-ES" w:eastAsia="de-DE"/>
              </w:rPr>
              <w:t xml:space="preserve"> </w:t>
            </w:r>
          </w:p>
          <w:p w:rsidR="00B107FF" w:rsidRPr="00FE6B14" w:rsidRDefault="002F1FA3" w:rsidP="00126806">
            <w:pPr>
              <w:spacing w:after="0" w:line="240" w:lineRule="auto"/>
              <w:jc w:val="both"/>
              <w:rPr>
                <w:rFonts w:ascii="Calibri" w:eastAsia="Times New Roman" w:hAnsi="Calibri" w:cs="Calibri"/>
                <w:color w:val="FFFFFF" w:themeColor="background1"/>
                <w:sz w:val="18"/>
                <w:szCs w:val="18"/>
                <w:lang w:val="es-ES" w:eastAsia="de-DE"/>
              </w:rPr>
            </w:pPr>
            <w:proofErr w:type="spellStart"/>
            <w:r w:rsidRPr="00FE6B14">
              <w:rPr>
                <w:rFonts w:ascii="Calibri" w:eastAsia="Times New Roman" w:hAnsi="Calibri" w:cs="Calibri"/>
                <w:color w:val="FFFFFF" w:themeColor="background1"/>
                <w:sz w:val="18"/>
                <w:szCs w:val="18"/>
                <w:lang w:val="es-ES" w:eastAsia="de-DE"/>
              </w:rPr>
              <w:t>Kenya</w:t>
            </w:r>
            <w:proofErr w:type="spellEnd"/>
            <w:r w:rsidRPr="00FE6B14">
              <w:rPr>
                <w:rFonts w:ascii="Calibri" w:eastAsia="Times New Roman" w:hAnsi="Calibri" w:cs="Calibri"/>
                <w:color w:val="FFFFFF" w:themeColor="background1"/>
                <w:sz w:val="18"/>
                <w:szCs w:val="18"/>
                <w:lang w:val="es-ES" w:eastAsia="de-DE"/>
              </w:rPr>
              <w:br/>
              <w:t>Mozambique</w:t>
            </w:r>
            <w:r w:rsidRPr="00FE6B14">
              <w:rPr>
                <w:rFonts w:ascii="Calibri" w:eastAsia="Times New Roman" w:hAnsi="Calibri" w:cs="Calibri"/>
                <w:color w:val="FFFFFF" w:themeColor="background1"/>
                <w:sz w:val="18"/>
                <w:szCs w:val="18"/>
                <w:lang w:val="es-ES" w:eastAsia="de-DE"/>
              </w:rPr>
              <w:br/>
              <w:t>Tanzania</w:t>
            </w:r>
            <w:r w:rsidRPr="00FE6B14">
              <w:rPr>
                <w:rFonts w:ascii="Calibri" w:eastAsia="Times New Roman" w:hAnsi="Calibri" w:cs="Calibri"/>
                <w:color w:val="FFFFFF" w:themeColor="background1"/>
                <w:sz w:val="18"/>
                <w:szCs w:val="18"/>
                <w:lang w:val="es-ES" w:eastAsia="de-DE"/>
              </w:rPr>
              <w:br/>
              <w:t xml:space="preserve">Uganda </w:t>
            </w:r>
          </w:p>
        </w:tc>
      </w:tr>
    </w:tbl>
    <w:p w:rsidR="00EA26A6" w:rsidRPr="00003A2E" w:rsidRDefault="00CD528D" w:rsidP="00003A2E">
      <w:pPr>
        <w:spacing w:after="0" w:line="240" w:lineRule="auto"/>
        <w:jc w:val="center"/>
        <w:rPr>
          <w:i/>
          <w:sz w:val="18"/>
          <w:szCs w:val="18"/>
          <w:lang w:val="en-GB"/>
        </w:rPr>
      </w:pPr>
      <w:r>
        <w:rPr>
          <w:b/>
          <w:sz w:val="18"/>
          <w:szCs w:val="18"/>
          <w:lang w:val="en-GB"/>
        </w:rPr>
        <w:t>Figure 4</w:t>
      </w:r>
      <w:r w:rsidR="00D56775" w:rsidRPr="00126806">
        <w:rPr>
          <w:b/>
          <w:sz w:val="18"/>
          <w:szCs w:val="18"/>
          <w:lang w:val="en-GB"/>
        </w:rPr>
        <w:t>:</w:t>
      </w:r>
      <w:r w:rsidR="00D56775" w:rsidRPr="00126806">
        <w:rPr>
          <w:sz w:val="18"/>
          <w:szCs w:val="18"/>
          <w:lang w:val="en-GB"/>
        </w:rPr>
        <w:t xml:space="preserve"> </w:t>
      </w:r>
      <w:r w:rsidR="00D56775" w:rsidRPr="00126806">
        <w:rPr>
          <w:i/>
          <w:sz w:val="18"/>
          <w:szCs w:val="18"/>
          <w:lang w:val="en-GB"/>
        </w:rPr>
        <w:t>Mapping African countries approaches to benefit sharing</w:t>
      </w:r>
      <w:r w:rsidR="002C76C1">
        <w:rPr>
          <w:rStyle w:val="Funotenzeichen"/>
          <w:i/>
          <w:sz w:val="18"/>
          <w:szCs w:val="18"/>
          <w:lang w:val="en-GB"/>
        </w:rPr>
        <w:footnoteReference w:id="4"/>
      </w:r>
    </w:p>
    <w:p w:rsidR="001B524D" w:rsidRPr="00126806" w:rsidRDefault="00D610F1" w:rsidP="00126806">
      <w:pPr>
        <w:spacing w:after="0" w:line="240" w:lineRule="auto"/>
        <w:jc w:val="both"/>
        <w:rPr>
          <w:b/>
          <w:i/>
          <w:sz w:val="24"/>
          <w:szCs w:val="24"/>
          <w:lang w:val="en-GB"/>
        </w:rPr>
      </w:pPr>
      <w:r>
        <w:rPr>
          <w:b/>
          <w:i/>
          <w:sz w:val="24"/>
          <w:szCs w:val="24"/>
          <w:lang w:val="en-GB"/>
        </w:rPr>
        <w:lastRenderedPageBreak/>
        <w:t xml:space="preserve">Concluding </w:t>
      </w:r>
      <w:r w:rsidR="00126806" w:rsidRPr="00126806">
        <w:rPr>
          <w:b/>
          <w:i/>
          <w:sz w:val="24"/>
          <w:szCs w:val="24"/>
          <w:lang w:val="en-GB"/>
        </w:rPr>
        <w:t>Observations</w:t>
      </w:r>
      <w:r w:rsidR="00126806">
        <w:rPr>
          <w:b/>
          <w:i/>
          <w:sz w:val="24"/>
          <w:szCs w:val="24"/>
          <w:lang w:val="en-GB"/>
        </w:rPr>
        <w:t>:</w:t>
      </w:r>
      <w:r w:rsidR="00126806" w:rsidRPr="00126806">
        <w:rPr>
          <w:b/>
          <w:i/>
          <w:sz w:val="24"/>
          <w:szCs w:val="24"/>
          <w:lang w:val="en-GB"/>
        </w:rPr>
        <w:t xml:space="preserve"> </w:t>
      </w:r>
    </w:p>
    <w:p w:rsidR="00283308" w:rsidRPr="00AC4B09" w:rsidRDefault="00283308" w:rsidP="00126806">
      <w:pPr>
        <w:spacing w:after="0" w:line="240" w:lineRule="auto"/>
        <w:jc w:val="both"/>
        <w:rPr>
          <w:i/>
          <w:lang w:val="en-GB"/>
        </w:rPr>
      </w:pPr>
    </w:p>
    <w:p w:rsidR="00AC4B09" w:rsidRDefault="00AC4B09" w:rsidP="00126806">
      <w:pPr>
        <w:spacing w:after="0" w:line="240" w:lineRule="auto"/>
        <w:jc w:val="both"/>
        <w:rPr>
          <w:i/>
          <w:lang w:val="en-GB"/>
        </w:rPr>
      </w:pPr>
      <w:r w:rsidRPr="00AC4B09">
        <w:rPr>
          <w:i/>
          <w:lang w:val="en-GB"/>
        </w:rPr>
        <w:t xml:space="preserve">1. The different elements of the implementation framework for REDD+ are strongly interrelated </w:t>
      </w:r>
    </w:p>
    <w:p w:rsidR="00CD528D" w:rsidRDefault="00CD528D" w:rsidP="00126806">
      <w:pPr>
        <w:spacing w:after="0" w:line="240" w:lineRule="auto"/>
        <w:jc w:val="both"/>
        <w:rPr>
          <w:i/>
          <w:lang w:val="en-GB"/>
        </w:rPr>
      </w:pPr>
    </w:p>
    <w:p w:rsidR="00CD528D" w:rsidRPr="00CD528D" w:rsidRDefault="00CD528D" w:rsidP="00CD528D">
      <w:pPr>
        <w:pStyle w:val="Listenabsatz"/>
        <w:numPr>
          <w:ilvl w:val="0"/>
          <w:numId w:val="13"/>
        </w:numPr>
        <w:spacing w:after="0" w:line="240" w:lineRule="auto"/>
        <w:jc w:val="both"/>
        <w:rPr>
          <w:sz w:val="20"/>
          <w:szCs w:val="20"/>
          <w:lang w:val="en-GB"/>
        </w:rPr>
      </w:pPr>
      <w:r w:rsidRPr="00CD528D">
        <w:rPr>
          <w:sz w:val="20"/>
          <w:szCs w:val="20"/>
          <w:lang w:val="en-GB"/>
        </w:rPr>
        <w:t>The definition of carbon rights</w:t>
      </w:r>
      <w:r w:rsidRPr="00CD528D">
        <w:rPr>
          <w:b/>
          <w:sz w:val="20"/>
          <w:szCs w:val="20"/>
          <w:lang w:val="en-GB"/>
        </w:rPr>
        <w:t xml:space="preserve"> </w:t>
      </w:r>
      <w:r w:rsidR="00D610F1">
        <w:rPr>
          <w:sz w:val="20"/>
          <w:szCs w:val="20"/>
          <w:lang w:val="en-GB"/>
        </w:rPr>
        <w:t>shapes REDD+ fundamentally.</w:t>
      </w:r>
      <w:r w:rsidRPr="00CD528D">
        <w:rPr>
          <w:sz w:val="20"/>
          <w:szCs w:val="20"/>
          <w:lang w:val="en-GB"/>
        </w:rPr>
        <w:t xml:space="preserve"> It plays an important role in determining the scope of national REDD+ stakeholders, the forms of intervention, the disbursement of funding and the models for benefit sharing mechanisms. </w:t>
      </w:r>
    </w:p>
    <w:p w:rsidR="00CD528D" w:rsidRPr="00283308" w:rsidRDefault="00CD528D" w:rsidP="00126806">
      <w:pPr>
        <w:spacing w:after="0" w:line="240" w:lineRule="auto"/>
        <w:jc w:val="both"/>
        <w:rPr>
          <w:b/>
          <w:lang w:val="en-GB"/>
        </w:rPr>
      </w:pPr>
    </w:p>
    <w:p w:rsidR="004C46EF" w:rsidRPr="00AC4B09" w:rsidRDefault="00AC4B09" w:rsidP="00126806">
      <w:pPr>
        <w:spacing w:after="0" w:line="240" w:lineRule="auto"/>
        <w:jc w:val="both"/>
        <w:rPr>
          <w:i/>
          <w:lang w:val="en-GB"/>
        </w:rPr>
      </w:pPr>
      <w:r w:rsidRPr="00AC4B09">
        <w:rPr>
          <w:i/>
          <w:lang w:val="en-GB"/>
        </w:rPr>
        <w:t>2</w:t>
      </w:r>
      <w:r w:rsidR="004574CD" w:rsidRPr="00AC4B09">
        <w:rPr>
          <w:i/>
          <w:lang w:val="en-GB"/>
        </w:rPr>
        <w:t xml:space="preserve">. </w:t>
      </w:r>
      <w:r w:rsidR="001B524D" w:rsidRPr="00AC4B09">
        <w:rPr>
          <w:i/>
          <w:lang w:val="en-GB"/>
        </w:rPr>
        <w:t xml:space="preserve">For </w:t>
      </w:r>
      <w:r w:rsidRPr="00AC4B09">
        <w:rPr>
          <w:i/>
          <w:lang w:val="en-GB"/>
        </w:rPr>
        <w:t xml:space="preserve">many </w:t>
      </w:r>
      <w:r w:rsidR="001B524D" w:rsidRPr="00AC4B09">
        <w:rPr>
          <w:i/>
          <w:lang w:val="en-GB"/>
        </w:rPr>
        <w:t>countries a certain</w:t>
      </w:r>
      <w:r w:rsidR="00D610F1">
        <w:rPr>
          <w:i/>
          <w:lang w:val="en-GB"/>
        </w:rPr>
        <w:t xml:space="preserve"> degree of</w:t>
      </w:r>
      <w:r w:rsidR="001B524D" w:rsidRPr="00AC4B09">
        <w:rPr>
          <w:i/>
          <w:lang w:val="en-GB"/>
        </w:rPr>
        <w:t xml:space="preserve"> perplexity could be observed with regards to defining the different elements of the imp</w:t>
      </w:r>
      <w:r w:rsidR="00B957F1">
        <w:rPr>
          <w:i/>
          <w:lang w:val="en-GB"/>
        </w:rPr>
        <w:t>lementation framework in a precise manner</w:t>
      </w:r>
      <w:r w:rsidR="004C46EF" w:rsidRPr="00AC4B09">
        <w:rPr>
          <w:i/>
          <w:lang w:val="en-GB"/>
        </w:rPr>
        <w:t xml:space="preserve"> </w:t>
      </w:r>
      <w:r w:rsidR="00EA26A6">
        <w:rPr>
          <w:rStyle w:val="Funotenzeichen"/>
          <w:i/>
          <w:lang w:val="en-GB"/>
        </w:rPr>
        <w:footnoteReference w:id="5"/>
      </w:r>
    </w:p>
    <w:p w:rsidR="001B524D" w:rsidRPr="00AC4B09" w:rsidRDefault="001B524D" w:rsidP="00126806">
      <w:pPr>
        <w:spacing w:after="0" w:line="240" w:lineRule="auto"/>
        <w:ind w:left="1068"/>
        <w:jc w:val="both"/>
        <w:rPr>
          <w:i/>
          <w:lang w:val="en-GB"/>
        </w:rPr>
      </w:pPr>
    </w:p>
    <w:p w:rsidR="000A07D9" w:rsidRPr="00126806" w:rsidRDefault="000A07D9" w:rsidP="00126806">
      <w:pPr>
        <w:pStyle w:val="Listenabsatz"/>
        <w:numPr>
          <w:ilvl w:val="0"/>
          <w:numId w:val="5"/>
        </w:numPr>
        <w:spacing w:after="0" w:line="240" w:lineRule="auto"/>
        <w:jc w:val="both"/>
        <w:rPr>
          <w:sz w:val="20"/>
          <w:szCs w:val="20"/>
          <w:lang w:val="en-GB"/>
        </w:rPr>
      </w:pPr>
      <w:r w:rsidRPr="00126806">
        <w:rPr>
          <w:sz w:val="20"/>
          <w:szCs w:val="20"/>
          <w:lang w:val="en-GB"/>
        </w:rPr>
        <w:t xml:space="preserve">Countries </w:t>
      </w:r>
      <w:r w:rsidR="000068A4">
        <w:rPr>
          <w:sz w:val="20"/>
          <w:szCs w:val="20"/>
          <w:lang w:val="en-GB"/>
        </w:rPr>
        <w:t>seem to express a certain reluctance</w:t>
      </w:r>
      <w:r w:rsidRPr="00126806">
        <w:rPr>
          <w:sz w:val="20"/>
          <w:szCs w:val="20"/>
          <w:lang w:val="en-GB"/>
        </w:rPr>
        <w:t xml:space="preserve"> in the R-PPs to concretely define their implementation frameworks</w:t>
      </w:r>
      <w:r w:rsidR="004574CD" w:rsidRPr="00126806">
        <w:rPr>
          <w:sz w:val="20"/>
          <w:szCs w:val="20"/>
          <w:lang w:val="en-GB"/>
        </w:rPr>
        <w:t xml:space="preserve"> (</w:t>
      </w:r>
      <w:r w:rsidR="003507CE" w:rsidRPr="00126806">
        <w:rPr>
          <w:sz w:val="20"/>
          <w:szCs w:val="20"/>
          <w:lang w:val="en-GB"/>
        </w:rPr>
        <w:t xml:space="preserve">in their R-PP </w:t>
      </w:r>
      <w:r w:rsidR="000068A4">
        <w:rPr>
          <w:sz w:val="20"/>
          <w:szCs w:val="20"/>
          <w:lang w:val="en-GB"/>
        </w:rPr>
        <w:t>only three countries have</w:t>
      </w:r>
      <w:r w:rsidR="004574CD" w:rsidRPr="00126806">
        <w:rPr>
          <w:sz w:val="20"/>
          <w:szCs w:val="20"/>
          <w:lang w:val="en-GB"/>
        </w:rPr>
        <w:t xml:space="preserve"> relatively definite and coherent propositions for carbon ownership, financial mechanism and benefit sharing)</w:t>
      </w:r>
    </w:p>
    <w:p w:rsidR="000A07D9" w:rsidRPr="00126806" w:rsidRDefault="000A07D9" w:rsidP="00126806">
      <w:pPr>
        <w:pStyle w:val="Listenabsatz"/>
        <w:numPr>
          <w:ilvl w:val="0"/>
          <w:numId w:val="5"/>
        </w:numPr>
        <w:spacing w:after="0" w:line="240" w:lineRule="auto"/>
        <w:jc w:val="both"/>
        <w:rPr>
          <w:sz w:val="20"/>
          <w:szCs w:val="20"/>
          <w:lang w:val="en-GB"/>
        </w:rPr>
      </w:pPr>
      <w:r w:rsidRPr="00126806">
        <w:rPr>
          <w:sz w:val="20"/>
          <w:szCs w:val="20"/>
          <w:lang w:val="en-GB"/>
        </w:rPr>
        <w:t xml:space="preserve">The mutual dependence </w:t>
      </w:r>
      <w:r w:rsidR="003507CE" w:rsidRPr="00126806">
        <w:rPr>
          <w:sz w:val="20"/>
          <w:szCs w:val="20"/>
          <w:lang w:val="en-GB"/>
        </w:rPr>
        <w:t>between</w:t>
      </w:r>
      <w:r w:rsidRPr="00126806">
        <w:rPr>
          <w:sz w:val="20"/>
          <w:szCs w:val="20"/>
          <w:lang w:val="en-GB"/>
        </w:rPr>
        <w:t xml:space="preserve"> the definition of carbon rights, financial mechanism and benefit sharing is often not yet fully</w:t>
      </w:r>
      <w:r w:rsidR="000C4E16">
        <w:rPr>
          <w:sz w:val="20"/>
          <w:szCs w:val="20"/>
          <w:lang w:val="en-GB"/>
        </w:rPr>
        <w:t xml:space="preserve"> recognised and</w:t>
      </w:r>
      <w:r w:rsidRPr="00126806">
        <w:rPr>
          <w:sz w:val="20"/>
          <w:szCs w:val="20"/>
          <w:lang w:val="en-GB"/>
        </w:rPr>
        <w:t xml:space="preserve"> integrated into a coherent framework in the R-PPs</w:t>
      </w:r>
    </w:p>
    <w:p w:rsidR="00283308" w:rsidRPr="00126806" w:rsidRDefault="00283308" w:rsidP="00126806">
      <w:pPr>
        <w:pStyle w:val="Listenabsatz"/>
        <w:numPr>
          <w:ilvl w:val="0"/>
          <w:numId w:val="5"/>
        </w:numPr>
        <w:spacing w:after="0" w:line="240" w:lineRule="auto"/>
        <w:jc w:val="both"/>
        <w:rPr>
          <w:sz w:val="20"/>
          <w:szCs w:val="20"/>
          <w:lang w:val="en-GB"/>
        </w:rPr>
      </w:pPr>
      <w:r w:rsidRPr="00126806">
        <w:rPr>
          <w:sz w:val="20"/>
          <w:szCs w:val="20"/>
          <w:lang w:val="en-GB"/>
        </w:rPr>
        <w:t>Deciding on governance elements is ultimately (as in every other field) a choice between different policy models, with different implications</w:t>
      </w:r>
    </w:p>
    <w:p w:rsidR="00283308" w:rsidRPr="00126806" w:rsidRDefault="00283308" w:rsidP="00126806">
      <w:pPr>
        <w:pStyle w:val="Listenabsatz"/>
        <w:numPr>
          <w:ilvl w:val="0"/>
          <w:numId w:val="5"/>
        </w:numPr>
        <w:spacing w:after="0" w:line="240" w:lineRule="auto"/>
        <w:jc w:val="both"/>
        <w:rPr>
          <w:sz w:val="20"/>
          <w:szCs w:val="20"/>
          <w:lang w:val="en-GB"/>
        </w:rPr>
      </w:pPr>
      <w:r w:rsidRPr="00126806">
        <w:rPr>
          <w:sz w:val="20"/>
          <w:szCs w:val="20"/>
          <w:lang w:val="en-GB"/>
        </w:rPr>
        <w:t xml:space="preserve">The </w:t>
      </w:r>
      <w:r w:rsidR="00AC4B09" w:rsidRPr="00126806">
        <w:rPr>
          <w:sz w:val="20"/>
          <w:szCs w:val="20"/>
          <w:lang w:val="en-GB"/>
        </w:rPr>
        <w:t xml:space="preserve">national and international </w:t>
      </w:r>
      <w:r w:rsidRPr="00126806">
        <w:rPr>
          <w:sz w:val="20"/>
          <w:szCs w:val="20"/>
          <w:lang w:val="en-GB"/>
        </w:rPr>
        <w:t xml:space="preserve">dialogue around REDD+ must engage more clearly in this debate, assess options and decide </w:t>
      </w:r>
    </w:p>
    <w:p w:rsidR="004574CD" w:rsidRPr="00126806" w:rsidRDefault="004574CD" w:rsidP="00126806">
      <w:pPr>
        <w:spacing w:after="0" w:line="240" w:lineRule="auto"/>
        <w:jc w:val="both"/>
        <w:rPr>
          <w:sz w:val="20"/>
          <w:szCs w:val="20"/>
          <w:lang w:val="en-GB"/>
        </w:rPr>
      </w:pPr>
    </w:p>
    <w:p w:rsidR="00713A12" w:rsidRPr="004574CD" w:rsidRDefault="00AC4B09" w:rsidP="00126806">
      <w:pPr>
        <w:spacing w:after="0" w:line="240" w:lineRule="auto"/>
        <w:jc w:val="both"/>
        <w:rPr>
          <w:lang w:val="en-GB"/>
        </w:rPr>
      </w:pPr>
      <w:r w:rsidRPr="00AC4B09">
        <w:rPr>
          <w:i/>
          <w:lang w:val="en-GB"/>
        </w:rPr>
        <w:t>3</w:t>
      </w:r>
      <w:r w:rsidR="004574CD" w:rsidRPr="00AC4B09">
        <w:rPr>
          <w:i/>
          <w:lang w:val="en-GB"/>
        </w:rPr>
        <w:t xml:space="preserve">. </w:t>
      </w:r>
      <w:r w:rsidR="00713A12" w:rsidRPr="00AC4B09">
        <w:rPr>
          <w:i/>
          <w:lang w:val="en-GB"/>
        </w:rPr>
        <w:t xml:space="preserve">When countries put a strong emphasis on addressing indirect drivers of deforestation in their strategy they often don’t propose </w:t>
      </w:r>
      <w:r w:rsidR="001B0098">
        <w:rPr>
          <w:i/>
          <w:lang w:val="en-GB"/>
        </w:rPr>
        <w:t>an</w:t>
      </w:r>
      <w:r w:rsidR="003507CE" w:rsidRPr="00AC4B09">
        <w:rPr>
          <w:i/>
          <w:lang w:val="en-GB"/>
        </w:rPr>
        <w:t xml:space="preserve"> </w:t>
      </w:r>
      <w:r w:rsidR="00713A12" w:rsidRPr="00AC4B09">
        <w:rPr>
          <w:i/>
          <w:lang w:val="en-GB"/>
        </w:rPr>
        <w:t>implementation framework</w:t>
      </w:r>
      <w:r w:rsidRPr="00AC4B09">
        <w:rPr>
          <w:i/>
          <w:lang w:val="en-GB"/>
        </w:rPr>
        <w:t>,</w:t>
      </w:r>
      <w:r w:rsidR="00713A12" w:rsidRPr="00AC4B09">
        <w:rPr>
          <w:i/>
          <w:lang w:val="en-GB"/>
        </w:rPr>
        <w:t xml:space="preserve"> which would allow </w:t>
      </w:r>
      <w:r w:rsidR="004574CD" w:rsidRPr="00AC4B09">
        <w:rPr>
          <w:i/>
          <w:lang w:val="en-GB"/>
        </w:rPr>
        <w:t>addressing</w:t>
      </w:r>
      <w:r w:rsidR="00713A12" w:rsidRPr="00AC4B09">
        <w:rPr>
          <w:i/>
          <w:lang w:val="en-GB"/>
        </w:rPr>
        <w:t xml:space="preserve"> these indirect drivers in a targeted manner beyond the readiness phase</w:t>
      </w:r>
      <w:r>
        <w:rPr>
          <w:i/>
          <w:lang w:val="en-GB"/>
        </w:rPr>
        <w:t>.</w:t>
      </w:r>
      <w:r w:rsidR="00713A12" w:rsidRPr="004574CD">
        <w:rPr>
          <w:lang w:val="en-GB"/>
        </w:rPr>
        <w:t xml:space="preserve"> </w:t>
      </w:r>
    </w:p>
    <w:p w:rsidR="004574CD" w:rsidRPr="00126806" w:rsidRDefault="001B0098" w:rsidP="00126806">
      <w:pPr>
        <w:pStyle w:val="Listenabsatz"/>
        <w:numPr>
          <w:ilvl w:val="0"/>
          <w:numId w:val="5"/>
        </w:numPr>
        <w:spacing w:after="0" w:line="240" w:lineRule="auto"/>
        <w:jc w:val="both"/>
        <w:rPr>
          <w:sz w:val="20"/>
          <w:szCs w:val="20"/>
          <w:lang w:val="en-GB"/>
        </w:rPr>
      </w:pPr>
      <w:r>
        <w:rPr>
          <w:sz w:val="20"/>
          <w:szCs w:val="20"/>
          <w:lang w:val="en-GB"/>
        </w:rPr>
        <w:t>Possible reasons for this</w:t>
      </w:r>
      <w:r w:rsidR="00713A12" w:rsidRPr="00126806">
        <w:rPr>
          <w:sz w:val="20"/>
          <w:szCs w:val="20"/>
          <w:lang w:val="en-GB"/>
        </w:rPr>
        <w:t xml:space="preserve"> </w:t>
      </w:r>
      <w:r>
        <w:rPr>
          <w:sz w:val="20"/>
          <w:szCs w:val="20"/>
          <w:lang w:val="en-GB"/>
        </w:rPr>
        <w:t>lack of concreteness</w:t>
      </w:r>
      <w:r w:rsidR="00713A12" w:rsidRPr="00126806">
        <w:rPr>
          <w:sz w:val="20"/>
          <w:szCs w:val="20"/>
          <w:lang w:val="en-GB"/>
        </w:rPr>
        <w:t xml:space="preserve"> </w:t>
      </w:r>
    </w:p>
    <w:p w:rsidR="00AB62F2" w:rsidRPr="00126806" w:rsidRDefault="004574CD" w:rsidP="00126806">
      <w:pPr>
        <w:pStyle w:val="Listenabsatz"/>
        <w:numPr>
          <w:ilvl w:val="0"/>
          <w:numId w:val="12"/>
        </w:numPr>
        <w:spacing w:after="0" w:line="240" w:lineRule="auto"/>
        <w:jc w:val="both"/>
        <w:rPr>
          <w:sz w:val="20"/>
          <w:szCs w:val="20"/>
          <w:lang w:val="en-GB"/>
        </w:rPr>
      </w:pPr>
      <w:r w:rsidRPr="00126806">
        <w:rPr>
          <w:sz w:val="20"/>
          <w:szCs w:val="20"/>
          <w:lang w:val="en-GB"/>
        </w:rPr>
        <w:t xml:space="preserve">Early stage </w:t>
      </w:r>
      <w:r w:rsidR="00AC4B09" w:rsidRPr="00126806">
        <w:rPr>
          <w:sz w:val="20"/>
          <w:szCs w:val="20"/>
          <w:lang w:val="en-GB"/>
        </w:rPr>
        <w:t xml:space="preserve"> of national evolution on REDD+ </w:t>
      </w:r>
      <w:r w:rsidR="00AB62F2" w:rsidRPr="00126806">
        <w:rPr>
          <w:sz w:val="20"/>
          <w:szCs w:val="20"/>
          <w:lang w:val="en-GB"/>
        </w:rPr>
        <w:t>at which</w:t>
      </w:r>
      <w:r w:rsidRPr="00126806">
        <w:rPr>
          <w:sz w:val="20"/>
          <w:szCs w:val="20"/>
          <w:lang w:val="en-GB"/>
        </w:rPr>
        <w:t xml:space="preserve"> some </w:t>
      </w:r>
      <w:r w:rsidR="00AB62F2" w:rsidRPr="00126806">
        <w:rPr>
          <w:sz w:val="20"/>
          <w:szCs w:val="20"/>
          <w:lang w:val="en-GB"/>
        </w:rPr>
        <w:t xml:space="preserve"> R-PPs have been written </w:t>
      </w:r>
    </w:p>
    <w:p w:rsidR="00AB62F2" w:rsidRPr="00126806" w:rsidRDefault="001B0098" w:rsidP="00126806">
      <w:pPr>
        <w:pStyle w:val="Listenabsatz"/>
        <w:numPr>
          <w:ilvl w:val="0"/>
          <w:numId w:val="12"/>
        </w:numPr>
        <w:spacing w:after="0" w:line="240" w:lineRule="auto"/>
        <w:jc w:val="both"/>
        <w:rPr>
          <w:sz w:val="20"/>
          <w:szCs w:val="20"/>
          <w:lang w:val="en-GB"/>
        </w:rPr>
      </w:pPr>
      <w:r>
        <w:rPr>
          <w:sz w:val="20"/>
          <w:szCs w:val="20"/>
          <w:lang w:val="en-GB"/>
        </w:rPr>
        <w:t>S</w:t>
      </w:r>
      <w:r w:rsidR="00AB62F2" w:rsidRPr="00126806">
        <w:rPr>
          <w:sz w:val="20"/>
          <w:szCs w:val="20"/>
          <w:lang w:val="en-GB"/>
        </w:rPr>
        <w:t>ilence from</w:t>
      </w:r>
      <w:r w:rsidR="004574CD" w:rsidRPr="00126806">
        <w:rPr>
          <w:sz w:val="20"/>
          <w:szCs w:val="20"/>
          <w:lang w:val="en-GB"/>
        </w:rPr>
        <w:t xml:space="preserve"> international negotiations and authorities </w:t>
      </w:r>
      <w:r>
        <w:rPr>
          <w:sz w:val="20"/>
          <w:szCs w:val="20"/>
          <w:lang w:val="en-GB"/>
        </w:rPr>
        <w:t>creating uncertainty</w:t>
      </w:r>
    </w:p>
    <w:p w:rsidR="009E2C56" w:rsidRDefault="00AB62F2" w:rsidP="00126806">
      <w:pPr>
        <w:pStyle w:val="Listenabsatz"/>
        <w:numPr>
          <w:ilvl w:val="0"/>
          <w:numId w:val="12"/>
        </w:numPr>
        <w:spacing w:after="0" w:line="240" w:lineRule="auto"/>
        <w:jc w:val="both"/>
        <w:rPr>
          <w:sz w:val="20"/>
          <w:szCs w:val="20"/>
          <w:lang w:val="en-GB"/>
        </w:rPr>
      </w:pPr>
      <w:r w:rsidRPr="00126806">
        <w:rPr>
          <w:sz w:val="20"/>
          <w:szCs w:val="20"/>
          <w:lang w:val="en-GB"/>
        </w:rPr>
        <w:t>A dominant general narrative on REDD+ that focuses on a project level approach</w:t>
      </w:r>
    </w:p>
    <w:p w:rsidR="00CD528D" w:rsidRPr="00126806" w:rsidRDefault="00CD528D" w:rsidP="00CD528D">
      <w:pPr>
        <w:pStyle w:val="Listenabsatz"/>
        <w:spacing w:after="0" w:line="240" w:lineRule="auto"/>
        <w:ind w:left="1800"/>
        <w:jc w:val="both"/>
        <w:rPr>
          <w:sz w:val="20"/>
          <w:szCs w:val="20"/>
          <w:lang w:val="en-GB"/>
        </w:rPr>
      </w:pPr>
    </w:p>
    <w:p w:rsidR="003425AF" w:rsidRDefault="003425AF" w:rsidP="00126806">
      <w:pPr>
        <w:spacing w:after="0" w:line="240" w:lineRule="auto"/>
        <w:jc w:val="both"/>
        <w:rPr>
          <w:lang w:val="en-GB"/>
        </w:rPr>
      </w:pPr>
    </w:p>
    <w:p w:rsidR="00E2461A" w:rsidRPr="00CD528D" w:rsidRDefault="00D76251" w:rsidP="00126806">
      <w:pPr>
        <w:spacing w:after="0" w:line="240" w:lineRule="auto"/>
        <w:jc w:val="both"/>
        <w:rPr>
          <w:lang w:val="en-GB"/>
        </w:rPr>
      </w:pPr>
      <w:r>
        <w:rPr>
          <w:lang w:val="en-GB"/>
        </w:rPr>
        <w:t>M</w:t>
      </w:r>
      <w:r w:rsidR="004574CD" w:rsidRPr="00CD528D">
        <w:rPr>
          <w:lang w:val="en-GB"/>
        </w:rPr>
        <w:t>oving ahead with</w:t>
      </w:r>
      <w:r>
        <w:rPr>
          <w:lang w:val="en-GB"/>
        </w:rPr>
        <w:t xml:space="preserve"> REDD+ there seems to be a need for</w:t>
      </w:r>
      <w:r w:rsidR="00247AAB">
        <w:rPr>
          <w:lang w:val="en-GB"/>
        </w:rPr>
        <w:t xml:space="preserve"> robust</w:t>
      </w:r>
      <w:r>
        <w:rPr>
          <w:lang w:val="en-GB"/>
        </w:rPr>
        <w:t xml:space="preserve"> macro-level/</w:t>
      </w:r>
      <w:r w:rsidR="000318EC">
        <w:rPr>
          <w:lang w:val="en-GB"/>
        </w:rPr>
        <w:t>governance-</w:t>
      </w:r>
      <w:r w:rsidR="004574CD" w:rsidRPr="00CD528D">
        <w:rPr>
          <w:lang w:val="en-GB"/>
        </w:rPr>
        <w:t>focused thinking, in order for countrie</w:t>
      </w:r>
      <w:r w:rsidR="000318EC">
        <w:rPr>
          <w:lang w:val="en-GB"/>
        </w:rPr>
        <w:t>s to be able to construct</w:t>
      </w:r>
      <w:r w:rsidR="004574CD" w:rsidRPr="00CD528D">
        <w:rPr>
          <w:lang w:val="en-GB"/>
        </w:rPr>
        <w:t xml:space="preserve"> models for REDD+ that are in line with their </w:t>
      </w:r>
      <w:r w:rsidR="000318EC">
        <w:rPr>
          <w:lang w:val="en-GB"/>
        </w:rPr>
        <w:t xml:space="preserve">expressed </w:t>
      </w:r>
      <w:r w:rsidR="004574CD" w:rsidRPr="00CD528D">
        <w:rPr>
          <w:lang w:val="en-GB"/>
        </w:rPr>
        <w:t>strategy.</w:t>
      </w:r>
    </w:p>
    <w:p w:rsidR="00CD528D" w:rsidRPr="00CD528D" w:rsidRDefault="00CD528D" w:rsidP="00E2461A">
      <w:pPr>
        <w:spacing w:after="0" w:line="240" w:lineRule="auto"/>
        <w:jc w:val="right"/>
        <w:rPr>
          <w:b/>
        </w:rPr>
      </w:pPr>
    </w:p>
    <w:p w:rsidR="00CD528D" w:rsidRPr="00CD528D" w:rsidRDefault="00CD528D" w:rsidP="00E2461A">
      <w:pPr>
        <w:spacing w:after="0" w:line="240" w:lineRule="auto"/>
        <w:jc w:val="right"/>
        <w:rPr>
          <w:b/>
        </w:rPr>
      </w:pPr>
    </w:p>
    <w:p w:rsidR="00E2461A" w:rsidRPr="00CD528D" w:rsidRDefault="00E2461A" w:rsidP="00E2461A">
      <w:pPr>
        <w:spacing w:after="0" w:line="240" w:lineRule="auto"/>
        <w:jc w:val="right"/>
        <w:rPr>
          <w:b/>
        </w:rPr>
      </w:pPr>
      <w:r w:rsidRPr="00CD528D">
        <w:rPr>
          <w:b/>
        </w:rPr>
        <w:t xml:space="preserve">Johanna Wehkamp </w:t>
      </w:r>
    </w:p>
    <w:p w:rsidR="00E2461A" w:rsidRPr="00CD528D" w:rsidRDefault="00A34B45" w:rsidP="00E2461A">
      <w:pPr>
        <w:spacing w:after="0" w:line="240" w:lineRule="auto"/>
        <w:jc w:val="right"/>
      </w:pPr>
      <w:hyperlink r:id="rId10" w:history="1">
        <w:r w:rsidR="00E2461A" w:rsidRPr="00CD528D">
          <w:rPr>
            <w:rStyle w:val="Hyperlink"/>
          </w:rPr>
          <w:t>johannawehkamp@gmail.com</w:t>
        </w:r>
      </w:hyperlink>
      <w:r w:rsidR="00E2461A" w:rsidRPr="00CD528D">
        <w:t xml:space="preserve"> </w:t>
      </w:r>
    </w:p>
    <w:p w:rsidR="00E2461A" w:rsidRPr="00CD528D" w:rsidRDefault="00E2461A" w:rsidP="00E2461A">
      <w:pPr>
        <w:spacing w:after="0" w:line="240" w:lineRule="auto"/>
        <w:jc w:val="right"/>
      </w:pPr>
      <w:r w:rsidRPr="00CD528D">
        <w:t xml:space="preserve">Mercator Fellowship on International Affairs </w:t>
      </w:r>
    </w:p>
    <w:p w:rsidR="00E2461A" w:rsidRPr="00CD528D" w:rsidRDefault="00E2461A" w:rsidP="00E2461A">
      <w:pPr>
        <w:spacing w:after="0" w:line="240" w:lineRule="auto"/>
        <w:jc w:val="right"/>
      </w:pPr>
      <w:r w:rsidRPr="00CD528D">
        <w:rPr>
          <w:rFonts w:cstheme="minorHAnsi"/>
          <w:lang w:val="en-GB"/>
        </w:rPr>
        <w:t>Visiting Fellow, UN-REDD (UNDP, Nairobi)</w:t>
      </w:r>
    </w:p>
    <w:sectPr w:rsidR="00E2461A" w:rsidRPr="00CD528D" w:rsidSect="00602777">
      <w:pgSz w:w="11906" w:h="16838"/>
      <w:pgMar w:top="1417" w:right="1417" w:bottom="70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2AE" w:rsidRDefault="006662AE" w:rsidP="00CB708C">
      <w:pPr>
        <w:spacing w:after="0" w:line="240" w:lineRule="auto"/>
      </w:pPr>
      <w:r>
        <w:separator/>
      </w:r>
    </w:p>
  </w:endnote>
  <w:endnote w:type="continuationSeparator" w:id="0">
    <w:p w:rsidR="006662AE" w:rsidRDefault="006662AE" w:rsidP="00CB70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2AE" w:rsidRDefault="006662AE" w:rsidP="00CB708C">
      <w:pPr>
        <w:spacing w:after="0" w:line="240" w:lineRule="auto"/>
      </w:pPr>
      <w:r>
        <w:separator/>
      </w:r>
    </w:p>
  </w:footnote>
  <w:footnote w:type="continuationSeparator" w:id="0">
    <w:p w:rsidR="006662AE" w:rsidRDefault="006662AE" w:rsidP="00CB708C">
      <w:pPr>
        <w:spacing w:after="0" w:line="240" w:lineRule="auto"/>
      </w:pPr>
      <w:r>
        <w:continuationSeparator/>
      </w:r>
    </w:p>
  </w:footnote>
  <w:footnote w:id="1">
    <w:p w:rsidR="00CB708C" w:rsidRPr="00CB708C" w:rsidRDefault="00CB708C">
      <w:pPr>
        <w:pStyle w:val="Funotentext"/>
      </w:pPr>
      <w:r>
        <w:rPr>
          <w:rStyle w:val="Funotenzeichen"/>
        </w:rPr>
        <w:footnoteRef/>
      </w:r>
      <w:r>
        <w:t xml:space="preserve"> </w:t>
      </w:r>
      <w:proofErr w:type="gramStart"/>
      <w:r w:rsidR="00EA26A6">
        <w:rPr>
          <w:sz w:val="16"/>
          <w:szCs w:val="16"/>
        </w:rPr>
        <w:t>IUFRO, 201</w:t>
      </w:r>
      <w:r w:rsidRPr="002C76C1">
        <w:rPr>
          <w:sz w:val="16"/>
          <w:szCs w:val="16"/>
        </w:rPr>
        <w:t>1.</w:t>
      </w:r>
      <w:proofErr w:type="gramEnd"/>
      <w:r w:rsidRPr="002C76C1">
        <w:rPr>
          <w:sz w:val="16"/>
          <w:szCs w:val="16"/>
        </w:rPr>
        <w:t xml:space="preserve"> Embracing Complexity: Meeting the Challenges of International Forest Governance, World Series, vol.28.</w:t>
      </w:r>
      <w:r>
        <w:t xml:space="preserve"> </w:t>
      </w:r>
    </w:p>
  </w:footnote>
  <w:footnote w:id="2">
    <w:p w:rsidR="002C76C1" w:rsidRPr="00F76418" w:rsidRDefault="002C76C1" w:rsidP="002C76C1">
      <w:pPr>
        <w:spacing w:after="0" w:line="240" w:lineRule="auto"/>
        <w:jc w:val="both"/>
        <w:rPr>
          <w:rFonts w:cstheme="minorHAnsi"/>
          <w:i/>
          <w:sz w:val="20"/>
          <w:szCs w:val="20"/>
        </w:rPr>
      </w:pPr>
      <w:r>
        <w:rPr>
          <w:rStyle w:val="Funotenzeichen"/>
        </w:rPr>
        <w:footnoteRef/>
      </w:r>
      <w:r>
        <w:t xml:space="preserve"> </w:t>
      </w:r>
      <w:r w:rsidR="003A4F8A">
        <w:rPr>
          <w:b/>
          <w:sz w:val="16"/>
          <w:szCs w:val="16"/>
        </w:rPr>
        <w:t>Kenya R-PP</w:t>
      </w:r>
      <w:r w:rsidRPr="002C76C1">
        <w:rPr>
          <w:b/>
          <w:sz w:val="16"/>
          <w:szCs w:val="16"/>
        </w:rPr>
        <w:t>:</w:t>
      </w:r>
      <w:r w:rsidR="00D70385">
        <w:rPr>
          <w:sz w:val="16"/>
          <w:szCs w:val="16"/>
        </w:rPr>
        <w:t xml:space="preserve"> </w:t>
      </w:r>
      <w:r w:rsidRPr="002C76C1">
        <w:rPr>
          <w:rFonts w:cstheme="minorHAnsi"/>
          <w:i/>
          <w:sz w:val="16"/>
          <w:szCs w:val="16"/>
        </w:rPr>
        <w:t xml:space="preserve">“Many of the REDD+ strategies in our portfolio </w:t>
      </w:r>
      <w:r w:rsidRPr="002C76C1">
        <w:rPr>
          <w:rFonts w:cstheme="minorHAnsi"/>
          <w:b/>
          <w:i/>
          <w:sz w:val="16"/>
          <w:szCs w:val="16"/>
        </w:rPr>
        <w:t>will not involve developing new initiatives</w:t>
      </w:r>
      <w:r w:rsidRPr="002C76C1">
        <w:rPr>
          <w:rFonts w:cstheme="minorHAnsi"/>
          <w:i/>
          <w:sz w:val="16"/>
          <w:szCs w:val="16"/>
        </w:rPr>
        <w:t>, when for example they stem from existing policies or programs approve projects with a clear statement that the relevant project will be recognized once an international REDD+ mechanism is in place (provided the project is in line with international guidelines).”</w:t>
      </w:r>
    </w:p>
    <w:p w:rsidR="002C76C1" w:rsidRPr="002C76C1" w:rsidRDefault="002C76C1">
      <w:pPr>
        <w:pStyle w:val="Funotentext"/>
      </w:pPr>
    </w:p>
  </w:footnote>
  <w:footnote w:id="3">
    <w:p w:rsidR="002C76C1" w:rsidRPr="002C76C1" w:rsidRDefault="002C76C1" w:rsidP="00EA26A6">
      <w:pPr>
        <w:spacing w:after="0" w:line="240" w:lineRule="auto"/>
        <w:jc w:val="both"/>
        <w:rPr>
          <w:i/>
          <w:sz w:val="20"/>
          <w:szCs w:val="20"/>
        </w:rPr>
      </w:pPr>
      <w:r>
        <w:rPr>
          <w:rStyle w:val="Funotenzeichen"/>
        </w:rPr>
        <w:footnoteRef/>
      </w:r>
      <w:r>
        <w:t xml:space="preserve"> </w:t>
      </w:r>
      <w:r w:rsidRPr="00EA26A6">
        <w:rPr>
          <w:b/>
          <w:sz w:val="16"/>
          <w:szCs w:val="16"/>
        </w:rPr>
        <w:t>Kenya</w:t>
      </w:r>
      <w:r w:rsidR="00EA26A6">
        <w:rPr>
          <w:b/>
          <w:sz w:val="16"/>
          <w:szCs w:val="16"/>
        </w:rPr>
        <w:t>’</w:t>
      </w:r>
      <w:r w:rsidRPr="00EA26A6">
        <w:rPr>
          <w:b/>
          <w:sz w:val="16"/>
          <w:szCs w:val="16"/>
        </w:rPr>
        <w:t>s R-PP on carbon rights</w:t>
      </w:r>
      <w:r w:rsidRPr="002C76C1">
        <w:rPr>
          <w:sz w:val="16"/>
          <w:szCs w:val="16"/>
        </w:rPr>
        <w:t xml:space="preserve">: </w:t>
      </w:r>
      <w:r w:rsidRPr="002C76C1">
        <w:rPr>
          <w:i/>
          <w:sz w:val="16"/>
          <w:szCs w:val="16"/>
        </w:rPr>
        <w:t xml:space="preserve">KFS has in some few cases offloaded all </w:t>
      </w:r>
      <w:r w:rsidRPr="002C76C1">
        <w:rPr>
          <w:b/>
          <w:i/>
          <w:sz w:val="16"/>
          <w:szCs w:val="16"/>
        </w:rPr>
        <w:t>carbon rights to communities</w:t>
      </w:r>
      <w:r w:rsidRPr="002C76C1">
        <w:rPr>
          <w:i/>
          <w:sz w:val="16"/>
          <w:szCs w:val="16"/>
        </w:rPr>
        <w:t xml:space="preserve"> who have invested in management and conservation of specific forest blocks with climate change mitigation as an added benefit. Some communities expect that revenue for timber sales and payments for ecosystem services will be shared, but no agreement has been reached on this issue and it is not specifically covered in the new policy and law, and is a potential source of future conflict.</w:t>
      </w:r>
    </w:p>
  </w:footnote>
  <w:footnote w:id="4">
    <w:p w:rsidR="002C76C1" w:rsidRPr="00EA26A6" w:rsidRDefault="002C76C1" w:rsidP="00EA26A6">
      <w:pPr>
        <w:spacing w:after="0" w:line="240" w:lineRule="auto"/>
        <w:jc w:val="both"/>
        <w:rPr>
          <w:rFonts w:cstheme="minorHAnsi"/>
          <w:i/>
          <w:sz w:val="20"/>
          <w:szCs w:val="20"/>
        </w:rPr>
      </w:pPr>
      <w:r>
        <w:rPr>
          <w:rStyle w:val="Funotenzeichen"/>
        </w:rPr>
        <w:footnoteRef/>
      </w:r>
      <w:r>
        <w:t xml:space="preserve"> </w:t>
      </w:r>
      <w:r w:rsidR="00EA26A6" w:rsidRPr="00EA26A6">
        <w:rPr>
          <w:b/>
          <w:sz w:val="16"/>
          <w:szCs w:val="16"/>
        </w:rPr>
        <w:t>Kenya’s R-PP on benefit sharing:</w:t>
      </w:r>
      <w:r w:rsidR="00EA26A6" w:rsidRPr="00EA26A6">
        <w:rPr>
          <w:sz w:val="16"/>
          <w:szCs w:val="16"/>
        </w:rPr>
        <w:t xml:space="preserve"> </w:t>
      </w:r>
      <w:r w:rsidR="00EA26A6" w:rsidRPr="00EA26A6">
        <w:rPr>
          <w:rFonts w:cstheme="minorHAnsi"/>
          <w:i/>
          <w:sz w:val="16"/>
          <w:szCs w:val="16"/>
        </w:rPr>
        <w:t xml:space="preserve">“Benefit sharing arrangements are being discussed between KFS and communities but are not finalized. The benefits include access to firewood and other resources in forests and participation in </w:t>
      </w:r>
      <w:proofErr w:type="spellStart"/>
      <w:r w:rsidR="00EA26A6" w:rsidRPr="00EA26A6">
        <w:rPr>
          <w:rFonts w:cstheme="minorHAnsi"/>
          <w:i/>
          <w:sz w:val="16"/>
          <w:szCs w:val="16"/>
        </w:rPr>
        <w:t>taungya</w:t>
      </w:r>
      <w:proofErr w:type="spellEnd"/>
      <w:r w:rsidR="00EA26A6" w:rsidRPr="00EA26A6">
        <w:rPr>
          <w:rFonts w:cstheme="minorHAnsi"/>
          <w:i/>
          <w:sz w:val="16"/>
          <w:szCs w:val="16"/>
        </w:rPr>
        <w:t xml:space="preserve"> system planting in plantations“.</w:t>
      </w:r>
    </w:p>
  </w:footnote>
  <w:footnote w:id="5">
    <w:p w:rsidR="00EA26A6" w:rsidRPr="00EA26A6" w:rsidRDefault="00EA26A6" w:rsidP="00EA26A6">
      <w:pPr>
        <w:autoSpaceDE w:val="0"/>
        <w:autoSpaceDN w:val="0"/>
        <w:adjustRightInd w:val="0"/>
        <w:spacing w:after="0" w:line="240" w:lineRule="auto"/>
        <w:jc w:val="both"/>
        <w:rPr>
          <w:rFonts w:cstheme="minorHAnsi"/>
          <w:i/>
          <w:sz w:val="16"/>
          <w:szCs w:val="16"/>
        </w:rPr>
      </w:pPr>
      <w:r w:rsidRPr="00EA26A6">
        <w:rPr>
          <w:rStyle w:val="Funotenzeichen"/>
          <w:sz w:val="16"/>
          <w:szCs w:val="16"/>
        </w:rPr>
        <w:footnoteRef/>
      </w:r>
      <w:r w:rsidRPr="00EA26A6">
        <w:rPr>
          <w:sz w:val="16"/>
          <w:szCs w:val="16"/>
        </w:rPr>
        <w:t xml:space="preserve"> </w:t>
      </w:r>
      <w:r>
        <w:rPr>
          <w:sz w:val="16"/>
          <w:szCs w:val="16"/>
        </w:rPr>
        <w:t xml:space="preserve"> </w:t>
      </w:r>
      <w:r w:rsidRPr="00EA26A6">
        <w:rPr>
          <w:b/>
          <w:sz w:val="16"/>
          <w:szCs w:val="16"/>
        </w:rPr>
        <w:t xml:space="preserve">Uncertainty with regards to the international negotiations as expressed in the Kenyan R-PP </w:t>
      </w:r>
      <w:r w:rsidRPr="00EA26A6">
        <w:rPr>
          <w:rFonts w:cstheme="minorHAnsi"/>
          <w:b/>
          <w:i/>
          <w:sz w:val="16"/>
          <w:szCs w:val="16"/>
        </w:rPr>
        <w:t>“</w:t>
      </w:r>
      <w:r w:rsidRPr="00EA26A6">
        <w:rPr>
          <w:rFonts w:cstheme="minorHAnsi"/>
          <w:i/>
          <w:sz w:val="16"/>
          <w:szCs w:val="16"/>
        </w:rPr>
        <w:t>The international REDD+ mechanism expected to be finalized in the coming months</w:t>
      </w:r>
      <w:r>
        <w:rPr>
          <w:rFonts w:cstheme="minorHAnsi"/>
          <w:i/>
          <w:sz w:val="16"/>
          <w:szCs w:val="16"/>
        </w:rPr>
        <w:t xml:space="preserve"> </w:t>
      </w:r>
      <w:r w:rsidRPr="00EA26A6">
        <w:rPr>
          <w:rFonts w:cstheme="minorHAnsi"/>
          <w:sz w:val="16"/>
          <w:szCs w:val="16"/>
        </w:rPr>
        <w:t>[comment from the author: This was in 2010]</w:t>
      </w:r>
      <w:r w:rsidRPr="00EA26A6">
        <w:rPr>
          <w:rFonts w:cstheme="minorHAnsi"/>
          <w:i/>
          <w:sz w:val="16"/>
          <w:szCs w:val="16"/>
        </w:rPr>
        <w:t xml:space="preserve"> will likely clarify the modalities by which Kenya will be able to access funding for REDD+ strategies it may select. In the meantime, therefore, our priority is to elaborate on the institutional, legal, economic and policy designs that various REDD+ strategies will require (as described in component 2c Implementation Arrangements).”</w:t>
      </w:r>
    </w:p>
    <w:p w:rsidR="00EA26A6" w:rsidRPr="00EA26A6" w:rsidRDefault="00EA26A6" w:rsidP="00EA26A6">
      <w:pPr>
        <w:autoSpaceDE w:val="0"/>
        <w:autoSpaceDN w:val="0"/>
        <w:adjustRightInd w:val="0"/>
        <w:spacing w:after="0" w:line="240" w:lineRule="auto"/>
        <w:jc w:val="both"/>
        <w:rPr>
          <w:rFonts w:cstheme="minorHAnsi"/>
          <w:i/>
          <w:sz w:val="16"/>
          <w:szCs w:val="16"/>
        </w:rPr>
      </w:pPr>
      <w:r w:rsidRPr="00EA26A6">
        <w:rPr>
          <w:rFonts w:cstheme="minorHAnsi"/>
          <w:i/>
          <w:sz w:val="16"/>
          <w:szCs w:val="16"/>
        </w:rPr>
        <w:t>[…] This approach also buys time while international REDD+ financial channels become better defined within the context of UNFCCC and other bilateral settings. Care must be taken to not raise expectations during the R-PP phase for activities that are still being tested and designed.”</w:t>
      </w:r>
    </w:p>
    <w:p w:rsidR="00EA26A6" w:rsidRPr="00F76418" w:rsidRDefault="00EA26A6" w:rsidP="00EA26A6">
      <w:pPr>
        <w:autoSpaceDE w:val="0"/>
        <w:autoSpaceDN w:val="0"/>
        <w:adjustRightInd w:val="0"/>
        <w:spacing w:after="0" w:line="240" w:lineRule="auto"/>
        <w:jc w:val="both"/>
        <w:rPr>
          <w:rFonts w:cstheme="minorHAnsi"/>
          <w:sz w:val="20"/>
          <w:szCs w:val="20"/>
        </w:rPr>
      </w:pPr>
    </w:p>
    <w:p w:rsidR="00EA26A6" w:rsidRPr="00EA26A6" w:rsidRDefault="00EA26A6">
      <w:pPr>
        <w:pStyle w:val="Funoten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476C1"/>
    <w:multiLevelType w:val="hybridMultilevel"/>
    <w:tmpl w:val="0DCA66B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7FB4C0F"/>
    <w:multiLevelType w:val="hybridMultilevel"/>
    <w:tmpl w:val="61B60CC2"/>
    <w:lvl w:ilvl="0" w:tplc="04070003">
      <w:start w:val="1"/>
      <w:numFmt w:val="bullet"/>
      <w:lvlText w:val="o"/>
      <w:lvlJc w:val="left"/>
      <w:pPr>
        <w:ind w:left="1068" w:hanging="360"/>
      </w:pPr>
      <w:rPr>
        <w:rFonts w:ascii="Courier New" w:hAnsi="Courier New" w:cs="Courier New"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nsid w:val="25543ED5"/>
    <w:multiLevelType w:val="hybridMultilevel"/>
    <w:tmpl w:val="562C538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3421A18"/>
    <w:multiLevelType w:val="hybridMultilevel"/>
    <w:tmpl w:val="674E8ED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6E10FDA"/>
    <w:multiLevelType w:val="hybridMultilevel"/>
    <w:tmpl w:val="2ABE455E"/>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397E5E8E"/>
    <w:multiLevelType w:val="hybridMultilevel"/>
    <w:tmpl w:val="6F58DF5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3B1B32B9"/>
    <w:multiLevelType w:val="hybridMultilevel"/>
    <w:tmpl w:val="EB0020BE"/>
    <w:lvl w:ilvl="0" w:tplc="0407000F">
      <w:start w:val="1"/>
      <w:numFmt w:val="decimal"/>
      <w:lvlText w:val="%1."/>
      <w:lvlJc w:val="left"/>
      <w:pPr>
        <w:ind w:left="360" w:hanging="360"/>
      </w:pPr>
      <w:rPr>
        <w:rFont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nsid w:val="5C3D50C2"/>
    <w:multiLevelType w:val="hybridMultilevel"/>
    <w:tmpl w:val="CEDEB81A"/>
    <w:lvl w:ilvl="0" w:tplc="04070003">
      <w:start w:val="1"/>
      <w:numFmt w:val="bullet"/>
      <w:lvlText w:val="o"/>
      <w:lvlJc w:val="left"/>
      <w:pPr>
        <w:ind w:left="1068" w:hanging="360"/>
      </w:pPr>
      <w:rPr>
        <w:rFonts w:ascii="Courier New" w:hAnsi="Courier New" w:cs="Courier New"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8">
    <w:nsid w:val="60433AF1"/>
    <w:multiLevelType w:val="hybridMultilevel"/>
    <w:tmpl w:val="C8F860B0"/>
    <w:lvl w:ilvl="0" w:tplc="0407000F">
      <w:start w:val="1"/>
      <w:numFmt w:val="decimal"/>
      <w:lvlText w:val="%1."/>
      <w:lvlJc w:val="left"/>
      <w:pPr>
        <w:ind w:left="1065" w:hanging="360"/>
      </w:pPr>
      <w:rPr>
        <w:rFonts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9">
    <w:nsid w:val="6D243A81"/>
    <w:multiLevelType w:val="hybridMultilevel"/>
    <w:tmpl w:val="5B9C047A"/>
    <w:lvl w:ilvl="0" w:tplc="04070001">
      <w:start w:val="1"/>
      <w:numFmt w:val="bullet"/>
      <w:lvlText w:val=""/>
      <w:lvlJc w:val="left"/>
      <w:pPr>
        <w:ind w:left="1800" w:hanging="360"/>
      </w:pPr>
      <w:rPr>
        <w:rFonts w:ascii="Symbol" w:hAnsi="Symbo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10">
    <w:nsid w:val="6FC640E0"/>
    <w:multiLevelType w:val="hybridMultilevel"/>
    <w:tmpl w:val="882EF38C"/>
    <w:lvl w:ilvl="0" w:tplc="04070003">
      <w:start w:val="1"/>
      <w:numFmt w:val="bullet"/>
      <w:lvlText w:val="o"/>
      <w:lvlJc w:val="left"/>
      <w:pPr>
        <w:ind w:left="1080" w:hanging="360"/>
      </w:pPr>
      <w:rPr>
        <w:rFonts w:ascii="Courier New" w:hAnsi="Courier New" w:cs="Courier New"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nsid w:val="70AC3FB3"/>
    <w:multiLevelType w:val="hybridMultilevel"/>
    <w:tmpl w:val="03E2330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78291356"/>
    <w:multiLevelType w:val="hybridMultilevel"/>
    <w:tmpl w:val="1934411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1"/>
  </w:num>
  <w:num w:numId="4">
    <w:abstractNumId w:val="10"/>
  </w:num>
  <w:num w:numId="5">
    <w:abstractNumId w:val="4"/>
  </w:num>
  <w:num w:numId="6">
    <w:abstractNumId w:val="7"/>
  </w:num>
  <w:num w:numId="7">
    <w:abstractNumId w:val="1"/>
  </w:num>
  <w:num w:numId="8">
    <w:abstractNumId w:val="5"/>
  </w:num>
  <w:num w:numId="9">
    <w:abstractNumId w:val="2"/>
  </w:num>
  <w:num w:numId="10">
    <w:abstractNumId w:val="3"/>
  </w:num>
  <w:num w:numId="11">
    <w:abstractNumId w:val="12"/>
  </w:num>
  <w:num w:numId="12">
    <w:abstractNumId w:val="9"/>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D17A38"/>
    <w:rsid w:val="00003A2E"/>
    <w:rsid w:val="000068A4"/>
    <w:rsid w:val="000318EC"/>
    <w:rsid w:val="000465A6"/>
    <w:rsid w:val="0005138E"/>
    <w:rsid w:val="00052A4C"/>
    <w:rsid w:val="00070CCE"/>
    <w:rsid w:val="000729B2"/>
    <w:rsid w:val="000A07D9"/>
    <w:rsid w:val="000C4E16"/>
    <w:rsid w:val="000C50D7"/>
    <w:rsid w:val="000E3D41"/>
    <w:rsid w:val="000F078B"/>
    <w:rsid w:val="00102659"/>
    <w:rsid w:val="00125662"/>
    <w:rsid w:val="00126806"/>
    <w:rsid w:val="001A4988"/>
    <w:rsid w:val="001A737C"/>
    <w:rsid w:val="001B0098"/>
    <w:rsid w:val="001B459B"/>
    <w:rsid w:val="001B524D"/>
    <w:rsid w:val="001C39D8"/>
    <w:rsid w:val="00224B13"/>
    <w:rsid w:val="00247AAB"/>
    <w:rsid w:val="002542CE"/>
    <w:rsid w:val="00283308"/>
    <w:rsid w:val="00286375"/>
    <w:rsid w:val="002A348E"/>
    <w:rsid w:val="002C76C1"/>
    <w:rsid w:val="002D0610"/>
    <w:rsid w:val="002F1FA3"/>
    <w:rsid w:val="003425AF"/>
    <w:rsid w:val="003507CE"/>
    <w:rsid w:val="0036299C"/>
    <w:rsid w:val="00377907"/>
    <w:rsid w:val="00385605"/>
    <w:rsid w:val="003A4F8A"/>
    <w:rsid w:val="003B4A5C"/>
    <w:rsid w:val="003F2C97"/>
    <w:rsid w:val="0041704A"/>
    <w:rsid w:val="00433126"/>
    <w:rsid w:val="004574CD"/>
    <w:rsid w:val="00480BB4"/>
    <w:rsid w:val="004C05C2"/>
    <w:rsid w:val="004C46EF"/>
    <w:rsid w:val="004E6CAA"/>
    <w:rsid w:val="005050E8"/>
    <w:rsid w:val="0052349B"/>
    <w:rsid w:val="00536088"/>
    <w:rsid w:val="005500B3"/>
    <w:rsid w:val="005A5F5C"/>
    <w:rsid w:val="005C47F6"/>
    <w:rsid w:val="005D0D8F"/>
    <w:rsid w:val="00602777"/>
    <w:rsid w:val="006519C0"/>
    <w:rsid w:val="0066474D"/>
    <w:rsid w:val="006662AE"/>
    <w:rsid w:val="006A714B"/>
    <w:rsid w:val="006A7C0B"/>
    <w:rsid w:val="006C39FE"/>
    <w:rsid w:val="00713A12"/>
    <w:rsid w:val="0072412A"/>
    <w:rsid w:val="00732E0F"/>
    <w:rsid w:val="00786132"/>
    <w:rsid w:val="007878F6"/>
    <w:rsid w:val="007A2F7B"/>
    <w:rsid w:val="007B4B50"/>
    <w:rsid w:val="007C347E"/>
    <w:rsid w:val="007D641A"/>
    <w:rsid w:val="00862991"/>
    <w:rsid w:val="008C2914"/>
    <w:rsid w:val="00936B1B"/>
    <w:rsid w:val="009375CC"/>
    <w:rsid w:val="00960DB7"/>
    <w:rsid w:val="0097098D"/>
    <w:rsid w:val="009E2379"/>
    <w:rsid w:val="009E2C56"/>
    <w:rsid w:val="00A34B45"/>
    <w:rsid w:val="00A3615E"/>
    <w:rsid w:val="00A369F8"/>
    <w:rsid w:val="00A54BA8"/>
    <w:rsid w:val="00A6492A"/>
    <w:rsid w:val="00AB62F2"/>
    <w:rsid w:val="00AC4B09"/>
    <w:rsid w:val="00AF70D2"/>
    <w:rsid w:val="00B107FF"/>
    <w:rsid w:val="00B957F1"/>
    <w:rsid w:val="00BC502F"/>
    <w:rsid w:val="00C038E3"/>
    <w:rsid w:val="00C2064D"/>
    <w:rsid w:val="00C82BD2"/>
    <w:rsid w:val="00C96351"/>
    <w:rsid w:val="00CA1F89"/>
    <w:rsid w:val="00CB708C"/>
    <w:rsid w:val="00CD528D"/>
    <w:rsid w:val="00CD67D9"/>
    <w:rsid w:val="00CE4A8B"/>
    <w:rsid w:val="00CE55A7"/>
    <w:rsid w:val="00CF2BD6"/>
    <w:rsid w:val="00D17A38"/>
    <w:rsid w:val="00D47B91"/>
    <w:rsid w:val="00D56775"/>
    <w:rsid w:val="00D610F1"/>
    <w:rsid w:val="00D70385"/>
    <w:rsid w:val="00D733D9"/>
    <w:rsid w:val="00D76251"/>
    <w:rsid w:val="00DD2BBF"/>
    <w:rsid w:val="00E2461A"/>
    <w:rsid w:val="00E3293A"/>
    <w:rsid w:val="00E64CF6"/>
    <w:rsid w:val="00E83F01"/>
    <w:rsid w:val="00E93FEE"/>
    <w:rsid w:val="00EA26A6"/>
    <w:rsid w:val="00EE7B25"/>
    <w:rsid w:val="00F459A9"/>
    <w:rsid w:val="00FD5D9A"/>
    <w:rsid w:val="00FD7D4B"/>
    <w:rsid w:val="00FE6B1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500B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17A38"/>
    <w:pPr>
      <w:ind w:left="720"/>
      <w:contextualSpacing/>
    </w:pPr>
  </w:style>
  <w:style w:type="paragraph" w:styleId="Sprechblasentext">
    <w:name w:val="Balloon Text"/>
    <w:basedOn w:val="Standard"/>
    <w:link w:val="SprechblasentextZchn"/>
    <w:uiPriority w:val="99"/>
    <w:semiHidden/>
    <w:unhideWhenUsed/>
    <w:rsid w:val="00B107F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107FF"/>
    <w:rPr>
      <w:rFonts w:ascii="Tahoma" w:hAnsi="Tahoma" w:cs="Tahoma"/>
      <w:sz w:val="16"/>
      <w:szCs w:val="16"/>
    </w:rPr>
  </w:style>
  <w:style w:type="character" w:styleId="Kommentarzeichen">
    <w:name w:val="annotation reference"/>
    <w:basedOn w:val="Absatz-Standardschriftart"/>
    <w:uiPriority w:val="99"/>
    <w:semiHidden/>
    <w:unhideWhenUsed/>
    <w:rsid w:val="000729B2"/>
    <w:rPr>
      <w:sz w:val="16"/>
      <w:szCs w:val="16"/>
    </w:rPr>
  </w:style>
  <w:style w:type="paragraph" w:styleId="Kommentartext">
    <w:name w:val="annotation text"/>
    <w:basedOn w:val="Standard"/>
    <w:link w:val="KommentartextZchn"/>
    <w:uiPriority w:val="99"/>
    <w:unhideWhenUsed/>
    <w:rsid w:val="000729B2"/>
    <w:pPr>
      <w:spacing w:line="240" w:lineRule="auto"/>
    </w:pPr>
    <w:rPr>
      <w:sz w:val="20"/>
      <w:szCs w:val="20"/>
    </w:rPr>
  </w:style>
  <w:style w:type="character" w:customStyle="1" w:styleId="KommentartextZchn">
    <w:name w:val="Kommentartext Zchn"/>
    <w:basedOn w:val="Absatz-Standardschriftart"/>
    <w:link w:val="Kommentartext"/>
    <w:uiPriority w:val="99"/>
    <w:rsid w:val="000729B2"/>
    <w:rPr>
      <w:sz w:val="20"/>
      <w:szCs w:val="20"/>
    </w:rPr>
  </w:style>
  <w:style w:type="paragraph" w:styleId="Kommentarthema">
    <w:name w:val="annotation subject"/>
    <w:basedOn w:val="Kommentartext"/>
    <w:next w:val="Kommentartext"/>
    <w:link w:val="KommentarthemaZchn"/>
    <w:uiPriority w:val="99"/>
    <w:semiHidden/>
    <w:unhideWhenUsed/>
    <w:rsid w:val="000729B2"/>
    <w:rPr>
      <w:b/>
      <w:bCs/>
    </w:rPr>
  </w:style>
  <w:style w:type="character" w:customStyle="1" w:styleId="KommentarthemaZchn">
    <w:name w:val="Kommentarthema Zchn"/>
    <w:basedOn w:val="KommentartextZchn"/>
    <w:link w:val="Kommentarthema"/>
    <w:uiPriority w:val="99"/>
    <w:semiHidden/>
    <w:rsid w:val="000729B2"/>
    <w:rPr>
      <w:b/>
      <w:bCs/>
      <w:sz w:val="20"/>
      <w:szCs w:val="20"/>
    </w:rPr>
  </w:style>
  <w:style w:type="paragraph" w:styleId="Funotentext">
    <w:name w:val="footnote text"/>
    <w:basedOn w:val="Standard"/>
    <w:link w:val="FunotentextZchn"/>
    <w:uiPriority w:val="99"/>
    <w:semiHidden/>
    <w:unhideWhenUsed/>
    <w:rsid w:val="00CB708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B708C"/>
    <w:rPr>
      <w:sz w:val="20"/>
      <w:szCs w:val="20"/>
    </w:rPr>
  </w:style>
  <w:style w:type="character" w:styleId="Funotenzeichen">
    <w:name w:val="footnote reference"/>
    <w:basedOn w:val="Absatz-Standardschriftart"/>
    <w:uiPriority w:val="99"/>
    <w:semiHidden/>
    <w:unhideWhenUsed/>
    <w:rsid w:val="00CB708C"/>
    <w:rPr>
      <w:vertAlign w:val="superscript"/>
    </w:rPr>
  </w:style>
  <w:style w:type="character" w:styleId="Hyperlink">
    <w:name w:val="Hyperlink"/>
    <w:basedOn w:val="Absatz-Standardschriftart"/>
    <w:uiPriority w:val="99"/>
    <w:unhideWhenUsed/>
    <w:rsid w:val="0012680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A38"/>
    <w:pPr>
      <w:ind w:left="720"/>
      <w:contextualSpacing/>
    </w:pPr>
  </w:style>
  <w:style w:type="paragraph" w:styleId="BalloonText">
    <w:name w:val="Balloon Text"/>
    <w:basedOn w:val="Normal"/>
    <w:link w:val="BalloonTextChar"/>
    <w:uiPriority w:val="99"/>
    <w:semiHidden/>
    <w:unhideWhenUsed/>
    <w:rsid w:val="00B107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7FF"/>
    <w:rPr>
      <w:rFonts w:ascii="Tahoma" w:hAnsi="Tahoma" w:cs="Tahoma"/>
      <w:sz w:val="16"/>
      <w:szCs w:val="16"/>
    </w:rPr>
  </w:style>
  <w:style w:type="character" w:styleId="CommentReference">
    <w:name w:val="annotation reference"/>
    <w:basedOn w:val="DefaultParagraphFont"/>
    <w:uiPriority w:val="99"/>
    <w:semiHidden/>
    <w:unhideWhenUsed/>
    <w:rsid w:val="000729B2"/>
    <w:rPr>
      <w:sz w:val="16"/>
      <w:szCs w:val="16"/>
    </w:rPr>
  </w:style>
  <w:style w:type="paragraph" w:styleId="CommentText">
    <w:name w:val="annotation text"/>
    <w:basedOn w:val="Normal"/>
    <w:link w:val="CommentTextChar"/>
    <w:uiPriority w:val="99"/>
    <w:semiHidden/>
    <w:unhideWhenUsed/>
    <w:rsid w:val="000729B2"/>
    <w:pPr>
      <w:spacing w:line="240" w:lineRule="auto"/>
    </w:pPr>
    <w:rPr>
      <w:sz w:val="20"/>
      <w:szCs w:val="20"/>
    </w:rPr>
  </w:style>
  <w:style w:type="character" w:customStyle="1" w:styleId="CommentTextChar">
    <w:name w:val="Comment Text Char"/>
    <w:basedOn w:val="DefaultParagraphFont"/>
    <w:link w:val="CommentText"/>
    <w:uiPriority w:val="99"/>
    <w:semiHidden/>
    <w:rsid w:val="000729B2"/>
    <w:rPr>
      <w:sz w:val="20"/>
      <w:szCs w:val="20"/>
    </w:rPr>
  </w:style>
  <w:style w:type="paragraph" w:styleId="CommentSubject">
    <w:name w:val="annotation subject"/>
    <w:basedOn w:val="CommentText"/>
    <w:next w:val="CommentText"/>
    <w:link w:val="CommentSubjectChar"/>
    <w:uiPriority w:val="99"/>
    <w:semiHidden/>
    <w:unhideWhenUsed/>
    <w:rsid w:val="000729B2"/>
    <w:rPr>
      <w:b/>
      <w:bCs/>
    </w:rPr>
  </w:style>
  <w:style w:type="character" w:customStyle="1" w:styleId="CommentSubjectChar">
    <w:name w:val="Comment Subject Char"/>
    <w:basedOn w:val="CommentTextChar"/>
    <w:link w:val="CommentSubject"/>
    <w:uiPriority w:val="99"/>
    <w:semiHidden/>
    <w:rsid w:val="000729B2"/>
    <w:rPr>
      <w:b/>
      <w:bCs/>
      <w:sz w:val="20"/>
      <w:szCs w:val="20"/>
    </w:rPr>
  </w:style>
</w:styles>
</file>

<file path=word/webSettings.xml><?xml version="1.0" encoding="utf-8"?>
<w:webSettings xmlns:r="http://schemas.openxmlformats.org/officeDocument/2006/relationships" xmlns:w="http://schemas.openxmlformats.org/wordprocessingml/2006/main">
  <w:divs>
    <w:div w:id="210961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ohannawehkamp@gmail.co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02082-519D-4B9A-B3F9-43CD1E5B4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1422</Words>
  <Characters>8964</Characters>
  <Application>Microsoft Office Word</Application>
  <DocSecurity>0</DocSecurity>
  <Lines>74</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The World Bank Group</Company>
  <LinksUpToDate>false</LinksUpToDate>
  <CharactersWithSpaces>10366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johannaka</dc:creator>
  <cp:lastModifiedBy>johannaka</cp:lastModifiedBy>
  <cp:revision>37</cp:revision>
  <cp:lastPrinted>2013-06-27T15:43:00Z</cp:lastPrinted>
  <dcterms:created xsi:type="dcterms:W3CDTF">2013-07-02T17:21:00Z</dcterms:created>
  <dcterms:modified xsi:type="dcterms:W3CDTF">2013-07-02T18:04:00Z</dcterms:modified>
</cp:coreProperties>
</file>