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6E6" w:rsidRPr="00C956E6" w:rsidRDefault="00C956E6" w:rsidP="00C956E6">
      <w:pPr>
        <w:jc w:val="center"/>
        <w:rPr>
          <w:b/>
          <w:bCs/>
          <w:sz w:val="24"/>
          <w:szCs w:val="28"/>
        </w:rPr>
      </w:pPr>
      <w:r w:rsidRPr="00C956E6">
        <w:rPr>
          <w:b/>
          <w:bCs/>
          <w:sz w:val="24"/>
          <w:szCs w:val="28"/>
        </w:rPr>
        <w:t xml:space="preserve">Lessons learned on addressing REDD+ governance challenges through the </w:t>
      </w:r>
    </w:p>
    <w:p w:rsidR="00C956E6" w:rsidRPr="00C956E6" w:rsidRDefault="00C956E6" w:rsidP="00C956E6">
      <w:pPr>
        <w:jc w:val="center"/>
        <w:rPr>
          <w:b/>
          <w:bCs/>
          <w:sz w:val="24"/>
          <w:szCs w:val="28"/>
        </w:rPr>
      </w:pPr>
      <w:r w:rsidRPr="00C956E6">
        <w:rPr>
          <w:b/>
          <w:bCs/>
          <w:sz w:val="24"/>
          <w:szCs w:val="28"/>
        </w:rPr>
        <w:t xml:space="preserve">Participatory Governance Assessments (PGA) pilots in Indonesia, Vietnam and Nigeria </w:t>
      </w:r>
    </w:p>
    <w:p w:rsidR="00C956E6" w:rsidRDefault="00C956E6" w:rsidP="00C956E6">
      <w:pPr>
        <w:jc w:val="center"/>
        <w:rPr>
          <w:b/>
          <w:bCs/>
          <w:sz w:val="24"/>
          <w:szCs w:val="24"/>
        </w:rPr>
      </w:pPr>
    </w:p>
    <w:p w:rsidR="00C956E6" w:rsidRDefault="00C956E6" w:rsidP="00C956E6">
      <w:pPr>
        <w:rPr>
          <w:sz w:val="20"/>
          <w:szCs w:val="20"/>
        </w:rPr>
      </w:pPr>
    </w:p>
    <w:p w:rsidR="00C956E6" w:rsidRPr="00C956E6" w:rsidRDefault="00C956E6" w:rsidP="00C956E6">
      <w:pPr>
        <w:rPr>
          <w:sz w:val="18"/>
          <w:szCs w:val="20"/>
        </w:rPr>
      </w:pPr>
      <w:r w:rsidRPr="00C956E6">
        <w:rPr>
          <w:sz w:val="18"/>
          <w:szCs w:val="20"/>
        </w:rPr>
        <w:t xml:space="preserve">The PGA is a truly inclusive process involving different stakeholders from government, civil society, private sector and academia with the view to produce robust and credible governance information as the first step to improve governance weaknesses, and in the long run be the basis for policy reform. If used strategically by civil society actors, the PGA also has the potential to serve as an accountability mechanism.  </w:t>
      </w:r>
    </w:p>
    <w:p w:rsidR="00C956E6" w:rsidRPr="00C956E6" w:rsidRDefault="00C956E6" w:rsidP="00C956E6">
      <w:pPr>
        <w:rPr>
          <w:sz w:val="18"/>
          <w:szCs w:val="20"/>
        </w:rPr>
      </w:pPr>
    </w:p>
    <w:p w:rsidR="00C956E6" w:rsidRPr="00C956E6" w:rsidRDefault="00C956E6" w:rsidP="00C956E6">
      <w:pPr>
        <w:rPr>
          <w:sz w:val="18"/>
          <w:szCs w:val="20"/>
        </w:rPr>
      </w:pPr>
      <w:r w:rsidRPr="00C956E6">
        <w:rPr>
          <w:sz w:val="18"/>
          <w:szCs w:val="20"/>
        </w:rPr>
        <w:t>The PGA serves many purposes in a country’s national REDD+ process depending on which stakeholder group is using the governance data, such as highlighting shortcomings and relatively low performance, and as such point to issues of urgent attention which will support decision-makers to prioritize strategically;  informed decision- and policy-making based on robust governance data; as comprehensive governance data which can feed into the national Safeguards Information System, which Indonesia in turn will report back to UNFCCC; as a monitoring tool to track progress or regression. More background information can be found here:  </w:t>
      </w:r>
      <w:hyperlink r:id="rId5" w:history="1">
        <w:r w:rsidRPr="00C956E6">
          <w:rPr>
            <w:rStyle w:val="Hyperlink"/>
            <w:sz w:val="18"/>
            <w:szCs w:val="20"/>
          </w:rPr>
          <w:t>PGA Fast Facts</w:t>
        </w:r>
      </w:hyperlink>
      <w:r w:rsidRPr="00C956E6">
        <w:rPr>
          <w:sz w:val="18"/>
          <w:szCs w:val="20"/>
        </w:rPr>
        <w:t xml:space="preserve"> and </w:t>
      </w:r>
      <w:hyperlink r:id="rId6" w:history="1">
        <w:r w:rsidRPr="00C956E6">
          <w:rPr>
            <w:rStyle w:val="Hyperlink"/>
            <w:sz w:val="18"/>
            <w:szCs w:val="20"/>
          </w:rPr>
          <w:t>PGA Frequently Asked Questions</w:t>
        </w:r>
      </w:hyperlink>
      <w:r w:rsidRPr="00C956E6">
        <w:rPr>
          <w:sz w:val="18"/>
          <w:szCs w:val="20"/>
        </w:rPr>
        <w:t xml:space="preserve">. </w:t>
      </w:r>
    </w:p>
    <w:p w:rsidR="00C956E6" w:rsidRPr="00C956E6" w:rsidRDefault="00C956E6" w:rsidP="00C956E6">
      <w:pPr>
        <w:rPr>
          <w:sz w:val="18"/>
          <w:szCs w:val="20"/>
        </w:rPr>
      </w:pPr>
    </w:p>
    <w:p w:rsidR="00C956E6" w:rsidRPr="00C956E6" w:rsidRDefault="00C956E6" w:rsidP="00C956E6">
      <w:pPr>
        <w:rPr>
          <w:b/>
          <w:bCs/>
          <w:sz w:val="18"/>
          <w:szCs w:val="20"/>
        </w:rPr>
      </w:pPr>
      <w:r w:rsidRPr="00C956E6">
        <w:rPr>
          <w:b/>
          <w:bCs/>
          <w:sz w:val="18"/>
          <w:szCs w:val="20"/>
        </w:rPr>
        <w:t xml:space="preserve">You are hereby invited to attend a presentation and discussion session on the UN-REDD Programme’s experience and lessons learned thus far in piloting the PGAs. These are also translated into practical and concrete suggestions for new countries embarking on a PGA process in the recent </w:t>
      </w:r>
      <w:hyperlink r:id="rId7" w:history="1">
        <w:r w:rsidRPr="00C956E6">
          <w:rPr>
            <w:rStyle w:val="Hyperlink"/>
            <w:b/>
            <w:bCs/>
            <w:sz w:val="18"/>
            <w:szCs w:val="20"/>
          </w:rPr>
          <w:t>Practical Guide to PGAs</w:t>
        </w:r>
      </w:hyperlink>
      <w:r w:rsidRPr="00C956E6">
        <w:rPr>
          <w:b/>
          <w:bCs/>
          <w:sz w:val="18"/>
          <w:szCs w:val="20"/>
        </w:rPr>
        <w:t>. Challenges faced, key findings, utilization of governance data and preliminary results towards improved governance systems and structures will be emphasized during this session.</w:t>
      </w:r>
    </w:p>
    <w:p w:rsidR="00C956E6" w:rsidRPr="00C956E6" w:rsidRDefault="00C956E6" w:rsidP="00C956E6">
      <w:pPr>
        <w:rPr>
          <w:sz w:val="18"/>
          <w:szCs w:val="20"/>
        </w:rPr>
      </w:pPr>
    </w:p>
    <w:p w:rsidR="00C956E6" w:rsidRPr="00C956E6" w:rsidRDefault="00C956E6" w:rsidP="00C956E6">
      <w:pPr>
        <w:rPr>
          <w:b/>
          <w:bCs/>
          <w:sz w:val="18"/>
          <w:szCs w:val="20"/>
        </w:rPr>
      </w:pPr>
      <w:r w:rsidRPr="00C956E6">
        <w:rPr>
          <w:b/>
          <w:bCs/>
          <w:sz w:val="18"/>
          <w:szCs w:val="20"/>
        </w:rPr>
        <w:t>Session agenda:</w:t>
      </w:r>
    </w:p>
    <w:p w:rsidR="00C956E6" w:rsidRDefault="00C956E6" w:rsidP="00C956E6">
      <w:pPr>
        <w:pStyle w:val="ListParagraph"/>
        <w:ind w:hanging="360"/>
        <w:rPr>
          <w:sz w:val="18"/>
          <w:szCs w:val="20"/>
        </w:rPr>
      </w:pPr>
      <w:r w:rsidRPr="00C956E6">
        <w:rPr>
          <w:rFonts w:ascii="Symbol" w:hAnsi="Symbol"/>
          <w:sz w:val="18"/>
          <w:szCs w:val="20"/>
        </w:rPr>
        <w:t></w:t>
      </w:r>
      <w:r w:rsidRPr="00C956E6">
        <w:rPr>
          <w:rFonts w:ascii="Times New Roman" w:hAnsi="Times New Roman"/>
          <w:sz w:val="18"/>
          <w:szCs w:val="20"/>
        </w:rPr>
        <w:t>      </w:t>
      </w:r>
      <w:r w:rsidRPr="00C956E6">
        <w:rPr>
          <w:b/>
          <w:bCs/>
          <w:sz w:val="18"/>
          <w:szCs w:val="20"/>
        </w:rPr>
        <w:t>Introduction</w:t>
      </w:r>
      <w:r w:rsidRPr="00C956E6">
        <w:rPr>
          <w:sz w:val="18"/>
          <w:szCs w:val="20"/>
        </w:rPr>
        <w:t xml:space="preserve"> </w:t>
      </w:r>
      <w:r w:rsidRPr="00C956E6">
        <w:rPr>
          <w:b/>
          <w:bCs/>
          <w:sz w:val="18"/>
          <w:szCs w:val="20"/>
        </w:rPr>
        <w:t>of Norway’s priorities of governance</w:t>
      </w:r>
      <w:r w:rsidRPr="00C956E6">
        <w:rPr>
          <w:sz w:val="18"/>
          <w:szCs w:val="20"/>
        </w:rPr>
        <w:t xml:space="preserve"> work in ODA in general, and REDD+ in particular by </w:t>
      </w:r>
      <w:proofErr w:type="spellStart"/>
      <w:proofErr w:type="gramStart"/>
      <w:r w:rsidRPr="00C956E6">
        <w:rPr>
          <w:sz w:val="18"/>
          <w:szCs w:val="20"/>
        </w:rPr>
        <w:t>Norad</w:t>
      </w:r>
      <w:proofErr w:type="spellEnd"/>
      <w:proofErr w:type="gramEnd"/>
      <w:r w:rsidRPr="00C956E6">
        <w:rPr>
          <w:sz w:val="18"/>
          <w:szCs w:val="20"/>
        </w:rPr>
        <w:t xml:space="preserve">/ </w:t>
      </w:r>
    </w:p>
    <w:p w:rsidR="00C956E6" w:rsidRPr="00C956E6" w:rsidRDefault="00C956E6" w:rsidP="00C956E6">
      <w:pPr>
        <w:pStyle w:val="ListParagraph"/>
        <w:rPr>
          <w:sz w:val="18"/>
          <w:szCs w:val="20"/>
        </w:rPr>
      </w:pPr>
      <w:r w:rsidRPr="00C956E6">
        <w:rPr>
          <w:sz w:val="18"/>
          <w:szCs w:val="20"/>
        </w:rPr>
        <w:t>NICFI</w:t>
      </w:r>
    </w:p>
    <w:p w:rsidR="00C956E6" w:rsidRPr="00C956E6" w:rsidRDefault="00C956E6" w:rsidP="00C956E6">
      <w:pPr>
        <w:pStyle w:val="ListParagraph"/>
        <w:ind w:hanging="360"/>
        <w:rPr>
          <w:sz w:val="18"/>
          <w:szCs w:val="20"/>
        </w:rPr>
      </w:pPr>
      <w:r w:rsidRPr="00C956E6">
        <w:rPr>
          <w:rFonts w:ascii="Symbol" w:hAnsi="Symbol"/>
          <w:sz w:val="18"/>
          <w:szCs w:val="20"/>
        </w:rPr>
        <w:t></w:t>
      </w:r>
      <w:r w:rsidRPr="00C956E6">
        <w:rPr>
          <w:rFonts w:ascii="Times New Roman" w:hAnsi="Times New Roman"/>
          <w:sz w:val="18"/>
          <w:szCs w:val="20"/>
        </w:rPr>
        <w:t>      </w:t>
      </w:r>
      <w:r w:rsidRPr="00C956E6">
        <w:rPr>
          <w:b/>
          <w:bCs/>
          <w:sz w:val="18"/>
          <w:szCs w:val="20"/>
        </w:rPr>
        <w:t>Introduction of the PGA approach</w:t>
      </w:r>
      <w:r w:rsidRPr="00C956E6">
        <w:rPr>
          <w:sz w:val="18"/>
          <w:szCs w:val="20"/>
        </w:rPr>
        <w:t xml:space="preserve"> and overall observations after piloting in four countries by Tina Sølvberg and Kristin </w:t>
      </w:r>
      <w:proofErr w:type="spellStart"/>
      <w:r w:rsidRPr="00C956E6">
        <w:rPr>
          <w:sz w:val="18"/>
          <w:szCs w:val="20"/>
        </w:rPr>
        <w:t>DeValue</w:t>
      </w:r>
      <w:proofErr w:type="spellEnd"/>
      <w:r w:rsidRPr="00C956E6">
        <w:rPr>
          <w:sz w:val="18"/>
          <w:szCs w:val="20"/>
        </w:rPr>
        <w:t xml:space="preserve"> (UNDP and FAO)</w:t>
      </w:r>
    </w:p>
    <w:p w:rsidR="00C956E6" w:rsidRPr="00C956E6" w:rsidRDefault="00C956E6" w:rsidP="00C956E6">
      <w:pPr>
        <w:pStyle w:val="ListParagraph"/>
        <w:ind w:hanging="360"/>
        <w:rPr>
          <w:sz w:val="18"/>
          <w:szCs w:val="20"/>
        </w:rPr>
      </w:pPr>
      <w:r w:rsidRPr="00C956E6">
        <w:rPr>
          <w:rFonts w:ascii="Symbol" w:hAnsi="Symbol"/>
          <w:sz w:val="18"/>
          <w:szCs w:val="20"/>
        </w:rPr>
        <w:t></w:t>
      </w:r>
      <w:r w:rsidRPr="00C956E6">
        <w:rPr>
          <w:rFonts w:ascii="Times New Roman" w:hAnsi="Times New Roman"/>
          <w:sz w:val="18"/>
          <w:szCs w:val="20"/>
        </w:rPr>
        <w:t>      </w:t>
      </w:r>
      <w:r w:rsidRPr="00C956E6">
        <w:rPr>
          <w:b/>
          <w:bCs/>
          <w:sz w:val="18"/>
          <w:szCs w:val="20"/>
        </w:rPr>
        <w:t>Panel presentations</w:t>
      </w:r>
      <w:r w:rsidRPr="00C956E6">
        <w:rPr>
          <w:sz w:val="18"/>
          <w:szCs w:val="20"/>
        </w:rPr>
        <w:t xml:space="preserve">: Lessons learned, key governance findings and preliminary results from the PGA processes in Nigeria, Indonesia and Vietnam by PGA coordinators Rosemary </w:t>
      </w:r>
      <w:proofErr w:type="spellStart"/>
      <w:r w:rsidRPr="00C956E6">
        <w:rPr>
          <w:sz w:val="18"/>
          <w:szCs w:val="20"/>
        </w:rPr>
        <w:t>Oboh</w:t>
      </w:r>
      <w:proofErr w:type="spellEnd"/>
      <w:r w:rsidRPr="00C956E6">
        <w:rPr>
          <w:sz w:val="18"/>
          <w:szCs w:val="20"/>
        </w:rPr>
        <w:t xml:space="preserve">; Abdul </w:t>
      </w:r>
    </w:p>
    <w:p w:rsidR="00C956E6" w:rsidRPr="00C956E6" w:rsidRDefault="00C956E6" w:rsidP="00C956E6">
      <w:pPr>
        <w:pStyle w:val="ListParagraph"/>
        <w:ind w:hanging="360"/>
        <w:rPr>
          <w:sz w:val="18"/>
          <w:szCs w:val="20"/>
        </w:rPr>
      </w:pPr>
      <w:r>
        <w:rPr>
          <w:sz w:val="18"/>
          <w:szCs w:val="20"/>
        </w:rPr>
        <w:t>         </w:t>
      </w:r>
      <w:r w:rsidRPr="00C956E6">
        <w:rPr>
          <w:sz w:val="18"/>
          <w:szCs w:val="20"/>
        </w:rPr>
        <w:t xml:space="preserve">Situmorang and Thao Do </w:t>
      </w:r>
    </w:p>
    <w:p w:rsidR="00C956E6" w:rsidRPr="00C956E6" w:rsidRDefault="00C956E6" w:rsidP="00C956E6">
      <w:pPr>
        <w:pStyle w:val="ListParagraph"/>
        <w:ind w:hanging="360"/>
        <w:rPr>
          <w:sz w:val="18"/>
          <w:szCs w:val="20"/>
        </w:rPr>
      </w:pPr>
      <w:r w:rsidRPr="00C956E6">
        <w:rPr>
          <w:rFonts w:ascii="Symbol" w:hAnsi="Symbol"/>
          <w:sz w:val="18"/>
          <w:szCs w:val="20"/>
        </w:rPr>
        <w:t></w:t>
      </w:r>
      <w:r w:rsidRPr="00C956E6">
        <w:rPr>
          <w:rFonts w:ascii="Times New Roman" w:hAnsi="Times New Roman"/>
          <w:sz w:val="18"/>
          <w:szCs w:val="20"/>
        </w:rPr>
        <w:t>       </w:t>
      </w:r>
      <w:r w:rsidRPr="00C956E6">
        <w:rPr>
          <w:b/>
          <w:bCs/>
          <w:sz w:val="18"/>
          <w:szCs w:val="20"/>
        </w:rPr>
        <w:t>Questions and answers</w:t>
      </w:r>
      <w:r w:rsidRPr="00C956E6">
        <w:rPr>
          <w:sz w:val="18"/>
          <w:szCs w:val="20"/>
        </w:rPr>
        <w:t xml:space="preserve"> to allow for discussion between the panellists and the meeting participants</w:t>
      </w:r>
    </w:p>
    <w:p w:rsidR="00C956E6" w:rsidRPr="00C956E6" w:rsidRDefault="00C956E6" w:rsidP="00C956E6">
      <w:pPr>
        <w:rPr>
          <w:b/>
          <w:bCs/>
          <w:sz w:val="18"/>
          <w:szCs w:val="20"/>
        </w:rPr>
      </w:pPr>
    </w:p>
    <w:p w:rsidR="00C956E6" w:rsidRPr="00C956E6" w:rsidRDefault="00C956E6" w:rsidP="00C956E6">
      <w:pPr>
        <w:rPr>
          <w:sz w:val="18"/>
          <w:szCs w:val="20"/>
        </w:rPr>
      </w:pPr>
      <w:r w:rsidRPr="00C956E6">
        <w:rPr>
          <w:b/>
          <w:bCs/>
          <w:sz w:val="18"/>
          <w:szCs w:val="20"/>
        </w:rPr>
        <w:t>When</w:t>
      </w:r>
      <w:r w:rsidRPr="00C956E6">
        <w:rPr>
          <w:sz w:val="18"/>
          <w:szCs w:val="20"/>
        </w:rPr>
        <w:t>:                   Tuesday 17</w:t>
      </w:r>
      <w:r w:rsidRPr="00C956E6">
        <w:rPr>
          <w:sz w:val="18"/>
          <w:szCs w:val="20"/>
          <w:vertAlign w:val="superscript"/>
        </w:rPr>
        <w:t>th</w:t>
      </w:r>
      <w:r w:rsidRPr="00C956E6">
        <w:rPr>
          <w:sz w:val="18"/>
          <w:szCs w:val="20"/>
        </w:rPr>
        <w:t xml:space="preserve"> June at 9:00-10:30 am</w:t>
      </w:r>
    </w:p>
    <w:p w:rsidR="00C956E6" w:rsidRPr="00C956E6" w:rsidRDefault="00C956E6" w:rsidP="00C956E6">
      <w:pPr>
        <w:rPr>
          <w:sz w:val="18"/>
          <w:szCs w:val="20"/>
        </w:rPr>
      </w:pPr>
      <w:r w:rsidRPr="00C956E6">
        <w:rPr>
          <w:b/>
          <w:bCs/>
          <w:sz w:val="18"/>
          <w:szCs w:val="20"/>
        </w:rPr>
        <w:t>Where</w:t>
      </w:r>
      <w:r w:rsidRPr="00C956E6">
        <w:rPr>
          <w:sz w:val="18"/>
          <w:szCs w:val="20"/>
        </w:rPr>
        <w:t xml:space="preserve">:                  </w:t>
      </w:r>
      <w:proofErr w:type="spellStart"/>
      <w:proofErr w:type="gramStart"/>
      <w:r w:rsidRPr="00C956E6">
        <w:rPr>
          <w:sz w:val="18"/>
          <w:szCs w:val="20"/>
        </w:rPr>
        <w:t>Norad’s</w:t>
      </w:r>
      <w:proofErr w:type="spellEnd"/>
      <w:proofErr w:type="gramEnd"/>
      <w:r w:rsidRPr="00C956E6">
        <w:rPr>
          <w:sz w:val="18"/>
          <w:szCs w:val="20"/>
        </w:rPr>
        <w:t xml:space="preserve"> meeting room 4-136 (4</w:t>
      </w:r>
      <w:r w:rsidRPr="00C956E6">
        <w:rPr>
          <w:sz w:val="18"/>
          <w:szCs w:val="20"/>
          <w:vertAlign w:val="superscript"/>
        </w:rPr>
        <w:t>th</w:t>
      </w:r>
      <w:r w:rsidRPr="00C956E6">
        <w:rPr>
          <w:sz w:val="18"/>
          <w:szCs w:val="20"/>
        </w:rPr>
        <w:t xml:space="preserve"> floor), at </w:t>
      </w:r>
      <w:proofErr w:type="spellStart"/>
      <w:r w:rsidRPr="00C956E6">
        <w:rPr>
          <w:sz w:val="18"/>
          <w:szCs w:val="20"/>
        </w:rPr>
        <w:t>Ruseløkkveien</w:t>
      </w:r>
      <w:proofErr w:type="spellEnd"/>
      <w:r w:rsidRPr="00C956E6">
        <w:rPr>
          <w:sz w:val="18"/>
          <w:szCs w:val="20"/>
        </w:rPr>
        <w:t xml:space="preserve"> 26</w:t>
      </w:r>
      <w:bookmarkStart w:id="0" w:name="_GoBack"/>
      <w:bookmarkEnd w:id="0"/>
    </w:p>
    <w:p w:rsidR="00C956E6" w:rsidRPr="00C956E6" w:rsidRDefault="00C956E6" w:rsidP="00C956E6">
      <w:pPr>
        <w:rPr>
          <w:sz w:val="18"/>
          <w:szCs w:val="20"/>
        </w:rPr>
      </w:pPr>
      <w:r w:rsidRPr="00C956E6">
        <w:rPr>
          <w:b/>
          <w:bCs/>
          <w:sz w:val="18"/>
          <w:szCs w:val="20"/>
        </w:rPr>
        <w:t>Registration:        </w:t>
      </w:r>
      <w:r w:rsidRPr="00C956E6">
        <w:rPr>
          <w:sz w:val="18"/>
          <w:szCs w:val="20"/>
        </w:rPr>
        <w:t xml:space="preserve">Kindly register by sending an e-mail to </w:t>
      </w:r>
      <w:hyperlink r:id="rId8" w:history="1">
        <w:r w:rsidRPr="00C956E6">
          <w:rPr>
            <w:rStyle w:val="Hyperlink"/>
            <w:sz w:val="18"/>
            <w:szCs w:val="20"/>
          </w:rPr>
          <w:t>tina.solvberg@undp.org</w:t>
        </w:r>
      </w:hyperlink>
      <w:r w:rsidRPr="00C956E6">
        <w:rPr>
          <w:sz w:val="18"/>
          <w:szCs w:val="20"/>
        </w:rPr>
        <w:t xml:space="preserve"> by noon on Monday 16 June</w:t>
      </w:r>
    </w:p>
    <w:p w:rsidR="00C956E6" w:rsidRPr="00C956E6" w:rsidRDefault="00C956E6" w:rsidP="00C956E6">
      <w:pPr>
        <w:rPr>
          <w:sz w:val="18"/>
          <w:szCs w:val="20"/>
        </w:rPr>
      </w:pPr>
    </w:p>
    <w:p w:rsidR="00C956E6" w:rsidRPr="00C956E6" w:rsidRDefault="00C956E6" w:rsidP="00C956E6">
      <w:pPr>
        <w:rPr>
          <w:sz w:val="18"/>
          <w:szCs w:val="20"/>
        </w:rPr>
      </w:pPr>
      <w:r w:rsidRPr="00C956E6">
        <w:rPr>
          <w:sz w:val="18"/>
          <w:szCs w:val="20"/>
        </w:rPr>
        <w:t xml:space="preserve">Coffee, tea and fruit will be served. </w:t>
      </w:r>
    </w:p>
    <w:p w:rsidR="00C956E6" w:rsidRPr="00C956E6" w:rsidRDefault="00C956E6" w:rsidP="00C956E6">
      <w:pPr>
        <w:rPr>
          <w:sz w:val="18"/>
          <w:szCs w:val="20"/>
        </w:rPr>
      </w:pPr>
      <w:r w:rsidRPr="00C956E6">
        <w:rPr>
          <w:sz w:val="18"/>
          <w:szCs w:val="20"/>
        </w:rPr>
        <w:t xml:space="preserve">Please feel free to forward this invitation to relevant colleagues whom are not included in this invitation e-mail. </w:t>
      </w:r>
    </w:p>
    <w:p w:rsidR="00C956E6" w:rsidRPr="00C956E6" w:rsidRDefault="00C956E6" w:rsidP="00C956E6">
      <w:pPr>
        <w:rPr>
          <w:sz w:val="18"/>
          <w:szCs w:val="20"/>
        </w:rPr>
      </w:pPr>
    </w:p>
    <w:p w:rsidR="00C956E6" w:rsidRPr="00C956E6" w:rsidRDefault="00C956E6" w:rsidP="00C956E6">
      <w:pPr>
        <w:rPr>
          <w:sz w:val="18"/>
          <w:szCs w:val="20"/>
        </w:rPr>
      </w:pPr>
      <w:r w:rsidRPr="00C956E6">
        <w:rPr>
          <w:sz w:val="18"/>
          <w:szCs w:val="20"/>
        </w:rPr>
        <w:t>We look forward to seeing you.</w:t>
      </w:r>
    </w:p>
    <w:p w:rsidR="00C956E6" w:rsidRPr="00C956E6" w:rsidRDefault="00C956E6" w:rsidP="00C956E6">
      <w:pPr>
        <w:rPr>
          <w:sz w:val="18"/>
          <w:szCs w:val="20"/>
        </w:rPr>
      </w:pPr>
    </w:p>
    <w:p w:rsidR="00C956E6" w:rsidRPr="00C956E6" w:rsidRDefault="00C956E6" w:rsidP="00C956E6">
      <w:pPr>
        <w:rPr>
          <w:sz w:val="18"/>
          <w:szCs w:val="20"/>
        </w:rPr>
      </w:pPr>
      <w:r w:rsidRPr="00C956E6">
        <w:rPr>
          <w:sz w:val="18"/>
          <w:szCs w:val="20"/>
        </w:rPr>
        <w:t>Best regards,</w:t>
      </w:r>
    </w:p>
    <w:p w:rsidR="00C956E6" w:rsidRPr="00C956E6" w:rsidRDefault="00C956E6" w:rsidP="00C956E6">
      <w:pPr>
        <w:rPr>
          <w:color w:val="1F497D"/>
          <w:sz w:val="18"/>
          <w:szCs w:val="20"/>
          <w:lang w:val="nb-NO" w:eastAsia="en-GB"/>
        </w:rPr>
      </w:pPr>
      <w:r w:rsidRPr="00C956E6">
        <w:rPr>
          <w:b/>
          <w:bCs/>
          <w:color w:val="4F81BD"/>
          <w:sz w:val="18"/>
          <w:szCs w:val="20"/>
          <w:lang w:val="en-US" w:eastAsia="en-GB"/>
        </w:rPr>
        <w:t>Tina S</w:t>
      </w:r>
      <w:proofErr w:type="spellStart"/>
      <w:r w:rsidRPr="00C956E6">
        <w:rPr>
          <w:b/>
          <w:bCs/>
          <w:color w:val="4F81BD"/>
          <w:sz w:val="18"/>
          <w:szCs w:val="20"/>
          <w:lang w:eastAsia="en-GB"/>
        </w:rPr>
        <w:t>ølv</w:t>
      </w:r>
      <w:proofErr w:type="spellEnd"/>
      <w:r w:rsidRPr="00C956E6">
        <w:rPr>
          <w:b/>
          <w:bCs/>
          <w:color w:val="4F81BD"/>
          <w:sz w:val="18"/>
          <w:szCs w:val="20"/>
          <w:lang w:val="en-US" w:eastAsia="en-GB"/>
        </w:rPr>
        <w:t>berg</w:t>
      </w:r>
      <w:r w:rsidRPr="00C956E6">
        <w:rPr>
          <w:rFonts w:ascii="Arial" w:hAnsi="Arial" w:cs="Arial"/>
          <w:color w:val="4181C0"/>
          <w:sz w:val="16"/>
          <w:szCs w:val="18"/>
          <w:lang w:val="en-US" w:eastAsia="en-GB"/>
        </w:rPr>
        <w:br/>
        <w:t xml:space="preserve">Governance Assessments </w:t>
      </w:r>
      <w:proofErr w:type="spellStart"/>
      <w:r w:rsidRPr="00C956E6">
        <w:rPr>
          <w:rFonts w:ascii="Arial" w:hAnsi="Arial" w:cs="Arial"/>
          <w:color w:val="4181C0"/>
          <w:sz w:val="16"/>
          <w:szCs w:val="18"/>
          <w:lang w:val="en-US" w:eastAsia="en-GB"/>
        </w:rPr>
        <w:t>Programme</w:t>
      </w:r>
      <w:proofErr w:type="spellEnd"/>
      <w:r w:rsidRPr="00C956E6">
        <w:rPr>
          <w:rFonts w:ascii="Arial" w:hAnsi="Arial" w:cs="Arial"/>
          <w:color w:val="4181C0"/>
          <w:sz w:val="16"/>
          <w:szCs w:val="18"/>
          <w:lang w:val="en-US" w:eastAsia="en-GB"/>
        </w:rPr>
        <w:t xml:space="preserve"> Officer</w:t>
      </w:r>
      <w:r w:rsidRPr="00C956E6">
        <w:rPr>
          <w:rFonts w:ascii="Arial" w:hAnsi="Arial" w:cs="Arial"/>
          <w:color w:val="4181C0"/>
          <w:sz w:val="16"/>
          <w:szCs w:val="18"/>
          <w:lang w:val="en-US" w:eastAsia="en-GB"/>
        </w:rPr>
        <w:br/>
        <w:t>DGG and EEG, UNDP</w:t>
      </w:r>
      <w:r w:rsidRPr="00C956E6">
        <w:rPr>
          <w:rFonts w:ascii="Arial" w:hAnsi="Arial" w:cs="Arial"/>
          <w:color w:val="008080"/>
          <w:sz w:val="16"/>
          <w:szCs w:val="18"/>
          <w:lang w:val="en-US" w:eastAsia="en-GB"/>
        </w:rPr>
        <w:t xml:space="preserve"> </w:t>
      </w:r>
      <w:r w:rsidRPr="00C956E6">
        <w:rPr>
          <w:rFonts w:ascii="Arial" w:hAnsi="Arial" w:cs="Arial"/>
          <w:color w:val="4F81BD"/>
          <w:sz w:val="16"/>
          <w:szCs w:val="18"/>
          <w:lang w:val="en-US" w:eastAsia="en-GB"/>
        </w:rPr>
        <w:t>Oslo Governance Centre</w:t>
      </w:r>
      <w:r w:rsidRPr="00C956E6">
        <w:rPr>
          <w:rFonts w:ascii="Arial" w:hAnsi="Arial" w:cs="Arial"/>
          <w:color w:val="4181C0"/>
          <w:sz w:val="16"/>
          <w:szCs w:val="18"/>
          <w:lang w:val="en-US" w:eastAsia="en-GB"/>
        </w:rPr>
        <w:br/>
        <w:t>Mobile: + 47 926 29 992</w:t>
      </w:r>
      <w:r w:rsidRPr="00C956E6">
        <w:rPr>
          <w:rFonts w:ascii="Arial" w:hAnsi="Arial" w:cs="Arial"/>
          <w:color w:val="4181C0"/>
          <w:sz w:val="16"/>
          <w:szCs w:val="18"/>
          <w:lang w:val="en-US" w:eastAsia="en-GB"/>
        </w:rPr>
        <w:br/>
      </w:r>
      <w:r w:rsidRPr="00C956E6">
        <w:rPr>
          <w:rFonts w:ascii="Arial" w:hAnsi="Arial" w:cs="Arial"/>
          <w:color w:val="4181C0"/>
          <w:sz w:val="16"/>
          <w:szCs w:val="18"/>
          <w:lang w:eastAsia="en-GB"/>
        </w:rPr>
        <w:t xml:space="preserve">Skype: </w:t>
      </w:r>
      <w:proofErr w:type="spellStart"/>
      <w:r w:rsidRPr="00C956E6">
        <w:rPr>
          <w:rFonts w:ascii="Arial" w:hAnsi="Arial" w:cs="Arial"/>
          <w:color w:val="4181C0"/>
          <w:sz w:val="16"/>
          <w:szCs w:val="18"/>
          <w:lang w:eastAsia="en-GB"/>
        </w:rPr>
        <w:t>tinahageberg</w:t>
      </w:r>
      <w:proofErr w:type="spellEnd"/>
      <w:r w:rsidRPr="00C956E6">
        <w:rPr>
          <w:rFonts w:ascii="Arial" w:hAnsi="Arial" w:cs="Arial"/>
          <w:color w:val="4181C0"/>
          <w:sz w:val="16"/>
          <w:szCs w:val="18"/>
          <w:lang w:eastAsia="en-GB"/>
        </w:rPr>
        <w:br/>
        <w:t xml:space="preserve">Website. </w:t>
      </w:r>
      <w:hyperlink r:id="rId9" w:history="1">
        <w:r w:rsidRPr="00C956E6">
          <w:rPr>
            <w:rStyle w:val="Hyperlink"/>
            <w:rFonts w:ascii="Arial" w:hAnsi="Arial" w:cs="Arial"/>
            <w:color w:val="4181C0"/>
            <w:sz w:val="16"/>
            <w:szCs w:val="18"/>
            <w:lang w:val="nb-NO" w:eastAsia="en-GB"/>
          </w:rPr>
          <w:t>www.un-redd.org</w:t>
        </w:r>
      </w:hyperlink>
    </w:p>
    <w:p w:rsidR="00C956E6" w:rsidRPr="00C956E6" w:rsidRDefault="00C956E6" w:rsidP="00C956E6">
      <w:pPr>
        <w:spacing w:after="240"/>
        <w:rPr>
          <w:color w:val="1F497D"/>
          <w:sz w:val="20"/>
          <w:lang w:val="nb-NO" w:eastAsia="en-GB"/>
        </w:rPr>
      </w:pPr>
    </w:p>
    <w:p w:rsidR="00C956E6" w:rsidRDefault="00C956E6" w:rsidP="00C956E6">
      <w:pPr>
        <w:rPr>
          <w:color w:val="1F497D"/>
          <w:lang w:eastAsia="en-GB"/>
        </w:rPr>
      </w:pPr>
      <w:r>
        <w:rPr>
          <w:noProof/>
          <w:color w:val="1F497D"/>
          <w:lang w:eastAsia="en-GB"/>
        </w:rPr>
        <w:drawing>
          <wp:inline distT="0" distB="0" distL="0" distR="0">
            <wp:extent cx="1397635" cy="1057910"/>
            <wp:effectExtent l="0" t="0" r="0" b="8890"/>
            <wp:docPr id="1" name="Picture 1" descr="Description: Description: Description: cid:image007.png@01CDD46D.4EA396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id:image007.png@01CDD46D.4EA396C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97635" cy="1057910"/>
                    </a:xfrm>
                    <a:prstGeom prst="rect">
                      <a:avLst/>
                    </a:prstGeom>
                    <a:noFill/>
                    <a:ln>
                      <a:noFill/>
                    </a:ln>
                  </pic:spPr>
                </pic:pic>
              </a:graphicData>
            </a:graphic>
          </wp:inline>
        </w:drawing>
      </w:r>
    </w:p>
    <w:p w:rsidR="003C4915" w:rsidRDefault="003C4915"/>
    <w:sectPr w:rsidR="003C49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E6"/>
    <w:rsid w:val="003C4915"/>
    <w:rsid w:val="00C95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6E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956E6"/>
    <w:rPr>
      <w:color w:val="0000FF"/>
      <w:u w:val="single"/>
    </w:rPr>
  </w:style>
  <w:style w:type="paragraph" w:styleId="ListParagraph">
    <w:name w:val="List Paragraph"/>
    <w:basedOn w:val="Normal"/>
    <w:uiPriority w:val="34"/>
    <w:qFormat/>
    <w:rsid w:val="00C956E6"/>
    <w:pPr>
      <w:spacing w:after="200" w:line="276" w:lineRule="auto"/>
      <w:ind w:left="720"/>
      <w:contextualSpacing/>
    </w:pPr>
  </w:style>
  <w:style w:type="paragraph" w:styleId="BalloonText">
    <w:name w:val="Balloon Text"/>
    <w:basedOn w:val="Normal"/>
    <w:link w:val="BalloonTextChar"/>
    <w:uiPriority w:val="99"/>
    <w:semiHidden/>
    <w:unhideWhenUsed/>
    <w:rsid w:val="00C956E6"/>
    <w:rPr>
      <w:rFonts w:ascii="Tahoma" w:hAnsi="Tahoma" w:cs="Tahoma"/>
      <w:sz w:val="16"/>
      <w:szCs w:val="16"/>
    </w:rPr>
  </w:style>
  <w:style w:type="character" w:customStyle="1" w:styleId="BalloonTextChar">
    <w:name w:val="Balloon Text Char"/>
    <w:basedOn w:val="DefaultParagraphFont"/>
    <w:link w:val="BalloonText"/>
    <w:uiPriority w:val="99"/>
    <w:semiHidden/>
    <w:rsid w:val="00C956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6E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956E6"/>
    <w:rPr>
      <w:color w:val="0000FF"/>
      <w:u w:val="single"/>
    </w:rPr>
  </w:style>
  <w:style w:type="paragraph" w:styleId="ListParagraph">
    <w:name w:val="List Paragraph"/>
    <w:basedOn w:val="Normal"/>
    <w:uiPriority w:val="34"/>
    <w:qFormat/>
    <w:rsid w:val="00C956E6"/>
    <w:pPr>
      <w:spacing w:after="200" w:line="276" w:lineRule="auto"/>
      <w:ind w:left="720"/>
      <w:contextualSpacing/>
    </w:pPr>
  </w:style>
  <w:style w:type="paragraph" w:styleId="BalloonText">
    <w:name w:val="Balloon Text"/>
    <w:basedOn w:val="Normal"/>
    <w:link w:val="BalloonTextChar"/>
    <w:uiPriority w:val="99"/>
    <w:semiHidden/>
    <w:unhideWhenUsed/>
    <w:rsid w:val="00C956E6"/>
    <w:rPr>
      <w:rFonts w:ascii="Tahoma" w:hAnsi="Tahoma" w:cs="Tahoma"/>
      <w:sz w:val="16"/>
      <w:szCs w:val="16"/>
    </w:rPr>
  </w:style>
  <w:style w:type="character" w:customStyle="1" w:styleId="BalloonTextChar">
    <w:name w:val="Balloon Text Char"/>
    <w:basedOn w:val="DefaultParagraphFont"/>
    <w:link w:val="BalloonText"/>
    <w:uiPriority w:val="99"/>
    <w:semiHidden/>
    <w:rsid w:val="00C956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na.solvberg@undp.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nredd.net/index.php?option=com_docman&amp;task=doc_download&amp;gid=12821"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nredd.net/index.php?option=com_docman&amp;task=doc_download&amp;gid=10535&amp;Itemid=53" TargetMode="External"/><Relationship Id="rId11" Type="http://schemas.openxmlformats.org/officeDocument/2006/relationships/image" Target="cid:image001.png@01CF84B5.3751D2D0" TargetMode="External"/><Relationship Id="rId5" Type="http://schemas.openxmlformats.org/officeDocument/2006/relationships/hyperlink" Target="http://www.unredd.net/index.php?option=com_content&amp;view=article&amp;id=903:governance&amp;catid=661:governance&amp;Itemid=221"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un-red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 House</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Solvberg</dc:creator>
  <cp:lastModifiedBy>Tina Solvberg</cp:lastModifiedBy>
  <cp:revision>1</cp:revision>
  <dcterms:created xsi:type="dcterms:W3CDTF">2014-08-18T09:40:00Z</dcterms:created>
  <dcterms:modified xsi:type="dcterms:W3CDTF">2014-08-18T09:42:00Z</dcterms:modified>
</cp:coreProperties>
</file>