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9F0" w:rsidRPr="000510D6" w:rsidRDefault="00545EE3" w:rsidP="00BE7C54">
      <w:pPr>
        <w:pStyle w:val="Heading1"/>
        <w:numPr>
          <w:ilvl w:val="0"/>
          <w:numId w:val="0"/>
        </w:numPr>
        <w:rPr>
          <w:lang w:val="en-GB"/>
        </w:rPr>
      </w:pPr>
      <w:r w:rsidRPr="000510D6">
        <w:rPr>
          <w:lang w:val="en-GB"/>
        </w:rPr>
        <w:t xml:space="preserve">Draft </w:t>
      </w:r>
      <w:r w:rsidR="00C84191" w:rsidRPr="000510D6">
        <w:rPr>
          <w:lang w:val="en-GB"/>
        </w:rPr>
        <w:t>c</w:t>
      </w:r>
      <w:r w:rsidRPr="000510D6">
        <w:rPr>
          <w:lang w:val="en-GB"/>
        </w:rPr>
        <w:t xml:space="preserve">oncept </w:t>
      </w:r>
      <w:r w:rsidR="00C84191" w:rsidRPr="000510D6">
        <w:rPr>
          <w:lang w:val="en-GB"/>
        </w:rPr>
        <w:t>n</w:t>
      </w:r>
      <w:r w:rsidRPr="000510D6">
        <w:rPr>
          <w:lang w:val="en-GB"/>
        </w:rPr>
        <w:t xml:space="preserve">ote on </w:t>
      </w:r>
      <w:r w:rsidR="00083C56" w:rsidRPr="000510D6">
        <w:rPr>
          <w:lang w:val="en-GB"/>
        </w:rPr>
        <w:t xml:space="preserve">proposed structuring of UN-REDD </w:t>
      </w:r>
      <w:r w:rsidR="00A2433C" w:rsidRPr="000510D6">
        <w:rPr>
          <w:lang w:val="en-GB"/>
        </w:rPr>
        <w:t xml:space="preserve">work on REDD+ </w:t>
      </w:r>
      <w:r w:rsidRPr="000510D6">
        <w:rPr>
          <w:lang w:val="en-GB"/>
        </w:rPr>
        <w:t>Safeguards</w:t>
      </w:r>
    </w:p>
    <w:p w:rsidR="00545EE3" w:rsidRPr="000510D6" w:rsidRDefault="00423B15" w:rsidP="00BE7C54">
      <w:pPr>
        <w:pStyle w:val="Heading2"/>
        <w:ind w:left="576" w:hanging="576"/>
        <w:rPr>
          <w:lang w:val="en-GB"/>
        </w:rPr>
      </w:pPr>
      <w:r w:rsidRPr="000510D6">
        <w:rPr>
          <w:lang w:val="en-GB"/>
        </w:rPr>
        <w:t>Introduction</w:t>
      </w:r>
    </w:p>
    <w:p w:rsidR="005B2A0C" w:rsidRDefault="005B2A0C" w:rsidP="00545EE3">
      <w:pPr>
        <w:spacing w:after="40"/>
        <w:rPr>
          <w:lang w:val="en-GB"/>
        </w:rPr>
      </w:pPr>
      <w:r w:rsidRPr="000510D6">
        <w:rPr>
          <w:lang w:val="en-GB"/>
        </w:rPr>
        <w:t xml:space="preserve">The aim of this note is to </w:t>
      </w:r>
      <w:r w:rsidR="00423B15" w:rsidRPr="000510D6">
        <w:rPr>
          <w:lang w:val="en-GB"/>
        </w:rPr>
        <w:t xml:space="preserve">outline the approach of </w:t>
      </w:r>
      <w:r w:rsidRPr="000510D6">
        <w:rPr>
          <w:lang w:val="en-GB"/>
        </w:rPr>
        <w:t xml:space="preserve">the UN-REDD Programme </w:t>
      </w:r>
      <w:r w:rsidR="00423B15" w:rsidRPr="000510D6">
        <w:rPr>
          <w:lang w:val="en-GB"/>
        </w:rPr>
        <w:t xml:space="preserve">to </w:t>
      </w:r>
      <w:r w:rsidRPr="000510D6">
        <w:rPr>
          <w:lang w:val="en-GB"/>
        </w:rPr>
        <w:t>REDD+ safeguards. It is initially for internal use in order to</w:t>
      </w:r>
      <w:r w:rsidR="00824C8B" w:rsidRPr="000510D6">
        <w:rPr>
          <w:lang w:val="en-GB"/>
        </w:rPr>
        <w:t xml:space="preserve"> present a proposal that can</w:t>
      </w:r>
      <w:r w:rsidRPr="000510D6">
        <w:rPr>
          <w:lang w:val="en-GB"/>
        </w:rPr>
        <w:t xml:space="preserve"> guide decisions on how work should be structured, but it is envisioned that the note may form the basis </w:t>
      </w:r>
      <w:r>
        <w:rPr>
          <w:rFonts w:cstheme="minorHAnsi"/>
          <w:lang w:val="en-US"/>
        </w:rPr>
        <w:t>of</w:t>
      </w:r>
      <w:r w:rsidRPr="000510D6">
        <w:rPr>
          <w:lang w:val="en-GB"/>
        </w:rPr>
        <w:t xml:space="preserve"> external communications with stakeholders interested in the issues covered.</w:t>
      </w:r>
    </w:p>
    <w:p w:rsidR="00441A81" w:rsidRDefault="00441A81" w:rsidP="00545EE3">
      <w:pPr>
        <w:spacing w:after="40"/>
        <w:rPr>
          <w:lang w:val="en-GB"/>
        </w:rPr>
      </w:pPr>
    </w:p>
    <w:p w:rsidR="00F9427F" w:rsidRPr="000510D6" w:rsidRDefault="006E577C" w:rsidP="00F9427F">
      <w:pPr>
        <w:spacing w:after="40"/>
        <w:rPr>
          <w:lang w:val="en-GB"/>
        </w:rPr>
      </w:pPr>
      <w:r>
        <w:rPr>
          <w:rFonts w:cstheme="minorHAnsi"/>
          <w:lang w:val="en-US"/>
        </w:rPr>
        <w:t xml:space="preserve">The UN-REDD </w:t>
      </w:r>
      <w:proofErr w:type="spellStart"/>
      <w:r>
        <w:rPr>
          <w:rFonts w:cstheme="minorHAnsi"/>
          <w:lang w:val="en-US"/>
        </w:rPr>
        <w:t>Programme</w:t>
      </w:r>
      <w:proofErr w:type="spellEnd"/>
      <w:r>
        <w:rPr>
          <w:rFonts w:cstheme="minorHAnsi"/>
          <w:lang w:val="en-US"/>
        </w:rPr>
        <w:t xml:space="preserve"> has developed a significant body of work over the last few years relating to social and environmental safeguards for REDD+ </w:t>
      </w:r>
      <w:proofErr w:type="spellStart"/>
      <w:r>
        <w:rPr>
          <w:rFonts w:cstheme="minorHAnsi"/>
          <w:lang w:val="en-US"/>
        </w:rPr>
        <w:t>Programmes</w:t>
      </w:r>
      <w:proofErr w:type="spellEnd"/>
      <w:r w:rsidR="00730E00">
        <w:rPr>
          <w:rFonts w:cstheme="minorHAnsi"/>
          <w:lang w:val="en-US"/>
        </w:rPr>
        <w:t>.</w:t>
      </w:r>
      <w:r>
        <w:rPr>
          <w:rFonts w:cstheme="minorHAnsi"/>
          <w:lang w:val="en-US"/>
        </w:rPr>
        <w:t xml:space="preserve"> This has primarily been in</w:t>
      </w:r>
      <w:r w:rsidR="00F32FC7">
        <w:rPr>
          <w:rFonts w:cstheme="minorHAnsi"/>
          <w:lang w:val="en-US"/>
        </w:rPr>
        <w:t xml:space="preserve"> the form of technical support through </w:t>
      </w:r>
      <w:r>
        <w:rPr>
          <w:rFonts w:cstheme="minorHAnsi"/>
          <w:lang w:val="en-US"/>
        </w:rPr>
        <w:t xml:space="preserve">the development of tools and </w:t>
      </w:r>
      <w:r w:rsidR="00F32FC7">
        <w:rPr>
          <w:rFonts w:cstheme="minorHAnsi"/>
          <w:lang w:val="en-US"/>
        </w:rPr>
        <w:t>guidance</w:t>
      </w:r>
      <w:r>
        <w:rPr>
          <w:rFonts w:cstheme="minorHAnsi"/>
          <w:lang w:val="en-US"/>
        </w:rPr>
        <w:t xml:space="preserve"> on safeguards</w:t>
      </w:r>
      <w:r w:rsidR="00F32FC7">
        <w:rPr>
          <w:rFonts w:cstheme="minorHAnsi"/>
          <w:lang w:val="en-US"/>
        </w:rPr>
        <w:t>, including the Social and Environmental Principles and Criteria (SEPC).</w:t>
      </w:r>
      <w:r w:rsidR="00C86452">
        <w:rPr>
          <w:lang w:val="en-GB"/>
        </w:rPr>
        <w:t xml:space="preserve"> </w:t>
      </w:r>
      <w:r w:rsidR="00F9427F" w:rsidRPr="000510D6">
        <w:rPr>
          <w:lang w:val="en-GB"/>
        </w:rPr>
        <w:t xml:space="preserve">The </w:t>
      </w:r>
      <w:r w:rsidR="00F9427F">
        <w:rPr>
          <w:lang w:val="en-GB"/>
        </w:rPr>
        <w:t>Programme’s body of work on safeguards led to the identification of two specific needs</w:t>
      </w:r>
      <w:r w:rsidR="00F9427F" w:rsidRPr="000510D6">
        <w:rPr>
          <w:lang w:val="en-GB"/>
        </w:rPr>
        <w:t xml:space="preserve">: </w:t>
      </w:r>
    </w:p>
    <w:p w:rsidR="00F9427F" w:rsidRPr="000510D6" w:rsidRDefault="00F9427F" w:rsidP="00F9427F">
      <w:pPr>
        <w:spacing w:after="40"/>
        <w:rPr>
          <w:lang w:val="en-GB"/>
        </w:rPr>
      </w:pPr>
    </w:p>
    <w:p w:rsidR="00F9427F" w:rsidRPr="000510D6" w:rsidRDefault="00F9427F" w:rsidP="00F9427F">
      <w:pPr>
        <w:pStyle w:val="ListParagraph"/>
        <w:numPr>
          <w:ilvl w:val="0"/>
          <w:numId w:val="40"/>
        </w:numPr>
        <w:spacing w:after="40"/>
        <w:rPr>
          <w:rFonts w:asciiTheme="minorHAnsi" w:hAnsiTheme="minorHAnsi"/>
          <w:sz w:val="22"/>
          <w:lang w:val="en-GB"/>
        </w:rPr>
      </w:pPr>
      <w:r w:rsidRPr="000510D6">
        <w:rPr>
          <w:rFonts w:asciiTheme="minorHAnsi" w:hAnsiTheme="minorHAnsi"/>
          <w:sz w:val="22"/>
          <w:lang w:val="en-GB"/>
        </w:rPr>
        <w:t>Addressing social and environmental issues in UN-REDD National Programmes and other UN-REDD funded activities;</w:t>
      </w:r>
    </w:p>
    <w:p w:rsidR="00F9427F" w:rsidRPr="000510D6" w:rsidRDefault="00F9427F" w:rsidP="00F9427F">
      <w:pPr>
        <w:pStyle w:val="ListParagraph"/>
        <w:numPr>
          <w:ilvl w:val="0"/>
          <w:numId w:val="40"/>
        </w:numPr>
        <w:spacing w:after="40"/>
        <w:rPr>
          <w:rFonts w:asciiTheme="minorHAnsi" w:hAnsiTheme="minorHAnsi"/>
          <w:sz w:val="22"/>
          <w:lang w:val="en-GB"/>
        </w:rPr>
      </w:pPr>
      <w:r w:rsidRPr="000510D6">
        <w:rPr>
          <w:rFonts w:asciiTheme="minorHAnsi" w:hAnsiTheme="minorHAnsi"/>
          <w:sz w:val="22"/>
          <w:lang w:val="en-GB"/>
        </w:rPr>
        <w:t>Supporting countries in developing national approaches to safeguards in line with the UNFCCC</w:t>
      </w:r>
    </w:p>
    <w:p w:rsidR="00F9427F" w:rsidRDefault="00F9427F" w:rsidP="00F9427F">
      <w:pPr>
        <w:spacing w:after="40"/>
        <w:rPr>
          <w:lang w:val="en-GB"/>
        </w:rPr>
      </w:pPr>
    </w:p>
    <w:p w:rsidR="003F63FE" w:rsidRDefault="00EC1615" w:rsidP="007D22D9">
      <w:pPr>
        <w:spacing w:after="40"/>
        <w:rPr>
          <w:lang w:val="en-GB"/>
        </w:rPr>
      </w:pPr>
      <w:r w:rsidRPr="000510D6">
        <w:rPr>
          <w:lang w:val="en-GB"/>
        </w:rPr>
        <w:t xml:space="preserve">The </w:t>
      </w:r>
      <w:r w:rsidR="00F32FC7">
        <w:rPr>
          <w:lang w:val="en-GB"/>
        </w:rPr>
        <w:t>SEPC</w:t>
      </w:r>
      <w:r w:rsidRPr="000510D6">
        <w:rPr>
          <w:lang w:val="en-GB"/>
        </w:rPr>
        <w:t xml:space="preserve"> ha</w:t>
      </w:r>
      <w:r w:rsidR="00F32FC7">
        <w:rPr>
          <w:lang w:val="en-GB"/>
        </w:rPr>
        <w:t>ve</w:t>
      </w:r>
      <w:r w:rsidRPr="000510D6">
        <w:rPr>
          <w:lang w:val="en-GB"/>
        </w:rPr>
        <w:t xml:space="preserve"> been developed over a period of 18 months, involving considerable external consultation</w:t>
      </w:r>
      <w:r w:rsidR="00251F47">
        <w:rPr>
          <w:lang w:val="en-GB"/>
        </w:rPr>
        <w:t xml:space="preserve"> and take</w:t>
      </w:r>
      <w:r w:rsidR="001F09A7">
        <w:rPr>
          <w:lang w:val="en-GB"/>
        </w:rPr>
        <w:t>s</w:t>
      </w:r>
      <w:r w:rsidR="00251F47">
        <w:rPr>
          <w:lang w:val="en-GB"/>
        </w:rPr>
        <w:t xml:space="preserve"> into consideration not only the need to minimise risk but also to enhance the social and environmental benefits</w:t>
      </w:r>
      <w:r w:rsidRPr="000510D6">
        <w:rPr>
          <w:lang w:val="en-GB"/>
        </w:rPr>
        <w:t xml:space="preserve">. </w:t>
      </w:r>
      <w:r w:rsidR="00251F47">
        <w:rPr>
          <w:lang w:val="en-GB"/>
        </w:rPr>
        <w:t>This consideration of both the risks and benefits underpins the work on safeguards and the type of support that the UN-REDD Programme can provide to countries.</w:t>
      </w:r>
      <w:r w:rsidR="001F09A7">
        <w:rPr>
          <w:lang w:val="en-GB"/>
        </w:rPr>
        <w:t xml:space="preserve"> </w:t>
      </w:r>
    </w:p>
    <w:p w:rsidR="003F63FE" w:rsidRDefault="003F63FE" w:rsidP="007D22D9">
      <w:pPr>
        <w:spacing w:after="40"/>
        <w:rPr>
          <w:lang w:val="en-GB"/>
        </w:rPr>
      </w:pPr>
    </w:p>
    <w:p w:rsidR="007D22D9" w:rsidRDefault="00423B15" w:rsidP="007D22D9">
      <w:pPr>
        <w:spacing w:after="40"/>
        <w:rPr>
          <w:rFonts w:cstheme="minorHAnsi"/>
          <w:lang w:val="en-GB"/>
        </w:rPr>
      </w:pPr>
      <w:r w:rsidRPr="000510D6">
        <w:rPr>
          <w:lang w:val="en-GB"/>
        </w:rPr>
        <w:t xml:space="preserve">At </w:t>
      </w:r>
      <w:r w:rsidR="00087634" w:rsidRPr="000510D6">
        <w:rPr>
          <w:lang w:val="en-GB"/>
        </w:rPr>
        <w:t>its eighth meeting</w:t>
      </w:r>
      <w:r w:rsidR="00395A51">
        <w:rPr>
          <w:lang w:val="en-GB"/>
        </w:rPr>
        <w:t>,</w:t>
      </w:r>
      <w:r w:rsidR="00087634" w:rsidRPr="000510D6">
        <w:rPr>
          <w:lang w:val="en-GB"/>
        </w:rPr>
        <w:t xml:space="preserve"> the Policy Board </w:t>
      </w:r>
      <w:r w:rsidR="009A42D1">
        <w:rPr>
          <w:lang w:val="en-GB"/>
        </w:rPr>
        <w:t xml:space="preserve">welcomed the SEPC as </w:t>
      </w:r>
      <w:r w:rsidR="003F63FE">
        <w:rPr>
          <w:lang w:val="en-GB"/>
        </w:rPr>
        <w:t xml:space="preserve">a </w:t>
      </w:r>
      <w:r w:rsidR="009A42D1">
        <w:rPr>
          <w:lang w:val="en-GB"/>
        </w:rPr>
        <w:t>guiding framework for the UN-REDD Programme</w:t>
      </w:r>
      <w:r w:rsidR="00951633">
        <w:rPr>
          <w:lang w:val="en-GB"/>
        </w:rPr>
        <w:t>. It noted that there was a need to ‘better demonstrate alignment of the SEPC with the agreements made under the UNFCCC and ensure that coverage of all safeguards is adequate’.</w:t>
      </w:r>
      <w:r w:rsidR="009A42D1">
        <w:rPr>
          <w:lang w:val="en-GB"/>
        </w:rPr>
        <w:t xml:space="preserve"> </w:t>
      </w:r>
      <w:r w:rsidR="009A42D1">
        <w:rPr>
          <w:rFonts w:cs="Calibri"/>
          <w:lang w:val="en-GB"/>
        </w:rPr>
        <w:t xml:space="preserve">In addition, the Policy Board also recommended that when applying the SEPC countries could receive clear guidance on how to coordinate the multiple initiatives on safeguards – SES, SESA, </w:t>
      </w:r>
      <w:proofErr w:type="gramStart"/>
      <w:r w:rsidR="009A42D1">
        <w:rPr>
          <w:rFonts w:cs="Calibri"/>
          <w:lang w:val="en-GB"/>
        </w:rPr>
        <w:t>SEPC  -</w:t>
      </w:r>
      <w:proofErr w:type="gramEnd"/>
      <w:r w:rsidR="009A42D1">
        <w:rPr>
          <w:rFonts w:cs="Calibri"/>
          <w:lang w:val="en-GB"/>
        </w:rPr>
        <w:t xml:space="preserve"> at country level and that the SEPC framework could acknowledge national circumstances and provide for future incorporation of feedback from countries and lessons learned during implementation of safeguards systems.</w:t>
      </w:r>
      <w:r w:rsidR="009A42D1">
        <w:rPr>
          <w:lang w:val="en-GB"/>
        </w:rPr>
        <w:t xml:space="preserve"> </w:t>
      </w:r>
    </w:p>
    <w:p w:rsidR="007D22D9" w:rsidRDefault="007D22D9" w:rsidP="00395A51">
      <w:pPr>
        <w:spacing w:after="40"/>
        <w:rPr>
          <w:rFonts w:cstheme="minorHAnsi"/>
          <w:lang w:val="en-GB"/>
        </w:rPr>
      </w:pPr>
    </w:p>
    <w:p w:rsidR="00F32FC7" w:rsidRDefault="00251F47" w:rsidP="00395A51">
      <w:pPr>
        <w:spacing w:after="40"/>
        <w:rPr>
          <w:rFonts w:cstheme="minorHAnsi"/>
          <w:lang w:val="en-GB"/>
        </w:rPr>
      </w:pPr>
      <w:r>
        <w:rPr>
          <w:rFonts w:cstheme="minorHAnsi"/>
          <w:lang w:val="en-GB"/>
        </w:rPr>
        <w:t>The foundation of the UN-REDD Programme’s work on safeguards was captured initially in the UN-REDD Programme Framework Document 2011-2015 with reference to safeguards in Work Areas 4</w:t>
      </w:r>
      <w:r w:rsidR="008225C9">
        <w:rPr>
          <w:rFonts w:cstheme="minorHAnsi"/>
          <w:lang w:val="en-GB"/>
        </w:rPr>
        <w:t xml:space="preserve"> (Stakeholder Engagement)</w:t>
      </w:r>
      <w:r>
        <w:rPr>
          <w:rFonts w:cstheme="minorHAnsi"/>
          <w:lang w:val="en-GB"/>
        </w:rPr>
        <w:t xml:space="preserve"> and 5</w:t>
      </w:r>
      <w:r w:rsidR="008225C9">
        <w:rPr>
          <w:rFonts w:cstheme="minorHAnsi"/>
          <w:lang w:val="en-GB"/>
        </w:rPr>
        <w:t xml:space="preserve"> (Multiple Benefits)</w:t>
      </w:r>
      <w:r>
        <w:rPr>
          <w:rFonts w:cstheme="minorHAnsi"/>
          <w:lang w:val="en-GB"/>
        </w:rPr>
        <w:t xml:space="preserve"> and reference to safeguard information systems in Work Area 2</w:t>
      </w:r>
      <w:r w:rsidR="008225C9">
        <w:rPr>
          <w:rFonts w:cstheme="minorHAnsi"/>
          <w:lang w:val="en-GB"/>
        </w:rPr>
        <w:t xml:space="preserve"> (Governance)</w:t>
      </w:r>
      <w:bookmarkStart w:id="0" w:name="_GoBack"/>
      <w:bookmarkEnd w:id="0"/>
      <w:r>
        <w:rPr>
          <w:rFonts w:cstheme="minorHAnsi"/>
          <w:lang w:val="en-GB"/>
        </w:rPr>
        <w:t xml:space="preserve">. </w:t>
      </w:r>
      <w:r w:rsidR="00441A81">
        <w:rPr>
          <w:rFonts w:cstheme="minorHAnsi"/>
          <w:lang w:val="en-GB"/>
        </w:rPr>
        <w:t>To date, t</w:t>
      </w:r>
      <w:r w:rsidR="00BC5C5B" w:rsidRPr="00395A51">
        <w:rPr>
          <w:rFonts w:cstheme="minorHAnsi"/>
          <w:lang w:val="en-GB"/>
        </w:rPr>
        <w:t xml:space="preserve">he UN-REDD Programme’s work on safeguards </w:t>
      </w:r>
      <w:r w:rsidR="006C5A73" w:rsidRPr="00395A51">
        <w:rPr>
          <w:rFonts w:cstheme="minorHAnsi"/>
          <w:lang w:val="en-GB"/>
        </w:rPr>
        <w:t xml:space="preserve">at the global level </w:t>
      </w:r>
      <w:r w:rsidR="00BC5C5B" w:rsidRPr="00395A51">
        <w:rPr>
          <w:rFonts w:cstheme="minorHAnsi"/>
          <w:lang w:val="en-GB"/>
        </w:rPr>
        <w:t xml:space="preserve">has been undertaken </w:t>
      </w:r>
      <w:r w:rsidR="007D22D9">
        <w:rPr>
          <w:rFonts w:cstheme="minorHAnsi"/>
          <w:lang w:val="en-GB"/>
        </w:rPr>
        <w:t xml:space="preserve">mostly </w:t>
      </w:r>
      <w:r w:rsidR="00BC5C5B" w:rsidRPr="00395A51">
        <w:rPr>
          <w:rFonts w:cstheme="minorHAnsi"/>
          <w:lang w:val="en-GB"/>
        </w:rPr>
        <w:t xml:space="preserve">by the SEPC Group </w:t>
      </w:r>
      <w:r w:rsidR="007D22D9">
        <w:rPr>
          <w:rFonts w:cstheme="minorHAnsi"/>
          <w:lang w:val="en-GB"/>
        </w:rPr>
        <w:t>but</w:t>
      </w:r>
      <w:r w:rsidR="00BC5C5B" w:rsidRPr="00395A51">
        <w:rPr>
          <w:rFonts w:cstheme="minorHAnsi"/>
          <w:lang w:val="en-GB"/>
        </w:rPr>
        <w:t xml:space="preserve"> </w:t>
      </w:r>
      <w:r w:rsidR="00441A81">
        <w:rPr>
          <w:rFonts w:cstheme="minorHAnsi"/>
          <w:lang w:val="en-GB"/>
        </w:rPr>
        <w:t>additional</w:t>
      </w:r>
      <w:r w:rsidR="005F523E">
        <w:rPr>
          <w:rFonts w:cstheme="minorHAnsi"/>
          <w:lang w:val="en-GB"/>
        </w:rPr>
        <w:t xml:space="preserve"> work is </w:t>
      </w:r>
      <w:r w:rsidR="002D009E">
        <w:rPr>
          <w:rFonts w:cstheme="minorHAnsi"/>
          <w:lang w:val="en-GB"/>
        </w:rPr>
        <w:t xml:space="preserve">also </w:t>
      </w:r>
      <w:r w:rsidR="005F523E">
        <w:rPr>
          <w:rFonts w:cstheme="minorHAnsi"/>
          <w:lang w:val="en-GB"/>
        </w:rPr>
        <w:t xml:space="preserve">ongoing </w:t>
      </w:r>
      <w:r w:rsidR="002D009E">
        <w:rPr>
          <w:rFonts w:cstheme="minorHAnsi"/>
          <w:lang w:val="en-GB"/>
        </w:rPr>
        <w:t>in other working groups such as</w:t>
      </w:r>
      <w:r w:rsidR="005F523E">
        <w:rPr>
          <w:rFonts w:cstheme="minorHAnsi"/>
          <w:lang w:val="en-GB"/>
        </w:rPr>
        <w:t xml:space="preserve"> </w:t>
      </w:r>
      <w:r w:rsidR="00BC5C5B" w:rsidRPr="00395A51">
        <w:rPr>
          <w:rFonts w:cstheme="minorHAnsi"/>
          <w:lang w:val="en-GB"/>
        </w:rPr>
        <w:t>the Monitoring and Information Group and the SIS ‘sub-group’ within it</w:t>
      </w:r>
      <w:r w:rsidR="002D009E">
        <w:rPr>
          <w:rFonts w:cstheme="minorHAnsi"/>
          <w:lang w:val="en-GB"/>
        </w:rPr>
        <w:t>. In addition, the Programme has developed a number of tools and guidelines directly relevant to safeguards, for instance the</w:t>
      </w:r>
      <w:r w:rsidR="00EC1615">
        <w:rPr>
          <w:rFonts w:cstheme="minorHAnsi"/>
          <w:lang w:val="en-GB"/>
        </w:rPr>
        <w:t xml:space="preserve"> </w:t>
      </w:r>
      <w:r w:rsidR="005F523E">
        <w:rPr>
          <w:rFonts w:cstheme="minorHAnsi"/>
          <w:lang w:val="en-GB"/>
        </w:rPr>
        <w:t>FPIC guidelines</w:t>
      </w:r>
      <w:r w:rsidR="002D009E">
        <w:rPr>
          <w:rFonts w:cstheme="minorHAnsi"/>
          <w:lang w:val="en-GB"/>
        </w:rPr>
        <w:t>.</w:t>
      </w:r>
      <w:r w:rsidR="005F523E">
        <w:rPr>
          <w:rFonts w:cstheme="minorHAnsi"/>
          <w:lang w:val="en-GB"/>
        </w:rPr>
        <w:t xml:space="preserve"> </w:t>
      </w:r>
      <w:r w:rsidR="00D36322" w:rsidRPr="00395A51">
        <w:rPr>
          <w:rFonts w:cstheme="minorHAnsi"/>
          <w:lang w:val="en-GB"/>
        </w:rPr>
        <w:t xml:space="preserve"> </w:t>
      </w:r>
      <w:r w:rsidR="002D009E">
        <w:rPr>
          <w:rFonts w:cstheme="minorHAnsi"/>
          <w:lang w:val="en-GB"/>
        </w:rPr>
        <w:t xml:space="preserve">See Annex I for more information </w:t>
      </w:r>
      <w:r w:rsidR="004A2AE1">
        <w:rPr>
          <w:rFonts w:cstheme="minorHAnsi"/>
          <w:lang w:val="en-GB"/>
        </w:rPr>
        <w:t xml:space="preserve">about </w:t>
      </w:r>
      <w:r w:rsidR="002D009E">
        <w:rPr>
          <w:rFonts w:cstheme="minorHAnsi"/>
          <w:lang w:val="en-GB"/>
        </w:rPr>
        <w:t xml:space="preserve">these tools and </w:t>
      </w:r>
      <w:r w:rsidR="002D009E">
        <w:rPr>
          <w:rFonts w:cstheme="minorHAnsi"/>
          <w:lang w:val="en-GB"/>
        </w:rPr>
        <w:lastRenderedPageBreak/>
        <w:t>guidelines, as provided by the group members</w:t>
      </w:r>
      <w:r w:rsidR="002D009E" w:rsidRPr="00395A51">
        <w:rPr>
          <w:rFonts w:cstheme="minorHAnsi"/>
          <w:lang w:val="en-GB"/>
        </w:rPr>
        <w:t xml:space="preserve">. </w:t>
      </w:r>
      <w:r w:rsidR="006C5A73" w:rsidRPr="00395A51">
        <w:rPr>
          <w:rFonts w:cstheme="minorHAnsi"/>
          <w:lang w:val="en-GB"/>
        </w:rPr>
        <w:t>A</w:t>
      </w:r>
      <w:r w:rsidR="00D36322" w:rsidRPr="00395A51">
        <w:rPr>
          <w:rFonts w:cstheme="minorHAnsi"/>
          <w:lang w:val="en-GB"/>
        </w:rPr>
        <w:t>t</w:t>
      </w:r>
      <w:r w:rsidR="00257BCC" w:rsidRPr="00395A51">
        <w:rPr>
          <w:rFonts w:cstheme="minorHAnsi"/>
          <w:lang w:val="en-GB"/>
        </w:rPr>
        <w:t xml:space="preserve"> </w:t>
      </w:r>
      <w:r w:rsidR="00D36322" w:rsidRPr="00395A51">
        <w:rPr>
          <w:rFonts w:cstheme="minorHAnsi"/>
          <w:lang w:val="en-GB"/>
        </w:rPr>
        <w:t>the country level</w:t>
      </w:r>
      <w:r w:rsidR="006C5A73" w:rsidRPr="00395A51">
        <w:rPr>
          <w:rFonts w:cstheme="minorHAnsi"/>
          <w:lang w:val="en-GB"/>
        </w:rPr>
        <w:t xml:space="preserve">, safeguards work has been part of </w:t>
      </w:r>
      <w:r w:rsidR="00D36322" w:rsidRPr="00395A51">
        <w:rPr>
          <w:rFonts w:cstheme="minorHAnsi"/>
          <w:lang w:val="en-GB"/>
        </w:rPr>
        <w:t xml:space="preserve">the activities planned in National Programmes and more recently </w:t>
      </w:r>
      <w:r w:rsidR="006C5A73" w:rsidRPr="00395A51">
        <w:rPr>
          <w:rFonts w:cstheme="minorHAnsi"/>
          <w:lang w:val="en-GB"/>
        </w:rPr>
        <w:t>a topic for</w:t>
      </w:r>
      <w:r w:rsidR="00257BCC" w:rsidRPr="00395A51">
        <w:rPr>
          <w:rFonts w:cstheme="minorHAnsi"/>
          <w:lang w:val="en-GB"/>
        </w:rPr>
        <w:t xml:space="preserve"> </w:t>
      </w:r>
      <w:r w:rsidR="00D36322" w:rsidRPr="00395A51">
        <w:rPr>
          <w:rFonts w:cstheme="minorHAnsi"/>
          <w:lang w:val="en-GB"/>
        </w:rPr>
        <w:t>targeted support requests</w:t>
      </w:r>
      <w:r w:rsidR="00395A51" w:rsidRPr="00395A51">
        <w:rPr>
          <w:rFonts w:cstheme="minorHAnsi"/>
          <w:lang w:val="en-GB"/>
        </w:rPr>
        <w:t xml:space="preserve"> (including from Bhutan, Costa Rica</w:t>
      </w:r>
      <w:r w:rsidR="002D009E">
        <w:rPr>
          <w:rFonts w:cstheme="minorHAnsi"/>
          <w:lang w:val="en-GB"/>
        </w:rPr>
        <w:t>,</w:t>
      </w:r>
      <w:r w:rsidR="00395A51" w:rsidRPr="00395A51">
        <w:rPr>
          <w:rFonts w:cstheme="minorHAnsi"/>
          <w:lang w:val="en-GB"/>
        </w:rPr>
        <w:t xml:space="preserve"> Philippines</w:t>
      </w:r>
      <w:r w:rsidR="002D009E">
        <w:rPr>
          <w:rFonts w:cstheme="minorHAnsi"/>
          <w:lang w:val="en-GB"/>
        </w:rPr>
        <w:t xml:space="preserve"> and Zambia</w:t>
      </w:r>
      <w:r w:rsidR="00395A51" w:rsidRPr="00395A51">
        <w:rPr>
          <w:rFonts w:cstheme="minorHAnsi"/>
          <w:lang w:val="en-GB"/>
        </w:rPr>
        <w:t>)</w:t>
      </w:r>
      <w:r w:rsidR="00257BCC" w:rsidRPr="00395A51">
        <w:rPr>
          <w:rFonts w:cstheme="minorHAnsi"/>
          <w:lang w:val="en-GB"/>
        </w:rPr>
        <w:t>.</w:t>
      </w:r>
      <w:r w:rsidR="00BC5C5B" w:rsidRPr="00395A51">
        <w:rPr>
          <w:rFonts w:cstheme="minorHAnsi"/>
          <w:lang w:val="en-GB"/>
        </w:rPr>
        <w:t xml:space="preserve"> </w:t>
      </w:r>
      <w:r w:rsidR="002D009E">
        <w:rPr>
          <w:rFonts w:cstheme="minorHAnsi"/>
          <w:lang w:val="en-GB"/>
        </w:rPr>
        <w:t xml:space="preserve"> </w:t>
      </w:r>
    </w:p>
    <w:p w:rsidR="00F32FC7" w:rsidRDefault="00F32FC7" w:rsidP="00395A51">
      <w:pPr>
        <w:spacing w:after="40"/>
        <w:rPr>
          <w:rFonts w:cstheme="minorHAnsi"/>
          <w:lang w:val="en-GB"/>
        </w:rPr>
      </w:pPr>
    </w:p>
    <w:p w:rsidR="00257BCC" w:rsidRDefault="00BC5C5B" w:rsidP="00395A51">
      <w:pPr>
        <w:spacing w:after="40"/>
        <w:rPr>
          <w:rFonts w:cstheme="minorHAnsi"/>
          <w:lang w:val="en-GB"/>
        </w:rPr>
      </w:pPr>
      <w:r w:rsidRPr="00395A51">
        <w:rPr>
          <w:rFonts w:cstheme="minorHAnsi"/>
          <w:lang w:val="en-GB"/>
        </w:rPr>
        <w:t>Discussions within the Programme have shown that there is a need to review these arrang</w:t>
      </w:r>
      <w:r w:rsidR="006C5A73" w:rsidRPr="00395A51">
        <w:rPr>
          <w:rFonts w:cstheme="minorHAnsi"/>
          <w:lang w:val="en-GB"/>
        </w:rPr>
        <w:t>e</w:t>
      </w:r>
      <w:r w:rsidRPr="00395A51">
        <w:rPr>
          <w:rFonts w:cstheme="minorHAnsi"/>
          <w:lang w:val="en-GB"/>
        </w:rPr>
        <w:t xml:space="preserve">ments </w:t>
      </w:r>
      <w:r w:rsidR="00257BCC" w:rsidRPr="00395A51">
        <w:rPr>
          <w:rFonts w:cstheme="minorHAnsi"/>
          <w:lang w:val="en-GB"/>
        </w:rPr>
        <w:t xml:space="preserve">to </w:t>
      </w:r>
      <w:r w:rsidRPr="00395A51">
        <w:rPr>
          <w:rFonts w:cstheme="minorHAnsi"/>
          <w:lang w:val="en-GB"/>
        </w:rPr>
        <w:t xml:space="preserve">ensure that work goes forward efficiently and effectively. </w:t>
      </w:r>
      <w:r w:rsidR="00F32FC7">
        <w:rPr>
          <w:rFonts w:cstheme="minorHAnsi"/>
          <w:lang w:val="en-GB"/>
        </w:rPr>
        <w:t xml:space="preserve">Further, </w:t>
      </w:r>
      <w:r w:rsidR="00F32FC7">
        <w:rPr>
          <w:rFonts w:cstheme="minorHAnsi"/>
          <w:lang w:val="en-US"/>
        </w:rPr>
        <w:t xml:space="preserve">there is still a lack of clarity in how all the tools developed by the </w:t>
      </w:r>
      <w:proofErr w:type="spellStart"/>
      <w:r w:rsidR="00F32FC7">
        <w:rPr>
          <w:rFonts w:cstheme="minorHAnsi"/>
          <w:lang w:val="en-US"/>
        </w:rPr>
        <w:t>Programme</w:t>
      </w:r>
      <w:proofErr w:type="spellEnd"/>
      <w:r w:rsidR="00F32FC7">
        <w:rPr>
          <w:rFonts w:cstheme="minorHAnsi"/>
          <w:lang w:val="en-US"/>
        </w:rPr>
        <w:t xml:space="preserve"> relate to each other and gaps have been identified in their coverage.</w:t>
      </w:r>
    </w:p>
    <w:p w:rsidR="00087634" w:rsidRPr="000510D6" w:rsidRDefault="00087634" w:rsidP="00087634">
      <w:pPr>
        <w:spacing w:after="40"/>
        <w:rPr>
          <w:lang w:val="en-GB"/>
        </w:rPr>
      </w:pPr>
    </w:p>
    <w:p w:rsidR="00A46E28" w:rsidRPr="000510D6" w:rsidRDefault="00785B07" w:rsidP="00BE7C54">
      <w:pPr>
        <w:pStyle w:val="Heading2"/>
        <w:rPr>
          <w:lang w:val="en-GB"/>
        </w:rPr>
      </w:pPr>
      <w:r w:rsidRPr="000510D6">
        <w:rPr>
          <w:lang w:val="en-GB"/>
        </w:rPr>
        <w:t xml:space="preserve">Objectives </w:t>
      </w:r>
    </w:p>
    <w:p w:rsidR="00BC5C5B" w:rsidRPr="000510D6" w:rsidRDefault="00BC5C5B" w:rsidP="006C5A73">
      <w:pPr>
        <w:keepNext/>
        <w:spacing w:after="40"/>
        <w:rPr>
          <w:lang w:val="en-GB"/>
        </w:rPr>
      </w:pPr>
      <w:r w:rsidRPr="000510D6">
        <w:rPr>
          <w:lang w:val="en-GB"/>
        </w:rPr>
        <w:t xml:space="preserve">In line </w:t>
      </w:r>
      <w:r w:rsidR="009723CB" w:rsidRPr="000510D6">
        <w:rPr>
          <w:lang w:val="en-GB"/>
        </w:rPr>
        <w:t xml:space="preserve">with </w:t>
      </w:r>
      <w:r w:rsidRPr="000510D6">
        <w:rPr>
          <w:lang w:val="en-GB"/>
        </w:rPr>
        <w:t>the two specific needs that have already been identified</w:t>
      </w:r>
      <w:r w:rsidR="007D22D9">
        <w:rPr>
          <w:lang w:val="en-GB"/>
        </w:rPr>
        <w:t xml:space="preserve"> above</w:t>
      </w:r>
      <w:r w:rsidRPr="000510D6">
        <w:rPr>
          <w:lang w:val="en-GB"/>
        </w:rPr>
        <w:t>, the objectives of the</w:t>
      </w:r>
      <w:r w:rsidR="00395A51">
        <w:rPr>
          <w:lang w:val="en-GB"/>
        </w:rPr>
        <w:t xml:space="preserve"> </w:t>
      </w:r>
      <w:r w:rsidRPr="000510D6">
        <w:rPr>
          <w:lang w:val="en-GB"/>
        </w:rPr>
        <w:t xml:space="preserve">UN-REDD Programme’s work on safeguards </w:t>
      </w:r>
      <w:r w:rsidR="007D22D9">
        <w:rPr>
          <w:lang w:val="en-GB"/>
        </w:rPr>
        <w:t>should be</w:t>
      </w:r>
      <w:r w:rsidRPr="000510D6">
        <w:rPr>
          <w:lang w:val="en-GB"/>
        </w:rPr>
        <w:t>:</w:t>
      </w:r>
    </w:p>
    <w:p w:rsidR="00BC5C5B" w:rsidRPr="000510D6" w:rsidRDefault="00BC5C5B" w:rsidP="00BE7C54">
      <w:pPr>
        <w:spacing w:after="40"/>
        <w:rPr>
          <w:lang w:val="en-GB"/>
        </w:rPr>
      </w:pPr>
    </w:p>
    <w:p w:rsidR="00BC5C5B" w:rsidRPr="000510D6" w:rsidRDefault="00BC5C5B" w:rsidP="00BC5C5B">
      <w:pPr>
        <w:pStyle w:val="ListParagraph"/>
        <w:numPr>
          <w:ilvl w:val="0"/>
          <w:numId w:val="41"/>
        </w:numPr>
        <w:spacing w:after="40"/>
        <w:rPr>
          <w:rFonts w:asciiTheme="minorHAnsi" w:hAnsiTheme="minorHAnsi"/>
          <w:sz w:val="22"/>
          <w:lang w:val="en-GB"/>
        </w:rPr>
      </w:pPr>
      <w:r w:rsidRPr="000510D6">
        <w:rPr>
          <w:rFonts w:asciiTheme="minorHAnsi" w:hAnsiTheme="minorHAnsi"/>
          <w:sz w:val="22"/>
          <w:lang w:val="en-GB"/>
        </w:rPr>
        <w:t xml:space="preserve">To address </w:t>
      </w:r>
      <w:r w:rsidR="009723CB" w:rsidRPr="000510D6">
        <w:rPr>
          <w:rFonts w:asciiTheme="minorHAnsi" w:hAnsiTheme="minorHAnsi"/>
          <w:sz w:val="22"/>
          <w:lang w:val="en-GB"/>
        </w:rPr>
        <w:t>social and environmental issues in UN</w:t>
      </w:r>
      <w:r w:rsidR="00C86452">
        <w:rPr>
          <w:rFonts w:asciiTheme="minorHAnsi" w:hAnsiTheme="minorHAnsi"/>
          <w:sz w:val="22"/>
          <w:lang w:val="en-GB"/>
        </w:rPr>
        <w:t>-REDD</w:t>
      </w:r>
      <w:r w:rsidR="009723CB" w:rsidRPr="000510D6">
        <w:rPr>
          <w:rFonts w:asciiTheme="minorHAnsi" w:hAnsiTheme="minorHAnsi"/>
          <w:sz w:val="22"/>
          <w:lang w:val="en-GB"/>
        </w:rPr>
        <w:t xml:space="preserve"> National Programmes and other UN-REDD funded activities;</w:t>
      </w:r>
    </w:p>
    <w:p w:rsidR="009723CB" w:rsidRPr="000510D6" w:rsidRDefault="009723CB" w:rsidP="00BC5C5B">
      <w:pPr>
        <w:pStyle w:val="ListParagraph"/>
        <w:numPr>
          <w:ilvl w:val="0"/>
          <w:numId w:val="41"/>
        </w:numPr>
        <w:spacing w:after="40"/>
        <w:rPr>
          <w:rFonts w:asciiTheme="minorHAnsi" w:hAnsiTheme="minorHAnsi"/>
          <w:sz w:val="22"/>
          <w:lang w:val="en-GB"/>
        </w:rPr>
      </w:pPr>
      <w:r w:rsidRPr="000510D6">
        <w:rPr>
          <w:rFonts w:asciiTheme="minorHAnsi" w:hAnsiTheme="minorHAnsi"/>
          <w:sz w:val="22"/>
          <w:lang w:val="en-GB"/>
        </w:rPr>
        <w:t>To support countries in developing national approaches to safeguards in line with the UNFCCC</w:t>
      </w:r>
    </w:p>
    <w:p w:rsidR="00F46C84" w:rsidRDefault="00F46C84">
      <w:pPr>
        <w:pStyle w:val="ListParagraph"/>
        <w:ind w:firstLine="0"/>
      </w:pPr>
    </w:p>
    <w:p w:rsidR="002A0A49" w:rsidRDefault="002A0A49" w:rsidP="002A0A49">
      <w:pPr>
        <w:spacing w:after="40"/>
        <w:rPr>
          <w:rFonts w:cstheme="minorHAnsi"/>
          <w:lang w:val="en-US"/>
        </w:rPr>
      </w:pPr>
      <w:r>
        <w:rPr>
          <w:rFonts w:cstheme="minorHAnsi"/>
          <w:lang w:val="en-US"/>
        </w:rPr>
        <w:t xml:space="preserve">This note focuses </w:t>
      </w:r>
      <w:r w:rsidR="00BC2980">
        <w:rPr>
          <w:rFonts w:cstheme="minorHAnsi"/>
          <w:lang w:val="en-US"/>
        </w:rPr>
        <w:t xml:space="preserve">more </w:t>
      </w:r>
      <w:r>
        <w:rPr>
          <w:rFonts w:cstheme="minorHAnsi"/>
          <w:lang w:val="en-US"/>
        </w:rPr>
        <w:t xml:space="preserve">on the second </w:t>
      </w:r>
      <w:r w:rsidR="00DA6F12">
        <w:rPr>
          <w:rFonts w:cstheme="minorHAnsi"/>
          <w:lang w:val="en-US"/>
        </w:rPr>
        <w:t>objective</w:t>
      </w:r>
      <w:r>
        <w:rPr>
          <w:rFonts w:cstheme="minorHAnsi"/>
          <w:lang w:val="en-US"/>
        </w:rPr>
        <w:t xml:space="preserve">, whilst acknowledging that it is critical that the first </w:t>
      </w:r>
      <w:r w:rsidR="00DA6F12">
        <w:rPr>
          <w:rFonts w:cstheme="minorHAnsi"/>
          <w:lang w:val="en-US"/>
        </w:rPr>
        <w:t>one</w:t>
      </w:r>
      <w:r>
        <w:rPr>
          <w:rFonts w:cstheme="minorHAnsi"/>
          <w:lang w:val="en-US"/>
        </w:rPr>
        <w:t xml:space="preserve"> is not sidelined but potentially dealt with in a different, but related, stream of work</w:t>
      </w:r>
      <w:r w:rsidR="00951633">
        <w:rPr>
          <w:rFonts w:cstheme="minorHAnsi"/>
          <w:lang w:val="en-US"/>
        </w:rPr>
        <w:t xml:space="preserve">. </w:t>
      </w:r>
      <w:r w:rsidR="00C86452">
        <w:rPr>
          <w:rFonts w:cstheme="minorHAnsi"/>
          <w:lang w:val="en-US"/>
        </w:rPr>
        <w:t xml:space="preserve"> </w:t>
      </w:r>
    </w:p>
    <w:p w:rsidR="009723CB" w:rsidRPr="000510D6" w:rsidRDefault="009723CB" w:rsidP="009723CB">
      <w:pPr>
        <w:spacing w:after="40"/>
        <w:rPr>
          <w:lang w:val="en-GB"/>
        </w:rPr>
      </w:pPr>
    </w:p>
    <w:p w:rsidR="009723CB" w:rsidRPr="000510D6" w:rsidRDefault="009723CB" w:rsidP="009723CB">
      <w:pPr>
        <w:spacing w:after="40"/>
        <w:rPr>
          <w:lang w:val="en-GB"/>
        </w:rPr>
      </w:pPr>
      <w:r w:rsidRPr="000510D6">
        <w:rPr>
          <w:lang w:val="en-GB"/>
        </w:rPr>
        <w:t>In the light of discussions in the Policy Board, and the needs of REDD+ countries, these objectives will be pursued in accordance with the following cons</w:t>
      </w:r>
      <w:r w:rsidR="00395A51">
        <w:rPr>
          <w:lang w:val="en-GB"/>
        </w:rPr>
        <w:t>i</w:t>
      </w:r>
      <w:r w:rsidRPr="000510D6">
        <w:rPr>
          <w:lang w:val="en-GB"/>
        </w:rPr>
        <w:t>derations:</w:t>
      </w:r>
    </w:p>
    <w:p w:rsidR="009723CB" w:rsidRPr="000510D6" w:rsidRDefault="009723CB" w:rsidP="009723CB">
      <w:pPr>
        <w:pStyle w:val="ListParagraph"/>
        <w:numPr>
          <w:ilvl w:val="0"/>
          <w:numId w:val="42"/>
        </w:numPr>
        <w:spacing w:after="40"/>
        <w:rPr>
          <w:rFonts w:asciiTheme="minorHAnsi" w:hAnsiTheme="minorHAnsi"/>
          <w:sz w:val="22"/>
          <w:lang w:val="en-GB"/>
        </w:rPr>
      </w:pPr>
      <w:r w:rsidRPr="000510D6">
        <w:rPr>
          <w:rFonts w:asciiTheme="minorHAnsi" w:hAnsiTheme="minorHAnsi"/>
          <w:sz w:val="22"/>
          <w:lang w:val="en-GB"/>
        </w:rPr>
        <w:t xml:space="preserve">There is a need to better demonstrate alignment of the </w:t>
      </w:r>
      <w:r w:rsidR="003A15A0">
        <w:rPr>
          <w:rFonts w:asciiTheme="minorHAnsi" w:hAnsiTheme="minorHAnsi"/>
          <w:sz w:val="22"/>
          <w:lang w:val="en-GB"/>
        </w:rPr>
        <w:t xml:space="preserve">SEPC </w:t>
      </w:r>
      <w:r w:rsidR="00BC2980">
        <w:rPr>
          <w:rFonts w:asciiTheme="minorHAnsi" w:hAnsiTheme="minorHAnsi"/>
          <w:sz w:val="22"/>
          <w:lang w:val="en-GB"/>
        </w:rPr>
        <w:t xml:space="preserve">and any complementary work </w:t>
      </w:r>
      <w:r w:rsidRPr="000510D6">
        <w:rPr>
          <w:rFonts w:asciiTheme="minorHAnsi" w:hAnsiTheme="minorHAnsi"/>
          <w:sz w:val="22"/>
          <w:lang w:val="en-GB"/>
        </w:rPr>
        <w:t>with the agreements made under the UNFCCC and to ensure that coverage of all safeguards is adequate;</w:t>
      </w:r>
      <w:r w:rsidR="00172218" w:rsidRPr="000510D6">
        <w:rPr>
          <w:rFonts w:asciiTheme="minorHAnsi" w:hAnsiTheme="minorHAnsi"/>
          <w:sz w:val="22"/>
          <w:lang w:val="en-GB"/>
        </w:rPr>
        <w:t xml:space="preserve"> the Cancun safeguards provide the basis for all </w:t>
      </w:r>
      <w:r w:rsidR="003F63FE">
        <w:rPr>
          <w:rFonts w:asciiTheme="minorHAnsi" w:hAnsiTheme="minorHAnsi"/>
          <w:sz w:val="22"/>
          <w:lang w:val="en-GB"/>
        </w:rPr>
        <w:t xml:space="preserve">of </w:t>
      </w:r>
      <w:r w:rsidR="00172218" w:rsidRPr="000510D6">
        <w:rPr>
          <w:rFonts w:asciiTheme="minorHAnsi" w:hAnsiTheme="minorHAnsi"/>
          <w:sz w:val="22"/>
          <w:lang w:val="en-GB"/>
        </w:rPr>
        <w:t xml:space="preserve">our safeguards-related work </w:t>
      </w:r>
    </w:p>
    <w:p w:rsidR="009723CB" w:rsidRPr="000510D6" w:rsidRDefault="009723CB" w:rsidP="009723CB">
      <w:pPr>
        <w:pStyle w:val="ListParagraph"/>
        <w:numPr>
          <w:ilvl w:val="0"/>
          <w:numId w:val="42"/>
        </w:numPr>
        <w:spacing w:after="40"/>
        <w:rPr>
          <w:rFonts w:asciiTheme="minorHAnsi" w:hAnsiTheme="minorHAnsi"/>
          <w:sz w:val="22"/>
          <w:lang w:val="en-GB"/>
        </w:rPr>
      </w:pPr>
      <w:r w:rsidRPr="000510D6">
        <w:rPr>
          <w:rFonts w:asciiTheme="minorHAnsi" w:hAnsiTheme="minorHAnsi"/>
          <w:sz w:val="22"/>
          <w:lang w:val="en-GB"/>
        </w:rPr>
        <w:t>In supporting countries on safeguards</w:t>
      </w:r>
      <w:r w:rsidR="006C5A73">
        <w:rPr>
          <w:rFonts w:asciiTheme="minorHAnsi" w:hAnsiTheme="minorHAnsi"/>
          <w:sz w:val="22"/>
          <w:szCs w:val="22"/>
        </w:rPr>
        <w:t>,</w:t>
      </w:r>
      <w:r w:rsidRPr="000510D6">
        <w:rPr>
          <w:rFonts w:asciiTheme="minorHAnsi" w:hAnsiTheme="minorHAnsi"/>
          <w:sz w:val="22"/>
          <w:lang w:val="en-GB"/>
        </w:rPr>
        <w:t xml:space="preserve"> the UN-REDD Programme will be responsive to </w:t>
      </w:r>
      <w:r w:rsidR="00AC26FB" w:rsidRPr="000510D6">
        <w:rPr>
          <w:rFonts w:asciiTheme="minorHAnsi" w:hAnsiTheme="minorHAnsi"/>
          <w:sz w:val="22"/>
          <w:lang w:val="en-GB"/>
        </w:rPr>
        <w:t>national circumstances,</w:t>
      </w:r>
      <w:r w:rsidRPr="000510D6">
        <w:rPr>
          <w:rFonts w:asciiTheme="minorHAnsi" w:hAnsiTheme="minorHAnsi"/>
          <w:sz w:val="22"/>
          <w:lang w:val="en-GB"/>
        </w:rPr>
        <w:t xml:space="preserve"> needs and requests</w:t>
      </w:r>
    </w:p>
    <w:p w:rsidR="009723CB" w:rsidRPr="000510D6" w:rsidRDefault="009723CB" w:rsidP="009723CB">
      <w:pPr>
        <w:pStyle w:val="ListParagraph"/>
        <w:numPr>
          <w:ilvl w:val="0"/>
          <w:numId w:val="42"/>
        </w:numPr>
        <w:spacing w:after="40"/>
        <w:rPr>
          <w:rFonts w:asciiTheme="minorHAnsi" w:hAnsiTheme="minorHAnsi"/>
          <w:sz w:val="22"/>
          <w:lang w:val="en-GB"/>
        </w:rPr>
      </w:pPr>
      <w:r w:rsidRPr="000510D6">
        <w:rPr>
          <w:rFonts w:asciiTheme="minorHAnsi" w:hAnsiTheme="minorHAnsi"/>
          <w:sz w:val="22"/>
          <w:lang w:val="en-GB"/>
        </w:rPr>
        <w:t xml:space="preserve">The UN-REDD Programme needs to be </w:t>
      </w:r>
      <w:r w:rsidR="00172218" w:rsidRPr="000510D6">
        <w:rPr>
          <w:rFonts w:asciiTheme="minorHAnsi" w:hAnsiTheme="minorHAnsi"/>
          <w:sz w:val="22"/>
          <w:lang w:val="en-GB"/>
        </w:rPr>
        <w:t>able to support countries to develop their safeguards information systems</w:t>
      </w:r>
    </w:p>
    <w:p w:rsidR="00172218" w:rsidRPr="000510D6" w:rsidRDefault="00172218" w:rsidP="009723CB">
      <w:pPr>
        <w:pStyle w:val="ListParagraph"/>
        <w:numPr>
          <w:ilvl w:val="0"/>
          <w:numId w:val="42"/>
        </w:numPr>
        <w:spacing w:after="40"/>
        <w:rPr>
          <w:rFonts w:asciiTheme="minorHAnsi" w:hAnsiTheme="minorHAnsi"/>
          <w:sz w:val="22"/>
          <w:lang w:val="en-GB"/>
        </w:rPr>
      </w:pPr>
      <w:r w:rsidRPr="000510D6">
        <w:rPr>
          <w:rFonts w:asciiTheme="minorHAnsi" w:hAnsiTheme="minorHAnsi"/>
          <w:sz w:val="22"/>
          <w:lang w:val="en-GB"/>
        </w:rPr>
        <w:t>It is important to ensure that the tools and guidance that have been developed by the UN-REDD Programme and that are relevant to safeguards are presented and used in a coordinated way that responds to country needs.</w:t>
      </w:r>
    </w:p>
    <w:p w:rsidR="00172218" w:rsidRPr="000510D6" w:rsidRDefault="00172218" w:rsidP="009723CB">
      <w:pPr>
        <w:pStyle w:val="ListParagraph"/>
        <w:numPr>
          <w:ilvl w:val="0"/>
          <w:numId w:val="42"/>
        </w:numPr>
        <w:spacing w:after="40"/>
        <w:rPr>
          <w:rFonts w:asciiTheme="minorHAnsi" w:hAnsiTheme="minorHAnsi"/>
          <w:sz w:val="22"/>
          <w:lang w:val="en-GB"/>
        </w:rPr>
      </w:pPr>
      <w:r w:rsidRPr="000510D6">
        <w:rPr>
          <w:rFonts w:asciiTheme="minorHAnsi" w:hAnsiTheme="minorHAnsi"/>
          <w:sz w:val="22"/>
          <w:lang w:val="en-GB"/>
        </w:rPr>
        <w:t xml:space="preserve">There is a need to ensure coordination and coherence with the standards and safeguards of other initiatives, particularly the FCPF, as well as the REDD+ SES. </w:t>
      </w:r>
    </w:p>
    <w:p w:rsidR="00172218" w:rsidRPr="000510D6" w:rsidRDefault="00172218" w:rsidP="00172218">
      <w:pPr>
        <w:spacing w:after="40"/>
        <w:rPr>
          <w:lang w:val="en-GB"/>
        </w:rPr>
      </w:pPr>
    </w:p>
    <w:p w:rsidR="00172218" w:rsidRPr="000510D6" w:rsidRDefault="00172218" w:rsidP="00172218">
      <w:pPr>
        <w:spacing w:after="40"/>
        <w:rPr>
          <w:lang w:val="en-GB"/>
        </w:rPr>
      </w:pPr>
      <w:r w:rsidRPr="000510D6">
        <w:rPr>
          <w:lang w:val="en-GB"/>
        </w:rPr>
        <w:t xml:space="preserve">In organising the </w:t>
      </w:r>
      <w:r w:rsidR="00381C33" w:rsidRPr="000510D6">
        <w:rPr>
          <w:lang w:val="en-GB"/>
        </w:rPr>
        <w:t>work to meet the two objectives</w:t>
      </w:r>
      <w:r w:rsidR="00DB6D29">
        <w:rPr>
          <w:lang w:val="en-GB"/>
        </w:rPr>
        <w:t>,</w:t>
      </w:r>
      <w:r w:rsidR="00381C33" w:rsidRPr="000510D6">
        <w:rPr>
          <w:lang w:val="en-GB"/>
        </w:rPr>
        <w:t xml:space="preserve"> the UN-REDD Programme will seek to ensure:</w:t>
      </w:r>
    </w:p>
    <w:p w:rsidR="00381C33" w:rsidRPr="000510D6" w:rsidRDefault="00381C33" w:rsidP="00381C33">
      <w:pPr>
        <w:pStyle w:val="ListParagraph"/>
        <w:numPr>
          <w:ilvl w:val="0"/>
          <w:numId w:val="43"/>
        </w:numPr>
        <w:spacing w:after="40"/>
        <w:rPr>
          <w:rFonts w:asciiTheme="minorHAnsi" w:hAnsiTheme="minorHAnsi"/>
          <w:sz w:val="22"/>
          <w:lang w:val="en-GB"/>
        </w:rPr>
      </w:pPr>
      <w:r w:rsidRPr="000510D6">
        <w:rPr>
          <w:rFonts w:asciiTheme="minorHAnsi" w:hAnsiTheme="minorHAnsi"/>
          <w:sz w:val="22"/>
          <w:lang w:val="en-GB"/>
        </w:rPr>
        <w:t xml:space="preserve">the work of the agencies is fully coordinated, with </w:t>
      </w:r>
      <w:r w:rsidR="00FC492F">
        <w:rPr>
          <w:rFonts w:asciiTheme="minorHAnsi" w:hAnsiTheme="minorHAnsi"/>
          <w:sz w:val="22"/>
          <w:lang w:val="en-GB"/>
        </w:rPr>
        <w:t xml:space="preserve">a balanced </w:t>
      </w:r>
      <w:r w:rsidRPr="000510D6">
        <w:rPr>
          <w:rFonts w:asciiTheme="minorHAnsi" w:hAnsiTheme="minorHAnsi"/>
          <w:sz w:val="22"/>
          <w:lang w:val="en-GB"/>
        </w:rPr>
        <w:t>representation of all agencies at the appropriate level</w:t>
      </w:r>
      <w:r w:rsidR="00B73304">
        <w:rPr>
          <w:rFonts w:asciiTheme="minorHAnsi" w:hAnsiTheme="minorHAnsi"/>
          <w:sz w:val="22"/>
          <w:lang w:val="en-GB"/>
        </w:rPr>
        <w:t>;</w:t>
      </w:r>
    </w:p>
    <w:p w:rsidR="00381C33" w:rsidRPr="000510D6" w:rsidRDefault="00381C33" w:rsidP="00381C33">
      <w:pPr>
        <w:pStyle w:val="ListParagraph"/>
        <w:numPr>
          <w:ilvl w:val="0"/>
          <w:numId w:val="43"/>
        </w:numPr>
        <w:spacing w:after="40"/>
        <w:rPr>
          <w:rFonts w:asciiTheme="minorHAnsi" w:hAnsiTheme="minorHAnsi"/>
          <w:sz w:val="22"/>
          <w:lang w:val="en-GB"/>
        </w:rPr>
      </w:pPr>
      <w:r w:rsidRPr="000510D6">
        <w:rPr>
          <w:rFonts w:asciiTheme="minorHAnsi" w:hAnsiTheme="minorHAnsi"/>
          <w:sz w:val="22"/>
          <w:lang w:val="en-GB"/>
        </w:rPr>
        <w:t xml:space="preserve">the work on safeguards is properly consistent with other related areas of work within the Programme, including </w:t>
      </w:r>
      <w:r w:rsidR="00DB6D29">
        <w:rPr>
          <w:rFonts w:asciiTheme="minorHAnsi" w:hAnsiTheme="minorHAnsi"/>
          <w:sz w:val="22"/>
          <w:szCs w:val="22"/>
        </w:rPr>
        <w:t xml:space="preserve">the </w:t>
      </w:r>
      <w:r w:rsidRPr="000510D6">
        <w:rPr>
          <w:rFonts w:asciiTheme="minorHAnsi" w:hAnsiTheme="minorHAnsi"/>
          <w:sz w:val="22"/>
          <w:lang w:val="en-GB"/>
        </w:rPr>
        <w:t>national programme cycle</w:t>
      </w:r>
      <w:r w:rsidR="00B73304">
        <w:rPr>
          <w:rFonts w:asciiTheme="minorHAnsi" w:hAnsiTheme="minorHAnsi"/>
          <w:sz w:val="22"/>
          <w:lang w:val="en-GB"/>
        </w:rPr>
        <w:t>;</w:t>
      </w:r>
    </w:p>
    <w:p w:rsidR="00381C33" w:rsidRPr="000510D6" w:rsidRDefault="00381C33" w:rsidP="00381C33">
      <w:pPr>
        <w:pStyle w:val="ListParagraph"/>
        <w:numPr>
          <w:ilvl w:val="0"/>
          <w:numId w:val="43"/>
        </w:numPr>
        <w:spacing w:after="40"/>
        <w:rPr>
          <w:rFonts w:asciiTheme="minorHAnsi" w:hAnsiTheme="minorHAnsi"/>
          <w:sz w:val="22"/>
          <w:lang w:val="en-GB"/>
        </w:rPr>
      </w:pPr>
      <w:r w:rsidRPr="000510D6">
        <w:rPr>
          <w:rFonts w:asciiTheme="minorHAnsi" w:hAnsiTheme="minorHAnsi"/>
          <w:sz w:val="22"/>
          <w:lang w:val="en-GB"/>
        </w:rPr>
        <w:t>Programme staff from the national and regional levels are appropriate</w:t>
      </w:r>
      <w:r w:rsidR="00D36322" w:rsidRPr="000510D6">
        <w:rPr>
          <w:rFonts w:asciiTheme="minorHAnsi" w:hAnsiTheme="minorHAnsi"/>
          <w:sz w:val="22"/>
          <w:lang w:val="en-GB"/>
        </w:rPr>
        <w:t>ly</w:t>
      </w:r>
      <w:r w:rsidRPr="000510D6">
        <w:rPr>
          <w:rFonts w:asciiTheme="minorHAnsi" w:hAnsiTheme="minorHAnsi"/>
          <w:sz w:val="22"/>
          <w:lang w:val="en-GB"/>
        </w:rPr>
        <w:t xml:space="preserve"> integrated in this work</w:t>
      </w:r>
      <w:r w:rsidR="00B73304">
        <w:rPr>
          <w:rFonts w:asciiTheme="minorHAnsi" w:hAnsiTheme="minorHAnsi"/>
          <w:sz w:val="22"/>
          <w:lang w:val="en-GB"/>
        </w:rPr>
        <w:t>; and</w:t>
      </w:r>
    </w:p>
    <w:p w:rsidR="00381C33" w:rsidRPr="000510D6" w:rsidRDefault="00381C33" w:rsidP="00381C33">
      <w:pPr>
        <w:pStyle w:val="ListParagraph"/>
        <w:numPr>
          <w:ilvl w:val="0"/>
          <w:numId w:val="43"/>
        </w:numPr>
        <w:spacing w:after="40"/>
        <w:rPr>
          <w:rFonts w:asciiTheme="minorHAnsi" w:hAnsiTheme="minorHAnsi"/>
          <w:sz w:val="22"/>
          <w:lang w:val="en-GB"/>
        </w:rPr>
      </w:pPr>
      <w:proofErr w:type="gramStart"/>
      <w:r w:rsidRPr="000510D6">
        <w:rPr>
          <w:rFonts w:asciiTheme="minorHAnsi" w:hAnsiTheme="minorHAnsi"/>
          <w:sz w:val="22"/>
          <w:lang w:val="en-GB"/>
        </w:rPr>
        <w:lastRenderedPageBreak/>
        <w:t>the</w:t>
      </w:r>
      <w:proofErr w:type="gramEnd"/>
      <w:r w:rsidRPr="000510D6">
        <w:rPr>
          <w:rFonts w:asciiTheme="minorHAnsi" w:hAnsiTheme="minorHAnsi"/>
          <w:sz w:val="22"/>
          <w:lang w:val="en-GB"/>
        </w:rPr>
        <w:t xml:space="preserve"> working arrangements are designed to be as efficient and effective as possible in the light of the above considerations. </w:t>
      </w:r>
    </w:p>
    <w:p w:rsidR="009723CB" w:rsidRPr="000510D6" w:rsidRDefault="009723CB" w:rsidP="009723CB">
      <w:pPr>
        <w:spacing w:after="40"/>
        <w:rPr>
          <w:lang w:val="en-GB"/>
        </w:rPr>
      </w:pPr>
    </w:p>
    <w:p w:rsidR="007A60E7" w:rsidRPr="000510D6" w:rsidRDefault="00AC26FB" w:rsidP="00BE7C54">
      <w:pPr>
        <w:pStyle w:val="Heading3"/>
        <w:rPr>
          <w:lang w:val="en-GB"/>
        </w:rPr>
      </w:pPr>
      <w:r w:rsidRPr="000510D6">
        <w:rPr>
          <w:lang w:val="en-GB"/>
        </w:rPr>
        <w:t>Objective 1</w:t>
      </w:r>
    </w:p>
    <w:p w:rsidR="00AC26FB" w:rsidRPr="000510D6" w:rsidRDefault="00BC2980" w:rsidP="00AC26FB">
      <w:pPr>
        <w:rPr>
          <w:lang w:val="en-GB"/>
        </w:rPr>
      </w:pPr>
      <w:r>
        <w:rPr>
          <w:rFonts w:cstheme="minorHAnsi"/>
          <w:lang w:val="en-US"/>
        </w:rPr>
        <w:t>The first of the objectives focuses on UN-REDD policies and procedures for its work</w:t>
      </w:r>
      <w:r w:rsidR="00F561BA">
        <w:rPr>
          <w:rFonts w:cstheme="minorHAnsi"/>
          <w:lang w:val="en-US"/>
        </w:rPr>
        <w:t xml:space="preserve"> in countries</w:t>
      </w:r>
      <w:r>
        <w:rPr>
          <w:rFonts w:cstheme="minorHAnsi"/>
          <w:lang w:val="en-US"/>
        </w:rPr>
        <w:t xml:space="preserve">, so is more internally facing and relates to the duty of the </w:t>
      </w:r>
      <w:proofErr w:type="spellStart"/>
      <w:r>
        <w:rPr>
          <w:rFonts w:cstheme="minorHAnsi"/>
          <w:lang w:val="en-US"/>
        </w:rPr>
        <w:t>Programme</w:t>
      </w:r>
      <w:proofErr w:type="spellEnd"/>
      <w:r>
        <w:rPr>
          <w:rFonts w:cstheme="minorHAnsi"/>
          <w:lang w:val="en-US"/>
        </w:rPr>
        <w:t xml:space="preserve"> to uphold UN Conventions, treaties and declarations, and apply UN agency policies and procedures in the implementation of its work or when </w:t>
      </w:r>
      <w:r w:rsidR="003A15A0">
        <w:rPr>
          <w:rFonts w:cstheme="minorHAnsi"/>
          <w:lang w:val="en-US"/>
        </w:rPr>
        <w:t>it</w:t>
      </w:r>
      <w:r>
        <w:rPr>
          <w:rFonts w:cstheme="minorHAnsi"/>
          <w:lang w:val="en-US"/>
        </w:rPr>
        <w:t xml:space="preserve"> work</w:t>
      </w:r>
      <w:r w:rsidR="003A15A0">
        <w:rPr>
          <w:rFonts w:cstheme="minorHAnsi"/>
          <w:lang w:val="en-US"/>
        </w:rPr>
        <w:t>s</w:t>
      </w:r>
      <w:r>
        <w:rPr>
          <w:rFonts w:cstheme="minorHAnsi"/>
          <w:lang w:val="en-US"/>
        </w:rPr>
        <w:t xml:space="preserve"> with other organizations (for example the World Bank-FCPF). </w:t>
      </w:r>
      <w:r>
        <w:rPr>
          <w:lang w:val="en-GB"/>
        </w:rPr>
        <w:t>It is worth</w:t>
      </w:r>
      <w:r w:rsidR="003A15A0">
        <w:rPr>
          <w:lang w:val="en-GB"/>
        </w:rPr>
        <w:t xml:space="preserve"> noting</w:t>
      </w:r>
      <w:r>
        <w:rPr>
          <w:lang w:val="en-GB"/>
        </w:rPr>
        <w:t xml:space="preserve"> that t</w:t>
      </w:r>
      <w:r w:rsidR="00AC26FB" w:rsidRPr="000510D6">
        <w:rPr>
          <w:lang w:val="en-GB"/>
        </w:rPr>
        <w:t xml:space="preserve">o address the first objective, the SEPC </w:t>
      </w:r>
      <w:r>
        <w:rPr>
          <w:lang w:val="en-GB"/>
        </w:rPr>
        <w:t xml:space="preserve">and any further complementary work </w:t>
      </w:r>
      <w:r w:rsidR="00AC26FB" w:rsidRPr="000510D6">
        <w:rPr>
          <w:lang w:val="en-GB"/>
        </w:rPr>
        <w:t>can be applied at different stages of the UN-REDD programme cycle to ensure that social and environmental issues have been properly considered and addressed:</w:t>
      </w:r>
    </w:p>
    <w:p w:rsidR="00AC26FB" w:rsidRPr="000510D6" w:rsidRDefault="00AC26FB" w:rsidP="00AC26FB">
      <w:pPr>
        <w:pStyle w:val="ListParagraph"/>
        <w:numPr>
          <w:ilvl w:val="0"/>
          <w:numId w:val="44"/>
        </w:numPr>
        <w:rPr>
          <w:rFonts w:asciiTheme="minorHAnsi" w:hAnsiTheme="minorHAnsi"/>
          <w:sz w:val="22"/>
          <w:lang w:val="en-GB"/>
        </w:rPr>
      </w:pPr>
      <w:r w:rsidRPr="000510D6">
        <w:rPr>
          <w:rFonts w:asciiTheme="minorHAnsi" w:hAnsiTheme="minorHAnsi"/>
          <w:sz w:val="22"/>
          <w:lang w:val="en-GB"/>
        </w:rPr>
        <w:t>in the formulation of national UN-REDD programme</w:t>
      </w:r>
      <w:r w:rsidR="00D36322" w:rsidRPr="000510D6">
        <w:rPr>
          <w:rFonts w:asciiTheme="minorHAnsi" w:hAnsiTheme="minorHAnsi"/>
          <w:sz w:val="22"/>
          <w:lang w:val="en-GB"/>
        </w:rPr>
        <w:t>s</w:t>
      </w:r>
    </w:p>
    <w:p w:rsidR="00AC26FB" w:rsidRPr="000510D6" w:rsidRDefault="00AC26FB" w:rsidP="00AC26FB">
      <w:pPr>
        <w:pStyle w:val="ListParagraph"/>
        <w:numPr>
          <w:ilvl w:val="0"/>
          <w:numId w:val="44"/>
        </w:numPr>
        <w:rPr>
          <w:rFonts w:asciiTheme="minorHAnsi" w:hAnsiTheme="minorHAnsi"/>
          <w:sz w:val="22"/>
          <w:lang w:val="en-GB"/>
        </w:rPr>
      </w:pPr>
      <w:r w:rsidRPr="000510D6">
        <w:rPr>
          <w:rFonts w:asciiTheme="minorHAnsi" w:hAnsiTheme="minorHAnsi"/>
          <w:sz w:val="22"/>
          <w:lang w:val="en-GB"/>
        </w:rPr>
        <w:t>in the review, both internal and independent, of national programme documents</w:t>
      </w:r>
    </w:p>
    <w:p w:rsidR="00AC26FB" w:rsidRPr="000510D6" w:rsidRDefault="00AC26FB" w:rsidP="00AC26FB">
      <w:pPr>
        <w:pStyle w:val="ListParagraph"/>
        <w:numPr>
          <w:ilvl w:val="0"/>
          <w:numId w:val="44"/>
        </w:numPr>
        <w:rPr>
          <w:rFonts w:asciiTheme="minorHAnsi" w:hAnsiTheme="minorHAnsi"/>
          <w:sz w:val="22"/>
          <w:lang w:val="en-GB"/>
        </w:rPr>
      </w:pPr>
      <w:r w:rsidRPr="000510D6">
        <w:rPr>
          <w:rFonts w:asciiTheme="minorHAnsi" w:hAnsiTheme="minorHAnsi"/>
          <w:sz w:val="22"/>
          <w:lang w:val="en-GB"/>
        </w:rPr>
        <w:t>in the application of the planning, monitoring and reporting framework that guides national programme implementation</w:t>
      </w:r>
    </w:p>
    <w:p w:rsidR="00AC26FB" w:rsidRPr="000510D6" w:rsidRDefault="00AC26FB" w:rsidP="00AC26FB">
      <w:pPr>
        <w:rPr>
          <w:lang w:val="en-GB"/>
        </w:rPr>
      </w:pPr>
    </w:p>
    <w:p w:rsidR="00AC26FB" w:rsidRPr="000510D6" w:rsidRDefault="00AC26FB" w:rsidP="00AC26FB">
      <w:pPr>
        <w:rPr>
          <w:lang w:val="en-GB"/>
        </w:rPr>
      </w:pPr>
      <w:r w:rsidRPr="000510D6">
        <w:rPr>
          <w:lang w:val="en-GB"/>
        </w:rPr>
        <w:t xml:space="preserve">It will be important to ensure that the work under Objective 1 is consistent </w:t>
      </w:r>
      <w:r w:rsidR="00B73304">
        <w:rPr>
          <w:lang w:val="en-GB"/>
        </w:rPr>
        <w:t xml:space="preserve">with </w:t>
      </w:r>
      <w:r w:rsidRPr="000510D6">
        <w:rPr>
          <w:lang w:val="en-GB"/>
        </w:rPr>
        <w:t xml:space="preserve">and supportive of the work carried out under Objective 2. </w:t>
      </w:r>
    </w:p>
    <w:p w:rsidR="00AC26FB" w:rsidRPr="000510D6" w:rsidRDefault="00AC26FB" w:rsidP="00AC26FB">
      <w:pPr>
        <w:rPr>
          <w:lang w:val="en-GB"/>
        </w:rPr>
      </w:pPr>
    </w:p>
    <w:p w:rsidR="00242F7A" w:rsidRPr="000510D6" w:rsidRDefault="00AC26FB" w:rsidP="00242F7A">
      <w:pPr>
        <w:pStyle w:val="Heading3"/>
        <w:rPr>
          <w:lang w:val="en-GB"/>
        </w:rPr>
      </w:pPr>
      <w:r w:rsidRPr="000510D6">
        <w:rPr>
          <w:lang w:val="en-GB"/>
        </w:rPr>
        <w:t>Objective 2</w:t>
      </w:r>
    </w:p>
    <w:p w:rsidR="00242F7A" w:rsidRPr="000510D6" w:rsidRDefault="00701F41" w:rsidP="00242F7A">
      <w:pPr>
        <w:rPr>
          <w:lang w:val="en-GB"/>
        </w:rPr>
      </w:pPr>
      <w:r w:rsidRPr="000510D6">
        <w:rPr>
          <w:lang w:val="en-GB"/>
        </w:rPr>
        <w:t>In supporting countries to develop national approaches to safeguards</w:t>
      </w:r>
      <w:r w:rsidR="00FC492F">
        <w:rPr>
          <w:lang w:val="en-GB"/>
        </w:rPr>
        <w:t>,</w:t>
      </w:r>
      <w:r w:rsidRPr="000510D6">
        <w:rPr>
          <w:lang w:val="en-GB"/>
        </w:rPr>
        <w:t xml:space="preserve"> t</w:t>
      </w:r>
      <w:r w:rsidR="00242F7A" w:rsidRPr="000510D6">
        <w:rPr>
          <w:lang w:val="en-GB"/>
        </w:rPr>
        <w:t>he UN-REDD Programme provides support</w:t>
      </w:r>
      <w:r w:rsidR="00395A51">
        <w:rPr>
          <w:lang w:val="en-GB"/>
        </w:rPr>
        <w:t xml:space="preserve"> </w:t>
      </w:r>
      <w:r w:rsidR="00242F7A" w:rsidRPr="000510D6">
        <w:rPr>
          <w:lang w:val="en-GB"/>
        </w:rPr>
        <w:t xml:space="preserve">on safeguards at two different levels, corresponding with its Global Programme and Support to National Programmes. Global level work </w:t>
      </w:r>
      <w:r w:rsidR="00395A51">
        <w:rPr>
          <w:lang w:val="en-GB"/>
        </w:rPr>
        <w:t xml:space="preserve">focuses </w:t>
      </w:r>
      <w:r w:rsidR="00242F7A" w:rsidRPr="000510D6">
        <w:rPr>
          <w:lang w:val="en-GB"/>
        </w:rPr>
        <w:t xml:space="preserve">on ensuring a strategic and coordinated approach by the Programme, and particularly on ensuring that any country level support is responsive to the evolving UNFCCC </w:t>
      </w:r>
      <w:r w:rsidR="00127D85">
        <w:rPr>
          <w:lang w:val="en-GB"/>
        </w:rPr>
        <w:t>decisions</w:t>
      </w:r>
      <w:r w:rsidR="00127D85" w:rsidRPr="000510D6">
        <w:rPr>
          <w:lang w:val="en-GB"/>
        </w:rPr>
        <w:t xml:space="preserve"> </w:t>
      </w:r>
      <w:r w:rsidR="00242F7A" w:rsidRPr="000510D6">
        <w:rPr>
          <w:lang w:val="en-GB"/>
        </w:rPr>
        <w:t xml:space="preserve">on REDD+. Country level support </w:t>
      </w:r>
      <w:r w:rsidR="006E6C80" w:rsidRPr="000510D6">
        <w:rPr>
          <w:lang w:val="en-GB"/>
        </w:rPr>
        <w:t>focuses</w:t>
      </w:r>
      <w:r w:rsidR="00242F7A" w:rsidRPr="000510D6">
        <w:rPr>
          <w:lang w:val="en-GB"/>
        </w:rPr>
        <w:t xml:space="preserve"> on work to build country capacity to develop and implement</w:t>
      </w:r>
      <w:r w:rsidR="00FC492F">
        <w:rPr>
          <w:lang w:val="en-GB"/>
        </w:rPr>
        <w:t xml:space="preserve"> national approaches to</w:t>
      </w:r>
      <w:r w:rsidR="00B73304">
        <w:rPr>
          <w:lang w:val="en-GB"/>
        </w:rPr>
        <w:t xml:space="preserve"> </w:t>
      </w:r>
      <w:r w:rsidR="00242F7A" w:rsidRPr="000510D6">
        <w:rPr>
          <w:lang w:val="en-GB"/>
        </w:rPr>
        <w:t>safeguard</w:t>
      </w:r>
      <w:r w:rsidR="00FC492F">
        <w:rPr>
          <w:lang w:val="en-GB"/>
        </w:rPr>
        <w:t>s</w:t>
      </w:r>
      <w:r w:rsidR="00242F7A" w:rsidRPr="000510D6">
        <w:rPr>
          <w:lang w:val="en-GB"/>
        </w:rPr>
        <w:t xml:space="preserve">, in countries with UN-REDD National Programmes and other partner countries receiving </w:t>
      </w:r>
      <w:r w:rsidR="00395A51">
        <w:rPr>
          <w:lang w:val="en-GB"/>
        </w:rPr>
        <w:t xml:space="preserve">targeted </w:t>
      </w:r>
      <w:r w:rsidR="00242F7A" w:rsidRPr="000510D6">
        <w:rPr>
          <w:lang w:val="en-GB"/>
        </w:rPr>
        <w:t>support.</w:t>
      </w:r>
    </w:p>
    <w:p w:rsidR="00242F7A" w:rsidRPr="000510D6" w:rsidRDefault="00242F7A" w:rsidP="00242F7A">
      <w:pPr>
        <w:spacing w:after="40"/>
        <w:rPr>
          <w:rFonts w:cstheme="minorHAnsi"/>
          <w:color w:val="000000"/>
          <w:lang w:val="en-GB"/>
        </w:rPr>
      </w:pPr>
      <w:r w:rsidRPr="000510D6">
        <w:rPr>
          <w:rFonts w:ascii="Calibri" w:hAnsi="Calibri" w:cs="Calibri"/>
          <w:lang w:val="en-GB"/>
        </w:rPr>
        <w:t xml:space="preserve">The types of support provided </w:t>
      </w:r>
      <w:r w:rsidR="00127D85">
        <w:rPr>
          <w:rFonts w:ascii="Calibri" w:hAnsi="Calibri" w:cs="Calibri"/>
          <w:lang w:val="en-GB"/>
        </w:rPr>
        <w:t xml:space="preserve">could </w:t>
      </w:r>
      <w:r w:rsidRPr="000510D6">
        <w:rPr>
          <w:rFonts w:ascii="Calibri" w:hAnsi="Calibri" w:cs="Calibri"/>
          <w:lang w:val="en-GB"/>
        </w:rPr>
        <w:t xml:space="preserve">include: </w:t>
      </w:r>
    </w:p>
    <w:p w:rsidR="00242F7A" w:rsidRPr="000510D6" w:rsidRDefault="00242F7A" w:rsidP="00242F7A">
      <w:pPr>
        <w:pStyle w:val="ListParagraph"/>
        <w:spacing w:after="40"/>
        <w:ind w:left="0" w:firstLine="0"/>
        <w:rPr>
          <w:rFonts w:asciiTheme="minorHAnsi" w:hAnsiTheme="minorHAnsi"/>
          <w:color w:val="000000"/>
          <w:sz w:val="22"/>
          <w:lang w:val="en-GB"/>
        </w:rPr>
      </w:pPr>
    </w:p>
    <w:p w:rsidR="00242F7A" w:rsidRPr="000510D6" w:rsidRDefault="00242F7A" w:rsidP="00242F7A">
      <w:pPr>
        <w:pStyle w:val="ListParagraph"/>
        <w:numPr>
          <w:ilvl w:val="0"/>
          <w:numId w:val="8"/>
        </w:numPr>
        <w:rPr>
          <w:rFonts w:asciiTheme="minorHAnsi" w:hAnsiTheme="minorHAnsi"/>
          <w:sz w:val="22"/>
          <w:lang w:val="en-GB"/>
        </w:rPr>
      </w:pPr>
      <w:r w:rsidRPr="000510D6">
        <w:rPr>
          <w:rFonts w:asciiTheme="minorHAnsi" w:hAnsiTheme="minorHAnsi"/>
          <w:sz w:val="22"/>
          <w:lang w:val="en-GB"/>
        </w:rPr>
        <w:t>Practical guidance to support countries to respond to UNFCCC decisions, such as key questions to consider, appropriate tools and methodologies, and illustrative case studies</w:t>
      </w:r>
    </w:p>
    <w:p w:rsidR="00242F7A" w:rsidRPr="000510D6" w:rsidRDefault="00242F7A" w:rsidP="00242F7A">
      <w:pPr>
        <w:pStyle w:val="ListParagraph"/>
        <w:numPr>
          <w:ilvl w:val="0"/>
          <w:numId w:val="8"/>
        </w:numPr>
        <w:rPr>
          <w:rFonts w:asciiTheme="minorHAnsi" w:hAnsiTheme="minorHAnsi"/>
          <w:sz w:val="22"/>
          <w:lang w:val="en-GB"/>
        </w:rPr>
      </w:pPr>
      <w:r w:rsidRPr="000510D6">
        <w:rPr>
          <w:rFonts w:asciiTheme="minorHAnsi" w:hAnsiTheme="minorHAnsi"/>
          <w:sz w:val="22"/>
          <w:lang w:val="en-GB"/>
        </w:rPr>
        <w:t>Outline</w:t>
      </w:r>
      <w:r w:rsidR="002C3D8E">
        <w:rPr>
          <w:rFonts w:asciiTheme="minorHAnsi" w:hAnsiTheme="minorHAnsi"/>
          <w:sz w:val="22"/>
          <w:lang w:val="en-GB"/>
        </w:rPr>
        <w:t xml:space="preserve"> </w:t>
      </w:r>
      <w:r w:rsidR="003F63FE">
        <w:rPr>
          <w:rFonts w:asciiTheme="minorHAnsi" w:hAnsiTheme="minorHAnsi"/>
          <w:sz w:val="22"/>
          <w:lang w:val="en-GB"/>
        </w:rPr>
        <w:t xml:space="preserve">of </w:t>
      </w:r>
      <w:r w:rsidRPr="000510D6">
        <w:rPr>
          <w:rFonts w:asciiTheme="minorHAnsi" w:hAnsiTheme="minorHAnsi"/>
          <w:sz w:val="22"/>
          <w:lang w:val="en-GB"/>
        </w:rPr>
        <w:t>possible steps to be considered in the process of developing a country approach to safeguards, aligned with UNFCCC decisions, and best practice approaches for managing these steps</w:t>
      </w:r>
    </w:p>
    <w:p w:rsidR="00242F7A" w:rsidRPr="000510D6" w:rsidRDefault="00242F7A" w:rsidP="00242F7A">
      <w:pPr>
        <w:pStyle w:val="ListParagraph"/>
        <w:numPr>
          <w:ilvl w:val="0"/>
          <w:numId w:val="8"/>
        </w:numPr>
        <w:rPr>
          <w:rFonts w:asciiTheme="minorHAnsi" w:hAnsiTheme="minorHAnsi"/>
          <w:sz w:val="22"/>
          <w:lang w:val="en-GB"/>
        </w:rPr>
      </w:pPr>
      <w:r w:rsidRPr="000510D6">
        <w:rPr>
          <w:rFonts w:asciiTheme="minorHAnsi" w:hAnsiTheme="minorHAnsi"/>
          <w:sz w:val="22"/>
          <w:lang w:val="en-GB"/>
        </w:rPr>
        <w:t>Assist</w:t>
      </w:r>
      <w:r w:rsidR="003F63FE">
        <w:rPr>
          <w:rFonts w:asciiTheme="minorHAnsi" w:hAnsiTheme="minorHAnsi"/>
          <w:sz w:val="22"/>
          <w:lang w:val="en-GB"/>
        </w:rPr>
        <w:t>ance</w:t>
      </w:r>
      <w:r w:rsidRPr="000510D6">
        <w:rPr>
          <w:rFonts w:asciiTheme="minorHAnsi" w:hAnsiTheme="minorHAnsi"/>
          <w:sz w:val="22"/>
          <w:lang w:val="en-GB"/>
        </w:rPr>
        <w:t xml:space="preserve"> </w:t>
      </w:r>
      <w:r w:rsidR="003F63FE">
        <w:rPr>
          <w:rFonts w:asciiTheme="minorHAnsi" w:hAnsiTheme="minorHAnsi"/>
          <w:sz w:val="22"/>
          <w:lang w:val="en-GB"/>
        </w:rPr>
        <w:t xml:space="preserve">to </w:t>
      </w:r>
      <w:r w:rsidRPr="000510D6">
        <w:rPr>
          <w:rFonts w:asciiTheme="minorHAnsi" w:hAnsiTheme="minorHAnsi"/>
          <w:sz w:val="22"/>
          <w:lang w:val="en-GB"/>
        </w:rPr>
        <w:t xml:space="preserve">countries </w:t>
      </w:r>
      <w:r w:rsidR="003F63FE">
        <w:rPr>
          <w:rFonts w:asciiTheme="minorHAnsi" w:hAnsiTheme="minorHAnsi"/>
          <w:sz w:val="22"/>
          <w:lang w:val="en-GB"/>
        </w:rPr>
        <w:t>for the</w:t>
      </w:r>
      <w:r w:rsidRPr="000510D6">
        <w:rPr>
          <w:rFonts w:asciiTheme="minorHAnsi" w:hAnsiTheme="minorHAnsi"/>
          <w:sz w:val="22"/>
          <w:lang w:val="en-GB"/>
        </w:rPr>
        <w:t xml:space="preserve"> develop</w:t>
      </w:r>
      <w:r w:rsidR="003F63FE">
        <w:rPr>
          <w:rFonts w:asciiTheme="minorHAnsi" w:hAnsiTheme="minorHAnsi"/>
          <w:sz w:val="22"/>
          <w:lang w:val="en-GB"/>
        </w:rPr>
        <w:t>ment of</w:t>
      </w:r>
      <w:r w:rsidRPr="000510D6">
        <w:rPr>
          <w:rFonts w:asciiTheme="minorHAnsi" w:hAnsiTheme="minorHAnsi"/>
          <w:sz w:val="22"/>
          <w:lang w:val="en-GB"/>
        </w:rPr>
        <w:t xml:space="preserve"> policies, laws and regulations to address and respect safeguards consistent with the UNFCCC decision on safeguards</w:t>
      </w:r>
    </w:p>
    <w:p w:rsidR="003F63FE" w:rsidRDefault="00242F7A" w:rsidP="003F63FE">
      <w:pPr>
        <w:pStyle w:val="ListParagraph"/>
        <w:numPr>
          <w:ilvl w:val="0"/>
          <w:numId w:val="8"/>
        </w:numPr>
        <w:rPr>
          <w:rFonts w:asciiTheme="minorHAnsi" w:hAnsiTheme="minorHAnsi"/>
          <w:sz w:val="22"/>
          <w:lang w:val="en-GB"/>
        </w:rPr>
      </w:pPr>
      <w:r w:rsidRPr="000510D6">
        <w:rPr>
          <w:rFonts w:asciiTheme="minorHAnsi" w:hAnsiTheme="minorHAnsi"/>
          <w:sz w:val="22"/>
          <w:lang w:val="en-GB"/>
        </w:rPr>
        <w:t>Assist</w:t>
      </w:r>
      <w:r w:rsidR="003F63FE">
        <w:rPr>
          <w:rFonts w:asciiTheme="minorHAnsi" w:hAnsiTheme="minorHAnsi"/>
          <w:sz w:val="22"/>
          <w:lang w:val="en-GB"/>
        </w:rPr>
        <w:t>ance to</w:t>
      </w:r>
      <w:r w:rsidRPr="000510D6">
        <w:rPr>
          <w:rFonts w:asciiTheme="minorHAnsi" w:hAnsiTheme="minorHAnsi"/>
          <w:sz w:val="22"/>
          <w:lang w:val="en-GB"/>
        </w:rPr>
        <w:t xml:space="preserve"> countries to </w:t>
      </w:r>
      <w:r w:rsidR="00FC492F">
        <w:rPr>
          <w:rFonts w:asciiTheme="minorHAnsi" w:hAnsiTheme="minorHAnsi"/>
          <w:sz w:val="22"/>
          <w:lang w:val="en-GB"/>
        </w:rPr>
        <w:t xml:space="preserve">collect data on safeguards and </w:t>
      </w:r>
      <w:r w:rsidRPr="000510D6">
        <w:rPr>
          <w:rFonts w:asciiTheme="minorHAnsi" w:hAnsiTheme="minorHAnsi"/>
          <w:sz w:val="22"/>
          <w:lang w:val="en-GB"/>
        </w:rPr>
        <w:t>develop safeguard information systems, consistent with UNFCCC decisions</w:t>
      </w:r>
    </w:p>
    <w:p w:rsidR="008C5CC3" w:rsidRDefault="008C5CC3">
      <w:pPr>
        <w:rPr>
          <w:rFonts w:cstheme="minorHAnsi"/>
          <w:lang w:val="en-GB"/>
        </w:rPr>
      </w:pPr>
    </w:p>
    <w:p w:rsidR="008C5CC3" w:rsidRDefault="003F63FE">
      <w:pPr>
        <w:rPr>
          <w:lang w:val="en-GB"/>
        </w:rPr>
      </w:pPr>
      <w:r w:rsidRPr="003F63FE">
        <w:rPr>
          <w:rFonts w:cstheme="minorHAnsi"/>
          <w:lang w:val="en-GB"/>
        </w:rPr>
        <w:lastRenderedPageBreak/>
        <w:t>The current targeted support proposal from Costa Rica to develop an information system to verify observance and application of the Cancun safeguards, using the SEPC as a guiding framework, is a prime example of the type o</w:t>
      </w:r>
      <w:r w:rsidR="0079664E" w:rsidRPr="0079664E">
        <w:rPr>
          <w:rFonts w:cstheme="minorHAnsi"/>
          <w:lang w:val="en-GB"/>
        </w:rPr>
        <w:t>f support which would be provided.</w:t>
      </w:r>
    </w:p>
    <w:p w:rsidR="008C5CC3" w:rsidRDefault="003F63FE">
      <w:pPr>
        <w:rPr>
          <w:lang w:val="en-GB"/>
        </w:rPr>
      </w:pPr>
      <w:r>
        <w:rPr>
          <w:lang w:val="en-GB"/>
        </w:rPr>
        <w:t xml:space="preserve">It is important to ensure that </w:t>
      </w:r>
      <w:proofErr w:type="gramStart"/>
      <w:r>
        <w:rPr>
          <w:lang w:val="en-GB"/>
        </w:rPr>
        <w:t>T</w:t>
      </w:r>
      <w:r w:rsidR="00242F7A" w:rsidRPr="003F63FE">
        <w:rPr>
          <w:lang w:val="en-GB"/>
        </w:rPr>
        <w:t>he</w:t>
      </w:r>
      <w:r>
        <w:rPr>
          <w:lang w:val="en-GB"/>
        </w:rPr>
        <w:t xml:space="preserve"> </w:t>
      </w:r>
      <w:r w:rsidR="00242F7A" w:rsidRPr="003F63FE">
        <w:rPr>
          <w:lang w:val="en-GB"/>
        </w:rPr>
        <w:t xml:space="preserve"> approaches</w:t>
      </w:r>
      <w:proofErr w:type="gramEnd"/>
      <w:r w:rsidR="00242F7A" w:rsidRPr="003F63FE">
        <w:rPr>
          <w:lang w:val="en-GB"/>
        </w:rPr>
        <w:t xml:space="preserve"> </w:t>
      </w:r>
      <w:r>
        <w:rPr>
          <w:lang w:val="en-GB"/>
        </w:rPr>
        <w:t xml:space="preserve">listed above are developed </w:t>
      </w:r>
      <w:r w:rsidR="00242F7A" w:rsidRPr="003F63FE">
        <w:rPr>
          <w:lang w:val="en-GB"/>
        </w:rPr>
        <w:t xml:space="preserve">in a way that will allow countries to </w:t>
      </w:r>
      <w:r w:rsidR="00242F7A" w:rsidRPr="003F63FE">
        <w:rPr>
          <w:rFonts w:cstheme="minorHAnsi"/>
        </w:rPr>
        <w:t>go</w:t>
      </w:r>
      <w:r w:rsidR="00395A51" w:rsidRPr="003F63FE">
        <w:rPr>
          <w:rFonts w:cstheme="minorHAnsi"/>
        </w:rPr>
        <w:t xml:space="preserve"> </w:t>
      </w:r>
      <w:r w:rsidR="00242F7A" w:rsidRPr="003F63FE">
        <w:rPr>
          <w:lang w:val="en-GB"/>
        </w:rPr>
        <w:t>beyond the</w:t>
      </w:r>
      <w:r w:rsidR="00395A51" w:rsidRPr="003F63FE">
        <w:rPr>
          <w:lang w:val="en-GB"/>
        </w:rPr>
        <w:t xml:space="preserve"> </w:t>
      </w:r>
      <w:r w:rsidR="00242F7A" w:rsidRPr="003F63FE">
        <w:rPr>
          <w:lang w:val="en-GB"/>
        </w:rPr>
        <w:t>UNFCCC requirements if they wish to</w:t>
      </w:r>
      <w:r w:rsidR="006E6C80" w:rsidRPr="003F63FE">
        <w:rPr>
          <w:rFonts w:cstheme="minorHAnsi"/>
          <w:lang w:val="en-GB"/>
        </w:rPr>
        <w:t>.</w:t>
      </w:r>
    </w:p>
    <w:p w:rsidR="00701F41" w:rsidRPr="000510D6" w:rsidRDefault="00701F41" w:rsidP="00701F41">
      <w:pPr>
        <w:rPr>
          <w:rFonts w:cstheme="minorHAnsi"/>
          <w:lang w:val="en-GB"/>
        </w:rPr>
      </w:pPr>
      <w:r w:rsidRPr="000510D6">
        <w:rPr>
          <w:rFonts w:cstheme="minorHAnsi"/>
          <w:lang w:val="en-GB"/>
        </w:rPr>
        <w:t xml:space="preserve">Since Objective 2 represents a new area of work for the UN-REDD Programme, more detail on this is provided in the following section. </w:t>
      </w:r>
    </w:p>
    <w:p w:rsidR="00701F41" w:rsidRPr="000510D6" w:rsidRDefault="00701F41" w:rsidP="00701F41">
      <w:pPr>
        <w:rPr>
          <w:rFonts w:cstheme="minorHAnsi"/>
          <w:lang w:val="en-GB"/>
        </w:rPr>
      </w:pPr>
    </w:p>
    <w:p w:rsidR="005C6D88" w:rsidRPr="000510D6" w:rsidRDefault="00701F41" w:rsidP="00BE7C54">
      <w:pPr>
        <w:pStyle w:val="Heading2"/>
        <w:rPr>
          <w:lang w:val="en-GB"/>
        </w:rPr>
      </w:pPr>
      <w:r w:rsidRPr="000510D6">
        <w:rPr>
          <w:lang w:val="en-GB"/>
        </w:rPr>
        <w:t>Supporting countries to develop national approaches to safeguards (Objective 2)</w:t>
      </w:r>
    </w:p>
    <w:p w:rsidR="005C6D88" w:rsidRPr="000510D6" w:rsidRDefault="005C6D88" w:rsidP="00BE7C54">
      <w:pPr>
        <w:pStyle w:val="Heading3"/>
        <w:rPr>
          <w:lang w:val="en-GB"/>
        </w:rPr>
      </w:pPr>
      <w:r w:rsidRPr="000510D6">
        <w:rPr>
          <w:lang w:val="en-GB"/>
        </w:rPr>
        <w:t>Conceptual framework</w:t>
      </w:r>
    </w:p>
    <w:p w:rsidR="007261A1" w:rsidRPr="000510D6" w:rsidRDefault="00824C8B" w:rsidP="0014473F">
      <w:pPr>
        <w:keepNext/>
        <w:rPr>
          <w:rFonts w:cstheme="minorHAnsi"/>
          <w:lang w:val="en-GB"/>
        </w:rPr>
      </w:pPr>
      <w:r w:rsidRPr="000510D6">
        <w:rPr>
          <w:rFonts w:cstheme="minorHAnsi"/>
          <w:lang w:val="en-GB"/>
        </w:rPr>
        <w:t>The</w:t>
      </w:r>
      <w:r w:rsidR="00516D4E" w:rsidRPr="000510D6">
        <w:rPr>
          <w:rFonts w:cstheme="minorHAnsi"/>
          <w:lang w:val="en-GB"/>
        </w:rPr>
        <w:t xml:space="preserve"> UN-REDD approach is based </w:t>
      </w:r>
      <w:r w:rsidR="009A4FB5" w:rsidRPr="000510D6">
        <w:rPr>
          <w:rFonts w:cstheme="minorHAnsi"/>
          <w:lang w:val="en-GB"/>
        </w:rPr>
        <w:t xml:space="preserve">around a conceptual framework of the generic elements of a country </w:t>
      </w:r>
      <w:r w:rsidR="007A60E7" w:rsidRPr="000510D6">
        <w:rPr>
          <w:rFonts w:cstheme="minorHAnsi"/>
          <w:lang w:val="en-GB"/>
        </w:rPr>
        <w:t xml:space="preserve">approach to </w:t>
      </w:r>
      <w:r w:rsidR="009A4FB5" w:rsidRPr="000510D6">
        <w:rPr>
          <w:rFonts w:cstheme="minorHAnsi"/>
          <w:lang w:val="en-GB"/>
        </w:rPr>
        <w:t>safeguards</w:t>
      </w:r>
      <w:r w:rsidR="002E2B2C" w:rsidRPr="000510D6">
        <w:rPr>
          <w:rFonts w:cstheme="minorHAnsi"/>
          <w:lang w:val="en-GB"/>
        </w:rPr>
        <w:t xml:space="preserve">. </w:t>
      </w:r>
      <w:r w:rsidR="003E4252" w:rsidRPr="000510D6">
        <w:rPr>
          <w:rFonts w:cstheme="minorHAnsi"/>
          <w:lang w:val="en-GB"/>
        </w:rPr>
        <w:t xml:space="preserve">This is effectively </w:t>
      </w:r>
      <w:r w:rsidR="003E4252" w:rsidRPr="000510D6">
        <w:rPr>
          <w:rFonts w:cstheme="minorHAnsi"/>
          <w:i/>
          <w:lang w:val="en-GB"/>
        </w:rPr>
        <w:t xml:space="preserve">what the UN-REDD Programme understands as the key components of a country </w:t>
      </w:r>
      <w:r w:rsidR="007A60E7" w:rsidRPr="000510D6">
        <w:rPr>
          <w:rFonts w:cstheme="minorHAnsi"/>
          <w:i/>
          <w:lang w:val="en-GB"/>
        </w:rPr>
        <w:t xml:space="preserve">approach to </w:t>
      </w:r>
      <w:r w:rsidR="003E4252" w:rsidRPr="000510D6">
        <w:rPr>
          <w:rFonts w:cstheme="minorHAnsi"/>
          <w:i/>
          <w:lang w:val="en-GB"/>
        </w:rPr>
        <w:t>safeguards</w:t>
      </w:r>
      <w:r w:rsidR="003E4252" w:rsidRPr="000510D6">
        <w:rPr>
          <w:rFonts w:cstheme="minorHAnsi"/>
          <w:lang w:val="en-GB"/>
        </w:rPr>
        <w:t xml:space="preserve">, based on </w:t>
      </w:r>
      <w:r w:rsidR="009A4FB5" w:rsidRPr="000510D6">
        <w:rPr>
          <w:rFonts w:cstheme="minorHAnsi"/>
          <w:lang w:val="en-GB"/>
        </w:rPr>
        <w:t xml:space="preserve">the ‘functions’ that it needs to </w:t>
      </w:r>
      <w:r w:rsidR="006E6C80" w:rsidRPr="000510D6">
        <w:rPr>
          <w:rFonts w:cstheme="minorHAnsi"/>
          <w:lang w:val="en-GB"/>
        </w:rPr>
        <w:t>fulfil</w:t>
      </w:r>
      <w:r w:rsidR="009A4FB5" w:rsidRPr="000510D6">
        <w:rPr>
          <w:rFonts w:cstheme="minorHAnsi"/>
          <w:lang w:val="en-GB"/>
        </w:rPr>
        <w:t xml:space="preserve"> in order to ensure that social and environmental risks from REDD+ are reduced and benefits are enhanced. </w:t>
      </w:r>
      <w:r w:rsidR="00EE7F97" w:rsidRPr="000510D6">
        <w:rPr>
          <w:rFonts w:cstheme="minorHAnsi"/>
          <w:lang w:val="en-GB"/>
        </w:rPr>
        <w:t xml:space="preserve">Two </w:t>
      </w:r>
      <w:r w:rsidR="009A4FB5" w:rsidRPr="000510D6">
        <w:rPr>
          <w:rFonts w:cstheme="minorHAnsi"/>
          <w:lang w:val="en-GB"/>
        </w:rPr>
        <w:t>core elements are proposed</w:t>
      </w:r>
      <w:r w:rsidR="003E4252" w:rsidRPr="000510D6">
        <w:rPr>
          <w:rFonts w:cstheme="minorHAnsi"/>
          <w:lang w:val="en-GB"/>
        </w:rPr>
        <w:t xml:space="preserve"> that are drawn from theoretical understanding, early examples of country systems, UNFCCC discussions</w:t>
      </w:r>
      <w:r w:rsidR="00D36322" w:rsidRPr="000510D6">
        <w:rPr>
          <w:rFonts w:cstheme="minorHAnsi"/>
          <w:lang w:val="en-GB"/>
        </w:rPr>
        <w:t>, the SEPC</w:t>
      </w:r>
      <w:r w:rsidR="003E4252" w:rsidRPr="000510D6">
        <w:rPr>
          <w:rFonts w:cstheme="minorHAnsi"/>
          <w:lang w:val="en-GB"/>
        </w:rPr>
        <w:t xml:space="preserve"> and </w:t>
      </w:r>
      <w:r w:rsidR="006E577C">
        <w:rPr>
          <w:rFonts w:cstheme="minorHAnsi"/>
          <w:lang w:val="en-GB"/>
        </w:rPr>
        <w:t xml:space="preserve">other UN-REDD tools &amp; guidelines related to safeguards, as well as the </w:t>
      </w:r>
      <w:r w:rsidR="003E4252" w:rsidRPr="000510D6">
        <w:rPr>
          <w:rFonts w:cstheme="minorHAnsi"/>
          <w:lang w:val="en-GB"/>
        </w:rPr>
        <w:t>approaches of other organisations</w:t>
      </w:r>
      <w:r w:rsidR="009A4FB5" w:rsidRPr="000510D6">
        <w:rPr>
          <w:rFonts w:cstheme="minorHAnsi"/>
          <w:lang w:val="en-GB"/>
        </w:rPr>
        <w:t>:</w:t>
      </w:r>
    </w:p>
    <w:p w:rsidR="009A4FB5" w:rsidRPr="000510D6" w:rsidRDefault="009A4FB5" w:rsidP="0014473F">
      <w:pPr>
        <w:pStyle w:val="ListParagraph"/>
        <w:keepNext/>
        <w:ind w:left="360" w:firstLine="0"/>
        <w:rPr>
          <w:rFonts w:asciiTheme="minorHAnsi" w:hAnsiTheme="minorHAnsi"/>
          <w:sz w:val="22"/>
          <w:lang w:val="en-GB"/>
        </w:rPr>
      </w:pPr>
    </w:p>
    <w:p w:rsidR="00545EE3" w:rsidRPr="000510D6" w:rsidRDefault="009A4FB5" w:rsidP="0014473F">
      <w:pPr>
        <w:pStyle w:val="ListParagraph"/>
        <w:keepNext/>
        <w:numPr>
          <w:ilvl w:val="0"/>
          <w:numId w:val="2"/>
        </w:numPr>
        <w:ind w:left="1080"/>
        <w:contextualSpacing/>
        <w:rPr>
          <w:rFonts w:asciiTheme="minorHAnsi" w:hAnsiTheme="minorHAnsi"/>
          <w:sz w:val="22"/>
          <w:lang w:val="en-GB"/>
        </w:rPr>
      </w:pPr>
      <w:r w:rsidRPr="000510D6">
        <w:rPr>
          <w:rFonts w:asciiTheme="minorHAnsi" w:hAnsiTheme="minorHAnsi"/>
          <w:sz w:val="22"/>
          <w:lang w:val="en-GB"/>
        </w:rPr>
        <w:t>Safeguard p</w:t>
      </w:r>
      <w:r w:rsidR="00545EE3" w:rsidRPr="000510D6">
        <w:rPr>
          <w:rFonts w:asciiTheme="minorHAnsi" w:hAnsiTheme="minorHAnsi"/>
          <w:sz w:val="22"/>
          <w:lang w:val="en-GB"/>
        </w:rPr>
        <w:t>olicies, laws and regulations</w:t>
      </w:r>
    </w:p>
    <w:p w:rsidR="00545EE3" w:rsidRPr="000510D6" w:rsidRDefault="00545EE3" w:rsidP="0054244B">
      <w:pPr>
        <w:pStyle w:val="ListParagraph"/>
        <w:numPr>
          <w:ilvl w:val="0"/>
          <w:numId w:val="2"/>
        </w:numPr>
        <w:ind w:left="1080"/>
        <w:contextualSpacing/>
        <w:rPr>
          <w:rFonts w:asciiTheme="minorHAnsi" w:hAnsiTheme="minorHAnsi"/>
          <w:sz w:val="22"/>
          <w:lang w:val="en-GB"/>
        </w:rPr>
      </w:pPr>
      <w:r w:rsidRPr="000510D6">
        <w:rPr>
          <w:rFonts w:asciiTheme="minorHAnsi" w:hAnsiTheme="minorHAnsi"/>
          <w:sz w:val="22"/>
          <w:lang w:val="en-GB"/>
        </w:rPr>
        <w:t>Safeguard Information System (SIS)</w:t>
      </w:r>
    </w:p>
    <w:p w:rsidR="005D6030" w:rsidRPr="000510D6" w:rsidRDefault="005D6030" w:rsidP="005D6030">
      <w:pPr>
        <w:pStyle w:val="ListParagraph"/>
        <w:ind w:left="1080" w:firstLine="0"/>
        <w:contextualSpacing/>
        <w:rPr>
          <w:rFonts w:asciiTheme="minorHAnsi" w:hAnsiTheme="minorHAnsi"/>
          <w:sz w:val="22"/>
          <w:lang w:val="en-GB"/>
        </w:rPr>
      </w:pPr>
    </w:p>
    <w:p w:rsidR="002E2B2C" w:rsidRPr="000510D6" w:rsidRDefault="008C5CC3" w:rsidP="003E4252">
      <w:pPr>
        <w:rPr>
          <w:lang w:val="en-GB"/>
        </w:rPr>
      </w:pPr>
      <w:r>
        <w:rPr>
          <w:noProof/>
          <w:lang w:val="en-US"/>
        </w:rPr>
        <w:pict>
          <v:shapetype id="_x0000_t202" coordsize="21600,21600" o:spt="202" path="m,l,21600r21600,l21600,xe">
            <v:stroke joinstyle="miter"/>
            <v:path gradientshapeok="t" o:connecttype="rect"/>
          </v:shapetype>
          <v:shape id="Text Box 9" o:spid="_x0000_s1026" type="#_x0000_t202" style="position:absolute;left:0;text-align:left;margin-left:14.45pt;margin-top:24.5pt;width:215.25pt;height:61.05pt;z-index:251659264;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" filled="f">
            <v:path arrowok="t"/>
            <v:textbox>
              <w:txbxContent>
                <w:p w:rsidR="00B73304" w:rsidRPr="00441A81" w:rsidRDefault="00B73304" w:rsidP="00B94268">
                  <w:pPr>
                    <w:contextualSpacing/>
                    <w:rPr>
                      <w:rFonts w:cstheme="minorHAnsi"/>
                      <w:lang w:val="en-US"/>
                    </w:rPr>
                  </w:pPr>
                  <w:r w:rsidRPr="00441A81">
                    <w:rPr>
                      <w:rFonts w:cstheme="minorHAnsi"/>
                      <w:bCs/>
                      <w:lang w:val="en-US"/>
                    </w:rPr>
                    <w:t xml:space="preserve">1. Identification/development of relevant safeguards (policies, laws and regulations), addressing and respecting them </w:t>
                  </w:r>
                </w:p>
                <w:p w:rsidR="00B73304" w:rsidRPr="00441A81" w:rsidRDefault="00B73304">
                  <w:pPr>
                    <w:rPr>
                      <w:lang w:val="en-US"/>
                    </w:rPr>
                  </w:pPr>
                </w:p>
              </w:txbxContent>
            </v:textbox>
          </v:shape>
        </w:pict>
      </w:r>
      <w:r>
        <w:rPr>
          <w:noProof/>
          <w:lang w:val="en-U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29" type="#_x0000_t69" style="position:absolute;left:0;text-align:left;margin-left:233.4pt;margin-top:46.25pt;width:33.45pt;height:14.2pt;z-index:251662336;visibility:visibl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" adj="4585" fillcolor="#3a7ccb" strokecolor="#4579b8 [3044]">
            <v:fill color2="#2c5d98" rotate="t" colors="0 #3a7ccb;13107f #3c7bc7;1 #2c5d98" focus="100%" type="gradient">
              <o:fill v:ext="view" type="gradientUnscaled"/>
            </v:fill>
            <v:shadow on="t" opacity="22936f" origin=",.5" offset="0,.63889mm"/>
          </v:shape>
        </w:pict>
      </w:r>
      <w:r>
        <w:rPr>
          <w:noProof/>
          <w:lang w:val="en-US"/>
        </w:rPr>
        <w:pict>
          <v:shape id="Text Box 10" o:spid="_x0000_s1027" type="#_x0000_t202" style="position:absolute;left:0;text-align:left;margin-left:270.7pt;margin-top:24.75pt;width:158.35pt;height:61.05pt;z-index:251661312;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" filled="f" strokecolor="black [3213]">
            <v:path arrowok="t"/>
            <v:textbox>
              <w:txbxContent>
                <w:p w:rsidR="00B73304" w:rsidRDefault="00B73304" w:rsidP="00B94268">
                  <w:r>
                    <w:rPr>
                      <w:rFonts w:cstheme="minorHAnsi"/>
                      <w:bCs/>
                    </w:rPr>
                    <w:t xml:space="preserve">2. </w:t>
                  </w:r>
                  <w:r w:rsidRPr="00F86717">
                    <w:rPr>
                      <w:rFonts w:cstheme="minorHAnsi"/>
                      <w:bCs/>
                    </w:rPr>
                    <w:t>Safeguard Information System (SIS)</w:t>
                  </w:r>
                </w:p>
              </w:txbxContent>
            </v:textbox>
          </v:shape>
        </w:pict>
      </w:r>
      <w:r>
        <w:rPr>
          <w:noProof/>
          <w:lang w:val="en-US"/>
        </w:rPr>
      </w:r>
      <w:r w:rsidRPr="008C5CC3">
        <w:rPr>
          <w:noProof/>
          <w:lang w:val="en-US"/>
        </w:rPr>
        <w:pict>
          <v:shape id="Text Box 4" o:spid="_x0000_s1030" type="#_x0000_t202" style="width:438.7pt;height:91.75pt;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" filled="f" strokecolor="black [3213]">
            <v:path arrowok="t"/>
            <v:textbox>
              <w:txbxContent>
                <w:p w:rsidR="00B73304" w:rsidRDefault="00B73304" w:rsidP="00E847B0">
                  <w:pPr>
                    <w:jc w:val="center"/>
                  </w:pPr>
                  <w:r>
                    <w:t xml:space="preserve">Country Approach to Safeguards </w:t>
                  </w:r>
                </w:p>
              </w:txbxContent>
            </v:textbox>
            <w10:wrap type="none"/>
            <w10:anchorlock/>
          </v:shape>
        </w:pict>
      </w:r>
    </w:p>
    <w:p w:rsidR="0054244B" w:rsidRPr="000510D6" w:rsidRDefault="001D52D8" w:rsidP="00A46E28">
      <w:pPr>
        <w:rPr>
          <w:rFonts w:cstheme="minorHAnsi"/>
          <w:lang w:val="en-GB"/>
        </w:rPr>
      </w:pPr>
      <w:r w:rsidRPr="000510D6">
        <w:rPr>
          <w:rFonts w:cstheme="minorHAnsi"/>
          <w:lang w:val="en-GB"/>
        </w:rPr>
        <w:t xml:space="preserve">Though listed as </w:t>
      </w:r>
      <w:r w:rsidR="00545EE3" w:rsidRPr="000510D6">
        <w:rPr>
          <w:rFonts w:cstheme="minorHAnsi"/>
          <w:lang w:val="en-GB"/>
        </w:rPr>
        <w:t xml:space="preserve">discrete elements, </w:t>
      </w:r>
      <w:r w:rsidRPr="000510D6">
        <w:rPr>
          <w:rFonts w:cstheme="minorHAnsi"/>
          <w:lang w:val="en-GB"/>
        </w:rPr>
        <w:t xml:space="preserve">we see these as closely </w:t>
      </w:r>
      <w:r w:rsidR="0057115B" w:rsidRPr="000510D6">
        <w:rPr>
          <w:rFonts w:cstheme="minorHAnsi"/>
          <w:lang w:val="en-GB"/>
        </w:rPr>
        <w:t>inter-linked</w:t>
      </w:r>
      <w:r w:rsidRPr="000510D6">
        <w:rPr>
          <w:rFonts w:cstheme="minorHAnsi"/>
          <w:lang w:val="en-GB"/>
        </w:rPr>
        <w:t xml:space="preserve">.  </w:t>
      </w:r>
      <w:r w:rsidR="00545EE3" w:rsidRPr="000510D6">
        <w:rPr>
          <w:rFonts w:cstheme="minorHAnsi"/>
          <w:lang w:val="en-GB"/>
        </w:rPr>
        <w:t xml:space="preserve"> </w:t>
      </w:r>
      <w:r w:rsidR="00824C8B" w:rsidRPr="000510D6">
        <w:rPr>
          <w:rFonts w:cstheme="minorHAnsi"/>
          <w:lang w:val="en-GB"/>
        </w:rPr>
        <w:t xml:space="preserve">A possible first step to elaborate on this conceptual framework would be to outline in more detail what the key components of each of these elements is, and the process that countries may need to put in place to develop these components. This is </w:t>
      </w:r>
      <w:r w:rsidR="006E577C">
        <w:rPr>
          <w:rFonts w:cstheme="minorHAnsi"/>
          <w:lang w:val="en-GB"/>
        </w:rPr>
        <w:t>a task</w:t>
      </w:r>
      <w:r w:rsidR="006E577C" w:rsidRPr="000510D6">
        <w:rPr>
          <w:rFonts w:cstheme="minorHAnsi"/>
          <w:lang w:val="en-GB"/>
        </w:rPr>
        <w:t xml:space="preserve"> </w:t>
      </w:r>
      <w:r w:rsidR="00824C8B" w:rsidRPr="000510D6">
        <w:rPr>
          <w:rFonts w:cstheme="minorHAnsi"/>
          <w:lang w:val="en-GB"/>
        </w:rPr>
        <w:t>that the SEPC Group, and more recently the Monitoring and Information Group, have already been working on.</w:t>
      </w:r>
      <w:r w:rsidR="00545EE3" w:rsidRPr="000510D6">
        <w:rPr>
          <w:rFonts w:cstheme="minorHAnsi"/>
          <w:lang w:val="en-GB"/>
        </w:rPr>
        <w:t xml:space="preserve">   </w:t>
      </w:r>
    </w:p>
    <w:p w:rsidR="009A4FB5" w:rsidRPr="000510D6" w:rsidRDefault="00B32018" w:rsidP="00A46E28">
      <w:pPr>
        <w:rPr>
          <w:rFonts w:cstheme="minorHAnsi"/>
          <w:lang w:val="en-GB"/>
        </w:rPr>
      </w:pPr>
      <w:r w:rsidRPr="000510D6">
        <w:rPr>
          <w:rFonts w:cstheme="minorHAnsi"/>
          <w:lang w:val="en-GB"/>
        </w:rPr>
        <w:t xml:space="preserve">This approach needs to be flexible in order to respond to different </w:t>
      </w:r>
      <w:r w:rsidR="00C542C5" w:rsidRPr="000510D6">
        <w:rPr>
          <w:rFonts w:cstheme="minorHAnsi"/>
          <w:lang w:val="en-GB"/>
        </w:rPr>
        <w:t xml:space="preserve">country </w:t>
      </w:r>
      <w:r w:rsidRPr="000510D6">
        <w:rPr>
          <w:rFonts w:cstheme="minorHAnsi"/>
          <w:lang w:val="en-GB"/>
        </w:rPr>
        <w:t>circumstances</w:t>
      </w:r>
      <w:r w:rsidR="00C542C5" w:rsidRPr="000510D6">
        <w:rPr>
          <w:rFonts w:cstheme="minorHAnsi"/>
          <w:lang w:val="en-GB"/>
        </w:rPr>
        <w:t>, in terms of needs and other ongoing activities that relate to safeguards</w:t>
      </w:r>
      <w:r w:rsidRPr="000510D6">
        <w:rPr>
          <w:rFonts w:cstheme="minorHAnsi"/>
          <w:lang w:val="en-GB"/>
        </w:rPr>
        <w:t>.  National level grievance mechanisms are</w:t>
      </w:r>
      <w:r w:rsidR="003B1644" w:rsidRPr="000510D6">
        <w:rPr>
          <w:rFonts w:cstheme="minorHAnsi"/>
          <w:lang w:val="en-GB"/>
        </w:rPr>
        <w:t>, for</w:t>
      </w:r>
      <w:r w:rsidR="00934638" w:rsidRPr="000510D6">
        <w:rPr>
          <w:rFonts w:cstheme="minorHAnsi"/>
          <w:lang w:val="en-GB"/>
        </w:rPr>
        <w:t xml:space="preserve"> example</w:t>
      </w:r>
      <w:r w:rsidR="003B1644" w:rsidRPr="000510D6">
        <w:rPr>
          <w:rFonts w:cstheme="minorHAnsi"/>
          <w:lang w:val="en-GB"/>
        </w:rPr>
        <w:t>,</w:t>
      </w:r>
      <w:r w:rsidRPr="000510D6">
        <w:rPr>
          <w:rFonts w:cstheme="minorHAnsi"/>
          <w:lang w:val="en-GB"/>
        </w:rPr>
        <w:t xml:space="preserve"> a potentially integral component of national approaches to safeguards.  While not included </w:t>
      </w:r>
      <w:r w:rsidR="00814C69" w:rsidRPr="000510D6">
        <w:rPr>
          <w:rFonts w:cstheme="minorHAnsi"/>
          <w:lang w:val="en-GB"/>
        </w:rPr>
        <w:t xml:space="preserve">explicitly </w:t>
      </w:r>
      <w:r w:rsidRPr="000510D6">
        <w:rPr>
          <w:rFonts w:cstheme="minorHAnsi"/>
          <w:lang w:val="en-GB"/>
        </w:rPr>
        <w:t xml:space="preserve">in </w:t>
      </w:r>
      <w:r w:rsidR="00814C69" w:rsidRPr="000510D6">
        <w:rPr>
          <w:rFonts w:cstheme="minorHAnsi"/>
          <w:lang w:val="en-GB"/>
        </w:rPr>
        <w:t>UNFCCC decisions related to safeguards</w:t>
      </w:r>
      <w:r w:rsidR="00257BCC">
        <w:rPr>
          <w:rFonts w:cstheme="minorHAnsi"/>
          <w:lang w:val="en-GB"/>
        </w:rPr>
        <w:t xml:space="preserve"> grievance mechanisms</w:t>
      </w:r>
      <w:r w:rsidR="0014473F">
        <w:rPr>
          <w:rFonts w:cstheme="minorHAnsi"/>
          <w:lang w:val="en-GB"/>
        </w:rPr>
        <w:t xml:space="preserve"> are included in</w:t>
      </w:r>
      <w:r w:rsidR="00257BCC">
        <w:rPr>
          <w:rFonts w:cstheme="minorHAnsi"/>
          <w:lang w:val="en-GB"/>
        </w:rPr>
        <w:t xml:space="preserve"> </w:t>
      </w:r>
      <w:r w:rsidRPr="000510D6">
        <w:rPr>
          <w:rFonts w:cstheme="minorHAnsi"/>
          <w:lang w:val="en-GB"/>
        </w:rPr>
        <w:t>the</w:t>
      </w:r>
      <w:r w:rsidR="003B1644">
        <w:rPr>
          <w:rFonts w:cstheme="minorHAnsi"/>
          <w:lang w:val="en-GB"/>
        </w:rPr>
        <w:t xml:space="preserve"> latest</w:t>
      </w:r>
      <w:r w:rsidRPr="000510D6">
        <w:rPr>
          <w:rFonts w:cstheme="minorHAnsi"/>
          <w:lang w:val="en-GB"/>
        </w:rPr>
        <w:t xml:space="preserve"> </w:t>
      </w:r>
      <w:r w:rsidR="003B1644">
        <w:rPr>
          <w:rFonts w:cstheme="minorHAnsi"/>
          <w:lang w:val="en-GB"/>
        </w:rPr>
        <w:t xml:space="preserve">version of the harmonised </w:t>
      </w:r>
      <w:r w:rsidRPr="000510D6">
        <w:rPr>
          <w:rFonts w:cstheme="minorHAnsi"/>
          <w:lang w:val="en-GB"/>
        </w:rPr>
        <w:t>R</w:t>
      </w:r>
      <w:r w:rsidR="003B1644">
        <w:rPr>
          <w:rFonts w:cstheme="minorHAnsi"/>
          <w:lang w:val="en-GB"/>
        </w:rPr>
        <w:t>-</w:t>
      </w:r>
      <w:r w:rsidRPr="000510D6">
        <w:rPr>
          <w:rFonts w:cstheme="minorHAnsi"/>
          <w:lang w:val="en-GB"/>
        </w:rPr>
        <w:t>PP. As work in this area develops</w:t>
      </w:r>
      <w:r w:rsidR="0014473F">
        <w:rPr>
          <w:rFonts w:cstheme="minorHAnsi"/>
          <w:lang w:val="en-GB"/>
        </w:rPr>
        <w:t>,</w:t>
      </w:r>
      <w:r w:rsidRPr="000510D6">
        <w:rPr>
          <w:rFonts w:cstheme="minorHAnsi"/>
          <w:lang w:val="en-GB"/>
        </w:rPr>
        <w:t xml:space="preserve"> it may be reasonable to include national grievance mechanisms in this</w:t>
      </w:r>
      <w:r w:rsidR="008D0EF1" w:rsidRPr="000510D6">
        <w:rPr>
          <w:rFonts w:cstheme="minorHAnsi"/>
          <w:lang w:val="en-GB"/>
        </w:rPr>
        <w:t xml:space="preserve"> overarching framework</w:t>
      </w:r>
      <w:r w:rsidRPr="000510D6">
        <w:rPr>
          <w:rFonts w:cstheme="minorHAnsi"/>
          <w:lang w:val="en-GB"/>
        </w:rPr>
        <w:t xml:space="preserve"> as a third core element</w:t>
      </w:r>
      <w:r w:rsidR="008D0EF1" w:rsidRPr="000510D6">
        <w:rPr>
          <w:rFonts w:cstheme="minorHAnsi"/>
          <w:lang w:val="en-GB"/>
        </w:rPr>
        <w:t>, as this is useful in illustrating the elements of an ideal safeguards system</w:t>
      </w:r>
      <w:r w:rsidR="0014473F">
        <w:rPr>
          <w:rFonts w:cstheme="minorHAnsi"/>
          <w:lang w:val="en-GB"/>
        </w:rPr>
        <w:t>.</w:t>
      </w:r>
      <w:r w:rsidR="008D0EF1" w:rsidRPr="005520FD">
        <w:rPr>
          <w:rFonts w:cstheme="minorHAnsi"/>
          <w:lang w:val="en-GB"/>
        </w:rPr>
        <w:t xml:space="preserve"> </w:t>
      </w:r>
      <w:r w:rsidR="0014473F">
        <w:rPr>
          <w:rFonts w:cstheme="minorHAnsi"/>
          <w:lang w:val="en-GB"/>
        </w:rPr>
        <w:t xml:space="preserve">Reference to a grievance </w:t>
      </w:r>
      <w:r w:rsidR="0014473F">
        <w:rPr>
          <w:rFonts w:cstheme="minorHAnsi"/>
          <w:lang w:val="en-GB"/>
        </w:rPr>
        <w:lastRenderedPageBreak/>
        <w:t>mechanism</w:t>
      </w:r>
      <w:r w:rsidR="008D0EF1" w:rsidRPr="000510D6">
        <w:rPr>
          <w:rFonts w:cstheme="minorHAnsi"/>
          <w:lang w:val="en-GB"/>
        </w:rPr>
        <w:t xml:space="preserve"> may be useful where countries are implementing </w:t>
      </w:r>
      <w:r w:rsidRPr="000510D6">
        <w:rPr>
          <w:rFonts w:cstheme="minorHAnsi"/>
          <w:lang w:val="en-GB"/>
        </w:rPr>
        <w:t>the R-PPs</w:t>
      </w:r>
      <w:r w:rsidR="008D0EF1" w:rsidRPr="000510D6">
        <w:rPr>
          <w:rFonts w:cstheme="minorHAnsi"/>
          <w:lang w:val="en-GB"/>
        </w:rPr>
        <w:t xml:space="preserve">, but it could be removed where </w:t>
      </w:r>
      <w:r w:rsidR="0014473F">
        <w:rPr>
          <w:rFonts w:cstheme="minorHAnsi"/>
          <w:lang w:val="en-GB"/>
        </w:rPr>
        <w:t xml:space="preserve">a </w:t>
      </w:r>
      <w:r w:rsidR="008D0EF1" w:rsidRPr="000510D6">
        <w:rPr>
          <w:rFonts w:cstheme="minorHAnsi"/>
          <w:lang w:val="en-GB"/>
        </w:rPr>
        <w:t>countr</w:t>
      </w:r>
      <w:r w:rsidR="00EE391F" w:rsidRPr="000510D6">
        <w:rPr>
          <w:rFonts w:cstheme="minorHAnsi"/>
          <w:lang w:val="en-GB"/>
        </w:rPr>
        <w:t>y</w:t>
      </w:r>
      <w:r w:rsidR="008D0EF1" w:rsidRPr="000510D6">
        <w:rPr>
          <w:rFonts w:cstheme="minorHAnsi"/>
          <w:lang w:val="en-GB"/>
        </w:rPr>
        <w:t xml:space="preserve"> </w:t>
      </w:r>
      <w:r w:rsidRPr="005520FD">
        <w:rPr>
          <w:rFonts w:cstheme="minorHAnsi"/>
          <w:lang w:val="en-GB"/>
        </w:rPr>
        <w:t>do</w:t>
      </w:r>
      <w:r w:rsidR="0014473F">
        <w:rPr>
          <w:rFonts w:cstheme="minorHAnsi"/>
          <w:lang w:val="en-GB"/>
        </w:rPr>
        <w:t>es</w:t>
      </w:r>
      <w:r w:rsidRPr="000510D6">
        <w:rPr>
          <w:rFonts w:cstheme="minorHAnsi"/>
          <w:lang w:val="en-GB"/>
        </w:rPr>
        <w:t xml:space="preserve"> not</w:t>
      </w:r>
      <w:r w:rsidRPr="005520FD">
        <w:rPr>
          <w:rFonts w:cstheme="minorHAnsi"/>
          <w:lang w:val="en-GB"/>
        </w:rPr>
        <w:t xml:space="preserve"> </w:t>
      </w:r>
      <w:r w:rsidR="0014473F">
        <w:rPr>
          <w:rFonts w:cstheme="minorHAnsi"/>
          <w:lang w:val="en-GB"/>
        </w:rPr>
        <w:t>wish</w:t>
      </w:r>
      <w:r w:rsidRPr="000510D6">
        <w:rPr>
          <w:rFonts w:cstheme="minorHAnsi"/>
          <w:lang w:val="en-GB"/>
        </w:rPr>
        <w:t xml:space="preserve"> </w:t>
      </w:r>
      <w:r w:rsidR="00EE391F" w:rsidRPr="000510D6">
        <w:rPr>
          <w:rFonts w:cstheme="minorHAnsi"/>
          <w:lang w:val="en-GB"/>
        </w:rPr>
        <w:t>to expand t</w:t>
      </w:r>
      <w:r w:rsidRPr="000510D6">
        <w:rPr>
          <w:rFonts w:cstheme="minorHAnsi"/>
          <w:lang w:val="en-GB"/>
        </w:rPr>
        <w:t>he scope beyond that of the UNFCCC context specifically.</w:t>
      </w:r>
    </w:p>
    <w:p w:rsidR="00820446" w:rsidRPr="000510D6" w:rsidRDefault="00701F41">
      <w:pPr>
        <w:rPr>
          <w:rFonts w:cstheme="minorHAnsi"/>
          <w:lang w:val="en-GB"/>
        </w:rPr>
      </w:pPr>
      <w:r w:rsidRPr="000510D6">
        <w:rPr>
          <w:rFonts w:cstheme="minorHAnsi"/>
          <w:lang w:val="en-GB"/>
        </w:rPr>
        <w:t>Clarifying exactly how the tools and guidance already developed</w:t>
      </w:r>
      <w:r w:rsidR="00127D85">
        <w:rPr>
          <w:rFonts w:cstheme="minorHAnsi"/>
          <w:lang w:val="en-GB"/>
        </w:rPr>
        <w:t xml:space="preserve"> and to be developed</w:t>
      </w:r>
      <w:r w:rsidRPr="000510D6">
        <w:rPr>
          <w:rFonts w:cstheme="minorHAnsi"/>
          <w:lang w:val="en-GB"/>
        </w:rPr>
        <w:t xml:space="preserve"> by the UN-REDD Programme</w:t>
      </w:r>
      <w:r w:rsidR="00D26BCF" w:rsidRPr="000510D6">
        <w:rPr>
          <w:rFonts w:cstheme="minorHAnsi"/>
          <w:lang w:val="en-GB"/>
        </w:rPr>
        <w:t xml:space="preserve"> </w:t>
      </w:r>
      <w:r w:rsidRPr="000510D6">
        <w:rPr>
          <w:rFonts w:cstheme="minorHAnsi"/>
          <w:lang w:val="en-GB"/>
        </w:rPr>
        <w:t xml:space="preserve">can assist in meeting Objective 2 will be an important part of this work. </w:t>
      </w:r>
    </w:p>
    <w:p w:rsidR="00520FE6" w:rsidRPr="000510D6" w:rsidRDefault="00340600" w:rsidP="00BE7C54">
      <w:pPr>
        <w:pStyle w:val="Heading3"/>
        <w:rPr>
          <w:lang w:val="en-GB"/>
        </w:rPr>
      </w:pPr>
      <w:r w:rsidRPr="000510D6">
        <w:rPr>
          <w:lang w:val="en-GB"/>
        </w:rPr>
        <w:t>Structuring of work</w:t>
      </w:r>
    </w:p>
    <w:p w:rsidR="0099458B" w:rsidRPr="000510D6" w:rsidRDefault="00785B07" w:rsidP="0014473F">
      <w:pPr>
        <w:keepNext/>
        <w:rPr>
          <w:lang w:val="en-GB"/>
        </w:rPr>
      </w:pPr>
      <w:r w:rsidRPr="000510D6">
        <w:rPr>
          <w:rFonts w:cstheme="minorHAnsi"/>
          <w:lang w:val="en-GB"/>
        </w:rPr>
        <w:t>In order to deliver the support outlined above in a coordinated and efficient way, there are three main functions that need to be performed by the Programme</w:t>
      </w:r>
      <w:r w:rsidR="0099458B" w:rsidRPr="000510D6">
        <w:rPr>
          <w:rFonts w:cstheme="minorHAnsi"/>
          <w:lang w:val="en-GB"/>
        </w:rPr>
        <w:t>, rega</w:t>
      </w:r>
      <w:r w:rsidR="00FF154B" w:rsidRPr="000510D6">
        <w:rPr>
          <w:rFonts w:cstheme="minorHAnsi"/>
          <w:lang w:val="en-GB"/>
        </w:rPr>
        <w:t>rdless</w:t>
      </w:r>
      <w:r w:rsidR="0099458B" w:rsidRPr="000510D6">
        <w:rPr>
          <w:rFonts w:cstheme="minorHAnsi"/>
          <w:lang w:val="en-GB"/>
        </w:rPr>
        <w:t xml:space="preserve"> of the </w:t>
      </w:r>
      <w:r w:rsidRPr="000510D6">
        <w:rPr>
          <w:rFonts w:cstheme="minorHAnsi"/>
          <w:lang w:val="en-GB"/>
        </w:rPr>
        <w:t>management</w:t>
      </w:r>
      <w:r w:rsidR="0099458B" w:rsidRPr="000510D6">
        <w:rPr>
          <w:rFonts w:cstheme="minorHAnsi"/>
          <w:lang w:val="en-GB"/>
        </w:rPr>
        <w:t xml:space="preserve"> structure in place to achieve that work.  </w:t>
      </w:r>
      <w:r w:rsidR="00FF154B" w:rsidRPr="000510D6">
        <w:rPr>
          <w:rFonts w:cstheme="minorHAnsi"/>
          <w:lang w:val="en-GB"/>
        </w:rPr>
        <w:t xml:space="preserve">  A number of the discrete tasks listed below have a strong foundation in work that has already been undertaken</w:t>
      </w:r>
      <w:r w:rsidR="00C542C5" w:rsidRPr="000510D6">
        <w:rPr>
          <w:rFonts w:cstheme="minorHAnsi"/>
          <w:lang w:val="en-GB"/>
        </w:rPr>
        <w:t xml:space="preserve">.  </w:t>
      </w:r>
    </w:p>
    <w:p w:rsidR="00814C69" w:rsidRPr="000510D6" w:rsidRDefault="008A3F64" w:rsidP="00BE7C54">
      <w:pPr>
        <w:pStyle w:val="ListParagraph"/>
        <w:numPr>
          <w:ilvl w:val="0"/>
          <w:numId w:val="17"/>
        </w:numPr>
        <w:rPr>
          <w:rFonts w:asciiTheme="minorHAnsi" w:hAnsiTheme="minorHAnsi"/>
          <w:sz w:val="22"/>
          <w:lang w:val="en-GB"/>
        </w:rPr>
      </w:pPr>
      <w:r w:rsidRPr="000510D6">
        <w:rPr>
          <w:rFonts w:asciiTheme="minorHAnsi" w:hAnsiTheme="minorHAnsi" w:cstheme="minorHAnsi"/>
          <w:sz w:val="22"/>
          <w:szCs w:val="22"/>
          <w:lang w:val="en-GB"/>
        </w:rPr>
        <w:t>Conceptualising</w:t>
      </w:r>
      <w:r w:rsidRPr="000510D6">
        <w:rPr>
          <w:rFonts w:asciiTheme="minorHAnsi" w:hAnsiTheme="minorHAnsi"/>
          <w:sz w:val="22"/>
          <w:lang w:val="en-GB"/>
        </w:rPr>
        <w:t xml:space="preserve"> overarching </w:t>
      </w:r>
      <w:r w:rsidR="00814C69" w:rsidRPr="000510D6">
        <w:rPr>
          <w:rFonts w:asciiTheme="minorHAnsi" w:hAnsiTheme="minorHAnsi"/>
          <w:sz w:val="22"/>
          <w:lang w:val="en-GB"/>
        </w:rPr>
        <w:t xml:space="preserve">country approaches to safeguards: </w:t>
      </w:r>
    </w:p>
    <w:p w:rsidR="00814C69" w:rsidRPr="000510D6" w:rsidRDefault="00814C69" w:rsidP="00814C69">
      <w:pPr>
        <w:pStyle w:val="ListParagraph"/>
        <w:ind w:left="360" w:firstLine="0"/>
        <w:rPr>
          <w:rFonts w:asciiTheme="minorHAnsi" w:hAnsiTheme="minorHAnsi"/>
          <w:sz w:val="22"/>
          <w:lang w:val="en-GB"/>
        </w:rPr>
      </w:pPr>
    </w:p>
    <w:p w:rsidR="00814C69" w:rsidRPr="000510D6" w:rsidRDefault="00814C69" w:rsidP="00814C69">
      <w:pPr>
        <w:pStyle w:val="ListParagraph"/>
        <w:numPr>
          <w:ilvl w:val="1"/>
          <w:numId w:val="17"/>
        </w:numPr>
        <w:rPr>
          <w:rFonts w:asciiTheme="minorHAnsi" w:hAnsiTheme="minorHAnsi"/>
          <w:sz w:val="22"/>
          <w:lang w:val="en-GB"/>
        </w:rPr>
      </w:pPr>
      <w:r w:rsidRPr="000510D6">
        <w:rPr>
          <w:rFonts w:asciiTheme="minorHAnsi" w:hAnsiTheme="minorHAnsi"/>
          <w:sz w:val="22"/>
          <w:lang w:val="en-GB"/>
        </w:rPr>
        <w:t>Defining the objectives and scope of UN-REDD work on supporting countries on the development of safeguards systems, including the development of harmonized work plans</w:t>
      </w:r>
    </w:p>
    <w:p w:rsidR="00814C69" w:rsidRPr="000510D6" w:rsidRDefault="00520FE6" w:rsidP="00814C69">
      <w:pPr>
        <w:pStyle w:val="ListParagraph"/>
        <w:numPr>
          <w:ilvl w:val="1"/>
          <w:numId w:val="17"/>
        </w:numPr>
        <w:rPr>
          <w:rFonts w:asciiTheme="minorHAnsi" w:hAnsiTheme="minorHAnsi"/>
          <w:sz w:val="22"/>
          <w:lang w:val="en-GB"/>
        </w:rPr>
      </w:pPr>
      <w:r w:rsidRPr="000510D6">
        <w:rPr>
          <w:rFonts w:asciiTheme="minorHAnsi" w:hAnsiTheme="minorHAnsi"/>
          <w:sz w:val="22"/>
          <w:lang w:val="en-GB"/>
        </w:rPr>
        <w:t xml:space="preserve">Ensuring consistency with the </w:t>
      </w:r>
      <w:r w:rsidR="00814C69" w:rsidRPr="000510D6">
        <w:rPr>
          <w:rFonts w:asciiTheme="minorHAnsi" w:hAnsiTheme="minorHAnsi"/>
          <w:sz w:val="22"/>
          <w:lang w:val="en-GB"/>
        </w:rPr>
        <w:t xml:space="preserve">developments in the UNFCCC </w:t>
      </w:r>
    </w:p>
    <w:p w:rsidR="00814C69" w:rsidRPr="000510D6" w:rsidRDefault="00814C69" w:rsidP="00814C69">
      <w:pPr>
        <w:pStyle w:val="ListParagraph"/>
        <w:numPr>
          <w:ilvl w:val="1"/>
          <w:numId w:val="17"/>
        </w:numPr>
        <w:rPr>
          <w:rFonts w:asciiTheme="minorHAnsi" w:hAnsiTheme="minorHAnsi"/>
          <w:sz w:val="22"/>
          <w:lang w:val="en-GB"/>
        </w:rPr>
      </w:pPr>
      <w:r w:rsidRPr="000510D6">
        <w:rPr>
          <w:rFonts w:asciiTheme="minorHAnsi" w:hAnsiTheme="minorHAnsi"/>
          <w:sz w:val="22"/>
          <w:lang w:val="en-GB"/>
        </w:rPr>
        <w:t>Clarifying the role of all existing UN-REDD tools linked to safeguards</w:t>
      </w:r>
    </w:p>
    <w:p w:rsidR="00814C69" w:rsidRDefault="00814C69" w:rsidP="00814C69">
      <w:pPr>
        <w:pStyle w:val="ListParagraph"/>
        <w:numPr>
          <w:ilvl w:val="1"/>
          <w:numId w:val="17"/>
        </w:numPr>
        <w:rPr>
          <w:rFonts w:asciiTheme="minorHAnsi" w:hAnsiTheme="minorHAnsi"/>
          <w:sz w:val="22"/>
        </w:rPr>
      </w:pPr>
      <w:r w:rsidRPr="003B1644">
        <w:rPr>
          <w:rFonts w:asciiTheme="minorHAnsi" w:hAnsiTheme="minorHAnsi"/>
          <w:sz w:val="22"/>
          <w:lang w:val="en-GB"/>
        </w:rPr>
        <w:t>Proposing and defining the overall elements of a country</w:t>
      </w:r>
      <w:r w:rsidR="00520FE6" w:rsidRPr="003B1644">
        <w:rPr>
          <w:rFonts w:asciiTheme="minorHAnsi" w:hAnsiTheme="minorHAnsi"/>
          <w:sz w:val="22"/>
          <w:lang w:val="en-GB"/>
        </w:rPr>
        <w:t xml:space="preserve"> safeguards approach</w:t>
      </w:r>
      <w:r w:rsidRPr="003B1644">
        <w:rPr>
          <w:rFonts w:asciiTheme="minorHAnsi" w:hAnsiTheme="minorHAnsi"/>
          <w:sz w:val="22"/>
          <w:lang w:val="en-GB"/>
        </w:rPr>
        <w:t>, drawing on inputs from all agencies and other key contributors</w:t>
      </w:r>
    </w:p>
    <w:p w:rsidR="00814C69" w:rsidRPr="000510D6" w:rsidRDefault="00814C69" w:rsidP="00814C69">
      <w:pPr>
        <w:pStyle w:val="ListParagraph"/>
        <w:numPr>
          <w:ilvl w:val="1"/>
          <w:numId w:val="17"/>
        </w:numPr>
        <w:rPr>
          <w:rFonts w:asciiTheme="minorHAnsi" w:hAnsiTheme="minorHAnsi"/>
          <w:sz w:val="22"/>
          <w:lang w:val="en-GB"/>
        </w:rPr>
      </w:pPr>
      <w:r w:rsidRPr="003B1644">
        <w:rPr>
          <w:rFonts w:asciiTheme="minorHAnsi" w:hAnsiTheme="minorHAnsi"/>
          <w:sz w:val="22"/>
          <w:lang w:val="en-GB"/>
        </w:rPr>
        <w:t xml:space="preserve">Ensuring coordination between different working groups dealing with individual </w:t>
      </w:r>
      <w:r w:rsidR="00520FE6" w:rsidRPr="003B1644">
        <w:rPr>
          <w:rFonts w:asciiTheme="minorHAnsi" w:hAnsiTheme="minorHAnsi"/>
          <w:sz w:val="22"/>
          <w:lang w:val="en-GB"/>
        </w:rPr>
        <w:t>components of a safeguard approach</w:t>
      </w:r>
      <w:r w:rsidRPr="003B1644">
        <w:rPr>
          <w:rFonts w:asciiTheme="minorHAnsi" w:hAnsiTheme="minorHAnsi"/>
          <w:sz w:val="22"/>
          <w:lang w:val="en-GB"/>
        </w:rPr>
        <w:t xml:space="preserve"> in more detail</w:t>
      </w:r>
    </w:p>
    <w:p w:rsidR="00814C69" w:rsidRPr="000510D6" w:rsidRDefault="00814C69" w:rsidP="00814C69">
      <w:pPr>
        <w:pStyle w:val="ListParagraph"/>
        <w:numPr>
          <w:ilvl w:val="1"/>
          <w:numId w:val="17"/>
        </w:numPr>
        <w:rPr>
          <w:rFonts w:asciiTheme="minorHAnsi" w:hAnsiTheme="minorHAnsi"/>
          <w:sz w:val="22"/>
          <w:lang w:val="en-GB"/>
        </w:rPr>
      </w:pPr>
      <w:r w:rsidRPr="000510D6">
        <w:rPr>
          <w:rFonts w:asciiTheme="minorHAnsi" w:hAnsiTheme="minorHAnsi"/>
          <w:sz w:val="22"/>
          <w:lang w:val="en-GB"/>
        </w:rPr>
        <w:t>Ensuring inter-agency consistency of support to country programmes, including targeted support activities</w:t>
      </w:r>
    </w:p>
    <w:p w:rsidR="00814C69" w:rsidRPr="000510D6" w:rsidRDefault="00814C69" w:rsidP="00814C69">
      <w:pPr>
        <w:rPr>
          <w:rFonts w:cstheme="minorHAnsi"/>
          <w:lang w:val="en-GB"/>
        </w:rPr>
      </w:pPr>
    </w:p>
    <w:p w:rsidR="00814C69" w:rsidRPr="000510D6" w:rsidRDefault="00EF7E4A" w:rsidP="00814C69">
      <w:pPr>
        <w:pStyle w:val="ListParagraph"/>
        <w:numPr>
          <w:ilvl w:val="0"/>
          <w:numId w:val="17"/>
        </w:numPr>
        <w:rPr>
          <w:rFonts w:asciiTheme="minorHAnsi" w:hAnsiTheme="minorHAnsi"/>
          <w:sz w:val="22"/>
          <w:lang w:val="en-GB"/>
        </w:rPr>
      </w:pPr>
      <w:r w:rsidRPr="000510D6">
        <w:rPr>
          <w:rFonts w:asciiTheme="minorHAnsi" w:hAnsiTheme="minorHAnsi" w:cstheme="minorHAnsi"/>
          <w:bCs/>
          <w:sz w:val="22"/>
          <w:szCs w:val="22"/>
          <w:lang w:val="en-GB"/>
        </w:rPr>
        <w:t>Identification/development of relevant safeguards (policies, laws and regulations), addressing and respecting them</w:t>
      </w:r>
      <w:r w:rsidR="00814C69" w:rsidRPr="000510D6">
        <w:rPr>
          <w:rFonts w:asciiTheme="minorHAnsi" w:hAnsiTheme="minorHAnsi"/>
          <w:sz w:val="22"/>
          <w:lang w:val="en-GB"/>
        </w:rPr>
        <w:t>:</w:t>
      </w:r>
    </w:p>
    <w:p w:rsidR="00814C69" w:rsidRPr="000510D6" w:rsidRDefault="00814C69" w:rsidP="00814C69">
      <w:pPr>
        <w:pStyle w:val="ListParagraph"/>
        <w:ind w:left="360" w:firstLine="0"/>
        <w:rPr>
          <w:rFonts w:asciiTheme="minorHAnsi" w:hAnsiTheme="minorHAnsi"/>
          <w:sz w:val="22"/>
          <w:lang w:val="en-GB"/>
        </w:rPr>
      </w:pPr>
    </w:p>
    <w:p w:rsidR="00814C69" w:rsidRPr="000510D6" w:rsidRDefault="00814C69" w:rsidP="00814C69">
      <w:pPr>
        <w:pStyle w:val="ListParagraph"/>
        <w:numPr>
          <w:ilvl w:val="1"/>
          <w:numId w:val="16"/>
        </w:numPr>
        <w:rPr>
          <w:rFonts w:asciiTheme="minorHAnsi" w:hAnsiTheme="minorHAnsi"/>
          <w:sz w:val="22"/>
          <w:lang w:val="en-GB"/>
        </w:rPr>
      </w:pPr>
      <w:r w:rsidRPr="000510D6">
        <w:rPr>
          <w:rFonts w:asciiTheme="minorHAnsi" w:hAnsiTheme="minorHAnsi"/>
          <w:sz w:val="22"/>
          <w:lang w:val="en-GB"/>
        </w:rPr>
        <w:t>Defining the objectives and scope of UN-REDD work on supporting countries on the development of safeguard policies, laws and regulations, including relationship to UNFCCC</w:t>
      </w:r>
    </w:p>
    <w:p w:rsidR="00814C69" w:rsidRPr="000510D6" w:rsidRDefault="00D36322" w:rsidP="00814C69">
      <w:pPr>
        <w:pStyle w:val="ListParagraph"/>
        <w:numPr>
          <w:ilvl w:val="1"/>
          <w:numId w:val="16"/>
        </w:numPr>
        <w:rPr>
          <w:rFonts w:asciiTheme="minorHAnsi" w:hAnsiTheme="minorHAnsi"/>
          <w:sz w:val="22"/>
          <w:lang w:val="en-GB"/>
        </w:rPr>
      </w:pPr>
      <w:r w:rsidRPr="000510D6">
        <w:rPr>
          <w:rFonts w:asciiTheme="minorHAnsi" w:hAnsiTheme="minorHAnsi"/>
          <w:sz w:val="22"/>
          <w:lang w:val="en-GB"/>
        </w:rPr>
        <w:t>Utilizing the SEPC and other tools to h</w:t>
      </w:r>
      <w:r w:rsidR="00814C69" w:rsidRPr="000510D6">
        <w:rPr>
          <w:rFonts w:asciiTheme="minorHAnsi" w:hAnsiTheme="minorHAnsi"/>
          <w:sz w:val="22"/>
          <w:lang w:val="en-GB"/>
        </w:rPr>
        <w:t>elp countries to understand what the Cancun safeguards are, how these relate to existing country policies and potential needs for new policies</w:t>
      </w:r>
    </w:p>
    <w:p w:rsidR="00814C69" w:rsidRPr="000510D6" w:rsidRDefault="00814C69" w:rsidP="00814C69">
      <w:pPr>
        <w:pStyle w:val="ListParagraph"/>
        <w:numPr>
          <w:ilvl w:val="1"/>
          <w:numId w:val="16"/>
        </w:numPr>
        <w:rPr>
          <w:rFonts w:asciiTheme="minorHAnsi" w:hAnsiTheme="minorHAnsi"/>
          <w:sz w:val="22"/>
          <w:lang w:val="en-GB"/>
        </w:rPr>
      </w:pPr>
      <w:r w:rsidRPr="000510D6">
        <w:rPr>
          <w:rFonts w:asciiTheme="minorHAnsi" w:hAnsiTheme="minorHAnsi"/>
          <w:sz w:val="22"/>
          <w:lang w:val="en-GB"/>
        </w:rPr>
        <w:t>Developing approaches to help countries to assess their existing policies and compare these to Cancun requirements</w:t>
      </w:r>
    </w:p>
    <w:p w:rsidR="00814C69" w:rsidRPr="000510D6" w:rsidRDefault="00814C69" w:rsidP="00814C69">
      <w:pPr>
        <w:pStyle w:val="ListParagraph"/>
        <w:numPr>
          <w:ilvl w:val="1"/>
          <w:numId w:val="16"/>
        </w:numPr>
        <w:rPr>
          <w:rFonts w:asciiTheme="minorHAnsi" w:hAnsiTheme="minorHAnsi"/>
          <w:sz w:val="22"/>
          <w:lang w:val="en-GB"/>
        </w:rPr>
      </w:pPr>
      <w:r w:rsidRPr="000510D6">
        <w:rPr>
          <w:rFonts w:asciiTheme="minorHAnsi" w:hAnsiTheme="minorHAnsi"/>
          <w:sz w:val="22"/>
          <w:lang w:val="en-GB"/>
        </w:rPr>
        <w:t>Developing approaches to help countries build safeguard policy frameworks</w:t>
      </w:r>
    </w:p>
    <w:p w:rsidR="00814C69" w:rsidRPr="000510D6" w:rsidRDefault="00814C69" w:rsidP="00814C69">
      <w:pPr>
        <w:pStyle w:val="ListParagraph"/>
        <w:numPr>
          <w:ilvl w:val="1"/>
          <w:numId w:val="16"/>
        </w:numPr>
        <w:rPr>
          <w:rFonts w:asciiTheme="minorHAnsi" w:hAnsiTheme="minorHAnsi"/>
          <w:sz w:val="22"/>
          <w:lang w:val="en-GB"/>
        </w:rPr>
      </w:pPr>
      <w:r w:rsidRPr="000510D6">
        <w:rPr>
          <w:rFonts w:asciiTheme="minorHAnsi" w:hAnsiTheme="minorHAnsi"/>
          <w:sz w:val="22"/>
          <w:lang w:val="en-GB"/>
        </w:rPr>
        <w:t xml:space="preserve">Feeding into broader discussions about how work on this area links to aspects such as SIS </w:t>
      </w:r>
    </w:p>
    <w:p w:rsidR="00814C69" w:rsidRPr="000510D6" w:rsidRDefault="00520FE6" w:rsidP="00814C69">
      <w:pPr>
        <w:pStyle w:val="ListParagraph"/>
        <w:numPr>
          <w:ilvl w:val="1"/>
          <w:numId w:val="16"/>
        </w:numPr>
        <w:rPr>
          <w:rFonts w:asciiTheme="minorHAnsi" w:hAnsiTheme="minorHAnsi"/>
          <w:sz w:val="22"/>
          <w:lang w:val="en-GB"/>
        </w:rPr>
      </w:pPr>
      <w:r w:rsidRPr="000510D6">
        <w:rPr>
          <w:rFonts w:asciiTheme="minorHAnsi" w:hAnsiTheme="minorHAnsi"/>
          <w:sz w:val="22"/>
          <w:lang w:val="en-GB"/>
        </w:rPr>
        <w:t xml:space="preserve">Support these issues through country programmes and </w:t>
      </w:r>
      <w:r w:rsidR="00814C69" w:rsidRPr="000510D6">
        <w:rPr>
          <w:rFonts w:asciiTheme="minorHAnsi" w:hAnsiTheme="minorHAnsi"/>
          <w:sz w:val="22"/>
          <w:lang w:val="en-GB"/>
        </w:rPr>
        <w:t>targeted support activities</w:t>
      </w:r>
    </w:p>
    <w:p w:rsidR="00814C69" w:rsidRPr="000510D6" w:rsidRDefault="00814C69" w:rsidP="00BE7C54">
      <w:pPr>
        <w:rPr>
          <w:rFonts w:cstheme="minorHAnsi"/>
          <w:lang w:val="en-GB"/>
        </w:rPr>
      </w:pPr>
    </w:p>
    <w:p w:rsidR="00814C69" w:rsidRPr="000510D6" w:rsidRDefault="00824C8B" w:rsidP="00814C69">
      <w:pPr>
        <w:pStyle w:val="ListParagraph"/>
        <w:numPr>
          <w:ilvl w:val="0"/>
          <w:numId w:val="17"/>
        </w:numPr>
        <w:rPr>
          <w:rFonts w:asciiTheme="minorHAnsi" w:hAnsiTheme="minorHAnsi"/>
          <w:sz w:val="22"/>
          <w:lang w:val="en-GB"/>
        </w:rPr>
      </w:pPr>
      <w:r w:rsidRPr="000510D6">
        <w:rPr>
          <w:rFonts w:asciiTheme="minorHAnsi" w:hAnsiTheme="minorHAnsi"/>
          <w:sz w:val="22"/>
          <w:lang w:val="en-GB"/>
        </w:rPr>
        <w:t xml:space="preserve">Development and structuring of safeguard </w:t>
      </w:r>
      <w:r w:rsidR="00814C69" w:rsidRPr="000510D6">
        <w:rPr>
          <w:rFonts w:asciiTheme="minorHAnsi" w:hAnsiTheme="minorHAnsi"/>
          <w:sz w:val="22"/>
          <w:lang w:val="en-GB"/>
        </w:rPr>
        <w:t>information systems:</w:t>
      </w:r>
    </w:p>
    <w:p w:rsidR="00814C69" w:rsidRPr="000510D6" w:rsidRDefault="00814C69" w:rsidP="00814C69">
      <w:pPr>
        <w:pStyle w:val="ListParagraph"/>
        <w:ind w:left="360" w:firstLine="0"/>
        <w:rPr>
          <w:rFonts w:asciiTheme="minorHAnsi" w:hAnsiTheme="minorHAnsi"/>
          <w:sz w:val="22"/>
          <w:lang w:val="en-GB"/>
        </w:rPr>
      </w:pPr>
    </w:p>
    <w:p w:rsidR="00814C69" w:rsidRPr="000510D6" w:rsidRDefault="00814C69"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t>Defining the objectives and scope of UN-REDD work on supporting countries on the development of SIS including relationship to UNFCCC</w:t>
      </w:r>
    </w:p>
    <w:p w:rsidR="00520FE6" w:rsidRPr="000510D6" w:rsidRDefault="00520FE6"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t>Helping countries to implement</w:t>
      </w:r>
      <w:r w:rsidR="00814C69" w:rsidRPr="000510D6">
        <w:rPr>
          <w:rFonts w:asciiTheme="minorHAnsi" w:hAnsiTheme="minorHAnsi"/>
          <w:sz w:val="22"/>
          <w:lang w:val="en-GB"/>
        </w:rPr>
        <w:t xml:space="preserve"> the UNFCCC decisions on systems of information for safeguards </w:t>
      </w:r>
    </w:p>
    <w:p w:rsidR="00814C69" w:rsidRPr="000510D6" w:rsidRDefault="00814C69"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t>Developing approaches to help countries to assess their existing systems</w:t>
      </w:r>
      <w:r w:rsidR="005A2863">
        <w:rPr>
          <w:rFonts w:asciiTheme="minorHAnsi" w:hAnsiTheme="minorHAnsi"/>
          <w:sz w:val="22"/>
          <w:lang w:val="en-GB"/>
        </w:rPr>
        <w:t xml:space="preserve"> </w:t>
      </w:r>
      <w:r w:rsidRPr="000510D6">
        <w:rPr>
          <w:rFonts w:asciiTheme="minorHAnsi" w:hAnsiTheme="minorHAnsi"/>
          <w:sz w:val="22"/>
          <w:lang w:val="en-GB"/>
        </w:rPr>
        <w:t xml:space="preserve">that may already </w:t>
      </w:r>
      <w:r w:rsidRPr="00520FE6">
        <w:rPr>
          <w:rFonts w:asciiTheme="minorHAnsi" w:hAnsiTheme="minorHAnsi" w:cstheme="minorHAnsi"/>
          <w:sz w:val="22"/>
          <w:szCs w:val="22"/>
        </w:rPr>
        <w:t>fulfill</w:t>
      </w:r>
      <w:r w:rsidR="008063E8">
        <w:rPr>
          <w:rFonts w:asciiTheme="minorHAnsi" w:hAnsiTheme="minorHAnsi" w:cstheme="minorHAnsi"/>
          <w:sz w:val="22"/>
          <w:szCs w:val="22"/>
        </w:rPr>
        <w:t xml:space="preserve"> </w:t>
      </w:r>
      <w:r w:rsidRPr="000510D6">
        <w:rPr>
          <w:rFonts w:asciiTheme="minorHAnsi" w:hAnsiTheme="minorHAnsi"/>
          <w:sz w:val="22"/>
          <w:lang w:val="en-GB"/>
        </w:rPr>
        <w:t>some of the functions of a REDD+ SIS</w:t>
      </w:r>
    </w:p>
    <w:p w:rsidR="00814C69" w:rsidRPr="000510D6" w:rsidRDefault="00814C69"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t>Developing approaches to help countries build SIS</w:t>
      </w:r>
    </w:p>
    <w:p w:rsidR="00814C69" w:rsidRPr="000510D6" w:rsidRDefault="00814C69"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lastRenderedPageBreak/>
        <w:t>Feeding into broader discussions about how work on this area links to aspects such as safeguards policies</w:t>
      </w:r>
    </w:p>
    <w:p w:rsidR="00814C69" w:rsidRPr="000510D6" w:rsidRDefault="00814C69"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t xml:space="preserve">Ensuring coordination and alignment with other relevant internal work within the agencies on forest monitoring systems, </w:t>
      </w:r>
    </w:p>
    <w:p w:rsidR="00814C69" w:rsidRPr="000510D6" w:rsidRDefault="00814C69"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t>Engage with external partners/initiatives advancing work on SIS</w:t>
      </w:r>
    </w:p>
    <w:p w:rsidR="00814C69" w:rsidRPr="000510D6" w:rsidRDefault="00814C69" w:rsidP="00814C69">
      <w:pPr>
        <w:pStyle w:val="ListParagraph"/>
        <w:numPr>
          <w:ilvl w:val="1"/>
          <w:numId w:val="21"/>
        </w:numPr>
        <w:rPr>
          <w:rFonts w:asciiTheme="minorHAnsi" w:hAnsiTheme="minorHAnsi"/>
          <w:sz w:val="22"/>
          <w:lang w:val="en-GB"/>
        </w:rPr>
      </w:pPr>
      <w:r w:rsidRPr="000510D6">
        <w:rPr>
          <w:rFonts w:asciiTheme="minorHAnsi" w:hAnsiTheme="minorHAnsi"/>
          <w:sz w:val="22"/>
          <w:lang w:val="en-GB"/>
        </w:rPr>
        <w:t>Support to country programmes on SIS, including targeted support activities</w:t>
      </w:r>
    </w:p>
    <w:p w:rsidR="00545EE3" w:rsidRPr="000510D6" w:rsidRDefault="00545EE3" w:rsidP="00545EE3">
      <w:pPr>
        <w:pStyle w:val="ListParagraph"/>
        <w:rPr>
          <w:rFonts w:asciiTheme="minorHAnsi" w:hAnsiTheme="minorHAnsi"/>
          <w:b/>
          <w:sz w:val="22"/>
          <w:lang w:val="en-GB"/>
        </w:rPr>
      </w:pPr>
    </w:p>
    <w:p w:rsidR="00AD7A2E" w:rsidRPr="000510D6" w:rsidRDefault="00701F41" w:rsidP="00BE7C54">
      <w:pPr>
        <w:pStyle w:val="Heading2"/>
        <w:rPr>
          <w:lang w:val="en-GB"/>
        </w:rPr>
      </w:pPr>
      <w:r w:rsidRPr="000510D6">
        <w:rPr>
          <w:lang w:val="en-GB"/>
        </w:rPr>
        <w:t>Organising</w:t>
      </w:r>
      <w:r w:rsidR="00242F7A" w:rsidRPr="000510D6">
        <w:rPr>
          <w:lang w:val="en-GB"/>
        </w:rPr>
        <w:t xml:space="preserve"> UN-REDD </w:t>
      </w:r>
      <w:r w:rsidR="008B597B" w:rsidRPr="000510D6">
        <w:rPr>
          <w:lang w:val="en-GB"/>
        </w:rPr>
        <w:t>work</w:t>
      </w:r>
      <w:r w:rsidR="00242F7A" w:rsidRPr="000510D6">
        <w:rPr>
          <w:lang w:val="en-GB"/>
        </w:rPr>
        <w:t xml:space="preserve"> on safeguards</w:t>
      </w:r>
    </w:p>
    <w:p w:rsidR="00F8698F" w:rsidRPr="00F8698F" w:rsidRDefault="00D87F12" w:rsidP="00F8698F">
      <w:pPr>
        <w:rPr>
          <w:rFonts w:cstheme="minorHAnsi"/>
          <w:lang w:val="en-US"/>
        </w:rPr>
      </w:pPr>
      <w:r w:rsidRPr="00D87F12">
        <w:rPr>
          <w:rFonts w:cstheme="minorHAnsi"/>
          <w:lang w:val="en-US"/>
        </w:rPr>
        <w:t>There are two main options for the management of the work outlined above:</w:t>
      </w:r>
    </w:p>
    <w:p w:rsidR="00F8698F" w:rsidRPr="006046F3" w:rsidRDefault="00F8698F" w:rsidP="00F8698F">
      <w:pPr>
        <w:pStyle w:val="ListParagraph"/>
        <w:numPr>
          <w:ilvl w:val="2"/>
          <w:numId w:val="35"/>
        </w:numPr>
        <w:ind w:left="360"/>
        <w:rPr>
          <w:rFonts w:asciiTheme="minorHAnsi" w:hAnsiTheme="minorHAnsi" w:cstheme="minorHAnsi"/>
          <w:i/>
          <w:sz w:val="22"/>
          <w:szCs w:val="22"/>
        </w:rPr>
      </w:pPr>
      <w:r w:rsidRPr="006046F3">
        <w:rPr>
          <w:rFonts w:asciiTheme="minorHAnsi" w:hAnsiTheme="minorHAnsi" w:cstheme="minorHAnsi"/>
          <w:i/>
        </w:rPr>
        <w:t xml:space="preserve"> </w:t>
      </w:r>
      <w:r w:rsidRPr="006046F3">
        <w:rPr>
          <w:rFonts w:asciiTheme="minorHAnsi" w:hAnsiTheme="minorHAnsi" w:cstheme="minorHAnsi"/>
          <w:i/>
          <w:sz w:val="22"/>
          <w:szCs w:val="22"/>
        </w:rPr>
        <w:t>Option 1:</w:t>
      </w:r>
      <w:r>
        <w:rPr>
          <w:rFonts w:asciiTheme="minorHAnsi" w:hAnsiTheme="minorHAnsi" w:cstheme="minorHAnsi"/>
          <w:i/>
          <w:sz w:val="22"/>
          <w:szCs w:val="22"/>
        </w:rPr>
        <w:t xml:space="preserve"> </w:t>
      </w:r>
      <w:r w:rsidRPr="006046F3">
        <w:rPr>
          <w:rFonts w:asciiTheme="minorHAnsi" w:hAnsiTheme="minorHAnsi" w:cstheme="minorHAnsi"/>
          <w:sz w:val="22"/>
          <w:szCs w:val="22"/>
        </w:rPr>
        <w:t>Establish a single,</w:t>
      </w:r>
      <w:r>
        <w:rPr>
          <w:rFonts w:asciiTheme="minorHAnsi" w:hAnsiTheme="minorHAnsi" w:cstheme="minorHAnsi"/>
          <w:sz w:val="22"/>
          <w:szCs w:val="22"/>
        </w:rPr>
        <w:t xml:space="preserve"> </w:t>
      </w:r>
      <w:r w:rsidRPr="006046F3">
        <w:rPr>
          <w:rFonts w:asciiTheme="minorHAnsi" w:hAnsiTheme="minorHAnsi" w:cstheme="minorHAnsi"/>
          <w:sz w:val="22"/>
          <w:szCs w:val="22"/>
        </w:rPr>
        <w:t xml:space="preserve">over-arching “Safeguards group.”  This group would be </w:t>
      </w:r>
      <w:r w:rsidRPr="006046F3">
        <w:rPr>
          <w:rFonts w:asciiTheme="minorHAnsi" w:hAnsiTheme="minorHAnsi" w:cstheme="minorHAnsi"/>
          <w:sz w:val="22"/>
          <w:szCs w:val="22"/>
          <w:lang w:val="en-GB"/>
        </w:rPr>
        <w:t xml:space="preserve">interagency and would take on both the agenda of the SEPC group, and the work on SIS initiated </w:t>
      </w:r>
      <w:r w:rsidRPr="00BE7C54">
        <w:rPr>
          <w:rFonts w:asciiTheme="minorHAnsi" w:hAnsiTheme="minorHAnsi" w:cstheme="minorHAnsi"/>
          <w:sz w:val="22"/>
          <w:szCs w:val="22"/>
          <w:lang w:val="en-GB"/>
        </w:rPr>
        <w:t>under</w:t>
      </w:r>
      <w:r w:rsidRPr="006046F3">
        <w:rPr>
          <w:rFonts w:asciiTheme="minorHAnsi" w:hAnsiTheme="minorHAnsi" w:cstheme="minorHAnsi"/>
          <w:sz w:val="22"/>
          <w:szCs w:val="22"/>
          <w:lang w:val="en-GB"/>
        </w:rPr>
        <w:t xml:space="preserve"> the Information and Monitoring group. </w:t>
      </w:r>
      <w:r>
        <w:rPr>
          <w:rFonts w:asciiTheme="minorHAnsi" w:hAnsiTheme="minorHAnsi" w:cstheme="minorHAnsi"/>
          <w:sz w:val="22"/>
          <w:szCs w:val="22"/>
          <w:lang w:val="en-GB"/>
        </w:rPr>
        <w:t>Ad-hoc breakout groups working on specific issues could be created where necessary.</w:t>
      </w:r>
    </w:p>
    <w:p w:rsidR="00F8698F" w:rsidRPr="006046F3" w:rsidRDefault="00F8698F" w:rsidP="00F8698F">
      <w:pPr>
        <w:pStyle w:val="ListParagraph"/>
        <w:ind w:left="0" w:firstLine="0"/>
        <w:rPr>
          <w:rFonts w:asciiTheme="minorHAnsi" w:hAnsiTheme="minorHAnsi" w:cstheme="minorHAnsi"/>
          <w:sz w:val="22"/>
          <w:szCs w:val="22"/>
        </w:rPr>
      </w:pPr>
    </w:p>
    <w:p w:rsidR="00F46C84" w:rsidRDefault="00F8698F">
      <w:pPr>
        <w:pStyle w:val="ListParagraph"/>
        <w:numPr>
          <w:ilvl w:val="2"/>
          <w:numId w:val="35"/>
        </w:numPr>
        <w:ind w:left="360"/>
        <w:rPr>
          <w:rFonts w:cstheme="minorHAnsi"/>
        </w:rPr>
      </w:pPr>
      <w:r w:rsidRPr="006046F3">
        <w:rPr>
          <w:rFonts w:asciiTheme="minorHAnsi" w:hAnsiTheme="minorHAnsi" w:cstheme="minorHAnsi"/>
          <w:i/>
          <w:sz w:val="22"/>
          <w:szCs w:val="22"/>
          <w:lang w:val="en-GB"/>
        </w:rPr>
        <w:t xml:space="preserve">Option 2: </w:t>
      </w:r>
      <w:r w:rsidRPr="006046F3">
        <w:rPr>
          <w:rFonts w:asciiTheme="minorHAnsi" w:hAnsiTheme="minorHAnsi" w:cstheme="minorHAnsi"/>
          <w:sz w:val="22"/>
          <w:szCs w:val="22"/>
          <w:lang w:val="en-GB"/>
        </w:rPr>
        <w:t xml:space="preserve">A set of working </w:t>
      </w:r>
      <w:r w:rsidR="00F71113">
        <w:rPr>
          <w:rFonts w:asciiTheme="minorHAnsi" w:hAnsiTheme="minorHAnsi" w:cstheme="minorHAnsi"/>
          <w:sz w:val="22"/>
          <w:szCs w:val="22"/>
          <w:lang w:val="en-GB"/>
        </w:rPr>
        <w:t xml:space="preserve">groups focusing on different tools (SEPC, </w:t>
      </w:r>
      <w:proofErr w:type="spellStart"/>
      <w:r w:rsidR="00F71113">
        <w:rPr>
          <w:rFonts w:asciiTheme="minorHAnsi" w:hAnsiTheme="minorHAnsi" w:cstheme="minorHAnsi"/>
          <w:sz w:val="22"/>
          <w:szCs w:val="22"/>
          <w:lang w:val="en-GB"/>
        </w:rPr>
        <w:t>BeRT</w:t>
      </w:r>
      <w:proofErr w:type="spellEnd"/>
      <w:r w:rsidR="00F71113">
        <w:rPr>
          <w:rFonts w:asciiTheme="minorHAnsi" w:hAnsiTheme="minorHAnsi" w:cstheme="minorHAnsi"/>
          <w:sz w:val="22"/>
          <w:szCs w:val="22"/>
          <w:lang w:val="en-GB"/>
        </w:rPr>
        <w:t>, SIS, etc.),</w:t>
      </w:r>
      <w:r w:rsidRPr="006046F3">
        <w:rPr>
          <w:rFonts w:asciiTheme="minorHAnsi" w:hAnsiTheme="minorHAnsi" w:cstheme="minorHAnsi"/>
          <w:sz w:val="22"/>
          <w:szCs w:val="22"/>
          <w:lang w:val="en-GB"/>
        </w:rPr>
        <w:t xml:space="preserve"> with a discrete </w:t>
      </w:r>
      <w:r w:rsidR="00F71113">
        <w:rPr>
          <w:rFonts w:asciiTheme="minorHAnsi" w:hAnsiTheme="minorHAnsi" w:cstheme="minorHAnsi"/>
          <w:sz w:val="22"/>
          <w:szCs w:val="22"/>
          <w:lang w:val="en-GB"/>
        </w:rPr>
        <w:t xml:space="preserve">interagency </w:t>
      </w:r>
      <w:r w:rsidRPr="006046F3">
        <w:rPr>
          <w:rFonts w:asciiTheme="minorHAnsi" w:hAnsiTheme="minorHAnsi" w:cstheme="minorHAnsi"/>
          <w:sz w:val="22"/>
          <w:szCs w:val="22"/>
          <w:lang w:val="en-GB"/>
        </w:rPr>
        <w:t>body</w:t>
      </w:r>
      <w:r w:rsidR="00F71113">
        <w:rPr>
          <w:rFonts w:asciiTheme="minorHAnsi" w:hAnsiTheme="minorHAnsi" w:cstheme="minorHAnsi"/>
          <w:sz w:val="22"/>
          <w:szCs w:val="22"/>
          <w:lang w:val="en-GB"/>
        </w:rPr>
        <w:t xml:space="preserve"> concentrating on overall coordination and strategic issues</w:t>
      </w:r>
      <w:r w:rsidRPr="006046F3">
        <w:rPr>
          <w:rFonts w:asciiTheme="minorHAnsi" w:hAnsiTheme="minorHAnsi" w:cstheme="minorHAnsi"/>
          <w:sz w:val="22"/>
          <w:szCs w:val="22"/>
          <w:lang w:val="en-GB"/>
        </w:rPr>
        <w:t>. Some combination of existing working groups (SEPC, SIS and interim safeguards coordination group) could carry o</w:t>
      </w:r>
      <w:proofErr w:type="spellStart"/>
      <w:r w:rsidRPr="006046F3">
        <w:rPr>
          <w:rFonts w:asciiTheme="minorHAnsi" w:hAnsiTheme="minorHAnsi" w:cstheme="minorHAnsi"/>
          <w:sz w:val="22"/>
          <w:szCs w:val="22"/>
        </w:rPr>
        <w:t>ut</w:t>
      </w:r>
      <w:proofErr w:type="spellEnd"/>
      <w:r w:rsidRPr="006046F3">
        <w:rPr>
          <w:rFonts w:asciiTheme="minorHAnsi" w:hAnsiTheme="minorHAnsi" w:cstheme="minorHAnsi"/>
          <w:sz w:val="22"/>
          <w:szCs w:val="22"/>
        </w:rPr>
        <w:t xml:space="preserve"> </w:t>
      </w:r>
      <w:proofErr w:type="spellStart"/>
      <w:r w:rsidRPr="006046F3">
        <w:rPr>
          <w:rFonts w:asciiTheme="minorHAnsi" w:hAnsiTheme="minorHAnsi" w:cstheme="minorHAnsi"/>
          <w:sz w:val="22"/>
          <w:szCs w:val="22"/>
        </w:rPr>
        <w:t>th</w:t>
      </w:r>
      <w:proofErr w:type="spellEnd"/>
      <w:r w:rsidRPr="006046F3">
        <w:rPr>
          <w:rFonts w:asciiTheme="minorHAnsi" w:hAnsiTheme="minorHAnsi" w:cstheme="minorHAnsi"/>
          <w:sz w:val="22"/>
          <w:szCs w:val="22"/>
          <w:lang w:val="en-GB"/>
        </w:rPr>
        <w:t xml:space="preserve">e work going forward in discrete </w:t>
      </w:r>
      <w:r w:rsidRPr="006046F3">
        <w:rPr>
          <w:rFonts w:asciiTheme="minorHAnsi" w:hAnsiTheme="minorHAnsi" w:cstheme="minorHAnsi"/>
          <w:sz w:val="22"/>
          <w:szCs w:val="22"/>
        </w:rPr>
        <w:t xml:space="preserve">but linked groups.  </w:t>
      </w:r>
    </w:p>
    <w:p w:rsidR="00F8698F" w:rsidRPr="00F8698F" w:rsidRDefault="00F8698F" w:rsidP="00F8698F">
      <w:pPr>
        <w:pStyle w:val="ListParagraph"/>
        <w:ind w:left="360" w:firstLine="0"/>
        <w:rPr>
          <w:rFonts w:asciiTheme="minorHAnsi" w:hAnsiTheme="minorHAnsi" w:cstheme="minorHAnsi"/>
          <w:sz w:val="22"/>
          <w:szCs w:val="22"/>
        </w:rPr>
      </w:pPr>
    </w:p>
    <w:p w:rsidR="00F8698F" w:rsidRDefault="00F8698F" w:rsidP="00F8698F">
      <w:pPr>
        <w:spacing w:after="0" w:line="240" w:lineRule="auto"/>
        <w:rPr>
          <w:rFonts w:cstheme="minorHAnsi"/>
          <w:lang w:val="en-US"/>
        </w:rPr>
      </w:pPr>
      <w:r>
        <w:rPr>
          <w:rFonts w:cstheme="minorHAnsi"/>
          <w:lang w:val="en-US"/>
        </w:rPr>
        <w:t xml:space="preserve">The main difference in these options relates to coordination. Having a single group could enhance </w:t>
      </w:r>
      <w:r w:rsidR="00F71113">
        <w:rPr>
          <w:rFonts w:cstheme="minorHAnsi"/>
          <w:lang w:val="en-US"/>
        </w:rPr>
        <w:t xml:space="preserve">information flow &amp; </w:t>
      </w:r>
      <w:r>
        <w:rPr>
          <w:rFonts w:cstheme="minorHAnsi"/>
          <w:lang w:val="en-US"/>
        </w:rPr>
        <w:t>coordination compared to a set of smaller groups, but may become difficult to organize depending on its size and the nature of the work.</w:t>
      </w:r>
      <w:r w:rsidR="00F71113">
        <w:rPr>
          <w:rFonts w:cstheme="minorHAnsi"/>
          <w:lang w:val="en-US"/>
        </w:rPr>
        <w:t xml:space="preserve"> </w:t>
      </w:r>
      <w:r w:rsidR="007E3D63">
        <w:rPr>
          <w:rFonts w:cstheme="minorHAnsi"/>
          <w:lang w:val="en-US"/>
        </w:rPr>
        <w:t>On the other hand, a</w:t>
      </w:r>
      <w:r w:rsidR="00F71113">
        <w:rPr>
          <w:rFonts w:cstheme="minorHAnsi"/>
          <w:lang w:val="en-US"/>
        </w:rPr>
        <w:t xml:space="preserve"> discrete coordination group may provide more flexibility and responsiveness</w:t>
      </w:r>
      <w:r w:rsidR="007E3D63">
        <w:rPr>
          <w:rFonts w:cstheme="minorHAnsi"/>
          <w:lang w:val="en-US"/>
        </w:rPr>
        <w:t xml:space="preserve"> to UNFCCC, PB and MG decisions</w:t>
      </w:r>
      <w:r w:rsidR="00F71113">
        <w:rPr>
          <w:rFonts w:cstheme="minorHAnsi"/>
          <w:lang w:val="en-US"/>
        </w:rPr>
        <w:t>.</w:t>
      </w:r>
      <w:r w:rsidR="00FB5709">
        <w:rPr>
          <w:rFonts w:cstheme="minorHAnsi"/>
          <w:lang w:val="en-US"/>
        </w:rPr>
        <w:t xml:space="preserve"> A coordination group may also unintentionally add another layer of hierarchy that is not necessary.</w:t>
      </w:r>
    </w:p>
    <w:p w:rsidR="00F71113" w:rsidRDefault="00F71113" w:rsidP="00F8698F">
      <w:pPr>
        <w:spacing w:after="0" w:line="240" w:lineRule="auto"/>
        <w:rPr>
          <w:rFonts w:cstheme="minorHAnsi"/>
          <w:lang w:val="en-US"/>
        </w:rPr>
      </w:pPr>
    </w:p>
    <w:p w:rsidR="003270BA" w:rsidRPr="000510D6" w:rsidRDefault="003270BA" w:rsidP="000510D6">
      <w:pPr>
        <w:jc w:val="left"/>
        <w:rPr>
          <w:rFonts w:cstheme="minorHAnsi"/>
          <w:lang w:val="en-GB"/>
        </w:rPr>
      </w:pPr>
      <w:r w:rsidRPr="000510D6">
        <w:rPr>
          <w:rFonts w:cstheme="minorHAnsi"/>
          <w:lang w:val="en-GB"/>
        </w:rPr>
        <w:t xml:space="preserve">A key issue relates to the composition of the </w:t>
      </w:r>
      <w:r w:rsidR="00F8698F">
        <w:rPr>
          <w:rFonts w:cstheme="minorHAnsi"/>
          <w:lang w:val="en-GB"/>
        </w:rPr>
        <w:t xml:space="preserve">inter-agency </w:t>
      </w:r>
      <w:r w:rsidRPr="000510D6">
        <w:rPr>
          <w:rFonts w:cstheme="minorHAnsi"/>
          <w:lang w:val="en-GB"/>
        </w:rPr>
        <w:t>group</w:t>
      </w:r>
      <w:r w:rsidR="00F71113">
        <w:rPr>
          <w:rFonts w:cstheme="minorHAnsi"/>
          <w:lang w:val="en-GB"/>
        </w:rPr>
        <w:t>s</w:t>
      </w:r>
      <w:r w:rsidRPr="000510D6">
        <w:rPr>
          <w:rFonts w:cstheme="minorHAnsi"/>
          <w:lang w:val="en-GB"/>
        </w:rPr>
        <w:t xml:space="preserve">. </w:t>
      </w:r>
      <w:r w:rsidR="00F8698F">
        <w:rPr>
          <w:rFonts w:cstheme="minorHAnsi"/>
          <w:lang w:val="en-GB"/>
        </w:rPr>
        <w:t>To ensure effectiveness, t</w:t>
      </w:r>
      <w:r w:rsidR="00701F41" w:rsidRPr="000510D6">
        <w:rPr>
          <w:rFonts w:cstheme="minorHAnsi"/>
          <w:lang w:val="en-GB"/>
        </w:rPr>
        <w:t>he group</w:t>
      </w:r>
      <w:r w:rsidRPr="000510D6">
        <w:rPr>
          <w:rFonts w:cstheme="minorHAnsi"/>
          <w:lang w:val="en-GB"/>
        </w:rPr>
        <w:t xml:space="preserve"> should consist of representatives from </w:t>
      </w:r>
      <w:r w:rsidR="00AD15FC">
        <w:rPr>
          <w:rFonts w:cstheme="minorHAnsi"/>
          <w:lang w:val="en-GB"/>
        </w:rPr>
        <w:t xml:space="preserve">the </w:t>
      </w:r>
      <w:r w:rsidRPr="000510D6">
        <w:rPr>
          <w:rFonts w:cstheme="minorHAnsi"/>
          <w:lang w:val="en-GB"/>
        </w:rPr>
        <w:t xml:space="preserve">agencies </w:t>
      </w:r>
      <w:r w:rsidR="000510D6" w:rsidRPr="000510D6">
        <w:rPr>
          <w:rFonts w:cstheme="minorHAnsi"/>
          <w:lang w:val="en-GB"/>
        </w:rPr>
        <w:t xml:space="preserve">and the Secretariat </w:t>
      </w:r>
      <w:r w:rsidRPr="000510D6">
        <w:rPr>
          <w:lang w:val="en-GB"/>
        </w:rPr>
        <w:t>(2 persons per agency +</w:t>
      </w:r>
      <w:r w:rsidRPr="000510D6">
        <w:rPr>
          <w:rFonts w:cstheme="minorHAnsi"/>
          <w:lang w:val="en-GB"/>
        </w:rPr>
        <w:t xml:space="preserve"> </w:t>
      </w:r>
      <w:r w:rsidR="000510D6" w:rsidRPr="000510D6">
        <w:rPr>
          <w:rFonts w:cstheme="minorHAnsi"/>
          <w:lang w:val="en-GB"/>
        </w:rPr>
        <w:t>coordination support from the</w:t>
      </w:r>
      <w:r w:rsidR="000510D6" w:rsidRPr="000510D6">
        <w:rPr>
          <w:lang w:val="en-GB"/>
        </w:rPr>
        <w:t xml:space="preserve"> </w:t>
      </w:r>
      <w:r w:rsidRPr="000510D6">
        <w:rPr>
          <w:lang w:val="en-GB"/>
        </w:rPr>
        <w:t>Secretariat)</w:t>
      </w:r>
      <w:r w:rsidRPr="000510D6">
        <w:rPr>
          <w:rFonts w:cstheme="minorHAnsi"/>
          <w:lang w:val="en-GB"/>
        </w:rPr>
        <w:t>, ensuring that there are members on a given group involved with direct country support.</w:t>
      </w:r>
    </w:p>
    <w:p w:rsidR="00B96855" w:rsidRPr="005520FD" w:rsidRDefault="00934638" w:rsidP="003F62D8">
      <w:pPr>
        <w:rPr>
          <w:rFonts w:cstheme="minorHAnsi"/>
          <w:lang w:val="en-GB"/>
        </w:rPr>
        <w:sectPr w:rsidR="00B96855" w:rsidRPr="005520FD" w:rsidSect="00E9670C">
          <w:footerReference w:type="default" r:id="rId9"/>
          <w:pgSz w:w="11906" w:h="16838"/>
          <w:pgMar w:top="1417" w:right="1417" w:bottom="1417" w:left="1417" w:header="708" w:footer="708" w:gutter="0"/>
          <w:cols w:space="708"/>
          <w:docGrid w:linePitch="360"/>
        </w:sectPr>
      </w:pPr>
      <w:r w:rsidRPr="000510D6">
        <w:rPr>
          <w:rFonts w:cstheme="minorHAnsi"/>
          <w:lang w:val="en-GB"/>
        </w:rPr>
        <w:t>In addition, there is the need to address how the work described above links with other relevant ongoing or planned areas of work, particularly PGAs and national grievance mechanisms.  At a minimum, there should be system</w:t>
      </w:r>
      <w:r w:rsidR="005A2863">
        <w:rPr>
          <w:rFonts w:cstheme="minorHAnsi"/>
          <w:lang w:val="en-GB"/>
        </w:rPr>
        <w:t>a</w:t>
      </w:r>
      <w:r w:rsidRPr="000510D6">
        <w:rPr>
          <w:rFonts w:cstheme="minorHAnsi"/>
          <w:lang w:val="en-GB"/>
        </w:rPr>
        <w:t>tized information sharing among the teams working on these issue</w:t>
      </w:r>
      <w:r w:rsidR="008B3B89">
        <w:rPr>
          <w:rFonts w:cstheme="minorHAnsi"/>
          <w:lang w:val="en-GB"/>
        </w:rPr>
        <w:t>s.</w:t>
      </w:r>
    </w:p>
    <w:p w:rsidR="005F523E" w:rsidRPr="00441A81" w:rsidRDefault="00D87F12" w:rsidP="005F523E">
      <w:pPr>
        <w:pStyle w:val="Heading1"/>
        <w:numPr>
          <w:ilvl w:val="0"/>
          <w:numId w:val="0"/>
        </w:numPr>
        <w:ind w:left="432" w:hanging="432"/>
        <w:rPr>
          <w:rFonts w:asciiTheme="minorHAnsi" w:hAnsiTheme="minorHAnsi"/>
          <w:sz w:val="20"/>
          <w:szCs w:val="20"/>
          <w:lang w:val="en-US"/>
        </w:rPr>
      </w:pPr>
      <w:r w:rsidRPr="00D87F12">
        <w:rPr>
          <w:rFonts w:asciiTheme="minorHAnsi" w:hAnsiTheme="minorHAnsi"/>
          <w:sz w:val="20"/>
          <w:szCs w:val="20"/>
          <w:lang w:val="en-US"/>
        </w:rPr>
        <w:lastRenderedPageBreak/>
        <w:t>Annex 1</w:t>
      </w:r>
    </w:p>
    <w:p w:rsidR="005F523E" w:rsidRPr="00441A81" w:rsidRDefault="00D87F12" w:rsidP="005F523E">
      <w:pPr>
        <w:rPr>
          <w:sz w:val="20"/>
          <w:szCs w:val="20"/>
          <w:lang w:val="en-US"/>
        </w:rPr>
      </w:pPr>
      <w:r w:rsidRPr="00D87F12">
        <w:rPr>
          <w:sz w:val="20"/>
          <w:szCs w:val="20"/>
          <w:lang w:val="en-US"/>
        </w:rPr>
        <w:t>The following are UN-REDD tools that exist or are being developed that are relevant to safeguards work:</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The SEPC (welcomed as a guiding framework at PB 8)</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The draft Benefits and Risk Tool (</w:t>
      </w:r>
      <w:proofErr w:type="spellStart"/>
      <w:r w:rsidRPr="00D87F12">
        <w:rPr>
          <w:rFonts w:asciiTheme="minorHAnsi" w:hAnsiTheme="minorHAnsi" w:cstheme="minorHAnsi"/>
          <w:sz w:val="20"/>
          <w:szCs w:val="20"/>
        </w:rPr>
        <w:t>BeRT</w:t>
      </w:r>
      <w:proofErr w:type="spellEnd"/>
      <w:r w:rsidRPr="00D87F12">
        <w:rPr>
          <w:rFonts w:asciiTheme="minorHAnsi" w:hAnsiTheme="minorHAnsi" w:cstheme="minorHAnsi"/>
          <w:sz w:val="20"/>
          <w:szCs w:val="20"/>
        </w:rPr>
        <w:t xml:space="preserve">), a decision support tool that is designed for identifying Benefits and Risks within National REDD+ </w:t>
      </w:r>
      <w:proofErr w:type="spellStart"/>
      <w:r w:rsidRPr="00D87F12">
        <w:rPr>
          <w:rFonts w:asciiTheme="minorHAnsi" w:hAnsiTheme="minorHAnsi" w:cstheme="minorHAnsi"/>
          <w:sz w:val="20"/>
          <w:szCs w:val="20"/>
        </w:rPr>
        <w:t>Programmes</w:t>
      </w:r>
      <w:proofErr w:type="spellEnd"/>
      <w:r w:rsidRPr="00D87F12">
        <w:rPr>
          <w:rFonts w:asciiTheme="minorHAnsi" w:hAnsiTheme="minorHAnsi" w:cstheme="minorHAnsi"/>
          <w:sz w:val="20"/>
          <w:szCs w:val="20"/>
        </w:rPr>
        <w:t xml:space="preserve"> or strategies</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The draft UN-REDD Guidelines on Free, Prior, and Informed Consent</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 xml:space="preserve">The Guidelines on Stakeholder Engagement in REDD+ Readiness (UN-REDD &amp; FCPF)  </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Participatory Governance Assessments (PGAs)</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Guidelines for monitoring the impacts of REDD+ on biodiversity and ecosystem services (draft)</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The annotated guide to useful resources for monitoring the impacts of REDD+ on biodiversity and ecosystem services (draft)</w:t>
      </w:r>
    </w:p>
    <w:p w:rsidR="005F523E" w:rsidRPr="005F523E" w:rsidRDefault="00D87F12" w:rsidP="005F523E">
      <w:pPr>
        <w:pStyle w:val="CommentText"/>
        <w:numPr>
          <w:ilvl w:val="0"/>
          <w:numId w:val="8"/>
        </w:numPr>
        <w:rPr>
          <w:rFonts w:asciiTheme="minorHAnsi" w:hAnsiTheme="minorHAnsi" w:cstheme="minorHAnsi"/>
          <w:lang w:val="en-US"/>
        </w:rPr>
      </w:pPr>
      <w:r w:rsidRPr="00D87F12">
        <w:rPr>
          <w:rFonts w:asciiTheme="minorHAnsi" w:hAnsiTheme="minorHAnsi" w:cstheme="minorHAnsi"/>
          <w:lang w:val="en-US"/>
        </w:rPr>
        <w:t xml:space="preserve">Framework for Assessing and Monitoring Forest Governance </w:t>
      </w:r>
    </w:p>
    <w:p w:rsidR="005F523E" w:rsidRPr="005F523E" w:rsidRDefault="00D87F12" w:rsidP="005F523E">
      <w:pPr>
        <w:pStyle w:val="CommentText"/>
        <w:numPr>
          <w:ilvl w:val="0"/>
          <w:numId w:val="8"/>
        </w:numPr>
        <w:rPr>
          <w:rFonts w:asciiTheme="minorHAnsi" w:hAnsiTheme="minorHAnsi" w:cstheme="minorHAnsi"/>
          <w:lang w:val="en-US"/>
        </w:rPr>
      </w:pPr>
      <w:r w:rsidRPr="00D87F12">
        <w:rPr>
          <w:rFonts w:asciiTheme="minorHAnsi" w:hAnsiTheme="minorHAnsi" w:cstheme="minorHAnsi"/>
          <w:lang w:val="en-US"/>
        </w:rPr>
        <w:t>Guidance on Forest Governance Data Collection (in development) (related to SIS)</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Guidance on Establishing National-Level Grievance Mechanisms (in development)</w:t>
      </w:r>
    </w:p>
    <w:p w:rsidR="005F523E" w:rsidRPr="005F523E" w:rsidRDefault="00D87F12" w:rsidP="005F523E">
      <w:pPr>
        <w:pStyle w:val="ListParagraph"/>
        <w:numPr>
          <w:ilvl w:val="0"/>
          <w:numId w:val="8"/>
        </w:numPr>
        <w:spacing w:after="40"/>
        <w:rPr>
          <w:rFonts w:asciiTheme="minorHAnsi" w:hAnsiTheme="minorHAnsi" w:cstheme="minorHAnsi"/>
          <w:sz w:val="20"/>
          <w:szCs w:val="20"/>
        </w:rPr>
      </w:pPr>
      <w:r w:rsidRPr="00D87F12">
        <w:rPr>
          <w:rFonts w:asciiTheme="minorHAnsi" w:hAnsiTheme="minorHAnsi" w:cstheme="minorHAnsi"/>
          <w:sz w:val="20"/>
          <w:szCs w:val="20"/>
        </w:rPr>
        <w:t xml:space="preserve">The National </w:t>
      </w:r>
      <w:proofErr w:type="spellStart"/>
      <w:r w:rsidRPr="00D87F12">
        <w:rPr>
          <w:rFonts w:asciiTheme="minorHAnsi" w:hAnsiTheme="minorHAnsi" w:cstheme="minorHAnsi"/>
          <w:sz w:val="20"/>
          <w:szCs w:val="20"/>
        </w:rPr>
        <w:t>Programme</w:t>
      </w:r>
      <w:proofErr w:type="spellEnd"/>
      <w:r w:rsidRPr="00D87F12">
        <w:rPr>
          <w:rFonts w:asciiTheme="minorHAnsi" w:hAnsiTheme="minorHAnsi" w:cstheme="minorHAnsi"/>
          <w:sz w:val="20"/>
          <w:szCs w:val="20"/>
        </w:rPr>
        <w:t xml:space="preserve"> Handbook (in press)</w:t>
      </w:r>
    </w:p>
    <w:p w:rsidR="005F523E" w:rsidRPr="005F523E" w:rsidRDefault="005F523E" w:rsidP="005F523E">
      <w:pPr>
        <w:pStyle w:val="ListParagraph"/>
        <w:spacing w:after="40"/>
        <w:ind w:left="360" w:firstLine="0"/>
        <w:rPr>
          <w:rFonts w:asciiTheme="minorHAnsi" w:hAnsiTheme="minorHAnsi"/>
          <w:sz w:val="20"/>
          <w:szCs w:val="20"/>
        </w:rPr>
      </w:pPr>
    </w:p>
    <w:p w:rsidR="005F523E" w:rsidRPr="00441A81" w:rsidRDefault="00D87F12" w:rsidP="005F523E">
      <w:pPr>
        <w:rPr>
          <w:sz w:val="20"/>
          <w:szCs w:val="20"/>
          <w:lang w:val="en-US"/>
        </w:rPr>
      </w:pPr>
      <w:r w:rsidRPr="00D87F12">
        <w:rPr>
          <w:sz w:val="20"/>
          <w:szCs w:val="20"/>
          <w:lang w:val="en-US"/>
        </w:rPr>
        <w:t xml:space="preserve">The table below </w:t>
      </w:r>
      <w:proofErr w:type="spellStart"/>
      <w:r w:rsidRPr="00D87F12">
        <w:rPr>
          <w:sz w:val="20"/>
          <w:szCs w:val="20"/>
          <w:lang w:val="en-US"/>
        </w:rPr>
        <w:t>summarises</w:t>
      </w:r>
      <w:proofErr w:type="spellEnd"/>
      <w:r w:rsidRPr="00D87F12">
        <w:rPr>
          <w:sz w:val="20"/>
          <w:szCs w:val="20"/>
          <w:lang w:val="en-US"/>
        </w:rPr>
        <w:t xml:space="preserve"> the main aspects of the Cancun safeguards that these tools can help countries to address</w:t>
      </w:r>
      <w:r w:rsidR="005D7776">
        <w:rPr>
          <w:sz w:val="20"/>
          <w:szCs w:val="20"/>
          <w:lang w:val="en-US"/>
        </w:rPr>
        <w:t xml:space="preserve"> (note that the symbol […] indicates that the full text has been cut, as it was not deemed necessary to include in full in this internal note.</w:t>
      </w:r>
      <w:r w:rsidRPr="00D87F12">
        <w:rPr>
          <w:sz w:val="20"/>
          <w:szCs w:val="20"/>
          <w:lang w:val="en-US"/>
        </w:rPr>
        <w:t>.</w:t>
      </w:r>
    </w:p>
    <w:tbl>
      <w:tblPr>
        <w:tblStyle w:val="TableGrid"/>
        <w:tblW w:w="16179" w:type="dxa"/>
        <w:tblInd w:w="-459" w:type="dxa"/>
        <w:tblLook w:val="04A0"/>
      </w:tblPr>
      <w:tblGrid>
        <w:gridCol w:w="2552"/>
        <w:gridCol w:w="1703"/>
        <w:gridCol w:w="1703"/>
        <w:gridCol w:w="1703"/>
        <w:gridCol w:w="1704"/>
        <w:gridCol w:w="1703"/>
        <w:gridCol w:w="1703"/>
        <w:gridCol w:w="1704"/>
        <w:gridCol w:w="1704"/>
      </w:tblGrid>
      <w:tr w:rsidR="005F523E" w:rsidRPr="005F523E" w:rsidTr="00EC1615">
        <w:tc>
          <w:tcPr>
            <w:tcW w:w="2552" w:type="dxa"/>
          </w:tcPr>
          <w:p w:rsidR="005F523E" w:rsidRPr="005F523E" w:rsidRDefault="00D87F12" w:rsidP="00EC1615">
            <w:pPr>
              <w:spacing w:after="200" w:line="276" w:lineRule="auto"/>
              <w:rPr>
                <w:b/>
                <w:sz w:val="20"/>
                <w:szCs w:val="20"/>
              </w:rPr>
            </w:pPr>
            <w:r w:rsidRPr="00D87F12">
              <w:rPr>
                <w:b/>
                <w:sz w:val="20"/>
                <w:szCs w:val="20"/>
              </w:rPr>
              <w:t xml:space="preserve">UNFCCC </w:t>
            </w:r>
            <w:proofErr w:type="spellStart"/>
            <w:r w:rsidRPr="00D87F12">
              <w:rPr>
                <w:b/>
                <w:sz w:val="20"/>
                <w:szCs w:val="20"/>
              </w:rPr>
              <w:t>safeguard</w:t>
            </w:r>
            <w:r w:rsidR="00951633">
              <w:rPr>
                <w:b/>
                <w:sz w:val="20"/>
                <w:szCs w:val="20"/>
              </w:rPr>
              <w:t>s</w:t>
            </w:r>
            <w:proofErr w:type="spellEnd"/>
            <w:r w:rsidR="00951633">
              <w:rPr>
                <w:b/>
                <w:sz w:val="20"/>
                <w:szCs w:val="20"/>
              </w:rPr>
              <w:t xml:space="preserve"> and provisions on SIS.</w:t>
            </w:r>
          </w:p>
        </w:tc>
        <w:tc>
          <w:tcPr>
            <w:tcW w:w="1703" w:type="dxa"/>
          </w:tcPr>
          <w:p w:rsidR="005F523E" w:rsidRPr="005F523E" w:rsidRDefault="00D87F12" w:rsidP="00EC1615">
            <w:pPr>
              <w:spacing w:after="200" w:line="276" w:lineRule="auto"/>
              <w:rPr>
                <w:b/>
                <w:sz w:val="20"/>
                <w:szCs w:val="20"/>
              </w:rPr>
            </w:pPr>
            <w:r w:rsidRPr="00D87F12">
              <w:rPr>
                <w:b/>
                <w:sz w:val="20"/>
                <w:szCs w:val="20"/>
              </w:rPr>
              <w:t>Cancun (a)</w:t>
            </w:r>
          </w:p>
        </w:tc>
        <w:tc>
          <w:tcPr>
            <w:tcW w:w="1703" w:type="dxa"/>
          </w:tcPr>
          <w:p w:rsidR="005F523E" w:rsidRPr="005F523E" w:rsidRDefault="00D87F12" w:rsidP="00EC1615">
            <w:pPr>
              <w:spacing w:after="200" w:line="276" w:lineRule="auto"/>
              <w:rPr>
                <w:b/>
                <w:sz w:val="20"/>
                <w:szCs w:val="20"/>
              </w:rPr>
            </w:pPr>
            <w:r w:rsidRPr="00D87F12">
              <w:rPr>
                <w:b/>
                <w:sz w:val="20"/>
                <w:szCs w:val="20"/>
              </w:rPr>
              <w:t>Cancun (b)</w:t>
            </w:r>
          </w:p>
        </w:tc>
        <w:tc>
          <w:tcPr>
            <w:tcW w:w="1703" w:type="dxa"/>
          </w:tcPr>
          <w:p w:rsidR="005F523E" w:rsidRPr="005F523E" w:rsidRDefault="00D87F12" w:rsidP="00EC1615">
            <w:pPr>
              <w:spacing w:after="200" w:line="276" w:lineRule="auto"/>
              <w:rPr>
                <w:b/>
                <w:sz w:val="20"/>
                <w:szCs w:val="20"/>
              </w:rPr>
            </w:pPr>
            <w:r w:rsidRPr="00D87F12">
              <w:rPr>
                <w:b/>
                <w:sz w:val="20"/>
                <w:szCs w:val="20"/>
              </w:rPr>
              <w:t>Cancun (c)</w:t>
            </w:r>
          </w:p>
        </w:tc>
        <w:tc>
          <w:tcPr>
            <w:tcW w:w="1704" w:type="dxa"/>
          </w:tcPr>
          <w:p w:rsidR="005F523E" w:rsidRPr="005F523E" w:rsidRDefault="00D87F12" w:rsidP="00EC1615">
            <w:pPr>
              <w:spacing w:after="200" w:line="276" w:lineRule="auto"/>
              <w:rPr>
                <w:b/>
                <w:sz w:val="20"/>
                <w:szCs w:val="20"/>
              </w:rPr>
            </w:pPr>
            <w:r w:rsidRPr="00D87F12">
              <w:rPr>
                <w:b/>
                <w:sz w:val="20"/>
                <w:szCs w:val="20"/>
              </w:rPr>
              <w:t>Cancun (d)</w:t>
            </w:r>
          </w:p>
        </w:tc>
        <w:tc>
          <w:tcPr>
            <w:tcW w:w="1703" w:type="dxa"/>
          </w:tcPr>
          <w:p w:rsidR="005F523E" w:rsidRPr="005F523E" w:rsidRDefault="00D87F12" w:rsidP="00EC1615">
            <w:pPr>
              <w:spacing w:after="200" w:line="276" w:lineRule="auto"/>
              <w:rPr>
                <w:b/>
                <w:sz w:val="20"/>
                <w:szCs w:val="20"/>
              </w:rPr>
            </w:pPr>
            <w:r w:rsidRPr="00D87F12">
              <w:rPr>
                <w:b/>
                <w:sz w:val="20"/>
                <w:szCs w:val="20"/>
              </w:rPr>
              <w:t>Cancun (e)</w:t>
            </w:r>
          </w:p>
        </w:tc>
        <w:tc>
          <w:tcPr>
            <w:tcW w:w="1703" w:type="dxa"/>
          </w:tcPr>
          <w:p w:rsidR="005F523E" w:rsidRPr="005F523E" w:rsidRDefault="00D87F12" w:rsidP="00EC1615">
            <w:pPr>
              <w:spacing w:after="200" w:line="276" w:lineRule="auto"/>
              <w:rPr>
                <w:b/>
                <w:sz w:val="20"/>
                <w:szCs w:val="20"/>
              </w:rPr>
            </w:pPr>
            <w:r w:rsidRPr="00D87F12">
              <w:rPr>
                <w:b/>
                <w:sz w:val="20"/>
                <w:szCs w:val="20"/>
              </w:rPr>
              <w:t>Cancun (f)</w:t>
            </w:r>
          </w:p>
        </w:tc>
        <w:tc>
          <w:tcPr>
            <w:tcW w:w="1704" w:type="dxa"/>
          </w:tcPr>
          <w:p w:rsidR="005F523E" w:rsidRPr="005F523E" w:rsidRDefault="00D87F12" w:rsidP="00EC1615">
            <w:pPr>
              <w:spacing w:after="200" w:line="276" w:lineRule="auto"/>
              <w:rPr>
                <w:b/>
                <w:sz w:val="20"/>
                <w:szCs w:val="20"/>
              </w:rPr>
            </w:pPr>
            <w:r w:rsidRPr="00D87F12">
              <w:rPr>
                <w:b/>
                <w:sz w:val="20"/>
                <w:szCs w:val="20"/>
              </w:rPr>
              <w:t>Cancun (g)</w:t>
            </w:r>
          </w:p>
        </w:tc>
        <w:tc>
          <w:tcPr>
            <w:tcW w:w="1704" w:type="dxa"/>
          </w:tcPr>
          <w:p w:rsidR="005F523E" w:rsidRPr="005F523E" w:rsidRDefault="00D87F12" w:rsidP="00EC1615">
            <w:pPr>
              <w:spacing w:after="200" w:line="276" w:lineRule="auto"/>
              <w:rPr>
                <w:b/>
                <w:sz w:val="20"/>
                <w:szCs w:val="20"/>
              </w:rPr>
            </w:pPr>
            <w:r w:rsidRPr="00D87F12">
              <w:rPr>
                <w:b/>
                <w:sz w:val="20"/>
                <w:szCs w:val="20"/>
              </w:rPr>
              <w:t>Cancun (para 71d)</w:t>
            </w:r>
          </w:p>
        </w:tc>
      </w:tr>
      <w:tr w:rsidR="005F523E" w:rsidRPr="00F9427F" w:rsidTr="00EC1615">
        <w:tc>
          <w:tcPr>
            <w:tcW w:w="2552" w:type="dxa"/>
          </w:tcPr>
          <w:p w:rsidR="005F523E" w:rsidRPr="005F523E" w:rsidRDefault="005F523E" w:rsidP="00EC1615">
            <w:pPr>
              <w:spacing w:after="200" w:line="276" w:lineRule="auto"/>
              <w:rPr>
                <w:b/>
                <w:sz w:val="20"/>
                <w:szCs w:val="20"/>
              </w:rPr>
            </w:pPr>
          </w:p>
        </w:tc>
        <w:tc>
          <w:tcPr>
            <w:tcW w:w="1703" w:type="dxa"/>
          </w:tcPr>
          <w:p w:rsidR="005F523E" w:rsidRPr="00441A81" w:rsidRDefault="00D87F12" w:rsidP="00EC1615">
            <w:pPr>
              <w:spacing w:after="200" w:line="276" w:lineRule="auto"/>
              <w:rPr>
                <w:sz w:val="20"/>
                <w:szCs w:val="20"/>
                <w:lang w:val="en-US"/>
              </w:rPr>
            </w:pPr>
            <w:r w:rsidRPr="00D87F12">
              <w:rPr>
                <w:sz w:val="20"/>
                <w:szCs w:val="20"/>
                <w:lang w:val="en-CA"/>
              </w:rPr>
              <w:t>Actions complement or are consistent with the objectives of national forest programmes and relevant international conventions and agreements</w:t>
            </w:r>
          </w:p>
        </w:tc>
        <w:tc>
          <w:tcPr>
            <w:tcW w:w="1703" w:type="dxa"/>
          </w:tcPr>
          <w:p w:rsidR="005F523E" w:rsidRPr="00441A81" w:rsidRDefault="00D87F12" w:rsidP="00EC1615">
            <w:pPr>
              <w:spacing w:after="200" w:line="276" w:lineRule="auto"/>
              <w:rPr>
                <w:sz w:val="20"/>
                <w:szCs w:val="20"/>
                <w:lang w:val="en-US"/>
              </w:rPr>
            </w:pPr>
            <w:r w:rsidRPr="00D87F12">
              <w:rPr>
                <w:sz w:val="20"/>
                <w:szCs w:val="20"/>
                <w:lang w:val="en-CA"/>
              </w:rPr>
              <w:t>Transparent and effective national forest governance structures, taking into account national legislation and sovereignty</w:t>
            </w:r>
          </w:p>
        </w:tc>
        <w:tc>
          <w:tcPr>
            <w:tcW w:w="1703" w:type="dxa"/>
          </w:tcPr>
          <w:p w:rsidR="005F523E" w:rsidRPr="00441A81" w:rsidRDefault="00D87F12" w:rsidP="00EC1615">
            <w:pPr>
              <w:spacing w:after="200" w:line="276" w:lineRule="auto"/>
              <w:rPr>
                <w:sz w:val="20"/>
                <w:szCs w:val="20"/>
                <w:lang w:val="en-US"/>
              </w:rPr>
            </w:pPr>
            <w:r w:rsidRPr="00D87F12">
              <w:rPr>
                <w:sz w:val="20"/>
                <w:szCs w:val="20"/>
                <w:lang w:val="en-CA"/>
              </w:rPr>
              <w:t>Respect for the knowledge and rights of indigenous peoples and members of local communities […]</w:t>
            </w:r>
          </w:p>
        </w:tc>
        <w:tc>
          <w:tcPr>
            <w:tcW w:w="1704" w:type="dxa"/>
          </w:tcPr>
          <w:p w:rsidR="005F523E" w:rsidRPr="00441A81" w:rsidRDefault="00D87F12" w:rsidP="00EC1615">
            <w:pPr>
              <w:spacing w:after="200" w:line="276" w:lineRule="auto"/>
              <w:rPr>
                <w:sz w:val="20"/>
                <w:szCs w:val="20"/>
                <w:lang w:val="en-US"/>
              </w:rPr>
            </w:pPr>
            <w:r w:rsidRPr="00D87F12">
              <w:rPr>
                <w:sz w:val="20"/>
                <w:szCs w:val="20"/>
                <w:lang w:val="en-CA"/>
              </w:rPr>
              <w:t>The full and effective participation of relevant stakeholders, in particular, indigenous peoples and local communities […]</w:t>
            </w:r>
          </w:p>
        </w:tc>
        <w:tc>
          <w:tcPr>
            <w:tcW w:w="1703" w:type="dxa"/>
          </w:tcPr>
          <w:p w:rsidR="005F523E" w:rsidRPr="00441A81" w:rsidRDefault="00D87F12" w:rsidP="00EC1615">
            <w:pPr>
              <w:spacing w:after="200" w:line="276" w:lineRule="auto"/>
              <w:rPr>
                <w:sz w:val="20"/>
                <w:szCs w:val="20"/>
                <w:lang w:val="en-US"/>
              </w:rPr>
            </w:pPr>
            <w:r w:rsidRPr="00D87F12">
              <w:rPr>
                <w:sz w:val="20"/>
                <w:szCs w:val="20"/>
                <w:lang w:val="en-CA"/>
              </w:rPr>
              <w:t>Actions are consistent with the conservation of natural forests and biological diversity […]</w:t>
            </w:r>
          </w:p>
        </w:tc>
        <w:tc>
          <w:tcPr>
            <w:tcW w:w="1703" w:type="dxa"/>
          </w:tcPr>
          <w:p w:rsidR="005F523E" w:rsidRPr="00441A81" w:rsidRDefault="00D87F12" w:rsidP="00EC1615">
            <w:pPr>
              <w:spacing w:after="200" w:line="276" w:lineRule="auto"/>
              <w:rPr>
                <w:sz w:val="20"/>
                <w:szCs w:val="20"/>
                <w:lang w:val="en-US"/>
              </w:rPr>
            </w:pPr>
            <w:r w:rsidRPr="00D87F12">
              <w:rPr>
                <w:sz w:val="20"/>
                <w:szCs w:val="20"/>
                <w:lang w:val="en-CA"/>
              </w:rPr>
              <w:t>Actions to address the risks of reversals</w:t>
            </w:r>
          </w:p>
        </w:tc>
        <w:tc>
          <w:tcPr>
            <w:tcW w:w="1704" w:type="dxa"/>
          </w:tcPr>
          <w:p w:rsidR="005F523E" w:rsidRPr="00441A81" w:rsidRDefault="00D87F12" w:rsidP="00EC1615">
            <w:pPr>
              <w:spacing w:after="200" w:line="276" w:lineRule="auto"/>
              <w:rPr>
                <w:sz w:val="20"/>
                <w:szCs w:val="20"/>
                <w:lang w:val="en-US"/>
              </w:rPr>
            </w:pPr>
            <w:r w:rsidRPr="00D87F12">
              <w:rPr>
                <w:sz w:val="20"/>
                <w:szCs w:val="20"/>
                <w:lang w:val="en-CA"/>
              </w:rPr>
              <w:t>Actions to reduce displacement of emissions</w:t>
            </w:r>
          </w:p>
        </w:tc>
        <w:tc>
          <w:tcPr>
            <w:tcW w:w="1704" w:type="dxa"/>
          </w:tcPr>
          <w:p w:rsidR="005F523E" w:rsidRPr="005F523E" w:rsidRDefault="00D87F12" w:rsidP="00EC1615">
            <w:pPr>
              <w:spacing w:after="200" w:line="276" w:lineRule="auto"/>
              <w:rPr>
                <w:sz w:val="20"/>
                <w:szCs w:val="20"/>
                <w:lang w:val="en-US"/>
              </w:rPr>
            </w:pPr>
            <w:r w:rsidRPr="00D87F12">
              <w:rPr>
                <w:sz w:val="20"/>
                <w:szCs w:val="20"/>
                <w:lang w:val="en-US"/>
              </w:rPr>
              <w:t>A system for providing information on how the safeguards referred to in appendix I to this decision are being addressed and respected</w:t>
            </w:r>
          </w:p>
          <w:p w:rsidR="005F523E" w:rsidRPr="00441A81" w:rsidRDefault="005F523E" w:rsidP="00EC1615">
            <w:pPr>
              <w:spacing w:after="200" w:line="276" w:lineRule="auto"/>
              <w:rPr>
                <w:sz w:val="20"/>
                <w:szCs w:val="20"/>
                <w:lang w:val="en-US"/>
              </w:rPr>
            </w:pPr>
          </w:p>
        </w:tc>
      </w:tr>
      <w:tr w:rsidR="005F523E" w:rsidRPr="005F523E" w:rsidTr="00EC1615">
        <w:tc>
          <w:tcPr>
            <w:tcW w:w="2552" w:type="dxa"/>
          </w:tcPr>
          <w:p w:rsidR="005F523E" w:rsidRPr="005F523E" w:rsidRDefault="00D87F12" w:rsidP="00EC1615">
            <w:pPr>
              <w:spacing w:after="40" w:line="276" w:lineRule="auto"/>
              <w:rPr>
                <w:rFonts w:cstheme="minorHAnsi"/>
                <w:b/>
                <w:sz w:val="20"/>
                <w:szCs w:val="20"/>
              </w:rPr>
            </w:pPr>
            <w:r w:rsidRPr="00D87F12">
              <w:rPr>
                <w:rFonts w:cstheme="minorHAnsi"/>
                <w:b/>
                <w:sz w:val="20"/>
                <w:szCs w:val="20"/>
              </w:rPr>
              <w:lastRenderedPageBreak/>
              <w:t xml:space="preserve">SEPC </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4" w:type="dxa"/>
            <w:vAlign w:val="center"/>
          </w:tcPr>
          <w:p w:rsidR="005F523E" w:rsidRPr="005F523E" w:rsidRDefault="005F523E" w:rsidP="00EC1615">
            <w:pPr>
              <w:spacing w:after="200" w:line="276" w:lineRule="auto"/>
              <w:jc w:val="center"/>
              <w:rPr>
                <w:sz w:val="20"/>
                <w:szCs w:val="20"/>
              </w:rPr>
            </w:pPr>
          </w:p>
        </w:tc>
      </w:tr>
      <w:tr w:rsidR="005F523E" w:rsidRPr="005F523E" w:rsidTr="00EC1615">
        <w:tc>
          <w:tcPr>
            <w:tcW w:w="2552" w:type="dxa"/>
          </w:tcPr>
          <w:p w:rsidR="005F523E" w:rsidRPr="00441A81" w:rsidRDefault="00D87F12" w:rsidP="00EC1615">
            <w:pPr>
              <w:spacing w:after="40" w:line="276" w:lineRule="auto"/>
              <w:rPr>
                <w:rFonts w:cstheme="minorHAnsi"/>
                <w:b/>
                <w:sz w:val="20"/>
                <w:szCs w:val="20"/>
                <w:lang w:val="en-US"/>
              </w:rPr>
            </w:pPr>
            <w:r w:rsidRPr="00D87F12">
              <w:rPr>
                <w:rFonts w:cstheme="minorHAnsi"/>
                <w:b/>
                <w:sz w:val="20"/>
                <w:szCs w:val="20"/>
                <w:lang w:val="en-US"/>
              </w:rPr>
              <w:t>Benefits and Risk Tool (</w:t>
            </w:r>
            <w:proofErr w:type="spellStart"/>
            <w:r w:rsidRPr="00D87F12">
              <w:rPr>
                <w:rFonts w:cstheme="minorHAnsi"/>
                <w:b/>
                <w:sz w:val="20"/>
                <w:szCs w:val="20"/>
                <w:lang w:val="en-US"/>
              </w:rPr>
              <w:t>BeRT</w:t>
            </w:r>
            <w:proofErr w:type="spellEnd"/>
            <w:r w:rsidRPr="00D87F12">
              <w:rPr>
                <w:rFonts w:cstheme="minorHAnsi"/>
                <w:b/>
                <w:sz w:val="20"/>
                <w:szCs w:val="20"/>
                <w:lang w:val="en-US"/>
              </w:rPr>
              <w:t>) (Draft)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r>
      <w:tr w:rsidR="005F523E" w:rsidRPr="005F523E" w:rsidTr="00EC1615">
        <w:tc>
          <w:tcPr>
            <w:tcW w:w="2552" w:type="dxa"/>
          </w:tcPr>
          <w:p w:rsidR="005F523E" w:rsidRPr="005F523E" w:rsidRDefault="00D87F12" w:rsidP="00EC1615">
            <w:pPr>
              <w:spacing w:after="40" w:line="276" w:lineRule="auto"/>
              <w:rPr>
                <w:rFonts w:cstheme="minorHAnsi"/>
                <w:b/>
                <w:sz w:val="20"/>
                <w:szCs w:val="20"/>
              </w:rPr>
            </w:pPr>
            <w:r w:rsidRPr="00D87F12">
              <w:rPr>
                <w:rFonts w:cstheme="minorHAnsi"/>
                <w:b/>
                <w:sz w:val="20"/>
                <w:szCs w:val="20"/>
              </w:rPr>
              <w:t xml:space="preserve">UN-REDD FPIC Guidelines </w:t>
            </w:r>
          </w:p>
        </w:tc>
        <w:tc>
          <w:tcPr>
            <w:tcW w:w="1703" w:type="dxa"/>
          </w:tcPr>
          <w:p w:rsidR="005F523E" w:rsidRPr="005F523E" w:rsidRDefault="005F523E" w:rsidP="00EC1615">
            <w:pPr>
              <w:spacing w:after="200" w:line="276" w:lineRule="auto"/>
              <w:rPr>
                <w:sz w:val="20"/>
                <w:szCs w:val="20"/>
              </w:rPr>
            </w:pPr>
          </w:p>
        </w:tc>
        <w:tc>
          <w:tcPr>
            <w:tcW w:w="1703" w:type="dxa"/>
            <w:vAlign w:val="center"/>
          </w:tcPr>
          <w:p w:rsidR="005F523E" w:rsidRPr="005F523E" w:rsidRDefault="005F523E" w:rsidP="00EC1615">
            <w:pPr>
              <w:spacing w:after="200" w:line="276" w:lineRule="auto"/>
              <w:jc w:val="center"/>
              <w:rPr>
                <w:sz w:val="20"/>
                <w:szCs w:val="20"/>
              </w:rPr>
            </w:pP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r>
      <w:tr w:rsidR="005F523E" w:rsidRPr="005F523E" w:rsidTr="00EC1615">
        <w:tc>
          <w:tcPr>
            <w:tcW w:w="2552" w:type="dxa"/>
          </w:tcPr>
          <w:p w:rsidR="005F523E" w:rsidRPr="005F523E" w:rsidRDefault="00D87F12" w:rsidP="00EC1615">
            <w:pPr>
              <w:spacing w:after="40" w:line="276" w:lineRule="auto"/>
              <w:rPr>
                <w:rFonts w:cstheme="minorHAnsi"/>
                <w:b/>
                <w:sz w:val="20"/>
                <w:szCs w:val="20"/>
              </w:rPr>
            </w:pPr>
            <w:r w:rsidRPr="00D87F12">
              <w:rPr>
                <w:rFonts w:cstheme="minorHAnsi"/>
                <w:b/>
                <w:sz w:val="20"/>
                <w:szCs w:val="20"/>
              </w:rPr>
              <w:t xml:space="preserve">Guidelines on </w:t>
            </w:r>
            <w:proofErr w:type="spellStart"/>
            <w:r w:rsidRPr="00D87F12">
              <w:rPr>
                <w:rFonts w:cstheme="minorHAnsi"/>
                <w:b/>
                <w:sz w:val="20"/>
                <w:szCs w:val="20"/>
              </w:rPr>
              <w:t>Stakeholder</w:t>
            </w:r>
            <w:proofErr w:type="spellEnd"/>
            <w:r w:rsidRPr="00D87F12">
              <w:rPr>
                <w:rFonts w:cstheme="minorHAnsi"/>
                <w:b/>
                <w:sz w:val="20"/>
                <w:szCs w:val="20"/>
              </w:rPr>
              <w:t xml:space="preserve"> Engagement </w:t>
            </w: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r>
      <w:tr w:rsidR="005F523E" w:rsidRPr="005F523E" w:rsidTr="00EC1615">
        <w:tc>
          <w:tcPr>
            <w:tcW w:w="2552" w:type="dxa"/>
          </w:tcPr>
          <w:p w:rsidR="005F523E" w:rsidRPr="005F523E" w:rsidRDefault="00D87F12" w:rsidP="00EC1615">
            <w:pPr>
              <w:spacing w:after="40" w:line="276" w:lineRule="auto"/>
              <w:rPr>
                <w:rFonts w:cstheme="minorHAnsi"/>
                <w:b/>
                <w:sz w:val="20"/>
                <w:szCs w:val="20"/>
              </w:rPr>
            </w:pPr>
            <w:proofErr w:type="spellStart"/>
            <w:r w:rsidRPr="00D87F12">
              <w:rPr>
                <w:rFonts w:cstheme="minorHAnsi"/>
                <w:b/>
                <w:sz w:val="20"/>
                <w:szCs w:val="20"/>
              </w:rPr>
              <w:t>Participatory</w:t>
            </w:r>
            <w:proofErr w:type="spellEnd"/>
            <w:r w:rsidRPr="00D87F12">
              <w:rPr>
                <w:rFonts w:cstheme="minorHAnsi"/>
                <w:b/>
                <w:sz w:val="20"/>
                <w:szCs w:val="20"/>
              </w:rPr>
              <w:t xml:space="preserve"> </w:t>
            </w:r>
            <w:proofErr w:type="spellStart"/>
            <w:r w:rsidRPr="00D87F12">
              <w:rPr>
                <w:rFonts w:cstheme="minorHAnsi"/>
                <w:b/>
                <w:sz w:val="20"/>
                <w:szCs w:val="20"/>
              </w:rPr>
              <w:t>Governance</w:t>
            </w:r>
            <w:proofErr w:type="spellEnd"/>
            <w:r w:rsidRPr="00D87F12">
              <w:rPr>
                <w:rFonts w:cstheme="minorHAnsi"/>
                <w:b/>
                <w:sz w:val="20"/>
                <w:szCs w:val="20"/>
              </w:rPr>
              <w:t xml:space="preserve"> </w:t>
            </w:r>
            <w:proofErr w:type="spellStart"/>
            <w:r w:rsidRPr="00D87F12">
              <w:rPr>
                <w:rFonts w:cstheme="minorHAnsi"/>
                <w:b/>
                <w:sz w:val="20"/>
                <w:szCs w:val="20"/>
              </w:rPr>
              <w:t>Assessments</w:t>
            </w:r>
            <w:proofErr w:type="spellEnd"/>
            <w:r w:rsidRPr="00D87F12">
              <w:rPr>
                <w:rFonts w:cstheme="minorHAnsi"/>
                <w:b/>
                <w:sz w:val="20"/>
                <w:szCs w:val="20"/>
              </w:rPr>
              <w:t xml:space="preserve"> (</w:t>
            </w:r>
            <w:proofErr w:type="spellStart"/>
            <w:r w:rsidRPr="00D87F12">
              <w:rPr>
                <w:rFonts w:cstheme="minorHAnsi"/>
                <w:b/>
                <w:sz w:val="20"/>
                <w:szCs w:val="20"/>
              </w:rPr>
              <w:t>PGAs</w:t>
            </w:r>
            <w:proofErr w:type="spellEnd"/>
            <w:r w:rsidRPr="00D87F12">
              <w:rPr>
                <w:rFonts w:cstheme="minorHAnsi"/>
                <w:b/>
                <w:sz w:val="20"/>
                <w:szCs w:val="20"/>
              </w:rPr>
              <w:t>)</w:t>
            </w:r>
          </w:p>
        </w:tc>
        <w:tc>
          <w:tcPr>
            <w:tcW w:w="1703" w:type="dxa"/>
          </w:tcPr>
          <w:p w:rsidR="005F523E" w:rsidRPr="005F523E" w:rsidRDefault="005F523E" w:rsidP="00EC1615">
            <w:pPr>
              <w:spacing w:after="200" w:line="276" w:lineRule="auto"/>
              <w:rPr>
                <w:sz w:val="20"/>
                <w:szCs w:val="20"/>
              </w:rPr>
            </w:pP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r>
      <w:tr w:rsidR="005F523E" w:rsidRPr="005F523E" w:rsidTr="00EC1615">
        <w:tc>
          <w:tcPr>
            <w:tcW w:w="2552" w:type="dxa"/>
          </w:tcPr>
          <w:p w:rsidR="005F523E" w:rsidRPr="00441A81" w:rsidRDefault="00D87F12" w:rsidP="00EC1615">
            <w:pPr>
              <w:spacing w:after="40" w:line="276" w:lineRule="auto"/>
              <w:rPr>
                <w:rFonts w:cstheme="minorHAnsi"/>
                <w:b/>
                <w:sz w:val="20"/>
                <w:szCs w:val="20"/>
                <w:lang w:val="en-US"/>
              </w:rPr>
            </w:pPr>
            <w:r w:rsidRPr="00D87F12">
              <w:rPr>
                <w:rFonts w:cstheme="minorHAnsi"/>
                <w:b/>
                <w:sz w:val="20"/>
                <w:szCs w:val="20"/>
                <w:lang w:val="en-US"/>
              </w:rPr>
              <w:t>Guidelines for monitoring the impacts of REDD+ on biodiversity and ecosystem services (draft)</w:t>
            </w:r>
          </w:p>
        </w:tc>
        <w:tc>
          <w:tcPr>
            <w:tcW w:w="1703"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4" w:type="dxa"/>
          </w:tcPr>
          <w:p w:rsidR="005F523E" w:rsidRPr="00441A81" w:rsidRDefault="005F523E" w:rsidP="00EC1615">
            <w:pPr>
              <w:spacing w:after="200" w:line="276" w:lineRule="auto"/>
              <w:rPr>
                <w:sz w:val="20"/>
                <w:szCs w:val="20"/>
                <w:lang w:val="en-US"/>
              </w:rPr>
            </w:pP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r>
      <w:tr w:rsidR="005F523E" w:rsidRPr="005F523E" w:rsidTr="00EC1615">
        <w:tc>
          <w:tcPr>
            <w:tcW w:w="2552" w:type="dxa"/>
          </w:tcPr>
          <w:p w:rsidR="005F523E" w:rsidRPr="00441A81" w:rsidRDefault="00D87F12" w:rsidP="00EC1615">
            <w:pPr>
              <w:spacing w:after="40" w:line="276" w:lineRule="auto"/>
              <w:rPr>
                <w:rFonts w:cstheme="minorHAnsi"/>
                <w:b/>
                <w:sz w:val="20"/>
                <w:szCs w:val="20"/>
                <w:lang w:val="en-US"/>
              </w:rPr>
            </w:pPr>
            <w:r w:rsidRPr="00D87F12">
              <w:rPr>
                <w:rFonts w:cstheme="minorHAnsi"/>
                <w:b/>
                <w:sz w:val="20"/>
                <w:szCs w:val="20"/>
                <w:lang w:val="en-US"/>
              </w:rPr>
              <w:t>The annotated guide to useful resources for monitoring the impacts of REDD+ on biodiversity and ecosystem services (draft)</w:t>
            </w:r>
          </w:p>
        </w:tc>
        <w:tc>
          <w:tcPr>
            <w:tcW w:w="1703"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4" w:type="dxa"/>
          </w:tcPr>
          <w:p w:rsidR="005F523E" w:rsidRPr="00441A81" w:rsidRDefault="005F523E" w:rsidP="00EC1615">
            <w:pPr>
              <w:spacing w:after="200" w:line="276" w:lineRule="auto"/>
              <w:rPr>
                <w:sz w:val="20"/>
                <w:szCs w:val="20"/>
                <w:lang w:val="en-US"/>
              </w:rPr>
            </w:pP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r>
      <w:tr w:rsidR="005F523E" w:rsidRPr="005F523E" w:rsidTr="00EC1615">
        <w:tc>
          <w:tcPr>
            <w:tcW w:w="2552" w:type="dxa"/>
          </w:tcPr>
          <w:p w:rsidR="005F523E" w:rsidRPr="00441A81" w:rsidRDefault="00D87F12" w:rsidP="00EC1615">
            <w:pPr>
              <w:pStyle w:val="CommentText"/>
              <w:ind w:left="0" w:firstLine="0"/>
              <w:rPr>
                <w:rFonts w:asciiTheme="minorHAnsi" w:hAnsiTheme="minorHAnsi" w:cstheme="minorHAnsi"/>
                <w:b/>
                <w:lang w:val="en-US"/>
              </w:rPr>
            </w:pPr>
            <w:r w:rsidRPr="00D87F12">
              <w:rPr>
                <w:rFonts w:asciiTheme="minorHAnsi" w:hAnsiTheme="minorHAnsi" w:cstheme="minorHAnsi"/>
                <w:b/>
                <w:lang w:val="en-US"/>
              </w:rPr>
              <w:t xml:space="preserve">Framework for Assessing and Monitoring Forest Governance </w:t>
            </w:r>
          </w:p>
        </w:tc>
        <w:tc>
          <w:tcPr>
            <w:tcW w:w="1703" w:type="dxa"/>
          </w:tcPr>
          <w:p w:rsidR="005F523E" w:rsidRPr="00441A81" w:rsidRDefault="005F523E" w:rsidP="00EC1615">
            <w:pPr>
              <w:spacing w:after="200" w:line="276" w:lineRule="auto"/>
              <w:rPr>
                <w:sz w:val="20"/>
                <w:szCs w:val="20"/>
                <w:lang w:val="en-US"/>
              </w:rPr>
            </w:pP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rFonts w:hAnsi="Lucida Grande" w:cs="Lucida Grande"/>
                <w:sz w:val="20"/>
                <w:szCs w:val="20"/>
              </w:rPr>
              <w:t>✓</w:t>
            </w:r>
          </w:p>
        </w:tc>
      </w:tr>
      <w:tr w:rsidR="005F523E" w:rsidRPr="005F523E" w:rsidTr="00EC1615">
        <w:tc>
          <w:tcPr>
            <w:tcW w:w="2552" w:type="dxa"/>
          </w:tcPr>
          <w:p w:rsidR="005F523E" w:rsidRPr="00441A81" w:rsidRDefault="00D87F12" w:rsidP="00EC1615">
            <w:pPr>
              <w:pStyle w:val="CommentText"/>
              <w:ind w:left="0" w:firstLine="0"/>
              <w:rPr>
                <w:rFonts w:asciiTheme="minorHAnsi" w:hAnsiTheme="minorHAnsi" w:cstheme="minorHAnsi"/>
                <w:b/>
                <w:lang w:val="en-US"/>
              </w:rPr>
            </w:pPr>
            <w:r w:rsidRPr="00D87F12">
              <w:rPr>
                <w:rFonts w:asciiTheme="minorHAnsi" w:hAnsiTheme="minorHAnsi" w:cstheme="minorHAnsi"/>
                <w:b/>
                <w:lang w:val="en-US"/>
              </w:rPr>
              <w:t>Guidance on Forest Governance Data Collection (in development)</w:t>
            </w:r>
          </w:p>
        </w:tc>
        <w:tc>
          <w:tcPr>
            <w:tcW w:w="1703"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4"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3" w:type="dxa"/>
          </w:tcPr>
          <w:p w:rsidR="005F523E" w:rsidRPr="00441A81" w:rsidRDefault="005F523E" w:rsidP="00EC1615">
            <w:pPr>
              <w:spacing w:after="200" w:line="276" w:lineRule="auto"/>
              <w:rPr>
                <w:sz w:val="20"/>
                <w:szCs w:val="20"/>
                <w:lang w:val="en-US"/>
              </w:rPr>
            </w:pPr>
          </w:p>
        </w:tc>
        <w:tc>
          <w:tcPr>
            <w:tcW w:w="1704" w:type="dxa"/>
          </w:tcPr>
          <w:p w:rsidR="005F523E" w:rsidRPr="00441A81" w:rsidRDefault="005F523E" w:rsidP="00EC1615">
            <w:pPr>
              <w:spacing w:after="200" w:line="276" w:lineRule="auto"/>
              <w:rPr>
                <w:sz w:val="20"/>
                <w:szCs w:val="20"/>
                <w:lang w:val="en-US"/>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r>
      <w:tr w:rsidR="005F523E" w:rsidRPr="005F523E" w:rsidTr="00EC1615">
        <w:trPr>
          <w:trHeight w:val="953"/>
        </w:trPr>
        <w:tc>
          <w:tcPr>
            <w:tcW w:w="2552" w:type="dxa"/>
          </w:tcPr>
          <w:p w:rsidR="005F523E" w:rsidRPr="00441A81" w:rsidRDefault="00D87F12" w:rsidP="00EC1615">
            <w:pPr>
              <w:spacing w:after="40" w:line="276" w:lineRule="auto"/>
              <w:rPr>
                <w:rFonts w:cstheme="minorHAnsi"/>
                <w:b/>
                <w:sz w:val="20"/>
                <w:szCs w:val="20"/>
                <w:lang w:val="en-US"/>
              </w:rPr>
            </w:pPr>
            <w:r w:rsidRPr="00D87F12">
              <w:rPr>
                <w:rFonts w:cstheme="minorHAnsi"/>
                <w:b/>
                <w:sz w:val="20"/>
                <w:szCs w:val="20"/>
                <w:lang w:val="en-US"/>
              </w:rPr>
              <w:t>Guidance on Establishing National-Level Grievance Mechanisms (in development)</w:t>
            </w:r>
          </w:p>
        </w:tc>
        <w:tc>
          <w:tcPr>
            <w:tcW w:w="1703" w:type="dxa"/>
          </w:tcPr>
          <w:p w:rsidR="005F523E" w:rsidRPr="00441A81" w:rsidRDefault="005F523E" w:rsidP="00EC1615">
            <w:pPr>
              <w:spacing w:after="200" w:line="276" w:lineRule="auto"/>
              <w:rPr>
                <w:sz w:val="20"/>
                <w:szCs w:val="20"/>
                <w:lang w:val="en-US"/>
              </w:rPr>
            </w:pP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r>
      <w:tr w:rsidR="005F523E" w:rsidRPr="005F523E" w:rsidTr="00EC1615">
        <w:tc>
          <w:tcPr>
            <w:tcW w:w="2552" w:type="dxa"/>
          </w:tcPr>
          <w:p w:rsidR="005F523E" w:rsidRPr="00441A81" w:rsidRDefault="00D87F12" w:rsidP="00EC1615">
            <w:pPr>
              <w:spacing w:after="40" w:line="276" w:lineRule="auto"/>
              <w:rPr>
                <w:rFonts w:cstheme="minorHAnsi"/>
                <w:b/>
                <w:sz w:val="20"/>
                <w:szCs w:val="20"/>
                <w:lang w:val="en-US"/>
              </w:rPr>
            </w:pPr>
            <w:r w:rsidRPr="00D87F12">
              <w:rPr>
                <w:rFonts w:cstheme="minorHAnsi"/>
                <w:b/>
                <w:sz w:val="20"/>
                <w:szCs w:val="20"/>
                <w:lang w:val="en-US"/>
              </w:rPr>
              <w:t xml:space="preserve">The National </w:t>
            </w:r>
            <w:proofErr w:type="spellStart"/>
            <w:r w:rsidRPr="00D87F12">
              <w:rPr>
                <w:rFonts w:cstheme="minorHAnsi"/>
                <w:b/>
                <w:sz w:val="20"/>
                <w:szCs w:val="20"/>
                <w:lang w:val="en-US"/>
              </w:rPr>
              <w:t>Programme</w:t>
            </w:r>
            <w:proofErr w:type="spellEnd"/>
            <w:r w:rsidRPr="00D87F12">
              <w:rPr>
                <w:rFonts w:cstheme="minorHAnsi"/>
                <w:b/>
                <w:sz w:val="20"/>
                <w:szCs w:val="20"/>
                <w:lang w:val="en-US"/>
              </w:rPr>
              <w:t xml:space="preserve"> Handbook (in press)</w:t>
            </w:r>
          </w:p>
        </w:tc>
        <w:tc>
          <w:tcPr>
            <w:tcW w:w="1703"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vAlign w:val="center"/>
          </w:tcPr>
          <w:p w:rsidR="005F523E" w:rsidRPr="005F523E" w:rsidRDefault="00D87F12" w:rsidP="00EC1615">
            <w:pPr>
              <w:spacing w:after="200" w:line="276" w:lineRule="auto"/>
              <w:jc w:val="center"/>
              <w:rPr>
                <w:sz w:val="20"/>
                <w:szCs w:val="20"/>
              </w:rPr>
            </w:pPr>
            <w:r w:rsidRPr="00D87F12">
              <w:rPr>
                <w:color w:val="000000"/>
                <w:sz w:val="20"/>
                <w:szCs w:val="20"/>
              </w:rPr>
              <w:t>✓</w:t>
            </w:r>
          </w:p>
        </w:tc>
        <w:tc>
          <w:tcPr>
            <w:tcW w:w="1703" w:type="dxa"/>
          </w:tcPr>
          <w:p w:rsidR="005F523E" w:rsidRPr="005F523E" w:rsidRDefault="005F523E" w:rsidP="00EC1615">
            <w:pPr>
              <w:spacing w:after="200" w:line="276" w:lineRule="auto"/>
              <w:rPr>
                <w:sz w:val="20"/>
                <w:szCs w:val="20"/>
              </w:rPr>
            </w:pPr>
          </w:p>
        </w:tc>
        <w:tc>
          <w:tcPr>
            <w:tcW w:w="1703"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c>
          <w:tcPr>
            <w:tcW w:w="1704" w:type="dxa"/>
          </w:tcPr>
          <w:p w:rsidR="005F523E" w:rsidRPr="005F523E" w:rsidRDefault="005F523E" w:rsidP="00EC1615">
            <w:pPr>
              <w:spacing w:after="200" w:line="276" w:lineRule="auto"/>
              <w:rPr>
                <w:sz w:val="20"/>
                <w:szCs w:val="20"/>
              </w:rPr>
            </w:pPr>
          </w:p>
        </w:tc>
      </w:tr>
    </w:tbl>
    <w:p w:rsidR="008404F4" w:rsidRPr="005F523E" w:rsidRDefault="008404F4" w:rsidP="008B3B89">
      <w:pPr>
        <w:pStyle w:val="Heading1"/>
        <w:numPr>
          <w:ilvl w:val="0"/>
          <w:numId w:val="0"/>
        </w:numPr>
        <w:rPr>
          <w:rFonts w:asciiTheme="minorHAnsi" w:hAnsiTheme="minorHAnsi" w:cstheme="minorHAnsi"/>
          <w:sz w:val="20"/>
          <w:szCs w:val="20"/>
          <w:lang w:val="en-GB"/>
        </w:rPr>
      </w:pPr>
    </w:p>
    <w:sectPr w:rsidR="008404F4" w:rsidRPr="005F523E" w:rsidSect="008B3B89">
      <w:footerReference w:type="default" r:id="rId10"/>
      <w:pgSz w:w="16838" w:h="11906" w:orient="landscape"/>
      <w:pgMar w:top="851" w:right="253"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00B" w:rsidRDefault="001E400B" w:rsidP="00141AC1">
      <w:pPr>
        <w:spacing w:after="0" w:line="240" w:lineRule="auto"/>
      </w:pPr>
      <w:r>
        <w:separator/>
      </w:r>
    </w:p>
  </w:endnote>
  <w:endnote w:type="continuationSeparator" w:id="0">
    <w:p w:rsidR="001E400B" w:rsidRDefault="001E400B" w:rsidP="00141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2632"/>
      <w:docPartObj>
        <w:docPartGallery w:val="Page Numbers (Bottom of Page)"/>
        <w:docPartUnique/>
      </w:docPartObj>
    </w:sdtPr>
    <w:sdtContent>
      <w:p w:rsidR="00B73304" w:rsidRDefault="008C5CC3">
        <w:pPr>
          <w:pStyle w:val="Footer"/>
          <w:jc w:val="center"/>
        </w:pPr>
        <w:r>
          <w:fldChar w:fldCharType="begin"/>
        </w:r>
        <w:r w:rsidR="00B73304">
          <w:instrText xml:space="preserve"> PAGE   \* MERGEFORMAT </w:instrText>
        </w:r>
        <w:r>
          <w:fldChar w:fldCharType="separate"/>
        </w:r>
        <w:r w:rsidR="00AF3AF5">
          <w:rPr>
            <w:noProof/>
          </w:rPr>
          <w:t>1</w:t>
        </w:r>
        <w:r>
          <w:rPr>
            <w:noProof/>
          </w:rPr>
          <w:fldChar w:fldCharType="end"/>
        </w:r>
      </w:p>
    </w:sdtContent>
  </w:sdt>
  <w:p w:rsidR="00B73304" w:rsidRDefault="00B73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6814"/>
      <w:docPartObj>
        <w:docPartGallery w:val="Page Numbers (Bottom of Page)"/>
        <w:docPartUnique/>
      </w:docPartObj>
    </w:sdtPr>
    <w:sdtContent>
      <w:p w:rsidR="00B73304" w:rsidRDefault="008C5CC3">
        <w:pPr>
          <w:pStyle w:val="Footer"/>
          <w:jc w:val="center"/>
        </w:pPr>
        <w:r>
          <w:fldChar w:fldCharType="begin"/>
        </w:r>
        <w:r w:rsidR="00B73304">
          <w:instrText xml:space="preserve"> PAGE   \* MERGEFORMAT </w:instrText>
        </w:r>
        <w:r>
          <w:fldChar w:fldCharType="separate"/>
        </w:r>
        <w:r w:rsidR="00AF3AF5">
          <w:rPr>
            <w:noProof/>
          </w:rPr>
          <w:t>8</w:t>
        </w:r>
        <w:r>
          <w:rPr>
            <w:noProof/>
          </w:rPr>
          <w:fldChar w:fldCharType="end"/>
        </w:r>
      </w:p>
    </w:sdtContent>
  </w:sdt>
  <w:p w:rsidR="00B73304" w:rsidRDefault="00B73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00B" w:rsidRDefault="001E400B" w:rsidP="00141AC1">
      <w:pPr>
        <w:spacing w:after="0" w:line="240" w:lineRule="auto"/>
      </w:pPr>
      <w:r>
        <w:separator/>
      </w:r>
    </w:p>
  </w:footnote>
  <w:footnote w:type="continuationSeparator" w:id="0">
    <w:p w:rsidR="001E400B" w:rsidRDefault="001E400B" w:rsidP="00141A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F31"/>
    <w:multiLevelType w:val="hybridMultilevel"/>
    <w:tmpl w:val="F6BA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6C4B90"/>
    <w:multiLevelType w:val="hybridMultilevel"/>
    <w:tmpl w:val="3356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044A69"/>
    <w:multiLevelType w:val="hybridMultilevel"/>
    <w:tmpl w:val="A9AE0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nsid w:val="0A2A2EF1"/>
    <w:multiLevelType w:val="hybridMultilevel"/>
    <w:tmpl w:val="78B890A8"/>
    <w:lvl w:ilvl="0" w:tplc="3088325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BC706DA"/>
    <w:multiLevelType w:val="hybridMultilevel"/>
    <w:tmpl w:val="1B92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931D7F"/>
    <w:multiLevelType w:val="hybridMultilevel"/>
    <w:tmpl w:val="D5861F88"/>
    <w:lvl w:ilvl="0" w:tplc="9CF844D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151BD"/>
    <w:multiLevelType w:val="hybridMultilevel"/>
    <w:tmpl w:val="094E45FC"/>
    <w:lvl w:ilvl="0" w:tplc="04090011">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FBC433F"/>
    <w:multiLevelType w:val="hybridMultilevel"/>
    <w:tmpl w:val="29C2746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433EB"/>
    <w:multiLevelType w:val="hybridMultilevel"/>
    <w:tmpl w:val="88B277DC"/>
    <w:lvl w:ilvl="0" w:tplc="04090013">
      <w:start w:val="1"/>
      <w:numFmt w:val="upperRoman"/>
      <w:lvlText w:val="%1."/>
      <w:lvlJc w:val="right"/>
      <w:pPr>
        <w:ind w:left="720" w:hanging="720"/>
      </w:pPr>
      <w:rPr>
        <w:rFonts w:hint="default"/>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nsid w:val="18A81DF0"/>
    <w:multiLevelType w:val="hybridMultilevel"/>
    <w:tmpl w:val="8010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9437F"/>
    <w:multiLevelType w:val="hybridMultilevel"/>
    <w:tmpl w:val="851E3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B53B94"/>
    <w:multiLevelType w:val="hybridMultilevel"/>
    <w:tmpl w:val="C1F2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1D35B8"/>
    <w:multiLevelType w:val="hybridMultilevel"/>
    <w:tmpl w:val="1C682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4176A"/>
    <w:multiLevelType w:val="hybridMultilevel"/>
    <w:tmpl w:val="FD1823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26386E69"/>
    <w:multiLevelType w:val="hybridMultilevel"/>
    <w:tmpl w:val="EC228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1A108F"/>
    <w:multiLevelType w:val="hybridMultilevel"/>
    <w:tmpl w:val="FD6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26D72"/>
    <w:multiLevelType w:val="hybridMultilevel"/>
    <w:tmpl w:val="FC2E3B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5BF2452"/>
    <w:multiLevelType w:val="hybridMultilevel"/>
    <w:tmpl w:val="1D92E03A"/>
    <w:lvl w:ilvl="0" w:tplc="04090013">
      <w:start w:val="1"/>
      <w:numFmt w:val="upperRoman"/>
      <w:lvlText w:val="%1."/>
      <w:lvlJc w:val="right"/>
      <w:pPr>
        <w:ind w:left="360" w:hanging="360"/>
      </w:pPr>
    </w:lvl>
    <w:lvl w:ilvl="1" w:tplc="CB4CCFB0">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185F88"/>
    <w:multiLevelType w:val="hybridMultilevel"/>
    <w:tmpl w:val="72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A7D7A61"/>
    <w:multiLevelType w:val="multilevel"/>
    <w:tmpl w:val="F2C626B8"/>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0">
    <w:nsid w:val="3FF85FF6"/>
    <w:multiLevelType w:val="hybridMultilevel"/>
    <w:tmpl w:val="37E6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1B4445"/>
    <w:multiLevelType w:val="hybridMultilevel"/>
    <w:tmpl w:val="7B90DF8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5E51F2"/>
    <w:multiLevelType w:val="hybridMultilevel"/>
    <w:tmpl w:val="57D2A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51DBF"/>
    <w:multiLevelType w:val="hybridMultilevel"/>
    <w:tmpl w:val="BB64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6C1DB9"/>
    <w:multiLevelType w:val="hybridMultilevel"/>
    <w:tmpl w:val="A44C8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78196A"/>
    <w:multiLevelType w:val="hybridMultilevel"/>
    <w:tmpl w:val="C4488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AA2FD4"/>
    <w:multiLevelType w:val="hybridMultilevel"/>
    <w:tmpl w:val="4732D60C"/>
    <w:lvl w:ilvl="0" w:tplc="CB4CCFB0">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B0467BC"/>
    <w:multiLevelType w:val="hybridMultilevel"/>
    <w:tmpl w:val="E32CB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E9E0EB7"/>
    <w:multiLevelType w:val="hybridMultilevel"/>
    <w:tmpl w:val="5DC0EA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186B2C"/>
    <w:multiLevelType w:val="hybridMultilevel"/>
    <w:tmpl w:val="923A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5471515"/>
    <w:multiLevelType w:val="multilevel"/>
    <w:tmpl w:val="B852A7A4"/>
    <w:lvl w:ilvl="0">
      <w:start w:val="1"/>
      <w:numFmt w:val="none"/>
      <w:pStyle w:val="Heading1"/>
      <w:lvlText w:val=""/>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6C0668AB"/>
    <w:multiLevelType w:val="hybridMultilevel"/>
    <w:tmpl w:val="5A08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C2C53"/>
    <w:multiLevelType w:val="hybridMultilevel"/>
    <w:tmpl w:val="95FC7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550797"/>
    <w:multiLevelType w:val="hybridMultilevel"/>
    <w:tmpl w:val="B592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F1B269C"/>
    <w:multiLevelType w:val="hybridMultilevel"/>
    <w:tmpl w:val="004808B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6F962261"/>
    <w:multiLevelType w:val="hybridMultilevel"/>
    <w:tmpl w:val="11C87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292447"/>
    <w:multiLevelType w:val="hybridMultilevel"/>
    <w:tmpl w:val="D6CCE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BD451F"/>
    <w:multiLevelType w:val="hybridMultilevel"/>
    <w:tmpl w:val="AC82A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FD55DA"/>
    <w:multiLevelType w:val="hybridMultilevel"/>
    <w:tmpl w:val="AC70B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23225F1"/>
    <w:multiLevelType w:val="hybridMultilevel"/>
    <w:tmpl w:val="3F342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451FC9"/>
    <w:multiLevelType w:val="hybridMultilevel"/>
    <w:tmpl w:val="3C10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B440B5"/>
    <w:multiLevelType w:val="hybridMultilevel"/>
    <w:tmpl w:val="1F6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A16EA7"/>
    <w:multiLevelType w:val="hybridMultilevel"/>
    <w:tmpl w:val="7C786D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80587A"/>
    <w:multiLevelType w:val="hybridMultilevel"/>
    <w:tmpl w:val="731A1518"/>
    <w:lvl w:ilvl="0" w:tplc="CB4CCFB0">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nsid w:val="7F385627"/>
    <w:multiLevelType w:val="hybridMultilevel"/>
    <w:tmpl w:val="ACAC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35"/>
  </w:num>
  <w:num w:numId="4">
    <w:abstractNumId w:val="34"/>
  </w:num>
  <w:num w:numId="5">
    <w:abstractNumId w:val="20"/>
  </w:num>
  <w:num w:numId="6">
    <w:abstractNumId w:val="17"/>
  </w:num>
  <w:num w:numId="7">
    <w:abstractNumId w:val="13"/>
  </w:num>
  <w:num w:numId="8">
    <w:abstractNumId w:val="32"/>
  </w:num>
  <w:num w:numId="9">
    <w:abstractNumId w:val="21"/>
  </w:num>
  <w:num w:numId="10">
    <w:abstractNumId w:val="31"/>
  </w:num>
  <w:num w:numId="11">
    <w:abstractNumId w:val="14"/>
  </w:num>
  <w:num w:numId="12">
    <w:abstractNumId w:val="22"/>
  </w:num>
  <w:num w:numId="13">
    <w:abstractNumId w:val="15"/>
  </w:num>
  <w:num w:numId="14">
    <w:abstractNumId w:val="30"/>
  </w:num>
  <w:num w:numId="15">
    <w:abstractNumId w:val="41"/>
  </w:num>
  <w:num w:numId="16">
    <w:abstractNumId w:val="43"/>
  </w:num>
  <w:num w:numId="17">
    <w:abstractNumId w:val="6"/>
  </w:num>
  <w:num w:numId="18">
    <w:abstractNumId w:val="19"/>
  </w:num>
  <w:num w:numId="19">
    <w:abstractNumId w:val="18"/>
  </w:num>
  <w:num w:numId="20">
    <w:abstractNumId w:val="42"/>
  </w:num>
  <w:num w:numId="21">
    <w:abstractNumId w:val="26"/>
  </w:num>
  <w:num w:numId="22">
    <w:abstractNumId w:val="12"/>
  </w:num>
  <w:num w:numId="23">
    <w:abstractNumId w:val="9"/>
  </w:num>
  <w:num w:numId="24">
    <w:abstractNumId w:val="24"/>
  </w:num>
  <w:num w:numId="25">
    <w:abstractNumId w:val="39"/>
  </w:num>
  <w:num w:numId="26">
    <w:abstractNumId w:val="1"/>
  </w:num>
  <w:num w:numId="27">
    <w:abstractNumId w:val="28"/>
  </w:num>
  <w:num w:numId="28">
    <w:abstractNumId w:val="5"/>
  </w:num>
  <w:num w:numId="29">
    <w:abstractNumId w:val="33"/>
  </w:num>
  <w:num w:numId="30">
    <w:abstractNumId w:val="11"/>
  </w:num>
  <w:num w:numId="31">
    <w:abstractNumId w:val="44"/>
  </w:num>
  <w:num w:numId="32">
    <w:abstractNumId w:val="23"/>
  </w:num>
  <w:num w:numId="33">
    <w:abstractNumId w:val="38"/>
  </w:num>
  <w:num w:numId="34">
    <w:abstractNumId w:val="16"/>
  </w:num>
  <w:num w:numId="35">
    <w:abstractNumId w:val="2"/>
  </w:num>
  <w:num w:numId="36">
    <w:abstractNumId w:val="37"/>
  </w:num>
  <w:num w:numId="37">
    <w:abstractNumId w:val="7"/>
  </w:num>
  <w:num w:numId="38">
    <w:abstractNumId w:val="29"/>
  </w:num>
  <w:num w:numId="39">
    <w:abstractNumId w:val="27"/>
  </w:num>
  <w:num w:numId="40">
    <w:abstractNumId w:val="10"/>
  </w:num>
  <w:num w:numId="41">
    <w:abstractNumId w:val="25"/>
  </w:num>
  <w:num w:numId="42">
    <w:abstractNumId w:val="40"/>
  </w:num>
  <w:num w:numId="43">
    <w:abstractNumId w:val="4"/>
  </w:num>
  <w:num w:numId="44">
    <w:abstractNumId w:val="0"/>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545EE3"/>
    <w:rsid w:val="00005D35"/>
    <w:rsid w:val="000060BE"/>
    <w:rsid w:val="00015C33"/>
    <w:rsid w:val="000258A2"/>
    <w:rsid w:val="000323F6"/>
    <w:rsid w:val="00033D6C"/>
    <w:rsid w:val="00041B41"/>
    <w:rsid w:val="000510D6"/>
    <w:rsid w:val="00057A0C"/>
    <w:rsid w:val="00063B82"/>
    <w:rsid w:val="0007715D"/>
    <w:rsid w:val="00083C56"/>
    <w:rsid w:val="000861F0"/>
    <w:rsid w:val="00086B2F"/>
    <w:rsid w:val="00087634"/>
    <w:rsid w:val="00094E4E"/>
    <w:rsid w:val="000C48B2"/>
    <w:rsid w:val="000C522C"/>
    <w:rsid w:val="000E06BE"/>
    <w:rsid w:val="000E5BCA"/>
    <w:rsid w:val="000F32C7"/>
    <w:rsid w:val="00116123"/>
    <w:rsid w:val="0012122C"/>
    <w:rsid w:val="00127D85"/>
    <w:rsid w:val="00132F69"/>
    <w:rsid w:val="00141AC1"/>
    <w:rsid w:val="0014473F"/>
    <w:rsid w:val="001514DD"/>
    <w:rsid w:val="00170FD1"/>
    <w:rsid w:val="00171E7E"/>
    <w:rsid w:val="00172218"/>
    <w:rsid w:val="00173D58"/>
    <w:rsid w:val="001D52D8"/>
    <w:rsid w:val="001D569A"/>
    <w:rsid w:val="001D59EF"/>
    <w:rsid w:val="001E400B"/>
    <w:rsid w:val="001F09A7"/>
    <w:rsid w:val="00202EEC"/>
    <w:rsid w:val="00234636"/>
    <w:rsid w:val="00237902"/>
    <w:rsid w:val="00242F06"/>
    <w:rsid w:val="00242F7A"/>
    <w:rsid w:val="00251F47"/>
    <w:rsid w:val="00257BCC"/>
    <w:rsid w:val="00265D77"/>
    <w:rsid w:val="00267ADD"/>
    <w:rsid w:val="00281F90"/>
    <w:rsid w:val="002A0A49"/>
    <w:rsid w:val="002C3D8E"/>
    <w:rsid w:val="002D009E"/>
    <w:rsid w:val="002E268D"/>
    <w:rsid w:val="002E2B2C"/>
    <w:rsid w:val="002F22C6"/>
    <w:rsid w:val="002F3F56"/>
    <w:rsid w:val="003047E4"/>
    <w:rsid w:val="003247EB"/>
    <w:rsid w:val="003270BA"/>
    <w:rsid w:val="003365F7"/>
    <w:rsid w:val="00340600"/>
    <w:rsid w:val="0035680E"/>
    <w:rsid w:val="0036092C"/>
    <w:rsid w:val="00370B92"/>
    <w:rsid w:val="003717BC"/>
    <w:rsid w:val="00373D4A"/>
    <w:rsid w:val="003757B6"/>
    <w:rsid w:val="00381C33"/>
    <w:rsid w:val="00381F42"/>
    <w:rsid w:val="003912E3"/>
    <w:rsid w:val="00395A51"/>
    <w:rsid w:val="003A15A0"/>
    <w:rsid w:val="003B1644"/>
    <w:rsid w:val="003D0CBC"/>
    <w:rsid w:val="003D2963"/>
    <w:rsid w:val="003D54FF"/>
    <w:rsid w:val="003E4252"/>
    <w:rsid w:val="003F07E0"/>
    <w:rsid w:val="003F62D8"/>
    <w:rsid w:val="003F63FE"/>
    <w:rsid w:val="00403331"/>
    <w:rsid w:val="00423B15"/>
    <w:rsid w:val="00441A81"/>
    <w:rsid w:val="00451F7B"/>
    <w:rsid w:val="004559F0"/>
    <w:rsid w:val="00457ECA"/>
    <w:rsid w:val="00477015"/>
    <w:rsid w:val="004774FD"/>
    <w:rsid w:val="004A2AE1"/>
    <w:rsid w:val="004C27D1"/>
    <w:rsid w:val="00516D4E"/>
    <w:rsid w:val="00520FE6"/>
    <w:rsid w:val="00524BE6"/>
    <w:rsid w:val="0054244B"/>
    <w:rsid w:val="00545EE3"/>
    <w:rsid w:val="005520FD"/>
    <w:rsid w:val="0057115B"/>
    <w:rsid w:val="005731A6"/>
    <w:rsid w:val="00573B28"/>
    <w:rsid w:val="0058244F"/>
    <w:rsid w:val="00590A80"/>
    <w:rsid w:val="00590E2E"/>
    <w:rsid w:val="005970EF"/>
    <w:rsid w:val="005A2863"/>
    <w:rsid w:val="005A5440"/>
    <w:rsid w:val="005A65DC"/>
    <w:rsid w:val="005B2A0C"/>
    <w:rsid w:val="005C6D88"/>
    <w:rsid w:val="005D6030"/>
    <w:rsid w:val="005D7776"/>
    <w:rsid w:val="005E27A7"/>
    <w:rsid w:val="005F523E"/>
    <w:rsid w:val="00602E1F"/>
    <w:rsid w:val="006046F3"/>
    <w:rsid w:val="006144F2"/>
    <w:rsid w:val="0062660A"/>
    <w:rsid w:val="006266FC"/>
    <w:rsid w:val="00670BDF"/>
    <w:rsid w:val="006767BB"/>
    <w:rsid w:val="00685E88"/>
    <w:rsid w:val="00690895"/>
    <w:rsid w:val="006B6552"/>
    <w:rsid w:val="006C5A73"/>
    <w:rsid w:val="006D64BD"/>
    <w:rsid w:val="006E577C"/>
    <w:rsid w:val="006E6C80"/>
    <w:rsid w:val="006E78DA"/>
    <w:rsid w:val="006F47E4"/>
    <w:rsid w:val="00701F41"/>
    <w:rsid w:val="00707A2A"/>
    <w:rsid w:val="00712150"/>
    <w:rsid w:val="007147FE"/>
    <w:rsid w:val="007261A1"/>
    <w:rsid w:val="00730681"/>
    <w:rsid w:val="00730E00"/>
    <w:rsid w:val="00731458"/>
    <w:rsid w:val="00743731"/>
    <w:rsid w:val="007627C1"/>
    <w:rsid w:val="0076339D"/>
    <w:rsid w:val="00776EC5"/>
    <w:rsid w:val="007806F1"/>
    <w:rsid w:val="00785B07"/>
    <w:rsid w:val="0079664E"/>
    <w:rsid w:val="007A60E7"/>
    <w:rsid w:val="007A7AF0"/>
    <w:rsid w:val="007B0577"/>
    <w:rsid w:val="007B2E3D"/>
    <w:rsid w:val="007C01AA"/>
    <w:rsid w:val="007C7D15"/>
    <w:rsid w:val="007D22D9"/>
    <w:rsid w:val="007E2813"/>
    <w:rsid w:val="007E3D63"/>
    <w:rsid w:val="007E4E3A"/>
    <w:rsid w:val="008063E8"/>
    <w:rsid w:val="00814C69"/>
    <w:rsid w:val="00817305"/>
    <w:rsid w:val="00820446"/>
    <w:rsid w:val="008225C9"/>
    <w:rsid w:val="00824C8B"/>
    <w:rsid w:val="008338F9"/>
    <w:rsid w:val="008404F4"/>
    <w:rsid w:val="008916F0"/>
    <w:rsid w:val="008A3F64"/>
    <w:rsid w:val="008A43AF"/>
    <w:rsid w:val="008A644E"/>
    <w:rsid w:val="008B3B89"/>
    <w:rsid w:val="008B597B"/>
    <w:rsid w:val="008C5CC3"/>
    <w:rsid w:val="008D0A17"/>
    <w:rsid w:val="008D0EF1"/>
    <w:rsid w:val="008F046E"/>
    <w:rsid w:val="008F2280"/>
    <w:rsid w:val="008F3A7E"/>
    <w:rsid w:val="00904499"/>
    <w:rsid w:val="00917A8D"/>
    <w:rsid w:val="00926681"/>
    <w:rsid w:val="00932875"/>
    <w:rsid w:val="00934638"/>
    <w:rsid w:val="00934B9E"/>
    <w:rsid w:val="009359F0"/>
    <w:rsid w:val="0093728C"/>
    <w:rsid w:val="0094011E"/>
    <w:rsid w:val="0094424D"/>
    <w:rsid w:val="00951633"/>
    <w:rsid w:val="009525C2"/>
    <w:rsid w:val="00960BCD"/>
    <w:rsid w:val="00971900"/>
    <w:rsid w:val="009723CB"/>
    <w:rsid w:val="00991BCD"/>
    <w:rsid w:val="009933DD"/>
    <w:rsid w:val="0099458B"/>
    <w:rsid w:val="00995DCE"/>
    <w:rsid w:val="009A42D1"/>
    <w:rsid w:val="009A4FB5"/>
    <w:rsid w:val="009B7444"/>
    <w:rsid w:val="009D3507"/>
    <w:rsid w:val="009D3741"/>
    <w:rsid w:val="009D46D6"/>
    <w:rsid w:val="009D5E8B"/>
    <w:rsid w:val="009D6F37"/>
    <w:rsid w:val="009E4F36"/>
    <w:rsid w:val="009F381C"/>
    <w:rsid w:val="00A04F80"/>
    <w:rsid w:val="00A1157A"/>
    <w:rsid w:val="00A12C77"/>
    <w:rsid w:val="00A2433C"/>
    <w:rsid w:val="00A46E28"/>
    <w:rsid w:val="00A6389E"/>
    <w:rsid w:val="00A64475"/>
    <w:rsid w:val="00A87D23"/>
    <w:rsid w:val="00AB7DF7"/>
    <w:rsid w:val="00AC2030"/>
    <w:rsid w:val="00AC26FB"/>
    <w:rsid w:val="00AC6993"/>
    <w:rsid w:val="00AD1551"/>
    <w:rsid w:val="00AD15FC"/>
    <w:rsid w:val="00AD1B1B"/>
    <w:rsid w:val="00AD4FE9"/>
    <w:rsid w:val="00AD65A5"/>
    <w:rsid w:val="00AD78B2"/>
    <w:rsid w:val="00AD7A2E"/>
    <w:rsid w:val="00AE08CF"/>
    <w:rsid w:val="00AF3AF5"/>
    <w:rsid w:val="00B31567"/>
    <w:rsid w:val="00B32018"/>
    <w:rsid w:val="00B430F0"/>
    <w:rsid w:val="00B4567F"/>
    <w:rsid w:val="00B52731"/>
    <w:rsid w:val="00B549DC"/>
    <w:rsid w:val="00B55AB1"/>
    <w:rsid w:val="00B73304"/>
    <w:rsid w:val="00B94268"/>
    <w:rsid w:val="00B95452"/>
    <w:rsid w:val="00B96855"/>
    <w:rsid w:val="00BA342E"/>
    <w:rsid w:val="00BC223F"/>
    <w:rsid w:val="00BC2980"/>
    <w:rsid w:val="00BC5C5B"/>
    <w:rsid w:val="00BD7AE2"/>
    <w:rsid w:val="00BE7C54"/>
    <w:rsid w:val="00C010E4"/>
    <w:rsid w:val="00C02E68"/>
    <w:rsid w:val="00C42EBC"/>
    <w:rsid w:val="00C4381A"/>
    <w:rsid w:val="00C44DB7"/>
    <w:rsid w:val="00C542C5"/>
    <w:rsid w:val="00C577A8"/>
    <w:rsid w:val="00C655DB"/>
    <w:rsid w:val="00C84191"/>
    <w:rsid w:val="00C86452"/>
    <w:rsid w:val="00C907E0"/>
    <w:rsid w:val="00CA0068"/>
    <w:rsid w:val="00CA56E4"/>
    <w:rsid w:val="00CA61A7"/>
    <w:rsid w:val="00CB1E0A"/>
    <w:rsid w:val="00CB320E"/>
    <w:rsid w:val="00CE0F69"/>
    <w:rsid w:val="00CE19A3"/>
    <w:rsid w:val="00D0663F"/>
    <w:rsid w:val="00D26BCF"/>
    <w:rsid w:val="00D36322"/>
    <w:rsid w:val="00D723AC"/>
    <w:rsid w:val="00D7573D"/>
    <w:rsid w:val="00D83854"/>
    <w:rsid w:val="00D840E2"/>
    <w:rsid w:val="00D87F12"/>
    <w:rsid w:val="00DA2F87"/>
    <w:rsid w:val="00DA6F12"/>
    <w:rsid w:val="00DB6D29"/>
    <w:rsid w:val="00DC613B"/>
    <w:rsid w:val="00DD2F80"/>
    <w:rsid w:val="00DE05A6"/>
    <w:rsid w:val="00DE1A45"/>
    <w:rsid w:val="00DF02B3"/>
    <w:rsid w:val="00DF02F0"/>
    <w:rsid w:val="00DF5367"/>
    <w:rsid w:val="00E25D8A"/>
    <w:rsid w:val="00E308BA"/>
    <w:rsid w:val="00E53EC2"/>
    <w:rsid w:val="00E67A22"/>
    <w:rsid w:val="00E717DA"/>
    <w:rsid w:val="00E73633"/>
    <w:rsid w:val="00E736FD"/>
    <w:rsid w:val="00E81B67"/>
    <w:rsid w:val="00E8450B"/>
    <w:rsid w:val="00E847B0"/>
    <w:rsid w:val="00E9670C"/>
    <w:rsid w:val="00E974BA"/>
    <w:rsid w:val="00EC1615"/>
    <w:rsid w:val="00ED05BC"/>
    <w:rsid w:val="00EE391F"/>
    <w:rsid w:val="00EE6A27"/>
    <w:rsid w:val="00EE70BE"/>
    <w:rsid w:val="00EE7F97"/>
    <w:rsid w:val="00EF7E4A"/>
    <w:rsid w:val="00F1087A"/>
    <w:rsid w:val="00F1706E"/>
    <w:rsid w:val="00F25C86"/>
    <w:rsid w:val="00F32FC7"/>
    <w:rsid w:val="00F46C84"/>
    <w:rsid w:val="00F54BCE"/>
    <w:rsid w:val="00F561BA"/>
    <w:rsid w:val="00F6096D"/>
    <w:rsid w:val="00F60B74"/>
    <w:rsid w:val="00F71113"/>
    <w:rsid w:val="00F82196"/>
    <w:rsid w:val="00F86717"/>
    <w:rsid w:val="00F8698F"/>
    <w:rsid w:val="00F9427F"/>
    <w:rsid w:val="00F95A16"/>
    <w:rsid w:val="00FA1F34"/>
    <w:rsid w:val="00FA2C79"/>
    <w:rsid w:val="00FA3A4D"/>
    <w:rsid w:val="00FA7678"/>
    <w:rsid w:val="00FB4021"/>
    <w:rsid w:val="00FB5709"/>
    <w:rsid w:val="00FC492F"/>
    <w:rsid w:val="00FC57EB"/>
    <w:rsid w:val="00FE5EC3"/>
    <w:rsid w:val="00FF1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DD"/>
    <w:pPr>
      <w:jc w:val="both"/>
    </w:pPr>
    <w:rPr>
      <w:lang w:val="fr-CH"/>
    </w:rPr>
  </w:style>
  <w:style w:type="paragraph" w:styleId="Heading1">
    <w:name w:val="heading 1"/>
    <w:basedOn w:val="Normal"/>
    <w:next w:val="Normal"/>
    <w:link w:val="Heading1Char"/>
    <w:uiPriority w:val="9"/>
    <w:qFormat/>
    <w:rsid w:val="009359F0"/>
    <w:pPr>
      <w:keepNext/>
      <w:keepLines/>
      <w:numPr>
        <w:numId w:val="14"/>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67ADD"/>
    <w:pPr>
      <w:keepNext/>
      <w:keepLines/>
      <w:numPr>
        <w:ilvl w:val="1"/>
        <w:numId w:val="14"/>
      </w:numPr>
      <w:spacing w:before="20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07E0"/>
    <w:pPr>
      <w:keepNext/>
      <w:keepLines/>
      <w:numPr>
        <w:ilvl w:val="2"/>
        <w:numId w:val="14"/>
      </w:numPr>
      <w:spacing w:before="12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59F0"/>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59F0"/>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59F0"/>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59F0"/>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59F0"/>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59F0"/>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EE3"/>
    <w:pPr>
      <w:spacing w:after="0" w:line="240" w:lineRule="auto"/>
      <w:ind w:left="720" w:hanging="425"/>
    </w:pPr>
    <w:rPr>
      <w:rFonts w:ascii="Times New Roman" w:eastAsia="Calibri" w:hAnsi="Times New Roman" w:cs="Times New Roman"/>
      <w:sz w:val="24"/>
      <w:szCs w:val="24"/>
      <w:lang w:val="en-US"/>
    </w:rPr>
  </w:style>
  <w:style w:type="character" w:styleId="CommentReference">
    <w:name w:val="annotation reference"/>
    <w:uiPriority w:val="99"/>
    <w:unhideWhenUsed/>
    <w:rsid w:val="00545EE3"/>
    <w:rPr>
      <w:sz w:val="16"/>
      <w:szCs w:val="16"/>
    </w:rPr>
  </w:style>
  <w:style w:type="paragraph" w:styleId="CommentText">
    <w:name w:val="annotation text"/>
    <w:basedOn w:val="Normal"/>
    <w:link w:val="CommentTextChar"/>
    <w:uiPriority w:val="99"/>
    <w:unhideWhenUsed/>
    <w:rsid w:val="00545EE3"/>
    <w:pPr>
      <w:spacing w:after="0" w:line="240" w:lineRule="auto"/>
      <w:ind w:left="425" w:hanging="425"/>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45EE3"/>
    <w:rPr>
      <w:rFonts w:ascii="Times New Roman" w:eastAsia="Calibri" w:hAnsi="Times New Roman" w:cs="Times New Roman"/>
      <w:sz w:val="20"/>
      <w:szCs w:val="20"/>
      <w:lang w:val="fr-CH"/>
    </w:rPr>
  </w:style>
  <w:style w:type="paragraph" w:styleId="BalloonText">
    <w:name w:val="Balloon Text"/>
    <w:basedOn w:val="Normal"/>
    <w:link w:val="BalloonTextChar"/>
    <w:uiPriority w:val="99"/>
    <w:semiHidden/>
    <w:unhideWhenUsed/>
    <w:rsid w:val="0054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E3"/>
    <w:rPr>
      <w:rFonts w:ascii="Tahoma" w:hAnsi="Tahoma" w:cs="Tahoma"/>
      <w:sz w:val="16"/>
      <w:szCs w:val="16"/>
      <w:lang w:val="fr-CH"/>
    </w:rPr>
  </w:style>
  <w:style w:type="paragraph" w:styleId="CommentSubject">
    <w:name w:val="annotation subject"/>
    <w:basedOn w:val="CommentText"/>
    <w:next w:val="CommentText"/>
    <w:link w:val="CommentSubjectChar"/>
    <w:uiPriority w:val="99"/>
    <w:semiHidden/>
    <w:unhideWhenUsed/>
    <w:rsid w:val="0093728C"/>
    <w:pPr>
      <w:spacing w:after="200"/>
      <w:ind w:left="0"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3728C"/>
    <w:rPr>
      <w:rFonts w:ascii="Times New Roman" w:eastAsia="Calibri" w:hAnsi="Times New Roman" w:cs="Times New Roman"/>
      <w:b/>
      <w:bCs/>
      <w:sz w:val="20"/>
      <w:szCs w:val="20"/>
      <w:lang w:val="fr-CH"/>
    </w:rPr>
  </w:style>
  <w:style w:type="paragraph" w:styleId="BodyText2">
    <w:name w:val="Body Text 2"/>
    <w:basedOn w:val="Normal"/>
    <w:link w:val="BodyText2Char"/>
    <w:rsid w:val="000258A2"/>
    <w:pPr>
      <w:spacing w:after="0" w:line="240" w:lineRule="auto"/>
    </w:pPr>
    <w:rPr>
      <w:rFonts w:ascii="Times New Roman" w:eastAsia="Arial" w:hAnsi="Times New Roman" w:cs="Times New Roman"/>
      <w:szCs w:val="12"/>
      <w:lang w:val="en-GB"/>
    </w:rPr>
  </w:style>
  <w:style w:type="character" w:customStyle="1" w:styleId="BodyText2Char">
    <w:name w:val="Body Text 2 Char"/>
    <w:basedOn w:val="DefaultParagraphFont"/>
    <w:link w:val="BodyText2"/>
    <w:rsid w:val="000258A2"/>
    <w:rPr>
      <w:rFonts w:ascii="Times New Roman" w:eastAsia="Arial" w:hAnsi="Times New Roman" w:cs="Times New Roman"/>
      <w:szCs w:val="12"/>
      <w:lang w:val="en-GB"/>
    </w:rPr>
  </w:style>
  <w:style w:type="character" w:customStyle="1" w:styleId="Heading1Char">
    <w:name w:val="Heading 1 Char"/>
    <w:basedOn w:val="DefaultParagraphFont"/>
    <w:link w:val="Heading1"/>
    <w:uiPriority w:val="9"/>
    <w:rsid w:val="009359F0"/>
    <w:rPr>
      <w:rFonts w:asciiTheme="majorHAnsi" w:eastAsiaTheme="majorEastAsia" w:hAnsiTheme="majorHAnsi" w:cstheme="majorBidi"/>
      <w:b/>
      <w:bCs/>
      <w:color w:val="345A8A" w:themeColor="accent1" w:themeShade="B5"/>
      <w:sz w:val="32"/>
      <w:szCs w:val="32"/>
      <w:lang w:val="fr-CH"/>
    </w:rPr>
  </w:style>
  <w:style w:type="character" w:customStyle="1" w:styleId="Heading2Char">
    <w:name w:val="Heading 2 Char"/>
    <w:basedOn w:val="DefaultParagraphFont"/>
    <w:link w:val="Heading2"/>
    <w:uiPriority w:val="9"/>
    <w:rsid w:val="00267ADD"/>
    <w:rPr>
      <w:rFonts w:asciiTheme="majorHAnsi" w:eastAsiaTheme="majorEastAsia" w:hAnsiTheme="majorHAnsi" w:cstheme="majorBidi"/>
      <w:b/>
      <w:bCs/>
      <w:color w:val="4F81BD" w:themeColor="accent1"/>
      <w:sz w:val="26"/>
      <w:szCs w:val="26"/>
      <w:lang w:val="fr-CH"/>
    </w:rPr>
  </w:style>
  <w:style w:type="paragraph" w:styleId="FootnoteText">
    <w:name w:val="footnote text"/>
    <w:basedOn w:val="Normal"/>
    <w:link w:val="FootnoteTextChar"/>
    <w:uiPriority w:val="99"/>
    <w:unhideWhenUsed/>
    <w:rsid w:val="00141AC1"/>
    <w:pPr>
      <w:spacing w:after="0" w:line="240" w:lineRule="auto"/>
    </w:pPr>
    <w:rPr>
      <w:sz w:val="24"/>
      <w:szCs w:val="24"/>
    </w:rPr>
  </w:style>
  <w:style w:type="character" w:customStyle="1" w:styleId="Heading3Char">
    <w:name w:val="Heading 3 Char"/>
    <w:basedOn w:val="DefaultParagraphFont"/>
    <w:link w:val="Heading3"/>
    <w:uiPriority w:val="9"/>
    <w:rsid w:val="003F07E0"/>
    <w:rPr>
      <w:rFonts w:asciiTheme="majorHAnsi" w:eastAsiaTheme="majorEastAsia" w:hAnsiTheme="majorHAnsi" w:cstheme="majorBidi"/>
      <w:b/>
      <w:bCs/>
      <w:color w:val="4F81BD" w:themeColor="accent1"/>
      <w:lang w:val="fr-CH"/>
    </w:rPr>
  </w:style>
  <w:style w:type="character" w:customStyle="1" w:styleId="Heading4Char">
    <w:name w:val="Heading 4 Char"/>
    <w:basedOn w:val="DefaultParagraphFont"/>
    <w:link w:val="Heading4"/>
    <w:uiPriority w:val="9"/>
    <w:semiHidden/>
    <w:rsid w:val="009359F0"/>
    <w:rPr>
      <w:rFonts w:asciiTheme="majorHAnsi" w:eastAsiaTheme="majorEastAsia" w:hAnsiTheme="majorHAnsi" w:cstheme="majorBidi"/>
      <w:b/>
      <w:bCs/>
      <w:i/>
      <w:iCs/>
      <w:color w:val="4F81BD" w:themeColor="accent1"/>
      <w:lang w:val="fr-CH"/>
    </w:rPr>
  </w:style>
  <w:style w:type="character" w:customStyle="1" w:styleId="Heading5Char">
    <w:name w:val="Heading 5 Char"/>
    <w:basedOn w:val="DefaultParagraphFont"/>
    <w:link w:val="Heading5"/>
    <w:uiPriority w:val="9"/>
    <w:semiHidden/>
    <w:rsid w:val="009359F0"/>
    <w:rPr>
      <w:rFonts w:asciiTheme="majorHAnsi" w:eastAsiaTheme="majorEastAsia" w:hAnsiTheme="majorHAnsi" w:cstheme="majorBidi"/>
      <w:color w:val="243F60" w:themeColor="accent1" w:themeShade="7F"/>
      <w:lang w:val="fr-CH"/>
    </w:rPr>
  </w:style>
  <w:style w:type="character" w:customStyle="1" w:styleId="Heading6Char">
    <w:name w:val="Heading 6 Char"/>
    <w:basedOn w:val="DefaultParagraphFont"/>
    <w:link w:val="Heading6"/>
    <w:uiPriority w:val="9"/>
    <w:semiHidden/>
    <w:rsid w:val="009359F0"/>
    <w:rPr>
      <w:rFonts w:asciiTheme="majorHAnsi" w:eastAsiaTheme="majorEastAsia" w:hAnsiTheme="majorHAnsi" w:cstheme="majorBidi"/>
      <w:i/>
      <w:iCs/>
      <w:color w:val="243F60" w:themeColor="accent1" w:themeShade="7F"/>
      <w:lang w:val="fr-CH"/>
    </w:rPr>
  </w:style>
  <w:style w:type="character" w:customStyle="1" w:styleId="Heading7Char">
    <w:name w:val="Heading 7 Char"/>
    <w:basedOn w:val="DefaultParagraphFont"/>
    <w:link w:val="Heading7"/>
    <w:uiPriority w:val="9"/>
    <w:semiHidden/>
    <w:rsid w:val="009359F0"/>
    <w:rPr>
      <w:rFonts w:asciiTheme="majorHAnsi" w:eastAsiaTheme="majorEastAsia" w:hAnsiTheme="majorHAnsi" w:cstheme="majorBidi"/>
      <w:i/>
      <w:iCs/>
      <w:color w:val="404040" w:themeColor="text1" w:themeTint="BF"/>
      <w:lang w:val="fr-CH"/>
    </w:rPr>
  </w:style>
  <w:style w:type="character" w:customStyle="1" w:styleId="Heading8Char">
    <w:name w:val="Heading 8 Char"/>
    <w:basedOn w:val="DefaultParagraphFont"/>
    <w:link w:val="Heading8"/>
    <w:uiPriority w:val="9"/>
    <w:semiHidden/>
    <w:rsid w:val="009359F0"/>
    <w:rPr>
      <w:rFonts w:asciiTheme="majorHAnsi" w:eastAsiaTheme="majorEastAsia" w:hAnsiTheme="majorHAnsi" w:cstheme="majorBidi"/>
      <w:color w:val="404040" w:themeColor="text1" w:themeTint="BF"/>
      <w:sz w:val="20"/>
      <w:szCs w:val="20"/>
      <w:lang w:val="fr-CH"/>
    </w:rPr>
  </w:style>
  <w:style w:type="character" w:customStyle="1" w:styleId="Heading9Char">
    <w:name w:val="Heading 9 Char"/>
    <w:basedOn w:val="DefaultParagraphFont"/>
    <w:link w:val="Heading9"/>
    <w:uiPriority w:val="9"/>
    <w:semiHidden/>
    <w:rsid w:val="009359F0"/>
    <w:rPr>
      <w:rFonts w:asciiTheme="majorHAnsi" w:eastAsiaTheme="majorEastAsia" w:hAnsiTheme="majorHAnsi" w:cstheme="majorBidi"/>
      <w:i/>
      <w:iCs/>
      <w:color w:val="404040" w:themeColor="text1" w:themeTint="BF"/>
      <w:sz w:val="20"/>
      <w:szCs w:val="20"/>
      <w:lang w:val="fr-CH"/>
    </w:rPr>
  </w:style>
  <w:style w:type="character" w:customStyle="1" w:styleId="FootnoteTextChar">
    <w:name w:val="Footnote Text Char"/>
    <w:basedOn w:val="DefaultParagraphFont"/>
    <w:link w:val="FootnoteText"/>
    <w:uiPriority w:val="99"/>
    <w:rsid w:val="00141AC1"/>
    <w:rPr>
      <w:sz w:val="24"/>
      <w:szCs w:val="24"/>
      <w:lang w:val="fr-CH"/>
    </w:rPr>
  </w:style>
  <w:style w:type="character" w:styleId="FootnoteReference">
    <w:name w:val="footnote reference"/>
    <w:basedOn w:val="DefaultParagraphFont"/>
    <w:uiPriority w:val="99"/>
    <w:unhideWhenUsed/>
    <w:rsid w:val="00141AC1"/>
    <w:rPr>
      <w:vertAlign w:val="superscript"/>
    </w:rPr>
  </w:style>
  <w:style w:type="paragraph" w:styleId="Header">
    <w:name w:val="header"/>
    <w:basedOn w:val="Normal"/>
    <w:link w:val="HeaderChar"/>
    <w:uiPriority w:val="99"/>
    <w:semiHidden/>
    <w:unhideWhenUsed/>
    <w:rsid w:val="00B430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30F0"/>
    <w:rPr>
      <w:lang w:val="fr-CH"/>
    </w:rPr>
  </w:style>
  <w:style w:type="paragraph" w:styleId="Footer">
    <w:name w:val="footer"/>
    <w:basedOn w:val="Normal"/>
    <w:link w:val="FooterChar"/>
    <w:uiPriority w:val="99"/>
    <w:unhideWhenUsed/>
    <w:rsid w:val="00B43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0F0"/>
    <w:rPr>
      <w:lang w:val="fr-CH"/>
    </w:rPr>
  </w:style>
  <w:style w:type="table" w:styleId="TableGrid">
    <w:name w:val="Table Grid"/>
    <w:basedOn w:val="TableNormal"/>
    <w:uiPriority w:val="59"/>
    <w:rsid w:val="00B9685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6096D"/>
    <w:pPr>
      <w:spacing w:after="0" w:line="240" w:lineRule="auto"/>
    </w:pPr>
    <w:rPr>
      <w:lang w:val="fr-CH"/>
    </w:rPr>
  </w:style>
  <w:style w:type="character" w:styleId="Hyperlink">
    <w:name w:val="Hyperlink"/>
    <w:basedOn w:val="DefaultParagraphFont"/>
    <w:uiPriority w:val="99"/>
    <w:semiHidden/>
    <w:unhideWhenUsed/>
    <w:rsid w:val="002A0A4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DD"/>
    <w:pPr>
      <w:jc w:val="both"/>
    </w:pPr>
    <w:rPr>
      <w:lang w:val="fr-CH"/>
    </w:rPr>
  </w:style>
  <w:style w:type="paragraph" w:styleId="Heading1">
    <w:name w:val="heading 1"/>
    <w:basedOn w:val="Normal"/>
    <w:next w:val="Normal"/>
    <w:link w:val="Heading1Char"/>
    <w:uiPriority w:val="9"/>
    <w:qFormat/>
    <w:rsid w:val="009359F0"/>
    <w:pPr>
      <w:keepNext/>
      <w:keepLines/>
      <w:numPr>
        <w:numId w:val="14"/>
      </w:numPr>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67ADD"/>
    <w:pPr>
      <w:keepNext/>
      <w:keepLines/>
      <w:numPr>
        <w:ilvl w:val="1"/>
        <w:numId w:val="14"/>
      </w:numPr>
      <w:spacing w:before="20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07E0"/>
    <w:pPr>
      <w:keepNext/>
      <w:keepLines/>
      <w:numPr>
        <w:ilvl w:val="2"/>
        <w:numId w:val="14"/>
      </w:numPr>
      <w:spacing w:before="12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59F0"/>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59F0"/>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59F0"/>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59F0"/>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59F0"/>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59F0"/>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EE3"/>
    <w:pPr>
      <w:spacing w:after="0" w:line="240" w:lineRule="auto"/>
      <w:ind w:left="720" w:hanging="425"/>
    </w:pPr>
    <w:rPr>
      <w:rFonts w:ascii="Times New Roman" w:eastAsia="Calibri" w:hAnsi="Times New Roman" w:cs="Times New Roman"/>
      <w:sz w:val="24"/>
      <w:szCs w:val="24"/>
      <w:lang w:val="en-US"/>
    </w:rPr>
  </w:style>
  <w:style w:type="character" w:styleId="CommentReference">
    <w:name w:val="annotation reference"/>
    <w:uiPriority w:val="99"/>
    <w:unhideWhenUsed/>
    <w:rsid w:val="00545EE3"/>
    <w:rPr>
      <w:sz w:val="16"/>
      <w:szCs w:val="16"/>
    </w:rPr>
  </w:style>
  <w:style w:type="paragraph" w:styleId="CommentText">
    <w:name w:val="annotation text"/>
    <w:basedOn w:val="Normal"/>
    <w:link w:val="CommentTextChar"/>
    <w:uiPriority w:val="99"/>
    <w:unhideWhenUsed/>
    <w:rsid w:val="00545EE3"/>
    <w:pPr>
      <w:spacing w:after="0" w:line="240" w:lineRule="auto"/>
      <w:ind w:left="425" w:hanging="425"/>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45EE3"/>
    <w:rPr>
      <w:rFonts w:ascii="Times New Roman" w:eastAsia="Calibri" w:hAnsi="Times New Roman" w:cs="Times New Roman"/>
      <w:sz w:val="20"/>
      <w:szCs w:val="20"/>
      <w:lang w:val="fr-CH"/>
    </w:rPr>
  </w:style>
  <w:style w:type="paragraph" w:styleId="BalloonText">
    <w:name w:val="Balloon Text"/>
    <w:basedOn w:val="Normal"/>
    <w:link w:val="BalloonTextChar"/>
    <w:uiPriority w:val="99"/>
    <w:semiHidden/>
    <w:unhideWhenUsed/>
    <w:rsid w:val="00545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E3"/>
    <w:rPr>
      <w:rFonts w:ascii="Tahoma" w:hAnsi="Tahoma" w:cs="Tahoma"/>
      <w:sz w:val="16"/>
      <w:szCs w:val="16"/>
      <w:lang w:val="fr-CH"/>
    </w:rPr>
  </w:style>
  <w:style w:type="paragraph" w:styleId="CommentSubject">
    <w:name w:val="annotation subject"/>
    <w:basedOn w:val="CommentText"/>
    <w:next w:val="CommentText"/>
    <w:link w:val="CommentSubjectChar"/>
    <w:uiPriority w:val="99"/>
    <w:semiHidden/>
    <w:unhideWhenUsed/>
    <w:rsid w:val="0093728C"/>
    <w:pPr>
      <w:spacing w:after="200"/>
      <w:ind w:left="0"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3728C"/>
    <w:rPr>
      <w:rFonts w:ascii="Times New Roman" w:eastAsia="Calibri" w:hAnsi="Times New Roman" w:cs="Times New Roman"/>
      <w:b/>
      <w:bCs/>
      <w:sz w:val="20"/>
      <w:szCs w:val="20"/>
      <w:lang w:val="fr-CH"/>
    </w:rPr>
  </w:style>
  <w:style w:type="paragraph" w:styleId="BodyText2">
    <w:name w:val="Body Text 2"/>
    <w:basedOn w:val="Normal"/>
    <w:link w:val="BodyText2Char"/>
    <w:rsid w:val="000258A2"/>
    <w:pPr>
      <w:spacing w:after="0" w:line="240" w:lineRule="auto"/>
    </w:pPr>
    <w:rPr>
      <w:rFonts w:ascii="Times New Roman" w:eastAsia="Arial" w:hAnsi="Times New Roman" w:cs="Times New Roman"/>
      <w:szCs w:val="12"/>
      <w:lang w:val="en-GB"/>
    </w:rPr>
  </w:style>
  <w:style w:type="character" w:customStyle="1" w:styleId="BodyText2Char">
    <w:name w:val="Body Text 2 Char"/>
    <w:basedOn w:val="DefaultParagraphFont"/>
    <w:link w:val="BodyText2"/>
    <w:rsid w:val="000258A2"/>
    <w:rPr>
      <w:rFonts w:ascii="Times New Roman" w:eastAsia="Arial" w:hAnsi="Times New Roman" w:cs="Times New Roman"/>
      <w:szCs w:val="12"/>
      <w:lang w:val="en-GB"/>
    </w:rPr>
  </w:style>
  <w:style w:type="character" w:customStyle="1" w:styleId="Heading1Char">
    <w:name w:val="Heading 1 Char"/>
    <w:basedOn w:val="DefaultParagraphFont"/>
    <w:link w:val="Heading1"/>
    <w:uiPriority w:val="9"/>
    <w:rsid w:val="009359F0"/>
    <w:rPr>
      <w:rFonts w:asciiTheme="majorHAnsi" w:eastAsiaTheme="majorEastAsia" w:hAnsiTheme="majorHAnsi" w:cstheme="majorBidi"/>
      <w:b/>
      <w:bCs/>
      <w:color w:val="345A8A" w:themeColor="accent1" w:themeShade="B5"/>
      <w:sz w:val="32"/>
      <w:szCs w:val="32"/>
      <w:lang w:val="fr-CH"/>
    </w:rPr>
  </w:style>
  <w:style w:type="character" w:customStyle="1" w:styleId="Heading2Char">
    <w:name w:val="Heading 2 Char"/>
    <w:basedOn w:val="DefaultParagraphFont"/>
    <w:link w:val="Heading2"/>
    <w:uiPriority w:val="9"/>
    <w:rsid w:val="00267ADD"/>
    <w:rPr>
      <w:rFonts w:asciiTheme="majorHAnsi" w:eastAsiaTheme="majorEastAsia" w:hAnsiTheme="majorHAnsi" w:cstheme="majorBidi"/>
      <w:b/>
      <w:bCs/>
      <w:color w:val="4F81BD" w:themeColor="accent1"/>
      <w:sz w:val="26"/>
      <w:szCs w:val="26"/>
      <w:lang w:val="fr-CH"/>
    </w:rPr>
  </w:style>
  <w:style w:type="paragraph" w:styleId="FootnoteText">
    <w:name w:val="footnote text"/>
    <w:basedOn w:val="Normal"/>
    <w:link w:val="FootnoteTextChar"/>
    <w:uiPriority w:val="99"/>
    <w:unhideWhenUsed/>
    <w:rsid w:val="00141AC1"/>
    <w:pPr>
      <w:spacing w:after="0" w:line="240" w:lineRule="auto"/>
    </w:pPr>
    <w:rPr>
      <w:sz w:val="24"/>
      <w:szCs w:val="24"/>
    </w:rPr>
  </w:style>
  <w:style w:type="character" w:customStyle="1" w:styleId="Heading3Char">
    <w:name w:val="Heading 3 Char"/>
    <w:basedOn w:val="DefaultParagraphFont"/>
    <w:link w:val="Heading3"/>
    <w:uiPriority w:val="9"/>
    <w:rsid w:val="003F07E0"/>
    <w:rPr>
      <w:rFonts w:asciiTheme="majorHAnsi" w:eastAsiaTheme="majorEastAsia" w:hAnsiTheme="majorHAnsi" w:cstheme="majorBidi"/>
      <w:b/>
      <w:bCs/>
      <w:color w:val="4F81BD" w:themeColor="accent1"/>
      <w:lang w:val="fr-CH"/>
    </w:rPr>
  </w:style>
  <w:style w:type="character" w:customStyle="1" w:styleId="Heading4Char">
    <w:name w:val="Heading 4 Char"/>
    <w:basedOn w:val="DefaultParagraphFont"/>
    <w:link w:val="Heading4"/>
    <w:uiPriority w:val="9"/>
    <w:semiHidden/>
    <w:rsid w:val="009359F0"/>
    <w:rPr>
      <w:rFonts w:asciiTheme="majorHAnsi" w:eastAsiaTheme="majorEastAsia" w:hAnsiTheme="majorHAnsi" w:cstheme="majorBidi"/>
      <w:b/>
      <w:bCs/>
      <w:i/>
      <w:iCs/>
      <w:color w:val="4F81BD" w:themeColor="accent1"/>
      <w:lang w:val="fr-CH"/>
    </w:rPr>
  </w:style>
  <w:style w:type="character" w:customStyle="1" w:styleId="Heading5Char">
    <w:name w:val="Heading 5 Char"/>
    <w:basedOn w:val="DefaultParagraphFont"/>
    <w:link w:val="Heading5"/>
    <w:uiPriority w:val="9"/>
    <w:semiHidden/>
    <w:rsid w:val="009359F0"/>
    <w:rPr>
      <w:rFonts w:asciiTheme="majorHAnsi" w:eastAsiaTheme="majorEastAsia" w:hAnsiTheme="majorHAnsi" w:cstheme="majorBidi"/>
      <w:color w:val="243F60" w:themeColor="accent1" w:themeShade="7F"/>
      <w:lang w:val="fr-CH"/>
    </w:rPr>
  </w:style>
  <w:style w:type="character" w:customStyle="1" w:styleId="Heading6Char">
    <w:name w:val="Heading 6 Char"/>
    <w:basedOn w:val="DefaultParagraphFont"/>
    <w:link w:val="Heading6"/>
    <w:uiPriority w:val="9"/>
    <w:semiHidden/>
    <w:rsid w:val="009359F0"/>
    <w:rPr>
      <w:rFonts w:asciiTheme="majorHAnsi" w:eastAsiaTheme="majorEastAsia" w:hAnsiTheme="majorHAnsi" w:cstheme="majorBidi"/>
      <w:i/>
      <w:iCs/>
      <w:color w:val="243F60" w:themeColor="accent1" w:themeShade="7F"/>
      <w:lang w:val="fr-CH"/>
    </w:rPr>
  </w:style>
  <w:style w:type="character" w:customStyle="1" w:styleId="Heading7Char">
    <w:name w:val="Heading 7 Char"/>
    <w:basedOn w:val="DefaultParagraphFont"/>
    <w:link w:val="Heading7"/>
    <w:uiPriority w:val="9"/>
    <w:semiHidden/>
    <w:rsid w:val="009359F0"/>
    <w:rPr>
      <w:rFonts w:asciiTheme="majorHAnsi" w:eastAsiaTheme="majorEastAsia" w:hAnsiTheme="majorHAnsi" w:cstheme="majorBidi"/>
      <w:i/>
      <w:iCs/>
      <w:color w:val="404040" w:themeColor="text1" w:themeTint="BF"/>
      <w:lang w:val="fr-CH"/>
    </w:rPr>
  </w:style>
  <w:style w:type="character" w:customStyle="1" w:styleId="Heading8Char">
    <w:name w:val="Heading 8 Char"/>
    <w:basedOn w:val="DefaultParagraphFont"/>
    <w:link w:val="Heading8"/>
    <w:uiPriority w:val="9"/>
    <w:semiHidden/>
    <w:rsid w:val="009359F0"/>
    <w:rPr>
      <w:rFonts w:asciiTheme="majorHAnsi" w:eastAsiaTheme="majorEastAsia" w:hAnsiTheme="majorHAnsi" w:cstheme="majorBidi"/>
      <w:color w:val="404040" w:themeColor="text1" w:themeTint="BF"/>
      <w:sz w:val="20"/>
      <w:szCs w:val="20"/>
      <w:lang w:val="fr-CH"/>
    </w:rPr>
  </w:style>
  <w:style w:type="character" w:customStyle="1" w:styleId="Heading9Char">
    <w:name w:val="Heading 9 Char"/>
    <w:basedOn w:val="DefaultParagraphFont"/>
    <w:link w:val="Heading9"/>
    <w:uiPriority w:val="9"/>
    <w:semiHidden/>
    <w:rsid w:val="009359F0"/>
    <w:rPr>
      <w:rFonts w:asciiTheme="majorHAnsi" w:eastAsiaTheme="majorEastAsia" w:hAnsiTheme="majorHAnsi" w:cstheme="majorBidi"/>
      <w:i/>
      <w:iCs/>
      <w:color w:val="404040" w:themeColor="text1" w:themeTint="BF"/>
      <w:sz w:val="20"/>
      <w:szCs w:val="20"/>
      <w:lang w:val="fr-CH"/>
    </w:rPr>
  </w:style>
  <w:style w:type="character" w:customStyle="1" w:styleId="FootnoteTextChar">
    <w:name w:val="Footnote Text Char"/>
    <w:basedOn w:val="DefaultParagraphFont"/>
    <w:link w:val="FootnoteText"/>
    <w:uiPriority w:val="99"/>
    <w:rsid w:val="00141AC1"/>
    <w:rPr>
      <w:sz w:val="24"/>
      <w:szCs w:val="24"/>
      <w:lang w:val="fr-CH"/>
    </w:rPr>
  </w:style>
  <w:style w:type="character" w:styleId="FootnoteReference">
    <w:name w:val="footnote reference"/>
    <w:basedOn w:val="DefaultParagraphFont"/>
    <w:uiPriority w:val="99"/>
    <w:unhideWhenUsed/>
    <w:rsid w:val="00141AC1"/>
    <w:rPr>
      <w:vertAlign w:val="superscript"/>
    </w:rPr>
  </w:style>
  <w:style w:type="paragraph" w:styleId="Header">
    <w:name w:val="header"/>
    <w:basedOn w:val="Normal"/>
    <w:link w:val="HeaderChar"/>
    <w:uiPriority w:val="99"/>
    <w:semiHidden/>
    <w:unhideWhenUsed/>
    <w:rsid w:val="00B430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30F0"/>
    <w:rPr>
      <w:lang w:val="fr-CH"/>
    </w:rPr>
  </w:style>
  <w:style w:type="paragraph" w:styleId="Footer">
    <w:name w:val="footer"/>
    <w:basedOn w:val="Normal"/>
    <w:link w:val="FooterChar"/>
    <w:uiPriority w:val="99"/>
    <w:unhideWhenUsed/>
    <w:rsid w:val="00B43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0F0"/>
    <w:rPr>
      <w:lang w:val="fr-CH"/>
    </w:rPr>
  </w:style>
  <w:style w:type="table" w:styleId="TableGrid">
    <w:name w:val="Table Grid"/>
    <w:basedOn w:val="TableNormal"/>
    <w:uiPriority w:val="59"/>
    <w:rsid w:val="00B9685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6096D"/>
    <w:pPr>
      <w:spacing w:after="0" w:line="240" w:lineRule="auto"/>
    </w:pPr>
    <w:rPr>
      <w:lang w:val="fr-CH"/>
    </w:rPr>
  </w:style>
  <w:style w:type="character" w:styleId="Hyperlink">
    <w:name w:val="Hyperlink"/>
    <w:basedOn w:val="DefaultParagraphFont"/>
    <w:uiPriority w:val="99"/>
    <w:semiHidden/>
    <w:unhideWhenUsed/>
    <w:rsid w:val="002A0A49"/>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320429307">
      <w:bodyDiv w:val="1"/>
      <w:marLeft w:val="0"/>
      <w:marRight w:val="0"/>
      <w:marTop w:val="0"/>
      <w:marBottom w:val="0"/>
      <w:divBdr>
        <w:top w:val="none" w:sz="0" w:space="0" w:color="auto"/>
        <w:left w:val="none" w:sz="0" w:space="0" w:color="auto"/>
        <w:bottom w:val="none" w:sz="0" w:space="0" w:color="auto"/>
        <w:right w:val="none" w:sz="0" w:space="0" w:color="auto"/>
      </w:divBdr>
    </w:div>
    <w:div w:id="1470706503">
      <w:bodyDiv w:val="1"/>
      <w:marLeft w:val="0"/>
      <w:marRight w:val="0"/>
      <w:marTop w:val="0"/>
      <w:marBottom w:val="0"/>
      <w:divBdr>
        <w:top w:val="none" w:sz="0" w:space="0" w:color="auto"/>
        <w:left w:val="none" w:sz="0" w:space="0" w:color="auto"/>
        <w:bottom w:val="none" w:sz="0" w:space="0" w:color="auto"/>
        <w:right w:val="none" w:sz="0" w:space="0" w:color="auto"/>
      </w:divBdr>
    </w:div>
    <w:div w:id="16502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9165-B86D-40EC-A5DB-5D1BA994E205}">
  <ds:schemaRefs>
    <ds:schemaRef ds:uri="http://schemas.openxmlformats.org/officeDocument/2006/bibliography"/>
  </ds:schemaRefs>
</ds:datastoreItem>
</file>

<file path=customXml/itemProps2.xml><?xml version="1.0" encoding="utf-8"?>
<ds:datastoreItem xmlns:ds="http://schemas.openxmlformats.org/officeDocument/2006/customXml" ds:itemID="{D7799429-D9C8-4D17-923B-D073F91F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kimberly.todd</dc:creator>
  <cp:lastModifiedBy>kimberly.todd</cp:lastModifiedBy>
  <cp:revision>2</cp:revision>
  <cp:lastPrinted>2012-08-13T11:01:00Z</cp:lastPrinted>
  <dcterms:created xsi:type="dcterms:W3CDTF">2013-01-10T18:19:00Z</dcterms:created>
  <dcterms:modified xsi:type="dcterms:W3CDTF">2013-01-10T18:19:00Z</dcterms:modified>
</cp:coreProperties>
</file>