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10848953"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BA77BA">
        <w:rPr>
          <w:rFonts w:cs="Calibri"/>
          <w:b/>
          <w:sz w:val="22"/>
          <w:szCs w:val="22"/>
        </w:rPr>
        <w:t xml:space="preserve">30 September </w:t>
      </w:r>
      <w:r w:rsidR="0097061D" w:rsidRPr="00C32B49">
        <w:rPr>
          <w:rFonts w:cs="Calibri"/>
          <w:b/>
          <w:sz w:val="22"/>
          <w:szCs w:val="22"/>
        </w:rPr>
        <w:t>201</w:t>
      </w:r>
      <w:r w:rsidR="00E9582F">
        <w:rPr>
          <w:rFonts w:cs="Calibri"/>
          <w:b/>
          <w:sz w:val="22"/>
          <w:szCs w:val="22"/>
        </w:rPr>
        <w:t>5</w:t>
      </w:r>
    </w:p>
    <w:p w14:paraId="7B8C7F3F" w14:textId="486020AB" w:rsidR="00C32B49" w:rsidRDefault="00A029EF" w:rsidP="008947F0">
      <w:pPr>
        <w:jc w:val="center"/>
        <w:rPr>
          <w:rFonts w:cs="Calibri"/>
          <w:b/>
          <w:sz w:val="22"/>
          <w:szCs w:val="22"/>
        </w:rPr>
      </w:pPr>
      <w:r>
        <w:rPr>
          <w:rFonts w:cs="Calibri"/>
          <w:b/>
          <w:sz w:val="22"/>
          <w:szCs w:val="22"/>
        </w:rPr>
        <w:t>13h00 Geneva/Rome, 14h00</w:t>
      </w:r>
      <w:r w:rsidR="00521CCC">
        <w:rPr>
          <w:rFonts w:cs="Calibri"/>
          <w:b/>
          <w:sz w:val="22"/>
          <w:szCs w:val="22"/>
        </w:rPr>
        <w:t xml:space="preserve">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3CE71FCA" w14:textId="77777777" w:rsidR="004F1B6C" w:rsidRPr="00217302" w:rsidRDefault="004F1B6C" w:rsidP="004F1B6C">
      <w:pPr>
        <w:jc w:val="both"/>
        <w:rPr>
          <w:b/>
          <w:sz w:val="20"/>
        </w:rPr>
      </w:pPr>
      <w:r w:rsidRPr="00217302">
        <w:rPr>
          <w:b/>
          <w:sz w:val="20"/>
        </w:rPr>
        <w:t>Attendance:</w:t>
      </w:r>
    </w:p>
    <w:p w14:paraId="09BB6EAA" w14:textId="77777777" w:rsidR="004F1B6C" w:rsidRPr="00217302" w:rsidRDefault="004F1B6C" w:rsidP="004F1B6C">
      <w:pPr>
        <w:jc w:val="both"/>
        <w:rPr>
          <w:sz w:val="20"/>
          <w:u w:val="single"/>
        </w:rPr>
      </w:pPr>
      <w:r w:rsidRPr="00217302">
        <w:rPr>
          <w:sz w:val="20"/>
          <w:u w:val="single"/>
        </w:rPr>
        <w:t>MG members and alternates</w:t>
      </w:r>
    </w:p>
    <w:p w14:paraId="769120E8" w14:textId="77777777" w:rsidR="004F1B6C" w:rsidRPr="00BA77BA" w:rsidRDefault="004F1B6C" w:rsidP="004F1B6C">
      <w:pPr>
        <w:jc w:val="both"/>
        <w:rPr>
          <w:sz w:val="20"/>
          <w:lang w:val="fr-CH"/>
        </w:rPr>
      </w:pPr>
      <w:r w:rsidRPr="00BA77BA">
        <w:rPr>
          <w:sz w:val="20"/>
          <w:lang w:val="fr-CH"/>
        </w:rPr>
        <w:t xml:space="preserve">FAO: Maria José Sanz Sanchez </w:t>
      </w:r>
    </w:p>
    <w:p w14:paraId="38A86A7B" w14:textId="77777777" w:rsidR="004F1B6C" w:rsidRPr="00BA77BA" w:rsidRDefault="004F1B6C" w:rsidP="004F1B6C">
      <w:pPr>
        <w:jc w:val="both"/>
        <w:rPr>
          <w:sz w:val="20"/>
          <w:lang w:val="fr-CH"/>
        </w:rPr>
      </w:pPr>
      <w:r w:rsidRPr="00BA77BA">
        <w:rPr>
          <w:sz w:val="20"/>
          <w:lang w:val="fr-CH"/>
        </w:rPr>
        <w:t>UNDP: Tim Clairs</w:t>
      </w:r>
    </w:p>
    <w:p w14:paraId="3009B073" w14:textId="77777777" w:rsidR="004F1B6C" w:rsidRPr="00217302" w:rsidRDefault="004F1B6C" w:rsidP="004F1B6C">
      <w:pPr>
        <w:jc w:val="both"/>
        <w:rPr>
          <w:sz w:val="20"/>
        </w:rPr>
      </w:pPr>
      <w:r w:rsidRPr="00217302">
        <w:rPr>
          <w:sz w:val="20"/>
        </w:rPr>
        <w:t xml:space="preserve">UNEP: </w:t>
      </w:r>
      <w:r>
        <w:rPr>
          <w:sz w:val="20"/>
        </w:rPr>
        <w:t>Edoardo Zandri</w:t>
      </w:r>
    </w:p>
    <w:p w14:paraId="7EC2F55A" w14:textId="77777777" w:rsidR="004F1B6C" w:rsidRPr="00217302" w:rsidRDefault="004F1B6C" w:rsidP="004F1B6C">
      <w:pPr>
        <w:jc w:val="both"/>
        <w:rPr>
          <w:sz w:val="20"/>
        </w:rPr>
      </w:pPr>
      <w:r w:rsidRPr="00217302">
        <w:rPr>
          <w:sz w:val="20"/>
        </w:rPr>
        <w:t>Secretaria</w:t>
      </w:r>
      <w:r>
        <w:rPr>
          <w:sz w:val="20"/>
        </w:rPr>
        <w:t>t: Mario Boccucci</w:t>
      </w:r>
      <w:r w:rsidRPr="00217302">
        <w:rPr>
          <w:sz w:val="20"/>
        </w:rPr>
        <w:t xml:space="preserve"> </w:t>
      </w:r>
    </w:p>
    <w:p w14:paraId="184B8C23" w14:textId="77777777" w:rsidR="004F1B6C" w:rsidRPr="00217302" w:rsidRDefault="004F1B6C" w:rsidP="004F1B6C">
      <w:pPr>
        <w:jc w:val="both"/>
        <w:rPr>
          <w:b/>
          <w:sz w:val="8"/>
        </w:rPr>
      </w:pPr>
    </w:p>
    <w:p w14:paraId="254BD9BB" w14:textId="77777777" w:rsidR="004F1B6C" w:rsidRPr="00217302" w:rsidRDefault="004F1B6C" w:rsidP="004F1B6C">
      <w:pPr>
        <w:jc w:val="both"/>
        <w:rPr>
          <w:sz w:val="20"/>
          <w:u w:val="single"/>
        </w:rPr>
      </w:pPr>
      <w:r w:rsidRPr="00217302">
        <w:rPr>
          <w:sz w:val="20"/>
          <w:u w:val="single"/>
        </w:rPr>
        <w:t>Others</w:t>
      </w:r>
    </w:p>
    <w:p w14:paraId="69ECAB8E" w14:textId="77777777" w:rsidR="004F1B6C" w:rsidRPr="00217302" w:rsidRDefault="004F1B6C" w:rsidP="004F1B6C">
      <w:pPr>
        <w:jc w:val="both"/>
        <w:rPr>
          <w:sz w:val="20"/>
        </w:rPr>
      </w:pPr>
      <w:r w:rsidRPr="00217302">
        <w:rPr>
          <w:sz w:val="20"/>
        </w:rPr>
        <w:t xml:space="preserve">Secretariat: </w:t>
      </w:r>
      <w:r>
        <w:rPr>
          <w:sz w:val="20"/>
        </w:rPr>
        <w:t xml:space="preserve">Jose Carlos Fernandez, Helena Eriksson, </w:t>
      </w:r>
      <w:r w:rsidRPr="00217302">
        <w:rPr>
          <w:sz w:val="20"/>
        </w:rPr>
        <w:t xml:space="preserve">Jessica Holterhof </w:t>
      </w:r>
    </w:p>
    <w:p w14:paraId="03E6E2BE" w14:textId="77777777" w:rsidR="008947F0" w:rsidRPr="004F1B6C" w:rsidRDefault="008947F0" w:rsidP="00EF59E2">
      <w:pPr>
        <w:rPr>
          <w:b/>
          <w:sz w:val="22"/>
          <w:szCs w:val="22"/>
        </w:rPr>
      </w:pPr>
    </w:p>
    <w:p w14:paraId="312C1B19" w14:textId="237530D9"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of minutes of previous call,</w:t>
      </w:r>
      <w:r w:rsidR="00BA77BA">
        <w:rPr>
          <w:b/>
          <w:sz w:val="22"/>
          <w:szCs w:val="22"/>
        </w:rPr>
        <w:t xml:space="preserve"> 2</w:t>
      </w:r>
      <w:r w:rsidR="004D4F47">
        <w:rPr>
          <w:b/>
          <w:sz w:val="22"/>
          <w:szCs w:val="22"/>
        </w:rPr>
        <w:t xml:space="preserve"> </w:t>
      </w:r>
      <w:r w:rsidR="00BA77BA">
        <w:rPr>
          <w:b/>
          <w:sz w:val="22"/>
          <w:szCs w:val="22"/>
        </w:rPr>
        <w:t xml:space="preserve">September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2459594" w14:textId="7EC7FE5B" w:rsidR="002019F5" w:rsidRPr="0089658F" w:rsidRDefault="002019F5" w:rsidP="000843E4">
      <w:pPr>
        <w:pStyle w:val="ListParagraph"/>
        <w:numPr>
          <w:ilvl w:val="1"/>
          <w:numId w:val="41"/>
        </w:numPr>
        <w:spacing w:after="120"/>
        <w:ind w:left="714" w:hanging="357"/>
        <w:contextualSpacing w:val="0"/>
        <w:jc w:val="both"/>
        <w:rPr>
          <w:sz w:val="20"/>
          <w:szCs w:val="22"/>
        </w:rPr>
      </w:pPr>
      <w:r w:rsidRPr="0089658F">
        <w:rPr>
          <w:sz w:val="20"/>
          <w:szCs w:val="22"/>
        </w:rPr>
        <w:t>The MG will provide written comments on the minutes and decisi</w:t>
      </w:r>
      <w:r>
        <w:rPr>
          <w:sz w:val="20"/>
          <w:szCs w:val="22"/>
        </w:rPr>
        <w:t xml:space="preserve">ons from the last MG by Friday, </w:t>
      </w:r>
      <w:r w:rsidR="00BA77BA">
        <w:rPr>
          <w:sz w:val="20"/>
          <w:szCs w:val="22"/>
        </w:rPr>
        <w:t xml:space="preserve">2 October </w:t>
      </w:r>
      <w:r w:rsidR="00A029EF" w:rsidRPr="0089658F">
        <w:rPr>
          <w:sz w:val="20"/>
          <w:szCs w:val="22"/>
        </w:rPr>
        <w:t>if</w:t>
      </w:r>
      <w:r w:rsidRPr="0089658F">
        <w:rPr>
          <w:sz w:val="20"/>
          <w:szCs w:val="22"/>
        </w:rPr>
        <w:t xml:space="preserve"> necessary.</w:t>
      </w:r>
    </w:p>
    <w:p w14:paraId="52882B3A" w14:textId="77777777" w:rsidR="002019F5" w:rsidRPr="006838A0" w:rsidRDefault="002019F5" w:rsidP="000843E4">
      <w:pPr>
        <w:pStyle w:val="ListParagraph"/>
        <w:numPr>
          <w:ilvl w:val="1"/>
          <w:numId w:val="41"/>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18E7443D" w14:textId="3F2FB5A4" w:rsidR="00957E94" w:rsidRPr="00A17819" w:rsidRDefault="00A029EF" w:rsidP="00A17819">
      <w:pPr>
        <w:pStyle w:val="ListParagraph"/>
        <w:numPr>
          <w:ilvl w:val="0"/>
          <w:numId w:val="34"/>
        </w:numPr>
        <w:ind w:left="357" w:hanging="357"/>
        <w:rPr>
          <w:b/>
          <w:sz w:val="22"/>
          <w:szCs w:val="22"/>
        </w:rPr>
      </w:pPr>
      <w:r>
        <w:rPr>
          <w:b/>
          <w:sz w:val="22"/>
          <w:szCs w:val="22"/>
        </w:rPr>
        <w:t xml:space="preserve">SNA portfolio update – SNA transition </w:t>
      </w:r>
      <w:r w:rsidR="00217302">
        <w:rPr>
          <w:b/>
          <w:sz w:val="22"/>
          <w:szCs w:val="22"/>
        </w:rPr>
        <w:t xml:space="preserve"> </w:t>
      </w:r>
    </w:p>
    <w:p w14:paraId="44E9CC97" w14:textId="77777777" w:rsidR="009B2DF3" w:rsidRPr="00EF59E2" w:rsidRDefault="009B2DF3" w:rsidP="009B2DF3">
      <w:pPr>
        <w:pStyle w:val="ListParagraph"/>
        <w:rPr>
          <w:b/>
          <w:sz w:val="10"/>
          <w:szCs w:val="10"/>
        </w:rPr>
      </w:pP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62600543" w14:textId="72ADD0A2" w:rsidR="00BF612C" w:rsidRPr="00BF612C" w:rsidRDefault="00BF612C" w:rsidP="00BF612C">
      <w:pPr>
        <w:pStyle w:val="ListParagraph"/>
        <w:numPr>
          <w:ilvl w:val="0"/>
          <w:numId w:val="40"/>
        </w:numPr>
        <w:spacing w:after="120" w:line="276" w:lineRule="auto"/>
        <w:ind w:left="714" w:hanging="357"/>
        <w:contextualSpacing w:val="0"/>
        <w:jc w:val="both"/>
        <w:rPr>
          <w:color w:val="000000"/>
          <w:sz w:val="20"/>
          <w:szCs w:val="20"/>
        </w:rPr>
      </w:pPr>
      <w:r>
        <w:rPr>
          <w:color w:val="000000"/>
          <w:sz w:val="20"/>
          <w:szCs w:val="20"/>
        </w:rPr>
        <w:t xml:space="preserve">The Secretariat will provide an information document on the key findings and lessons learnt from the CNA process, which will serve as a background note for the MG call on 2 December. </w:t>
      </w:r>
    </w:p>
    <w:p w14:paraId="66259829" w14:textId="20782099" w:rsidR="000843E4" w:rsidRPr="00430684" w:rsidRDefault="000843E4" w:rsidP="000843E4">
      <w:pPr>
        <w:pStyle w:val="ListParagraph"/>
        <w:numPr>
          <w:ilvl w:val="0"/>
          <w:numId w:val="40"/>
        </w:numPr>
        <w:spacing w:after="120" w:line="276" w:lineRule="auto"/>
        <w:ind w:left="714" w:hanging="357"/>
        <w:contextualSpacing w:val="0"/>
        <w:jc w:val="both"/>
        <w:rPr>
          <w:color w:val="000000"/>
          <w:sz w:val="20"/>
          <w:szCs w:val="20"/>
        </w:rPr>
      </w:pPr>
      <w:r w:rsidRPr="00430684">
        <w:rPr>
          <w:color w:val="000000"/>
          <w:sz w:val="20"/>
          <w:szCs w:val="20"/>
        </w:rPr>
        <w:t>Agencies agreed to review the information and come back to the Secretariat next week (by 7 Oct</w:t>
      </w:r>
      <w:r>
        <w:rPr>
          <w:color w:val="000000"/>
          <w:sz w:val="20"/>
          <w:szCs w:val="20"/>
        </w:rPr>
        <w:t>ober</w:t>
      </w:r>
      <w:r w:rsidRPr="00430684">
        <w:rPr>
          <w:color w:val="000000"/>
          <w:sz w:val="20"/>
          <w:szCs w:val="20"/>
        </w:rPr>
        <w:t>)</w:t>
      </w:r>
      <w:r w:rsidR="00BF612C">
        <w:rPr>
          <w:color w:val="000000"/>
          <w:sz w:val="20"/>
          <w:szCs w:val="20"/>
        </w:rPr>
        <w:t xml:space="preserve">. </w:t>
      </w:r>
    </w:p>
    <w:p w14:paraId="4B4B5BAC" w14:textId="77777777" w:rsidR="000843E4" w:rsidRPr="00430684" w:rsidRDefault="000843E4" w:rsidP="000843E4">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0"/>
        </w:rPr>
      </w:pPr>
      <w:r w:rsidRPr="00430684">
        <w:rPr>
          <w:sz w:val="20"/>
          <w:szCs w:val="20"/>
        </w:rPr>
        <w:t xml:space="preserve">The UN agencies will provide more detailed updates on potential incoming requests during the next MG call.  </w:t>
      </w:r>
    </w:p>
    <w:p w14:paraId="2508BC37" w14:textId="77777777" w:rsidR="000843E4" w:rsidRDefault="000843E4" w:rsidP="000843E4">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0"/>
        </w:rPr>
      </w:pPr>
      <w:r w:rsidRPr="00430684">
        <w:rPr>
          <w:sz w:val="20"/>
          <w:szCs w:val="20"/>
        </w:rPr>
        <w:t>The MG agreed that those five countries that potentially will submit TS requests/complete their requests (Indonesia, Madagascar, Malaysia, Mexico and Zam</w:t>
      </w:r>
      <w:bookmarkStart w:id="0" w:name="_GoBack"/>
      <w:bookmarkEnd w:id="0"/>
      <w:r w:rsidRPr="00430684">
        <w:rPr>
          <w:sz w:val="20"/>
          <w:szCs w:val="20"/>
        </w:rPr>
        <w:t xml:space="preserve">bia) should be allowed to do so after the deadline of 30 September. </w:t>
      </w:r>
    </w:p>
    <w:p w14:paraId="516B077F" w14:textId="29C63EAE" w:rsidR="005C53F1" w:rsidRPr="005C53F1" w:rsidRDefault="005C53F1" w:rsidP="000843E4">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sz w:val="20"/>
          <w:szCs w:val="22"/>
        </w:rPr>
        <w:t xml:space="preserve">The MG agreed on the proposed timeline </w:t>
      </w:r>
      <w:r w:rsidR="00BA77BA">
        <w:rPr>
          <w:sz w:val="20"/>
          <w:szCs w:val="22"/>
        </w:rPr>
        <w:t xml:space="preserve">for portfolio updates as seen below </w:t>
      </w:r>
      <w:r>
        <w:rPr>
          <w:sz w:val="20"/>
          <w:szCs w:val="22"/>
        </w:rPr>
        <w:t xml:space="preserve">for discussing SNA activities per outcome in the upcoming weeks, starting on </w:t>
      </w:r>
      <w:r w:rsidR="00BA77BA">
        <w:rPr>
          <w:sz w:val="20"/>
          <w:szCs w:val="22"/>
        </w:rPr>
        <w:t xml:space="preserve">14 </w:t>
      </w:r>
      <w:r>
        <w:rPr>
          <w:sz w:val="20"/>
          <w:szCs w:val="22"/>
        </w:rPr>
        <w:t xml:space="preserve">October. </w:t>
      </w:r>
      <w:r w:rsidR="00BA77BA">
        <w:rPr>
          <w:sz w:val="20"/>
          <w:szCs w:val="22"/>
        </w:rPr>
        <w:t>A</w:t>
      </w:r>
      <w:r>
        <w:rPr>
          <w:sz w:val="20"/>
          <w:szCs w:val="22"/>
        </w:rPr>
        <w:t xml:space="preserve"> short background note</w:t>
      </w:r>
      <w:r w:rsidR="00BA77BA">
        <w:rPr>
          <w:sz w:val="20"/>
          <w:szCs w:val="22"/>
        </w:rPr>
        <w:t xml:space="preserve"> will be provided well in advance of each call.</w:t>
      </w:r>
      <w:r>
        <w:rPr>
          <w:sz w:val="20"/>
          <w:szCs w:val="22"/>
        </w:rPr>
        <w:t xml:space="preserve"> </w:t>
      </w:r>
    </w:p>
    <w:tbl>
      <w:tblPr>
        <w:tblpPr w:leftFromText="180" w:rightFromText="180" w:vertAnchor="text" w:horzAnchor="margin" w:tblpX="892" w:tblpY="79"/>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1"/>
        <w:gridCol w:w="1766"/>
        <w:gridCol w:w="1939"/>
        <w:gridCol w:w="3686"/>
      </w:tblGrid>
      <w:tr w:rsidR="005C53F1" w:rsidRPr="00C35184" w14:paraId="2A2C3EE7" w14:textId="77777777" w:rsidTr="005C53F1">
        <w:tc>
          <w:tcPr>
            <w:tcW w:w="1431" w:type="dxa"/>
            <w:shd w:val="clear" w:color="auto" w:fill="F2F2F2" w:themeFill="background1" w:themeFillShade="F2"/>
            <w:tcMar>
              <w:top w:w="0" w:type="dxa"/>
              <w:left w:w="108" w:type="dxa"/>
              <w:bottom w:w="0" w:type="dxa"/>
              <w:right w:w="108" w:type="dxa"/>
            </w:tcMar>
            <w:vAlign w:val="center"/>
            <w:hideMark/>
          </w:tcPr>
          <w:p w14:paraId="7F570CD0" w14:textId="277D5628" w:rsidR="005C53F1" w:rsidRPr="005C53F1" w:rsidRDefault="005C53F1" w:rsidP="005C53F1">
            <w:pPr>
              <w:jc w:val="center"/>
              <w:rPr>
                <w:b/>
                <w:sz w:val="18"/>
                <w:szCs w:val="18"/>
              </w:rPr>
            </w:pPr>
            <w:r w:rsidRPr="005C53F1">
              <w:rPr>
                <w:b/>
                <w:sz w:val="18"/>
                <w:szCs w:val="18"/>
              </w:rPr>
              <w:t>Date of MG meeting/call</w:t>
            </w:r>
          </w:p>
        </w:tc>
        <w:tc>
          <w:tcPr>
            <w:tcW w:w="1766" w:type="dxa"/>
            <w:shd w:val="clear" w:color="auto" w:fill="F2F2F2" w:themeFill="background1" w:themeFillShade="F2"/>
            <w:tcMar>
              <w:top w:w="0" w:type="dxa"/>
              <w:left w:w="108" w:type="dxa"/>
              <w:bottom w:w="0" w:type="dxa"/>
              <w:right w:w="108" w:type="dxa"/>
            </w:tcMar>
            <w:vAlign w:val="center"/>
            <w:hideMark/>
          </w:tcPr>
          <w:p w14:paraId="499376FB" w14:textId="77777777" w:rsidR="005C53F1" w:rsidRPr="005C53F1" w:rsidRDefault="005C53F1" w:rsidP="005C53F1">
            <w:pPr>
              <w:jc w:val="center"/>
              <w:rPr>
                <w:b/>
                <w:sz w:val="18"/>
                <w:szCs w:val="18"/>
              </w:rPr>
            </w:pPr>
            <w:r w:rsidRPr="005C53F1">
              <w:rPr>
                <w:b/>
                <w:sz w:val="18"/>
                <w:szCs w:val="18"/>
              </w:rPr>
              <w:t>Theme</w:t>
            </w:r>
          </w:p>
        </w:tc>
        <w:tc>
          <w:tcPr>
            <w:tcW w:w="1939" w:type="dxa"/>
            <w:shd w:val="clear" w:color="auto" w:fill="F2F2F2" w:themeFill="background1" w:themeFillShade="F2"/>
            <w:tcMar>
              <w:top w:w="0" w:type="dxa"/>
              <w:left w:w="108" w:type="dxa"/>
              <w:bottom w:w="0" w:type="dxa"/>
              <w:right w:w="108" w:type="dxa"/>
            </w:tcMar>
            <w:vAlign w:val="center"/>
            <w:hideMark/>
          </w:tcPr>
          <w:p w14:paraId="394858EB" w14:textId="77777777" w:rsidR="005C53F1" w:rsidRPr="005C53F1" w:rsidRDefault="005C53F1" w:rsidP="005C53F1">
            <w:pPr>
              <w:jc w:val="center"/>
              <w:rPr>
                <w:b/>
                <w:sz w:val="18"/>
                <w:szCs w:val="18"/>
              </w:rPr>
            </w:pPr>
            <w:r w:rsidRPr="005C53F1">
              <w:rPr>
                <w:b/>
                <w:sz w:val="18"/>
                <w:szCs w:val="18"/>
              </w:rPr>
              <w:t>Scope</w:t>
            </w:r>
          </w:p>
        </w:tc>
        <w:tc>
          <w:tcPr>
            <w:tcW w:w="3686" w:type="dxa"/>
            <w:shd w:val="clear" w:color="auto" w:fill="F2F2F2" w:themeFill="background1" w:themeFillShade="F2"/>
            <w:tcMar>
              <w:top w:w="0" w:type="dxa"/>
              <w:left w:w="108" w:type="dxa"/>
              <w:bottom w:w="0" w:type="dxa"/>
              <w:right w:w="108" w:type="dxa"/>
            </w:tcMar>
            <w:vAlign w:val="center"/>
            <w:hideMark/>
          </w:tcPr>
          <w:p w14:paraId="27881221" w14:textId="6459F717" w:rsidR="005C53F1" w:rsidRPr="005C53F1" w:rsidRDefault="005C53F1" w:rsidP="005C53F1">
            <w:pPr>
              <w:jc w:val="center"/>
              <w:rPr>
                <w:b/>
                <w:sz w:val="18"/>
                <w:szCs w:val="18"/>
              </w:rPr>
            </w:pPr>
            <w:r w:rsidRPr="005C53F1">
              <w:rPr>
                <w:b/>
                <w:sz w:val="18"/>
                <w:szCs w:val="18"/>
              </w:rPr>
              <w:t>Involvement of agencies in preparation of update</w:t>
            </w:r>
          </w:p>
        </w:tc>
      </w:tr>
      <w:tr w:rsidR="005C53F1" w:rsidRPr="00C35184" w14:paraId="05918ACB" w14:textId="77777777" w:rsidTr="005C53F1">
        <w:trPr>
          <w:trHeight w:val="505"/>
        </w:trPr>
        <w:tc>
          <w:tcPr>
            <w:tcW w:w="1431" w:type="dxa"/>
            <w:shd w:val="clear" w:color="auto" w:fill="FCFFEF"/>
            <w:tcMar>
              <w:top w:w="0" w:type="dxa"/>
              <w:left w:w="108" w:type="dxa"/>
              <w:bottom w:w="0" w:type="dxa"/>
              <w:right w:w="108" w:type="dxa"/>
            </w:tcMar>
          </w:tcPr>
          <w:p w14:paraId="7E75DF42" w14:textId="77777777" w:rsidR="005C53F1" w:rsidRPr="00C35184" w:rsidRDefault="005C53F1" w:rsidP="005C53F1">
            <w:pPr>
              <w:jc w:val="center"/>
              <w:rPr>
                <w:sz w:val="18"/>
                <w:szCs w:val="18"/>
              </w:rPr>
            </w:pPr>
            <w:r w:rsidRPr="00C35184">
              <w:rPr>
                <w:sz w:val="18"/>
                <w:szCs w:val="18"/>
              </w:rPr>
              <w:t>14 Oct</w:t>
            </w:r>
          </w:p>
        </w:tc>
        <w:tc>
          <w:tcPr>
            <w:tcW w:w="1766" w:type="dxa"/>
            <w:shd w:val="clear" w:color="auto" w:fill="FCFFEF"/>
            <w:tcMar>
              <w:top w:w="0" w:type="dxa"/>
              <w:left w:w="108" w:type="dxa"/>
              <w:bottom w:w="0" w:type="dxa"/>
              <w:right w:w="108" w:type="dxa"/>
            </w:tcMar>
          </w:tcPr>
          <w:p w14:paraId="0B02E1CA" w14:textId="77777777" w:rsidR="005C53F1" w:rsidRPr="00C35184" w:rsidRDefault="005C53F1" w:rsidP="005C53F1">
            <w:pPr>
              <w:pStyle w:val="ListParagraph"/>
              <w:ind w:left="0" w:firstLine="34"/>
              <w:jc w:val="center"/>
              <w:rPr>
                <w:sz w:val="18"/>
                <w:szCs w:val="18"/>
              </w:rPr>
            </w:pPr>
            <w:r w:rsidRPr="00C35184">
              <w:rPr>
                <w:color w:val="000000"/>
                <w:sz w:val="18"/>
                <w:szCs w:val="18"/>
              </w:rPr>
              <w:t>Gov/Legal preparedness</w:t>
            </w:r>
          </w:p>
        </w:tc>
        <w:tc>
          <w:tcPr>
            <w:tcW w:w="1939" w:type="dxa"/>
            <w:shd w:val="clear" w:color="auto" w:fill="FCFFEF"/>
            <w:tcMar>
              <w:top w:w="0" w:type="dxa"/>
              <w:left w:w="108" w:type="dxa"/>
              <w:bottom w:w="0" w:type="dxa"/>
              <w:right w:w="108" w:type="dxa"/>
            </w:tcMar>
          </w:tcPr>
          <w:p w14:paraId="089CAAC6" w14:textId="77777777" w:rsidR="005C53F1" w:rsidRPr="00C35184" w:rsidRDefault="005C53F1" w:rsidP="005C53F1">
            <w:pPr>
              <w:jc w:val="center"/>
              <w:rPr>
                <w:sz w:val="18"/>
                <w:szCs w:val="18"/>
              </w:rPr>
            </w:pPr>
            <w:r w:rsidRPr="00C35184">
              <w:rPr>
                <w:sz w:val="18"/>
                <w:szCs w:val="18"/>
              </w:rPr>
              <w:t>Outcome 2</w:t>
            </w:r>
          </w:p>
        </w:tc>
        <w:tc>
          <w:tcPr>
            <w:tcW w:w="3686" w:type="dxa"/>
            <w:shd w:val="clear" w:color="auto" w:fill="FCFFEF"/>
            <w:tcMar>
              <w:top w:w="0" w:type="dxa"/>
              <w:left w:w="108" w:type="dxa"/>
              <w:bottom w:w="0" w:type="dxa"/>
              <w:right w:w="108" w:type="dxa"/>
            </w:tcMar>
          </w:tcPr>
          <w:p w14:paraId="7D501DBB" w14:textId="6A6925C3" w:rsidR="005C53F1" w:rsidRPr="00C35184" w:rsidRDefault="005C53F1" w:rsidP="005C53F1">
            <w:pPr>
              <w:jc w:val="center"/>
              <w:rPr>
                <w:sz w:val="18"/>
                <w:szCs w:val="18"/>
              </w:rPr>
            </w:pPr>
            <w:r w:rsidRPr="00C35184">
              <w:rPr>
                <w:sz w:val="18"/>
                <w:szCs w:val="18"/>
              </w:rPr>
              <w:t>Secretariat together with FAO &amp; UNDP</w:t>
            </w:r>
          </w:p>
        </w:tc>
      </w:tr>
      <w:tr w:rsidR="005C53F1" w:rsidRPr="00C35184" w14:paraId="223DEC6E" w14:textId="77777777" w:rsidTr="005C53F1">
        <w:trPr>
          <w:trHeight w:val="178"/>
        </w:trPr>
        <w:tc>
          <w:tcPr>
            <w:tcW w:w="1431" w:type="dxa"/>
            <w:shd w:val="clear" w:color="auto" w:fill="FCFFEF"/>
            <w:tcMar>
              <w:top w:w="0" w:type="dxa"/>
              <w:left w:w="108" w:type="dxa"/>
              <w:bottom w:w="0" w:type="dxa"/>
              <w:right w:w="108" w:type="dxa"/>
            </w:tcMar>
          </w:tcPr>
          <w:p w14:paraId="3B864AF7" w14:textId="77777777" w:rsidR="005C53F1" w:rsidRPr="00C35184" w:rsidRDefault="005C53F1" w:rsidP="005C53F1">
            <w:pPr>
              <w:jc w:val="center"/>
              <w:rPr>
                <w:sz w:val="18"/>
                <w:szCs w:val="18"/>
              </w:rPr>
            </w:pPr>
            <w:r w:rsidRPr="00C35184">
              <w:rPr>
                <w:sz w:val="18"/>
                <w:szCs w:val="18"/>
              </w:rPr>
              <w:t>21 Oct</w:t>
            </w:r>
          </w:p>
        </w:tc>
        <w:tc>
          <w:tcPr>
            <w:tcW w:w="1766" w:type="dxa"/>
            <w:shd w:val="clear" w:color="auto" w:fill="FCFFEF"/>
            <w:tcMar>
              <w:top w:w="0" w:type="dxa"/>
              <w:left w:w="108" w:type="dxa"/>
              <w:bottom w:w="0" w:type="dxa"/>
              <w:right w:w="108" w:type="dxa"/>
            </w:tcMar>
          </w:tcPr>
          <w:p w14:paraId="76AD9D69" w14:textId="6B834F12" w:rsidR="005C53F1" w:rsidRPr="005C53F1" w:rsidRDefault="005C53F1" w:rsidP="005C53F1">
            <w:pPr>
              <w:pStyle w:val="ListParagraph"/>
              <w:ind w:left="0" w:firstLine="34"/>
              <w:jc w:val="center"/>
              <w:rPr>
                <w:rFonts w:eastAsiaTheme="minorHAnsi"/>
                <w:color w:val="000000"/>
                <w:sz w:val="18"/>
                <w:szCs w:val="18"/>
              </w:rPr>
            </w:pPr>
            <w:r w:rsidRPr="00C35184">
              <w:rPr>
                <w:color w:val="000000"/>
                <w:sz w:val="18"/>
                <w:szCs w:val="18"/>
              </w:rPr>
              <w:t>Comms/KM</w:t>
            </w:r>
          </w:p>
        </w:tc>
        <w:tc>
          <w:tcPr>
            <w:tcW w:w="1939" w:type="dxa"/>
            <w:shd w:val="clear" w:color="auto" w:fill="FCFFEF"/>
            <w:tcMar>
              <w:top w:w="0" w:type="dxa"/>
              <w:left w:w="108" w:type="dxa"/>
              <w:bottom w:w="0" w:type="dxa"/>
              <w:right w:w="108" w:type="dxa"/>
            </w:tcMar>
          </w:tcPr>
          <w:p w14:paraId="7D7CC412" w14:textId="77777777" w:rsidR="005C53F1" w:rsidRPr="00C35184" w:rsidRDefault="005C53F1" w:rsidP="005C53F1">
            <w:pPr>
              <w:jc w:val="center"/>
              <w:rPr>
                <w:sz w:val="18"/>
                <w:szCs w:val="18"/>
              </w:rPr>
            </w:pPr>
            <w:r w:rsidRPr="00C35184">
              <w:rPr>
                <w:sz w:val="18"/>
                <w:szCs w:val="18"/>
              </w:rPr>
              <w:t>Outcome 7</w:t>
            </w:r>
          </w:p>
        </w:tc>
        <w:tc>
          <w:tcPr>
            <w:tcW w:w="3686" w:type="dxa"/>
            <w:shd w:val="clear" w:color="auto" w:fill="FCFFEF"/>
            <w:tcMar>
              <w:top w:w="0" w:type="dxa"/>
              <w:left w:w="108" w:type="dxa"/>
              <w:bottom w:w="0" w:type="dxa"/>
              <w:right w:w="108" w:type="dxa"/>
            </w:tcMar>
          </w:tcPr>
          <w:p w14:paraId="367ADB5A" w14:textId="77777777" w:rsidR="005C53F1" w:rsidRPr="00C35184" w:rsidRDefault="005C53F1" w:rsidP="005C53F1">
            <w:pPr>
              <w:jc w:val="center"/>
              <w:rPr>
                <w:sz w:val="18"/>
                <w:szCs w:val="18"/>
              </w:rPr>
            </w:pPr>
            <w:r w:rsidRPr="00C35184">
              <w:rPr>
                <w:sz w:val="18"/>
                <w:szCs w:val="18"/>
              </w:rPr>
              <w:t>Secretariat with inputs from Comms/KM WG.</w:t>
            </w:r>
          </w:p>
        </w:tc>
      </w:tr>
      <w:tr w:rsidR="005C53F1" w:rsidRPr="00C35184" w14:paraId="56181C3A" w14:textId="77777777" w:rsidTr="005C53F1">
        <w:trPr>
          <w:trHeight w:val="505"/>
        </w:trPr>
        <w:tc>
          <w:tcPr>
            <w:tcW w:w="1431" w:type="dxa"/>
            <w:shd w:val="clear" w:color="auto" w:fill="FCFFEF"/>
            <w:tcMar>
              <w:top w:w="0" w:type="dxa"/>
              <w:left w:w="108" w:type="dxa"/>
              <w:bottom w:w="0" w:type="dxa"/>
              <w:right w:w="108" w:type="dxa"/>
            </w:tcMar>
            <w:hideMark/>
          </w:tcPr>
          <w:p w14:paraId="3CA3FE8B" w14:textId="2F30968F" w:rsidR="005C53F1" w:rsidRPr="00C35184" w:rsidRDefault="005C53F1" w:rsidP="005C53F1">
            <w:pPr>
              <w:jc w:val="center"/>
              <w:rPr>
                <w:sz w:val="18"/>
                <w:szCs w:val="18"/>
              </w:rPr>
            </w:pPr>
            <w:r w:rsidRPr="00C35184">
              <w:rPr>
                <w:sz w:val="18"/>
                <w:szCs w:val="18"/>
              </w:rPr>
              <w:t xml:space="preserve">28 Oct </w:t>
            </w:r>
          </w:p>
        </w:tc>
        <w:tc>
          <w:tcPr>
            <w:tcW w:w="1766" w:type="dxa"/>
            <w:shd w:val="clear" w:color="auto" w:fill="FCFFEF"/>
            <w:tcMar>
              <w:top w:w="0" w:type="dxa"/>
              <w:left w:w="108" w:type="dxa"/>
              <w:bottom w:w="0" w:type="dxa"/>
              <w:right w:w="108" w:type="dxa"/>
            </w:tcMar>
            <w:hideMark/>
          </w:tcPr>
          <w:p w14:paraId="7A68F861" w14:textId="77777777" w:rsidR="005C53F1" w:rsidRPr="00C35184" w:rsidRDefault="005C53F1" w:rsidP="005C53F1">
            <w:pPr>
              <w:jc w:val="center"/>
              <w:rPr>
                <w:sz w:val="18"/>
                <w:szCs w:val="18"/>
              </w:rPr>
            </w:pPr>
            <w:r w:rsidRPr="00C35184">
              <w:rPr>
                <w:color w:val="000000"/>
                <w:sz w:val="18"/>
                <w:szCs w:val="18"/>
              </w:rPr>
              <w:t>Private sector/ Green economy</w:t>
            </w:r>
          </w:p>
        </w:tc>
        <w:tc>
          <w:tcPr>
            <w:tcW w:w="1939" w:type="dxa"/>
            <w:shd w:val="clear" w:color="auto" w:fill="FCFFEF"/>
            <w:tcMar>
              <w:top w:w="0" w:type="dxa"/>
              <w:left w:w="108" w:type="dxa"/>
              <w:bottom w:w="0" w:type="dxa"/>
              <w:right w:w="108" w:type="dxa"/>
            </w:tcMar>
            <w:hideMark/>
          </w:tcPr>
          <w:p w14:paraId="280D91EF" w14:textId="77777777" w:rsidR="005C53F1" w:rsidRPr="00C35184" w:rsidRDefault="005C53F1" w:rsidP="005C53F1">
            <w:pPr>
              <w:jc w:val="center"/>
              <w:rPr>
                <w:sz w:val="18"/>
                <w:szCs w:val="18"/>
              </w:rPr>
            </w:pPr>
            <w:r w:rsidRPr="00C35184">
              <w:rPr>
                <w:sz w:val="18"/>
                <w:szCs w:val="18"/>
              </w:rPr>
              <w:t>Outcome 6</w:t>
            </w:r>
          </w:p>
        </w:tc>
        <w:tc>
          <w:tcPr>
            <w:tcW w:w="3686" w:type="dxa"/>
            <w:shd w:val="clear" w:color="auto" w:fill="FCFFEF"/>
            <w:tcMar>
              <w:top w:w="0" w:type="dxa"/>
              <w:left w:w="108" w:type="dxa"/>
              <w:bottom w:w="0" w:type="dxa"/>
              <w:right w:w="108" w:type="dxa"/>
            </w:tcMar>
          </w:tcPr>
          <w:p w14:paraId="2BA4387F" w14:textId="77777777" w:rsidR="005C53F1" w:rsidRPr="00C35184" w:rsidRDefault="005C53F1" w:rsidP="005C53F1">
            <w:pPr>
              <w:jc w:val="center"/>
              <w:rPr>
                <w:sz w:val="18"/>
                <w:szCs w:val="18"/>
              </w:rPr>
            </w:pPr>
            <w:r w:rsidRPr="00C35184">
              <w:rPr>
                <w:sz w:val="18"/>
                <w:szCs w:val="18"/>
              </w:rPr>
              <w:t>Secretariat together with UNEP</w:t>
            </w:r>
          </w:p>
        </w:tc>
      </w:tr>
      <w:tr w:rsidR="005C53F1" w:rsidRPr="00C35184" w14:paraId="77B65776" w14:textId="77777777" w:rsidTr="005C53F1">
        <w:trPr>
          <w:trHeight w:val="204"/>
        </w:trPr>
        <w:tc>
          <w:tcPr>
            <w:tcW w:w="1431" w:type="dxa"/>
            <w:shd w:val="clear" w:color="auto" w:fill="FCFFEF"/>
            <w:tcMar>
              <w:top w:w="0" w:type="dxa"/>
              <w:left w:w="108" w:type="dxa"/>
              <w:bottom w:w="0" w:type="dxa"/>
              <w:right w:w="108" w:type="dxa"/>
            </w:tcMar>
            <w:hideMark/>
          </w:tcPr>
          <w:p w14:paraId="75FFD0D5" w14:textId="77777777" w:rsidR="005C53F1" w:rsidRPr="00C35184" w:rsidRDefault="005C53F1" w:rsidP="005C53F1">
            <w:pPr>
              <w:jc w:val="center"/>
              <w:rPr>
                <w:sz w:val="18"/>
                <w:szCs w:val="18"/>
              </w:rPr>
            </w:pPr>
            <w:r w:rsidRPr="00C35184">
              <w:rPr>
                <w:sz w:val="18"/>
                <w:szCs w:val="18"/>
              </w:rPr>
              <w:t>18 Nov</w:t>
            </w:r>
          </w:p>
        </w:tc>
        <w:tc>
          <w:tcPr>
            <w:tcW w:w="1766" w:type="dxa"/>
            <w:shd w:val="clear" w:color="auto" w:fill="FCFFEF"/>
            <w:tcMar>
              <w:top w:w="0" w:type="dxa"/>
              <w:left w:w="108" w:type="dxa"/>
              <w:bottom w:w="0" w:type="dxa"/>
              <w:right w:w="108" w:type="dxa"/>
            </w:tcMar>
            <w:hideMark/>
          </w:tcPr>
          <w:p w14:paraId="71FB6D91" w14:textId="77777777" w:rsidR="005C53F1" w:rsidRPr="00C35184" w:rsidRDefault="005C53F1" w:rsidP="005C53F1">
            <w:pPr>
              <w:jc w:val="center"/>
              <w:rPr>
                <w:sz w:val="18"/>
                <w:szCs w:val="18"/>
              </w:rPr>
            </w:pPr>
            <w:r w:rsidRPr="00C35184">
              <w:rPr>
                <w:color w:val="000000"/>
                <w:sz w:val="18"/>
                <w:szCs w:val="18"/>
              </w:rPr>
              <w:t>MRV&amp;M</w:t>
            </w:r>
          </w:p>
        </w:tc>
        <w:tc>
          <w:tcPr>
            <w:tcW w:w="1939" w:type="dxa"/>
            <w:shd w:val="clear" w:color="auto" w:fill="FCFFEF"/>
            <w:tcMar>
              <w:top w:w="0" w:type="dxa"/>
              <w:left w:w="108" w:type="dxa"/>
              <w:bottom w:w="0" w:type="dxa"/>
              <w:right w:w="108" w:type="dxa"/>
            </w:tcMar>
            <w:hideMark/>
          </w:tcPr>
          <w:p w14:paraId="55A74CFC" w14:textId="77777777" w:rsidR="005C53F1" w:rsidRPr="00C35184" w:rsidRDefault="005C53F1" w:rsidP="005C53F1">
            <w:pPr>
              <w:jc w:val="center"/>
              <w:rPr>
                <w:sz w:val="18"/>
                <w:szCs w:val="18"/>
              </w:rPr>
            </w:pPr>
            <w:r w:rsidRPr="00C35184">
              <w:rPr>
                <w:sz w:val="18"/>
                <w:szCs w:val="18"/>
              </w:rPr>
              <w:t>Outcome 1</w:t>
            </w:r>
          </w:p>
        </w:tc>
        <w:tc>
          <w:tcPr>
            <w:tcW w:w="3686" w:type="dxa"/>
            <w:shd w:val="clear" w:color="auto" w:fill="FCFFEF"/>
            <w:tcMar>
              <w:top w:w="0" w:type="dxa"/>
              <w:left w:w="108" w:type="dxa"/>
              <w:bottom w:w="0" w:type="dxa"/>
              <w:right w:w="108" w:type="dxa"/>
            </w:tcMar>
          </w:tcPr>
          <w:p w14:paraId="0E413C63" w14:textId="77777777" w:rsidR="005C53F1" w:rsidRPr="00C35184" w:rsidRDefault="005C53F1" w:rsidP="005C53F1">
            <w:pPr>
              <w:jc w:val="center"/>
              <w:rPr>
                <w:sz w:val="18"/>
                <w:szCs w:val="18"/>
              </w:rPr>
            </w:pPr>
            <w:r w:rsidRPr="00C35184">
              <w:rPr>
                <w:sz w:val="18"/>
                <w:szCs w:val="18"/>
              </w:rPr>
              <w:t>Secretariat together with FAO</w:t>
            </w:r>
          </w:p>
        </w:tc>
      </w:tr>
      <w:tr w:rsidR="005C53F1" w:rsidRPr="00C35184" w14:paraId="01CB694C" w14:textId="77777777" w:rsidTr="005C53F1">
        <w:tc>
          <w:tcPr>
            <w:tcW w:w="1431" w:type="dxa"/>
            <w:shd w:val="clear" w:color="auto" w:fill="FCFFEF"/>
            <w:tcMar>
              <w:top w:w="0" w:type="dxa"/>
              <w:left w:w="108" w:type="dxa"/>
              <w:bottom w:w="0" w:type="dxa"/>
              <w:right w:w="108" w:type="dxa"/>
            </w:tcMar>
            <w:hideMark/>
          </w:tcPr>
          <w:p w14:paraId="29463E3C" w14:textId="77777777" w:rsidR="005C53F1" w:rsidRPr="00C35184" w:rsidRDefault="005C53F1" w:rsidP="005C53F1">
            <w:pPr>
              <w:jc w:val="center"/>
              <w:rPr>
                <w:sz w:val="18"/>
                <w:szCs w:val="18"/>
              </w:rPr>
            </w:pPr>
            <w:r w:rsidRPr="00C35184">
              <w:rPr>
                <w:sz w:val="18"/>
                <w:szCs w:val="18"/>
              </w:rPr>
              <w:t>25 Nov</w:t>
            </w:r>
          </w:p>
        </w:tc>
        <w:tc>
          <w:tcPr>
            <w:tcW w:w="1766" w:type="dxa"/>
            <w:shd w:val="clear" w:color="auto" w:fill="FCFFEF"/>
            <w:tcMar>
              <w:top w:w="0" w:type="dxa"/>
              <w:left w:w="108" w:type="dxa"/>
              <w:bottom w:w="0" w:type="dxa"/>
              <w:right w:w="108" w:type="dxa"/>
            </w:tcMar>
            <w:hideMark/>
          </w:tcPr>
          <w:p w14:paraId="06CE3AB9" w14:textId="77777777" w:rsidR="005C53F1" w:rsidRPr="00C35184" w:rsidRDefault="005C53F1" w:rsidP="005C53F1">
            <w:pPr>
              <w:jc w:val="center"/>
              <w:rPr>
                <w:sz w:val="18"/>
                <w:szCs w:val="18"/>
              </w:rPr>
            </w:pPr>
            <w:r w:rsidRPr="00C35184">
              <w:rPr>
                <w:sz w:val="18"/>
                <w:szCs w:val="18"/>
              </w:rPr>
              <w:t>SE</w:t>
            </w:r>
          </w:p>
        </w:tc>
        <w:tc>
          <w:tcPr>
            <w:tcW w:w="1939" w:type="dxa"/>
            <w:shd w:val="clear" w:color="auto" w:fill="FCFFEF"/>
            <w:tcMar>
              <w:top w:w="0" w:type="dxa"/>
              <w:left w:w="108" w:type="dxa"/>
              <w:bottom w:w="0" w:type="dxa"/>
              <w:right w:w="108" w:type="dxa"/>
            </w:tcMar>
            <w:hideMark/>
          </w:tcPr>
          <w:p w14:paraId="30AF8427" w14:textId="77777777" w:rsidR="005C53F1" w:rsidRPr="00C35184" w:rsidRDefault="005C53F1" w:rsidP="005C53F1">
            <w:pPr>
              <w:jc w:val="center"/>
              <w:rPr>
                <w:sz w:val="18"/>
                <w:szCs w:val="18"/>
              </w:rPr>
            </w:pPr>
            <w:r w:rsidRPr="00C35184">
              <w:rPr>
                <w:sz w:val="18"/>
                <w:szCs w:val="18"/>
              </w:rPr>
              <w:t>Outcome 4</w:t>
            </w:r>
          </w:p>
        </w:tc>
        <w:tc>
          <w:tcPr>
            <w:tcW w:w="3686" w:type="dxa"/>
            <w:shd w:val="clear" w:color="auto" w:fill="FCFFEF"/>
            <w:tcMar>
              <w:top w:w="0" w:type="dxa"/>
              <w:left w:w="108" w:type="dxa"/>
              <w:bottom w:w="0" w:type="dxa"/>
              <w:right w:w="108" w:type="dxa"/>
            </w:tcMar>
          </w:tcPr>
          <w:p w14:paraId="586DA7CE" w14:textId="77777777" w:rsidR="005C53F1" w:rsidRPr="00C35184" w:rsidRDefault="005C53F1" w:rsidP="005C53F1">
            <w:pPr>
              <w:jc w:val="center"/>
              <w:rPr>
                <w:sz w:val="18"/>
                <w:szCs w:val="18"/>
              </w:rPr>
            </w:pPr>
            <w:r w:rsidRPr="00C35184">
              <w:rPr>
                <w:sz w:val="18"/>
                <w:szCs w:val="18"/>
              </w:rPr>
              <w:t>Secretariat together with UNDP</w:t>
            </w:r>
          </w:p>
        </w:tc>
      </w:tr>
      <w:tr w:rsidR="005C53F1" w:rsidRPr="00C35184" w14:paraId="7320286A" w14:textId="77777777" w:rsidTr="005C53F1">
        <w:tc>
          <w:tcPr>
            <w:tcW w:w="1431" w:type="dxa"/>
            <w:shd w:val="clear" w:color="auto" w:fill="FCFFEF"/>
            <w:tcMar>
              <w:top w:w="0" w:type="dxa"/>
              <w:left w:w="108" w:type="dxa"/>
              <w:bottom w:w="0" w:type="dxa"/>
              <w:right w:w="108" w:type="dxa"/>
            </w:tcMar>
            <w:hideMark/>
          </w:tcPr>
          <w:p w14:paraId="73934BD1" w14:textId="77777777" w:rsidR="005C53F1" w:rsidRPr="00C35184" w:rsidRDefault="005C53F1" w:rsidP="005C53F1">
            <w:pPr>
              <w:jc w:val="center"/>
              <w:rPr>
                <w:sz w:val="18"/>
                <w:szCs w:val="18"/>
              </w:rPr>
            </w:pPr>
            <w:r w:rsidRPr="00C35184">
              <w:rPr>
                <w:sz w:val="18"/>
                <w:szCs w:val="18"/>
              </w:rPr>
              <w:t>2 Dec</w:t>
            </w:r>
          </w:p>
        </w:tc>
        <w:tc>
          <w:tcPr>
            <w:tcW w:w="1766" w:type="dxa"/>
            <w:shd w:val="clear" w:color="auto" w:fill="FCFFEF"/>
            <w:tcMar>
              <w:top w:w="0" w:type="dxa"/>
              <w:left w:w="108" w:type="dxa"/>
              <w:bottom w:w="0" w:type="dxa"/>
              <w:right w:w="108" w:type="dxa"/>
            </w:tcMar>
            <w:hideMark/>
          </w:tcPr>
          <w:p w14:paraId="74D08E81" w14:textId="77777777" w:rsidR="005C53F1" w:rsidRPr="00C35184" w:rsidRDefault="005C53F1" w:rsidP="005C53F1">
            <w:pPr>
              <w:jc w:val="center"/>
              <w:rPr>
                <w:sz w:val="18"/>
                <w:szCs w:val="18"/>
              </w:rPr>
            </w:pPr>
            <w:r w:rsidRPr="00C35184">
              <w:rPr>
                <w:sz w:val="18"/>
                <w:szCs w:val="18"/>
              </w:rPr>
              <w:t>Secretariat</w:t>
            </w:r>
            <w:r>
              <w:rPr>
                <w:sz w:val="18"/>
                <w:szCs w:val="18"/>
              </w:rPr>
              <w:t>/CNA/TS</w:t>
            </w:r>
          </w:p>
        </w:tc>
        <w:tc>
          <w:tcPr>
            <w:tcW w:w="1939" w:type="dxa"/>
            <w:shd w:val="clear" w:color="auto" w:fill="FCFFEF"/>
            <w:tcMar>
              <w:top w:w="0" w:type="dxa"/>
              <w:left w:w="108" w:type="dxa"/>
              <w:bottom w:w="0" w:type="dxa"/>
              <w:right w:w="108" w:type="dxa"/>
            </w:tcMar>
            <w:hideMark/>
          </w:tcPr>
          <w:p w14:paraId="7FF7EC43" w14:textId="77777777" w:rsidR="005C53F1" w:rsidRPr="00C35184" w:rsidRDefault="005C53F1" w:rsidP="005C53F1">
            <w:pPr>
              <w:jc w:val="center"/>
              <w:rPr>
                <w:sz w:val="18"/>
                <w:szCs w:val="18"/>
              </w:rPr>
            </w:pPr>
            <w:r w:rsidRPr="00C35184">
              <w:rPr>
                <w:sz w:val="18"/>
                <w:szCs w:val="18"/>
              </w:rPr>
              <w:t>Outcome 8</w:t>
            </w:r>
          </w:p>
        </w:tc>
        <w:tc>
          <w:tcPr>
            <w:tcW w:w="3686" w:type="dxa"/>
            <w:shd w:val="clear" w:color="auto" w:fill="FCFFEF"/>
            <w:tcMar>
              <w:top w:w="0" w:type="dxa"/>
              <w:left w:w="108" w:type="dxa"/>
              <w:bottom w:w="0" w:type="dxa"/>
              <w:right w:w="108" w:type="dxa"/>
            </w:tcMar>
          </w:tcPr>
          <w:p w14:paraId="652FBADA" w14:textId="77777777" w:rsidR="005C53F1" w:rsidRPr="00C35184" w:rsidRDefault="005C53F1" w:rsidP="005C53F1">
            <w:pPr>
              <w:jc w:val="center"/>
              <w:rPr>
                <w:sz w:val="18"/>
                <w:szCs w:val="18"/>
              </w:rPr>
            </w:pPr>
            <w:r w:rsidRPr="00C35184">
              <w:rPr>
                <w:sz w:val="18"/>
                <w:szCs w:val="18"/>
              </w:rPr>
              <w:t>Secretariat</w:t>
            </w:r>
          </w:p>
        </w:tc>
      </w:tr>
    </w:tbl>
    <w:p w14:paraId="120B8182" w14:textId="77777777" w:rsidR="005C53F1" w:rsidRDefault="005C53F1" w:rsidP="005C53F1">
      <w:pPr>
        <w:widowControl w:val="0"/>
        <w:autoSpaceDE w:val="0"/>
        <w:autoSpaceDN w:val="0"/>
        <w:adjustRightInd w:val="0"/>
        <w:spacing w:after="120" w:line="276" w:lineRule="auto"/>
        <w:jc w:val="both"/>
        <w:rPr>
          <w:sz w:val="20"/>
          <w:szCs w:val="22"/>
        </w:rPr>
      </w:pPr>
    </w:p>
    <w:p w14:paraId="5E74210E" w14:textId="77777777" w:rsidR="005C53F1" w:rsidRDefault="005C53F1" w:rsidP="005C53F1">
      <w:pPr>
        <w:widowControl w:val="0"/>
        <w:autoSpaceDE w:val="0"/>
        <w:autoSpaceDN w:val="0"/>
        <w:adjustRightInd w:val="0"/>
        <w:spacing w:after="120" w:line="276" w:lineRule="auto"/>
        <w:jc w:val="both"/>
        <w:rPr>
          <w:sz w:val="20"/>
          <w:szCs w:val="22"/>
        </w:rPr>
      </w:pPr>
    </w:p>
    <w:p w14:paraId="28250535" w14:textId="77777777" w:rsidR="005C53F1" w:rsidRDefault="005C53F1" w:rsidP="005C53F1">
      <w:pPr>
        <w:widowControl w:val="0"/>
        <w:autoSpaceDE w:val="0"/>
        <w:autoSpaceDN w:val="0"/>
        <w:adjustRightInd w:val="0"/>
        <w:spacing w:after="120" w:line="276" w:lineRule="auto"/>
        <w:jc w:val="both"/>
        <w:rPr>
          <w:sz w:val="20"/>
          <w:szCs w:val="22"/>
        </w:rPr>
      </w:pPr>
    </w:p>
    <w:p w14:paraId="105B9D01" w14:textId="77777777" w:rsidR="005C53F1" w:rsidRDefault="005C53F1" w:rsidP="005C53F1">
      <w:pPr>
        <w:widowControl w:val="0"/>
        <w:autoSpaceDE w:val="0"/>
        <w:autoSpaceDN w:val="0"/>
        <w:adjustRightInd w:val="0"/>
        <w:spacing w:after="120" w:line="276" w:lineRule="auto"/>
        <w:jc w:val="both"/>
        <w:rPr>
          <w:sz w:val="20"/>
          <w:szCs w:val="22"/>
        </w:rPr>
      </w:pPr>
    </w:p>
    <w:p w14:paraId="25A2EA7C" w14:textId="77777777" w:rsidR="005C53F1" w:rsidRDefault="005C53F1" w:rsidP="005C53F1">
      <w:pPr>
        <w:widowControl w:val="0"/>
        <w:autoSpaceDE w:val="0"/>
        <w:autoSpaceDN w:val="0"/>
        <w:adjustRightInd w:val="0"/>
        <w:spacing w:after="120" w:line="276" w:lineRule="auto"/>
        <w:jc w:val="both"/>
        <w:rPr>
          <w:sz w:val="20"/>
          <w:szCs w:val="22"/>
        </w:rPr>
      </w:pPr>
    </w:p>
    <w:p w14:paraId="760A5695" w14:textId="77777777" w:rsidR="005C53F1" w:rsidRDefault="005C53F1" w:rsidP="005C53F1">
      <w:pPr>
        <w:widowControl w:val="0"/>
        <w:autoSpaceDE w:val="0"/>
        <w:autoSpaceDN w:val="0"/>
        <w:adjustRightInd w:val="0"/>
        <w:spacing w:after="120" w:line="276" w:lineRule="auto"/>
        <w:jc w:val="both"/>
        <w:rPr>
          <w:sz w:val="20"/>
          <w:szCs w:val="22"/>
        </w:rPr>
      </w:pPr>
    </w:p>
    <w:p w14:paraId="05A89389" w14:textId="77777777" w:rsidR="005C53F1" w:rsidRPr="005C53F1" w:rsidRDefault="005C53F1" w:rsidP="005C53F1">
      <w:pPr>
        <w:widowControl w:val="0"/>
        <w:autoSpaceDE w:val="0"/>
        <w:autoSpaceDN w:val="0"/>
        <w:adjustRightInd w:val="0"/>
        <w:spacing w:after="120" w:line="276" w:lineRule="auto"/>
        <w:jc w:val="both"/>
        <w:rPr>
          <w:sz w:val="20"/>
          <w:szCs w:val="22"/>
        </w:rPr>
      </w:pPr>
    </w:p>
    <w:p w14:paraId="4F99AE8E" w14:textId="52CF58D9" w:rsidR="00A029EF" w:rsidRPr="00A17819" w:rsidRDefault="00A029EF" w:rsidP="00A029EF">
      <w:pPr>
        <w:pStyle w:val="ListParagraph"/>
        <w:numPr>
          <w:ilvl w:val="0"/>
          <w:numId w:val="34"/>
        </w:numPr>
        <w:ind w:left="357" w:hanging="357"/>
        <w:rPr>
          <w:b/>
          <w:sz w:val="22"/>
          <w:szCs w:val="22"/>
        </w:rPr>
      </w:pPr>
      <w:r>
        <w:rPr>
          <w:b/>
          <w:sz w:val="22"/>
          <w:szCs w:val="22"/>
        </w:rPr>
        <w:t>AOB</w:t>
      </w:r>
    </w:p>
    <w:p w14:paraId="55CA6DE7" w14:textId="77777777" w:rsidR="00A029EF" w:rsidRPr="00EF59E2" w:rsidRDefault="00A029EF" w:rsidP="00A029EF">
      <w:pPr>
        <w:pStyle w:val="ListParagraph"/>
        <w:rPr>
          <w:b/>
          <w:sz w:val="10"/>
          <w:szCs w:val="10"/>
        </w:rPr>
      </w:pPr>
    </w:p>
    <w:p w14:paraId="2D85CA97" w14:textId="745DF18F" w:rsidR="00A029EF" w:rsidRPr="00A029EF" w:rsidRDefault="00A029EF" w:rsidP="00A029EF">
      <w:pPr>
        <w:spacing w:after="120" w:line="276" w:lineRule="auto"/>
        <w:ind w:firstLine="357"/>
        <w:jc w:val="both"/>
        <w:rPr>
          <w:b/>
          <w:i/>
          <w:sz w:val="20"/>
          <w:szCs w:val="22"/>
        </w:rPr>
      </w:pPr>
      <w:r>
        <w:rPr>
          <w:b/>
          <w:i/>
          <w:sz w:val="20"/>
          <w:szCs w:val="22"/>
        </w:rPr>
        <w:t>Memorandum of Understanding for UNORCID</w:t>
      </w:r>
    </w:p>
    <w:p w14:paraId="00B9C399" w14:textId="77777777" w:rsidR="00A029EF" w:rsidRPr="00EE0C71" w:rsidRDefault="00A029EF" w:rsidP="00A029EF">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719175A8" w14:textId="155C6012" w:rsidR="00A029EF" w:rsidRDefault="004F1B6C" w:rsidP="00A029EF">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sz w:val="20"/>
          <w:szCs w:val="22"/>
        </w:rPr>
        <w:t xml:space="preserve">UNDP will provide a short written update on the current situation of UNORCID to the MG within this week. </w:t>
      </w:r>
    </w:p>
    <w:p w14:paraId="7CEE7965" w14:textId="77777777" w:rsidR="00AA181C" w:rsidRPr="00381C0D" w:rsidRDefault="00AA181C" w:rsidP="008947F0">
      <w:pPr>
        <w:rPr>
          <w:sz w:val="22"/>
          <w:szCs w:val="22"/>
        </w:rPr>
      </w:pPr>
    </w:p>
    <w:sectPr w:rsidR="00AA181C" w:rsidRPr="00381C0D"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AE04C" w14:textId="77777777" w:rsidR="00BB260A" w:rsidRDefault="00BB260A" w:rsidP="00210035">
      <w:r>
        <w:separator/>
      </w:r>
    </w:p>
  </w:endnote>
  <w:endnote w:type="continuationSeparator" w:id="0">
    <w:p w14:paraId="302AE9E8" w14:textId="77777777" w:rsidR="00BB260A" w:rsidRDefault="00BB260A"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12C">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32A11" w14:textId="77777777" w:rsidR="00BB260A" w:rsidRDefault="00BB260A" w:rsidP="00210035">
      <w:r>
        <w:separator/>
      </w:r>
    </w:p>
  </w:footnote>
  <w:footnote w:type="continuationSeparator" w:id="0">
    <w:p w14:paraId="33BC3E70" w14:textId="77777777" w:rsidR="00BB260A" w:rsidRDefault="00BB260A"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8555779"/>
    <w:multiLevelType w:val="hybridMultilevel"/>
    <w:tmpl w:val="00E844C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1">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7">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0">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6">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9234F6"/>
    <w:multiLevelType w:val="hybridMultilevel"/>
    <w:tmpl w:val="5F14FDC6"/>
    <w:lvl w:ilvl="0" w:tplc="3962D5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1">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7">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8">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E6FF5"/>
    <w:multiLevelType w:val="hybridMultilevel"/>
    <w:tmpl w:val="CE88D8C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1">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0"/>
  </w:num>
  <w:num w:numId="2">
    <w:abstractNumId w:val="8"/>
  </w:num>
  <w:num w:numId="3">
    <w:abstractNumId w:val="11"/>
  </w:num>
  <w:num w:numId="4">
    <w:abstractNumId w:val="40"/>
  </w:num>
  <w:num w:numId="5">
    <w:abstractNumId w:val="13"/>
  </w:num>
  <w:num w:numId="6">
    <w:abstractNumId w:val="16"/>
  </w:num>
  <w:num w:numId="7">
    <w:abstractNumId w:val="12"/>
  </w:num>
  <w:num w:numId="8">
    <w:abstractNumId w:val="33"/>
  </w:num>
  <w:num w:numId="9">
    <w:abstractNumId w:val="5"/>
  </w:num>
  <w:num w:numId="10">
    <w:abstractNumId w:val="31"/>
  </w:num>
  <w:num w:numId="11">
    <w:abstractNumId w:val="27"/>
  </w:num>
  <w:num w:numId="12">
    <w:abstractNumId w:val="29"/>
  </w:num>
  <w:num w:numId="13">
    <w:abstractNumId w:val="34"/>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5"/>
  </w:num>
  <w:num w:numId="22">
    <w:abstractNumId w:val="0"/>
  </w:num>
  <w:num w:numId="23">
    <w:abstractNumId w:val="24"/>
  </w:num>
  <w:num w:numId="24">
    <w:abstractNumId w:val="21"/>
  </w:num>
  <w:num w:numId="25">
    <w:abstractNumId w:val="17"/>
  </w:num>
  <w:num w:numId="26">
    <w:abstractNumId w:val="23"/>
  </w:num>
  <w:num w:numId="27">
    <w:abstractNumId w:val="19"/>
  </w:num>
  <w:num w:numId="28">
    <w:abstractNumId w:val="36"/>
  </w:num>
  <w:num w:numId="29">
    <w:abstractNumId w:val="26"/>
  </w:num>
  <w:num w:numId="30">
    <w:abstractNumId w:val="41"/>
  </w:num>
  <w:num w:numId="31">
    <w:abstractNumId w:val="6"/>
  </w:num>
  <w:num w:numId="32">
    <w:abstractNumId w:val="9"/>
  </w:num>
  <w:num w:numId="33">
    <w:abstractNumId w:val="1"/>
  </w:num>
  <w:num w:numId="34">
    <w:abstractNumId w:val="28"/>
  </w:num>
  <w:num w:numId="35">
    <w:abstractNumId w:val="22"/>
  </w:num>
  <w:num w:numId="36">
    <w:abstractNumId w:val="32"/>
  </w:num>
  <w:num w:numId="37">
    <w:abstractNumId w:val="4"/>
  </w:num>
  <w:num w:numId="38">
    <w:abstractNumId w:val="38"/>
  </w:num>
  <w:num w:numId="39">
    <w:abstractNumId w:val="7"/>
  </w:num>
  <w:num w:numId="40">
    <w:abstractNumId w:val="3"/>
  </w:num>
  <w:num w:numId="41">
    <w:abstractNumId w:val="2"/>
  </w:num>
  <w:num w:numId="42">
    <w:abstractNumId w:val="20"/>
  </w:num>
  <w:num w:numId="43">
    <w:abstractNumId w:val="3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843E4"/>
    <w:rsid w:val="000A13C9"/>
    <w:rsid w:val="000A2BD6"/>
    <w:rsid w:val="000B0078"/>
    <w:rsid w:val="000B120C"/>
    <w:rsid w:val="000B5D93"/>
    <w:rsid w:val="000B7487"/>
    <w:rsid w:val="000C0B3D"/>
    <w:rsid w:val="000C5432"/>
    <w:rsid w:val="000C5DEA"/>
    <w:rsid w:val="000D41F3"/>
    <w:rsid w:val="000F1232"/>
    <w:rsid w:val="00103F2C"/>
    <w:rsid w:val="001054BE"/>
    <w:rsid w:val="00107E68"/>
    <w:rsid w:val="0011671E"/>
    <w:rsid w:val="001244FF"/>
    <w:rsid w:val="0014072D"/>
    <w:rsid w:val="00151242"/>
    <w:rsid w:val="00152D75"/>
    <w:rsid w:val="00156601"/>
    <w:rsid w:val="001600AA"/>
    <w:rsid w:val="0016643F"/>
    <w:rsid w:val="001708F8"/>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2019F5"/>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50DC2"/>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C0264"/>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C53F1"/>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83EA9"/>
    <w:rsid w:val="007846AA"/>
    <w:rsid w:val="007878EE"/>
    <w:rsid w:val="00796088"/>
    <w:rsid w:val="00797445"/>
    <w:rsid w:val="007A141C"/>
    <w:rsid w:val="007B2144"/>
    <w:rsid w:val="007B2A2D"/>
    <w:rsid w:val="007D1DC5"/>
    <w:rsid w:val="007D5D87"/>
    <w:rsid w:val="007E441E"/>
    <w:rsid w:val="007F031C"/>
    <w:rsid w:val="008111B8"/>
    <w:rsid w:val="0081509C"/>
    <w:rsid w:val="00816513"/>
    <w:rsid w:val="0081681F"/>
    <w:rsid w:val="00824A3A"/>
    <w:rsid w:val="0082606C"/>
    <w:rsid w:val="00830FE3"/>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06E56"/>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12FBD"/>
    <w:rsid w:val="00A17819"/>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6B4A"/>
    <w:rsid w:val="00B77563"/>
    <w:rsid w:val="00B86719"/>
    <w:rsid w:val="00B90D77"/>
    <w:rsid w:val="00B90E5C"/>
    <w:rsid w:val="00B91488"/>
    <w:rsid w:val="00B95B57"/>
    <w:rsid w:val="00B96C15"/>
    <w:rsid w:val="00BA77BA"/>
    <w:rsid w:val="00BB0776"/>
    <w:rsid w:val="00BB08E7"/>
    <w:rsid w:val="00BB18A2"/>
    <w:rsid w:val="00BB260A"/>
    <w:rsid w:val="00BC3310"/>
    <w:rsid w:val="00BC5B43"/>
    <w:rsid w:val="00BD501B"/>
    <w:rsid w:val="00BE2105"/>
    <w:rsid w:val="00BF612C"/>
    <w:rsid w:val="00C05875"/>
    <w:rsid w:val="00C06959"/>
    <w:rsid w:val="00C1084B"/>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DF4E27"/>
    <w:rsid w:val="00E0301D"/>
    <w:rsid w:val="00E250CC"/>
    <w:rsid w:val="00E30C61"/>
    <w:rsid w:val="00E35391"/>
    <w:rsid w:val="00E37219"/>
    <w:rsid w:val="00E37EF5"/>
    <w:rsid w:val="00E43B3D"/>
    <w:rsid w:val="00E44E6E"/>
    <w:rsid w:val="00E456E2"/>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325</Words>
  <Characters>1856</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cp:lastPrinted>2015-06-10T07:53:00Z</cp:lastPrinted>
  <dcterms:created xsi:type="dcterms:W3CDTF">2015-09-29T07:46:00Z</dcterms:created>
  <dcterms:modified xsi:type="dcterms:W3CDTF">2015-10-05T13:50:00Z</dcterms:modified>
</cp:coreProperties>
</file>