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ook w:val="04A0"/>
      </w:tblPr>
      <w:tblGrid>
        <w:gridCol w:w="2821"/>
        <w:gridCol w:w="3344"/>
        <w:gridCol w:w="3301"/>
      </w:tblGrid>
      <w:tr w:rsidR="00514F3C" w:rsidTr="007933F8">
        <w:trPr>
          <w:trHeight w:val="1432"/>
        </w:trPr>
        <w:tc>
          <w:tcPr>
            <w:tcW w:w="2821" w:type="dxa"/>
          </w:tcPr>
          <w:p w:rsidR="00514F3C" w:rsidRPr="00C3082D" w:rsidRDefault="00514F3C" w:rsidP="00FA132A">
            <w:pPr>
              <w:rPr>
                <w:b/>
                <w:bCs/>
              </w:rPr>
            </w:pPr>
          </w:p>
        </w:tc>
        <w:tc>
          <w:tcPr>
            <w:tcW w:w="3344" w:type="dxa"/>
          </w:tcPr>
          <w:p w:rsidR="00514F3C" w:rsidRPr="000C3505" w:rsidRDefault="00514F3C" w:rsidP="00FA132A">
            <w:pPr>
              <w:jc w:val="center"/>
              <w:rPr>
                <w:rFonts w:ascii="Myriad Pro" w:hAnsi="Myriad Pro"/>
                <w:b/>
                <w:bCs/>
              </w:rPr>
            </w:pPr>
          </w:p>
        </w:tc>
        <w:tc>
          <w:tcPr>
            <w:tcW w:w="3301" w:type="dxa"/>
          </w:tcPr>
          <w:p w:rsidR="00514F3C" w:rsidRPr="00C3082D" w:rsidRDefault="00514F3C" w:rsidP="00FA132A">
            <w:pPr>
              <w:jc w:val="right"/>
              <w:rPr>
                <w:b/>
                <w:bCs/>
              </w:rPr>
            </w:pPr>
          </w:p>
        </w:tc>
      </w:tr>
    </w:tbl>
    <w:p w:rsidR="007933F8" w:rsidRDefault="007933F8" w:rsidP="007933F8">
      <w:pPr>
        <w:jc w:val="center"/>
        <w:rPr>
          <w:rFonts w:ascii="Calibri" w:hAnsi="Calibri"/>
          <w:b/>
          <w:sz w:val="24"/>
          <w:u w:val="single"/>
        </w:rPr>
      </w:pPr>
    </w:p>
    <w:p w:rsidR="007933F8" w:rsidRPr="007933F8" w:rsidRDefault="007933F8" w:rsidP="007933F8">
      <w:pPr>
        <w:jc w:val="center"/>
        <w:rPr>
          <w:rFonts w:ascii="Calibri" w:hAnsi="Calibri"/>
          <w:b/>
          <w:sz w:val="28"/>
          <w:szCs w:val="28"/>
          <w:u w:val="single"/>
        </w:rPr>
      </w:pPr>
      <w:r w:rsidRPr="007933F8">
        <w:rPr>
          <w:rFonts w:ascii="Calibri" w:hAnsi="Calibri"/>
          <w:b/>
          <w:sz w:val="28"/>
          <w:szCs w:val="28"/>
          <w:u w:val="single"/>
        </w:rPr>
        <w:t xml:space="preserve">Draft TOR </w:t>
      </w:r>
      <w:r w:rsidR="00E078E5">
        <w:rPr>
          <w:rFonts w:ascii="Calibri" w:hAnsi="Calibri"/>
          <w:b/>
          <w:sz w:val="28"/>
          <w:szCs w:val="28"/>
          <w:u w:val="single"/>
        </w:rPr>
        <w:t xml:space="preserve">for the </w:t>
      </w:r>
      <w:r w:rsidRPr="007933F8">
        <w:rPr>
          <w:rFonts w:ascii="Calibri" w:hAnsi="Calibri"/>
          <w:b/>
          <w:sz w:val="28"/>
          <w:szCs w:val="28"/>
          <w:u w:val="single"/>
        </w:rPr>
        <w:t xml:space="preserve">Cambodia REDD Taskforce  </w:t>
      </w:r>
    </w:p>
    <w:p w:rsidR="007933F8" w:rsidRDefault="007933F8" w:rsidP="007933F8">
      <w:pPr>
        <w:jc w:val="center"/>
        <w:rPr>
          <w:rFonts w:ascii="Calibri" w:hAnsi="Calibri"/>
          <w:b/>
          <w:sz w:val="24"/>
          <w:u w:val="single"/>
        </w:rPr>
      </w:pPr>
    </w:p>
    <w:p w:rsidR="007933F8" w:rsidRPr="00F956C9" w:rsidRDefault="007933F8" w:rsidP="007933F8">
      <w:pPr>
        <w:jc w:val="both"/>
        <w:outlineLvl w:val="0"/>
        <w:rPr>
          <w:rFonts w:ascii="Calibri" w:hAnsi="Calibri"/>
          <w:b/>
          <w:sz w:val="24"/>
        </w:rPr>
      </w:pPr>
      <w:r w:rsidRPr="00F956C9">
        <w:rPr>
          <w:rFonts w:ascii="Calibri" w:hAnsi="Calibri"/>
          <w:b/>
          <w:sz w:val="24"/>
        </w:rPr>
        <w:t>1. Objectives</w:t>
      </w:r>
    </w:p>
    <w:p w:rsidR="007933F8" w:rsidRDefault="007933F8" w:rsidP="007933F8">
      <w:pPr>
        <w:jc w:val="both"/>
        <w:rPr>
          <w:rFonts w:ascii="Calibri" w:hAnsi="Calibri"/>
          <w:sz w:val="24"/>
        </w:rPr>
      </w:pPr>
    </w:p>
    <w:p w:rsidR="007933F8" w:rsidRPr="00F956C9" w:rsidRDefault="007933F8" w:rsidP="007933F8">
      <w:pPr>
        <w:jc w:val="both"/>
        <w:rPr>
          <w:rFonts w:ascii="Calibri" w:hAnsi="Calibri"/>
          <w:sz w:val="24"/>
        </w:rPr>
      </w:pPr>
      <w:proofErr w:type="gramStart"/>
      <w:r w:rsidRPr="00F956C9">
        <w:rPr>
          <w:rFonts w:ascii="Calibri" w:hAnsi="Calibri"/>
          <w:sz w:val="24"/>
        </w:rPr>
        <w:t xml:space="preserve">To </w:t>
      </w:r>
      <w:r w:rsidR="008B0C85">
        <w:rPr>
          <w:rFonts w:ascii="Calibri" w:hAnsi="Calibri"/>
          <w:sz w:val="24"/>
        </w:rPr>
        <w:t>manage and coordinate</w:t>
      </w:r>
      <w:r w:rsidR="00E7353A">
        <w:rPr>
          <w:rFonts w:ascii="Calibri" w:hAnsi="Calibri"/>
          <w:sz w:val="24"/>
        </w:rPr>
        <w:t xml:space="preserve"> the REDD</w:t>
      </w:r>
      <w:r w:rsidR="00FD310B">
        <w:rPr>
          <w:rFonts w:ascii="Calibri" w:hAnsi="Calibri"/>
          <w:sz w:val="24"/>
        </w:rPr>
        <w:t>+ Readiness process, and to</w:t>
      </w:r>
      <w:r w:rsidR="00E7353A">
        <w:rPr>
          <w:rFonts w:ascii="Calibri" w:hAnsi="Calibri"/>
          <w:sz w:val="24"/>
        </w:rPr>
        <w:t xml:space="preserve"> </w:t>
      </w:r>
      <w:r w:rsidRPr="00F956C9">
        <w:rPr>
          <w:rFonts w:ascii="Calibri" w:hAnsi="Calibri"/>
          <w:sz w:val="24"/>
        </w:rPr>
        <w:t>develop</w:t>
      </w:r>
      <w:r>
        <w:rPr>
          <w:rFonts w:ascii="Calibri" w:hAnsi="Calibri"/>
          <w:sz w:val="24"/>
        </w:rPr>
        <w:t xml:space="preserve"> </w:t>
      </w:r>
      <w:r w:rsidR="00E7353A">
        <w:rPr>
          <w:rFonts w:ascii="Calibri" w:hAnsi="Calibri"/>
          <w:sz w:val="24"/>
        </w:rPr>
        <w:t>recommendations and strategies</w:t>
      </w:r>
      <w:r w:rsidR="00FD310B">
        <w:rPr>
          <w:rFonts w:ascii="Calibri" w:hAnsi="Calibri"/>
          <w:sz w:val="24"/>
        </w:rPr>
        <w:t xml:space="preserve"> for REDD+ implementation in Cambodia</w:t>
      </w:r>
      <w:r w:rsidR="00E7353A">
        <w:rPr>
          <w:rFonts w:ascii="Calibri" w:hAnsi="Calibri"/>
          <w:sz w:val="24"/>
        </w:rPr>
        <w:t>.</w:t>
      </w:r>
      <w:proofErr w:type="gramEnd"/>
      <w:r w:rsidR="00FB14C1">
        <w:rPr>
          <w:rFonts w:ascii="Calibri" w:hAnsi="Calibri"/>
          <w:sz w:val="24"/>
        </w:rPr>
        <w:t xml:space="preserve"> </w:t>
      </w:r>
    </w:p>
    <w:p w:rsidR="007933F8" w:rsidRPr="00F956C9" w:rsidRDefault="007933F8" w:rsidP="007933F8">
      <w:pPr>
        <w:jc w:val="both"/>
        <w:rPr>
          <w:rFonts w:ascii="Calibri" w:hAnsi="Calibri"/>
          <w:sz w:val="24"/>
        </w:rPr>
      </w:pPr>
    </w:p>
    <w:p w:rsidR="007933F8" w:rsidRDefault="007933F8" w:rsidP="007933F8">
      <w:pPr>
        <w:jc w:val="both"/>
        <w:outlineLvl w:val="0"/>
        <w:rPr>
          <w:rFonts w:ascii="Calibri" w:hAnsi="Calibri"/>
          <w:b/>
          <w:sz w:val="24"/>
        </w:rPr>
      </w:pPr>
      <w:r w:rsidRPr="00F956C9">
        <w:rPr>
          <w:rFonts w:ascii="Calibri" w:hAnsi="Calibri"/>
          <w:b/>
          <w:sz w:val="24"/>
        </w:rPr>
        <w:t>2. Membership</w:t>
      </w:r>
    </w:p>
    <w:p w:rsidR="00D654C7" w:rsidRDefault="00D654C7" w:rsidP="007933F8">
      <w:pPr>
        <w:jc w:val="both"/>
        <w:outlineLvl w:val="0"/>
        <w:rPr>
          <w:rFonts w:ascii="Calibri" w:hAnsi="Calibri"/>
          <w:b/>
          <w:sz w:val="24"/>
        </w:rPr>
      </w:pPr>
    </w:p>
    <w:tbl>
      <w:tblPr>
        <w:tblStyle w:val="TableGrid"/>
        <w:tblW w:w="95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4"/>
        <w:gridCol w:w="1796"/>
        <w:gridCol w:w="6030"/>
        <w:gridCol w:w="1170"/>
      </w:tblGrid>
      <w:tr w:rsidR="007933F8" w:rsidTr="005C5100">
        <w:tc>
          <w:tcPr>
            <w:tcW w:w="544" w:type="dxa"/>
          </w:tcPr>
          <w:p w:rsidR="007933F8" w:rsidRPr="003E71CB" w:rsidRDefault="007933F8" w:rsidP="007933F8">
            <w:pPr>
              <w:jc w:val="both"/>
              <w:outlineLvl w:val="0"/>
              <w:rPr>
                <w:rFonts w:ascii="Calibri" w:hAnsi="Calibri"/>
                <w:bCs/>
                <w:sz w:val="24"/>
              </w:rPr>
            </w:pPr>
            <w:r w:rsidRPr="003E71CB">
              <w:rPr>
                <w:rFonts w:ascii="Calibri" w:hAnsi="Calibri"/>
                <w:bCs/>
                <w:sz w:val="24"/>
              </w:rPr>
              <w:t>H.E</w:t>
            </w:r>
          </w:p>
        </w:tc>
        <w:tc>
          <w:tcPr>
            <w:tcW w:w="1796" w:type="dxa"/>
          </w:tcPr>
          <w:p w:rsidR="007933F8" w:rsidRPr="003E71CB" w:rsidRDefault="007933F8" w:rsidP="007933F8">
            <w:pPr>
              <w:jc w:val="both"/>
              <w:outlineLvl w:val="0"/>
              <w:rPr>
                <w:rFonts w:ascii="Calibri" w:hAnsi="Calibri"/>
                <w:bCs/>
                <w:sz w:val="24"/>
              </w:rPr>
            </w:pPr>
            <w:r w:rsidRPr="003E71CB">
              <w:rPr>
                <w:rFonts w:ascii="Calibri" w:hAnsi="Calibri"/>
                <w:bCs/>
                <w:sz w:val="24"/>
              </w:rPr>
              <w:t>Chheng Kimsun</w:t>
            </w:r>
          </w:p>
        </w:tc>
        <w:tc>
          <w:tcPr>
            <w:tcW w:w="6030" w:type="dxa"/>
          </w:tcPr>
          <w:p w:rsidR="007933F8" w:rsidRDefault="007933F8" w:rsidP="007933F8">
            <w:pPr>
              <w:outlineLvl w:val="0"/>
              <w:rPr>
                <w:rFonts w:ascii="Calibri" w:hAnsi="Calibri"/>
                <w:sz w:val="24"/>
              </w:rPr>
            </w:pPr>
            <w:r w:rsidRPr="0077567E">
              <w:rPr>
                <w:rFonts w:ascii="Calibri" w:hAnsi="Calibri"/>
                <w:sz w:val="24"/>
              </w:rPr>
              <w:t>D</w:t>
            </w:r>
            <w:r>
              <w:rPr>
                <w:rFonts w:ascii="Calibri" w:hAnsi="Calibri"/>
                <w:sz w:val="24"/>
              </w:rPr>
              <w:t>elegate of the Royal Government, Head of</w:t>
            </w:r>
            <w:r w:rsidRPr="0077567E">
              <w:rPr>
                <w:rFonts w:ascii="Calibri" w:hAnsi="Calibri"/>
                <w:sz w:val="24"/>
              </w:rPr>
              <w:t xml:space="preserve"> </w:t>
            </w:r>
            <w:r>
              <w:rPr>
                <w:rFonts w:ascii="Calibri" w:hAnsi="Calibri"/>
                <w:sz w:val="24"/>
              </w:rPr>
              <w:t xml:space="preserve">the </w:t>
            </w:r>
            <w:r w:rsidRPr="0077567E">
              <w:rPr>
                <w:rFonts w:ascii="Calibri" w:hAnsi="Calibri"/>
                <w:sz w:val="24"/>
              </w:rPr>
              <w:t>Forestry Administration</w:t>
            </w:r>
            <w:r>
              <w:rPr>
                <w:rFonts w:ascii="Calibri" w:hAnsi="Calibri"/>
                <w:sz w:val="24"/>
              </w:rPr>
              <w:t>, the Ministry of Agriculture Forestry and Fishery</w:t>
            </w:r>
          </w:p>
          <w:p w:rsidR="00B107CA" w:rsidRPr="003E71CB" w:rsidRDefault="00B107CA" w:rsidP="007933F8">
            <w:pPr>
              <w:outlineLvl w:val="0"/>
              <w:rPr>
                <w:rFonts w:ascii="Calibri" w:hAnsi="Calibri"/>
                <w:bCs/>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Chair</w:t>
            </w:r>
          </w:p>
        </w:tc>
      </w:tr>
      <w:tr w:rsidR="007933F8" w:rsidTr="005C5100">
        <w:tc>
          <w:tcPr>
            <w:tcW w:w="544" w:type="dxa"/>
          </w:tcPr>
          <w:p w:rsidR="007933F8" w:rsidRDefault="007933F8" w:rsidP="007933F8">
            <w:pPr>
              <w:jc w:val="both"/>
              <w:outlineLvl w:val="0"/>
              <w:rPr>
                <w:rFonts w:ascii="Calibri" w:hAnsi="Calibri"/>
                <w:bCs/>
                <w:sz w:val="24"/>
              </w:rPr>
            </w:pPr>
            <w:r>
              <w:rPr>
                <w:rFonts w:ascii="Calibri" w:hAnsi="Calibri"/>
                <w:bCs/>
                <w:sz w:val="24"/>
              </w:rPr>
              <w:t>Mr</w:t>
            </w:r>
          </w:p>
        </w:tc>
        <w:tc>
          <w:tcPr>
            <w:tcW w:w="1796" w:type="dxa"/>
          </w:tcPr>
          <w:p w:rsidR="007933F8" w:rsidRPr="003E71CB" w:rsidRDefault="007933F8" w:rsidP="007933F8">
            <w:pPr>
              <w:jc w:val="both"/>
              <w:outlineLvl w:val="0"/>
              <w:rPr>
                <w:rFonts w:ascii="Calibri" w:hAnsi="Calibri"/>
                <w:bCs/>
                <w:sz w:val="24"/>
              </w:rPr>
            </w:pPr>
            <w:r>
              <w:rPr>
                <w:rFonts w:ascii="Calibri" w:hAnsi="Calibri"/>
                <w:bCs/>
                <w:sz w:val="24"/>
              </w:rPr>
              <w:t xml:space="preserve">Kim </w:t>
            </w:r>
            <w:proofErr w:type="spellStart"/>
            <w:r>
              <w:rPr>
                <w:rFonts w:ascii="Calibri" w:hAnsi="Calibri"/>
                <w:bCs/>
                <w:sz w:val="24"/>
              </w:rPr>
              <w:t>Nong</w:t>
            </w:r>
            <w:proofErr w:type="spellEnd"/>
          </w:p>
        </w:tc>
        <w:tc>
          <w:tcPr>
            <w:tcW w:w="6030" w:type="dxa"/>
          </w:tcPr>
          <w:p w:rsidR="007933F8" w:rsidRDefault="007933F8" w:rsidP="007933F8">
            <w:pPr>
              <w:outlineLvl w:val="0"/>
              <w:rPr>
                <w:rFonts w:ascii="Calibri" w:hAnsi="Calibri"/>
                <w:sz w:val="24"/>
              </w:rPr>
            </w:pPr>
            <w:r w:rsidRPr="00A75FE2">
              <w:rPr>
                <w:rFonts w:ascii="Calibri" w:hAnsi="Calibri"/>
                <w:sz w:val="24"/>
              </w:rPr>
              <w:t xml:space="preserve">Deputy </w:t>
            </w:r>
            <w:r w:rsidR="002D4A70" w:rsidRPr="00A75FE2">
              <w:rPr>
                <w:rFonts w:ascii="Calibri" w:hAnsi="Calibri"/>
                <w:sz w:val="24"/>
              </w:rPr>
              <w:t>Direct</w:t>
            </w:r>
            <w:r w:rsidR="002D4A70">
              <w:rPr>
                <w:rFonts w:ascii="Calibri" w:hAnsi="Calibri"/>
                <w:sz w:val="24"/>
              </w:rPr>
              <w:t>or</w:t>
            </w:r>
            <w:r w:rsidR="002D4A70" w:rsidRPr="00A75FE2">
              <w:rPr>
                <w:rFonts w:ascii="Calibri" w:hAnsi="Calibri"/>
                <w:sz w:val="24"/>
              </w:rPr>
              <w:t xml:space="preserve"> </w:t>
            </w:r>
            <w:r w:rsidRPr="00A75FE2">
              <w:rPr>
                <w:rFonts w:ascii="Calibri" w:hAnsi="Calibri"/>
                <w:sz w:val="24"/>
              </w:rPr>
              <w:t>General</w:t>
            </w:r>
            <w:r>
              <w:rPr>
                <w:rFonts w:ascii="Calibri" w:hAnsi="Calibri"/>
                <w:sz w:val="24"/>
              </w:rPr>
              <w:t xml:space="preserve">, the General Department of </w:t>
            </w:r>
            <w:r w:rsidRPr="00A75FE2">
              <w:rPr>
                <w:rFonts w:ascii="Calibri" w:hAnsi="Calibri"/>
                <w:sz w:val="24"/>
              </w:rPr>
              <w:t>Administration</w:t>
            </w:r>
            <w:r>
              <w:rPr>
                <w:rFonts w:ascii="Calibri" w:hAnsi="Calibri"/>
                <w:sz w:val="24"/>
              </w:rPr>
              <w:t xml:space="preserve"> for Nature Protection and Conservation, the Ministry of Environment</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Deputy Chair</w:t>
            </w:r>
          </w:p>
        </w:tc>
      </w:tr>
      <w:tr w:rsidR="007933F8" w:rsidTr="005C5100">
        <w:tc>
          <w:tcPr>
            <w:tcW w:w="544" w:type="dxa"/>
          </w:tcPr>
          <w:p w:rsidR="007933F8" w:rsidRDefault="007933F8" w:rsidP="007933F8">
            <w:pPr>
              <w:jc w:val="both"/>
              <w:outlineLvl w:val="0"/>
              <w:rPr>
                <w:rFonts w:ascii="Calibri" w:hAnsi="Calibri"/>
                <w:bCs/>
                <w:sz w:val="24"/>
              </w:rPr>
            </w:pPr>
            <w:r>
              <w:rPr>
                <w:rFonts w:ascii="Calibri" w:hAnsi="Calibri"/>
                <w:bCs/>
                <w:sz w:val="24"/>
              </w:rPr>
              <w:t>H.E</w:t>
            </w:r>
          </w:p>
        </w:tc>
        <w:tc>
          <w:tcPr>
            <w:tcW w:w="1796" w:type="dxa"/>
          </w:tcPr>
          <w:p w:rsidR="007933F8" w:rsidRPr="003E71CB" w:rsidRDefault="007933F8" w:rsidP="007933F8">
            <w:pPr>
              <w:jc w:val="both"/>
              <w:outlineLvl w:val="0"/>
              <w:rPr>
                <w:rFonts w:ascii="Calibri" w:hAnsi="Calibri"/>
                <w:bCs/>
                <w:sz w:val="24"/>
              </w:rPr>
            </w:pPr>
            <w:r>
              <w:rPr>
                <w:rFonts w:ascii="Calibri" w:hAnsi="Calibri"/>
                <w:bCs/>
                <w:sz w:val="24"/>
              </w:rPr>
              <w:t xml:space="preserve">Cheam </w:t>
            </w:r>
            <w:proofErr w:type="spellStart"/>
            <w:r>
              <w:rPr>
                <w:rFonts w:ascii="Calibri" w:hAnsi="Calibri"/>
                <w:bCs/>
                <w:sz w:val="24"/>
              </w:rPr>
              <w:t>Pe</w:t>
            </w:r>
            <w:proofErr w:type="spellEnd"/>
            <w:r>
              <w:rPr>
                <w:rFonts w:ascii="Calibri" w:hAnsi="Calibri"/>
                <w:bCs/>
                <w:sz w:val="24"/>
              </w:rPr>
              <w:t xml:space="preserve"> A</w:t>
            </w:r>
          </w:p>
        </w:tc>
        <w:tc>
          <w:tcPr>
            <w:tcW w:w="6030" w:type="dxa"/>
          </w:tcPr>
          <w:p w:rsidR="007933F8" w:rsidRDefault="007933F8" w:rsidP="007933F8">
            <w:pPr>
              <w:outlineLvl w:val="0"/>
              <w:rPr>
                <w:rFonts w:ascii="Calibri" w:hAnsi="Calibri"/>
                <w:sz w:val="24"/>
              </w:rPr>
            </w:pPr>
            <w:r w:rsidRPr="00A75FE2">
              <w:rPr>
                <w:rFonts w:ascii="Calibri" w:hAnsi="Calibri"/>
                <w:sz w:val="24"/>
              </w:rPr>
              <w:t xml:space="preserve">Deputy </w:t>
            </w:r>
            <w:r w:rsidR="002D4A70" w:rsidRPr="00A75FE2">
              <w:rPr>
                <w:rFonts w:ascii="Calibri" w:hAnsi="Calibri"/>
                <w:sz w:val="24"/>
              </w:rPr>
              <w:t>Direct</w:t>
            </w:r>
            <w:r w:rsidR="002D4A70">
              <w:rPr>
                <w:rFonts w:ascii="Calibri" w:hAnsi="Calibri"/>
                <w:sz w:val="24"/>
              </w:rPr>
              <w:t>or</w:t>
            </w:r>
            <w:r w:rsidR="002D4A70" w:rsidRPr="00A75FE2">
              <w:rPr>
                <w:rFonts w:ascii="Calibri" w:hAnsi="Calibri"/>
                <w:sz w:val="24"/>
              </w:rPr>
              <w:t xml:space="preserve"> </w:t>
            </w:r>
            <w:r w:rsidRPr="00A75FE2">
              <w:rPr>
                <w:rFonts w:ascii="Calibri" w:hAnsi="Calibri"/>
                <w:sz w:val="24"/>
              </w:rPr>
              <w:t>General</w:t>
            </w:r>
            <w:r>
              <w:rPr>
                <w:rFonts w:ascii="Calibri" w:hAnsi="Calibri"/>
                <w:sz w:val="24"/>
              </w:rPr>
              <w:t xml:space="preserve">, the General Department of Local </w:t>
            </w:r>
            <w:r w:rsidRPr="00A75FE2">
              <w:rPr>
                <w:rFonts w:ascii="Calibri" w:hAnsi="Calibri"/>
                <w:sz w:val="24"/>
              </w:rPr>
              <w:t>Administration</w:t>
            </w:r>
            <w:r>
              <w:rPr>
                <w:rFonts w:ascii="Calibri" w:hAnsi="Calibri"/>
                <w:sz w:val="24"/>
              </w:rPr>
              <w:t>, the Ministry of Interior</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r w:rsidR="007933F8" w:rsidTr="005C5100">
        <w:tc>
          <w:tcPr>
            <w:tcW w:w="544" w:type="dxa"/>
          </w:tcPr>
          <w:p w:rsidR="007933F8" w:rsidRDefault="007933F8" w:rsidP="007933F8">
            <w:pPr>
              <w:jc w:val="both"/>
              <w:outlineLvl w:val="0"/>
              <w:rPr>
                <w:rFonts w:ascii="Calibri" w:hAnsi="Calibri"/>
                <w:bCs/>
                <w:sz w:val="24"/>
              </w:rPr>
            </w:pPr>
            <w:r>
              <w:rPr>
                <w:rFonts w:ascii="Calibri" w:hAnsi="Calibri"/>
                <w:bCs/>
                <w:sz w:val="24"/>
              </w:rPr>
              <w:t>Mr</w:t>
            </w:r>
          </w:p>
        </w:tc>
        <w:tc>
          <w:tcPr>
            <w:tcW w:w="1796" w:type="dxa"/>
          </w:tcPr>
          <w:p w:rsidR="007933F8" w:rsidRPr="003E71CB" w:rsidRDefault="007933F8" w:rsidP="007933F8">
            <w:pPr>
              <w:jc w:val="both"/>
              <w:outlineLvl w:val="0"/>
              <w:rPr>
                <w:rFonts w:ascii="Calibri" w:hAnsi="Calibri"/>
                <w:bCs/>
                <w:sz w:val="24"/>
              </w:rPr>
            </w:pPr>
            <w:r>
              <w:rPr>
                <w:rFonts w:ascii="Calibri" w:hAnsi="Calibri"/>
                <w:bCs/>
                <w:sz w:val="24"/>
              </w:rPr>
              <w:t xml:space="preserve">Net </w:t>
            </w:r>
            <w:proofErr w:type="spellStart"/>
            <w:r>
              <w:rPr>
                <w:rFonts w:ascii="Calibri" w:hAnsi="Calibri"/>
                <w:bCs/>
                <w:sz w:val="24"/>
              </w:rPr>
              <w:t>Mony</w:t>
            </w:r>
            <w:proofErr w:type="spellEnd"/>
          </w:p>
        </w:tc>
        <w:tc>
          <w:tcPr>
            <w:tcW w:w="6030" w:type="dxa"/>
          </w:tcPr>
          <w:p w:rsidR="007933F8" w:rsidRDefault="007933F8" w:rsidP="007933F8">
            <w:pPr>
              <w:outlineLvl w:val="0"/>
              <w:rPr>
                <w:rFonts w:ascii="Calibri" w:hAnsi="Calibri"/>
                <w:sz w:val="24"/>
              </w:rPr>
            </w:pPr>
            <w:r>
              <w:rPr>
                <w:rFonts w:ascii="Calibri" w:hAnsi="Calibri"/>
                <w:sz w:val="24"/>
              </w:rPr>
              <w:t xml:space="preserve">Director, the Department of State Property, the Ministry of Economic and Finance </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r w:rsidR="007933F8" w:rsidTr="005C5100">
        <w:tc>
          <w:tcPr>
            <w:tcW w:w="544" w:type="dxa"/>
          </w:tcPr>
          <w:p w:rsidR="007933F8" w:rsidRPr="003E71CB" w:rsidRDefault="007933F8" w:rsidP="007933F8">
            <w:pPr>
              <w:jc w:val="both"/>
              <w:outlineLvl w:val="0"/>
              <w:rPr>
                <w:rFonts w:ascii="Calibri" w:hAnsi="Calibri"/>
                <w:bCs/>
                <w:sz w:val="24"/>
              </w:rPr>
            </w:pPr>
            <w:r>
              <w:rPr>
                <w:rFonts w:ascii="Calibri" w:hAnsi="Calibri"/>
                <w:bCs/>
                <w:sz w:val="24"/>
              </w:rPr>
              <w:t>Ms</w:t>
            </w:r>
          </w:p>
        </w:tc>
        <w:tc>
          <w:tcPr>
            <w:tcW w:w="1796" w:type="dxa"/>
          </w:tcPr>
          <w:p w:rsidR="007933F8" w:rsidRPr="003E71CB" w:rsidRDefault="007933F8" w:rsidP="007933F8">
            <w:pPr>
              <w:jc w:val="both"/>
              <w:outlineLvl w:val="0"/>
              <w:rPr>
                <w:rFonts w:ascii="Calibri" w:hAnsi="Calibri"/>
                <w:bCs/>
                <w:sz w:val="24"/>
              </w:rPr>
            </w:pPr>
            <w:proofErr w:type="spellStart"/>
            <w:r>
              <w:rPr>
                <w:rFonts w:ascii="Calibri" w:hAnsi="Calibri"/>
                <w:bCs/>
                <w:sz w:val="24"/>
              </w:rPr>
              <w:t>Pov</w:t>
            </w:r>
            <w:proofErr w:type="spellEnd"/>
            <w:r>
              <w:rPr>
                <w:rFonts w:ascii="Calibri" w:hAnsi="Calibri"/>
                <w:bCs/>
                <w:sz w:val="24"/>
              </w:rPr>
              <w:t xml:space="preserve"> </w:t>
            </w:r>
            <w:proofErr w:type="spellStart"/>
            <w:r>
              <w:rPr>
                <w:rFonts w:ascii="Calibri" w:hAnsi="Calibri"/>
                <w:bCs/>
                <w:sz w:val="24"/>
              </w:rPr>
              <w:t>Voleak</w:t>
            </w:r>
            <w:proofErr w:type="spellEnd"/>
          </w:p>
        </w:tc>
        <w:tc>
          <w:tcPr>
            <w:tcW w:w="6030" w:type="dxa"/>
          </w:tcPr>
          <w:p w:rsidR="007933F8" w:rsidRDefault="007933F8" w:rsidP="007933F8">
            <w:pPr>
              <w:outlineLvl w:val="0"/>
              <w:rPr>
                <w:rFonts w:ascii="Calibri" w:hAnsi="Calibri"/>
                <w:sz w:val="24"/>
              </w:rPr>
            </w:pPr>
            <w:r w:rsidRPr="00A75FE2">
              <w:rPr>
                <w:rFonts w:ascii="Calibri" w:hAnsi="Calibri"/>
                <w:sz w:val="24"/>
              </w:rPr>
              <w:t>Deputy</w:t>
            </w:r>
            <w:r w:rsidR="002D4A70">
              <w:rPr>
                <w:rFonts w:ascii="Calibri" w:hAnsi="Calibri"/>
                <w:sz w:val="24"/>
              </w:rPr>
              <w:t xml:space="preserve"> </w:t>
            </w:r>
            <w:r w:rsidR="002D4A70" w:rsidRPr="00A75FE2">
              <w:rPr>
                <w:rFonts w:ascii="Calibri" w:hAnsi="Calibri"/>
                <w:sz w:val="24"/>
              </w:rPr>
              <w:t>Direct</w:t>
            </w:r>
            <w:r w:rsidR="002D4A70">
              <w:rPr>
                <w:rFonts w:ascii="Calibri" w:hAnsi="Calibri"/>
                <w:sz w:val="24"/>
              </w:rPr>
              <w:t>or</w:t>
            </w:r>
            <w:r w:rsidRPr="00A75FE2">
              <w:rPr>
                <w:rFonts w:ascii="Calibri" w:hAnsi="Calibri"/>
                <w:sz w:val="24"/>
              </w:rPr>
              <w:t xml:space="preserve"> General</w:t>
            </w:r>
            <w:r>
              <w:rPr>
                <w:rFonts w:ascii="Calibri" w:hAnsi="Calibri"/>
                <w:sz w:val="24"/>
              </w:rPr>
              <w:t>, the General Department of Energy, the Ministry of Industry</w:t>
            </w:r>
            <w:r w:rsidR="00762FB1">
              <w:rPr>
                <w:rFonts w:ascii="Calibri" w:hAnsi="Calibri"/>
                <w:sz w:val="24"/>
              </w:rPr>
              <w:t>,</w:t>
            </w:r>
            <w:r>
              <w:rPr>
                <w:rFonts w:ascii="Calibri" w:hAnsi="Calibri"/>
                <w:sz w:val="24"/>
              </w:rPr>
              <w:t xml:space="preserve"> Mine</w:t>
            </w:r>
            <w:r w:rsidR="00762FB1">
              <w:rPr>
                <w:rFonts w:ascii="Calibri" w:hAnsi="Calibri"/>
                <w:sz w:val="24"/>
              </w:rPr>
              <w:t>s</w:t>
            </w:r>
            <w:r>
              <w:rPr>
                <w:rFonts w:ascii="Calibri" w:hAnsi="Calibri"/>
                <w:sz w:val="24"/>
              </w:rPr>
              <w:t xml:space="preserve"> and Energy</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r w:rsidR="007933F8" w:rsidTr="005C5100">
        <w:tc>
          <w:tcPr>
            <w:tcW w:w="544" w:type="dxa"/>
          </w:tcPr>
          <w:p w:rsidR="007933F8" w:rsidRPr="003E71CB" w:rsidRDefault="007933F8" w:rsidP="007933F8">
            <w:pPr>
              <w:jc w:val="both"/>
              <w:outlineLvl w:val="0"/>
              <w:rPr>
                <w:rFonts w:ascii="Calibri" w:hAnsi="Calibri"/>
                <w:bCs/>
                <w:sz w:val="24"/>
              </w:rPr>
            </w:pPr>
            <w:r>
              <w:rPr>
                <w:rFonts w:ascii="Calibri" w:hAnsi="Calibri"/>
                <w:bCs/>
                <w:sz w:val="24"/>
              </w:rPr>
              <w:t>Mr</w:t>
            </w:r>
          </w:p>
        </w:tc>
        <w:tc>
          <w:tcPr>
            <w:tcW w:w="1796" w:type="dxa"/>
          </w:tcPr>
          <w:p w:rsidR="007933F8" w:rsidRPr="003E71CB" w:rsidRDefault="007933F8" w:rsidP="007933F8">
            <w:pPr>
              <w:jc w:val="both"/>
              <w:outlineLvl w:val="0"/>
              <w:rPr>
                <w:rFonts w:ascii="Calibri" w:hAnsi="Calibri"/>
                <w:bCs/>
                <w:sz w:val="24"/>
              </w:rPr>
            </w:pPr>
            <w:r>
              <w:rPr>
                <w:rFonts w:ascii="Calibri" w:hAnsi="Calibri"/>
                <w:bCs/>
                <w:sz w:val="24"/>
              </w:rPr>
              <w:t>Sao Vary</w:t>
            </w:r>
          </w:p>
        </w:tc>
        <w:tc>
          <w:tcPr>
            <w:tcW w:w="6030" w:type="dxa"/>
          </w:tcPr>
          <w:p w:rsidR="007933F8" w:rsidRDefault="007933F8" w:rsidP="007933F8">
            <w:pPr>
              <w:outlineLvl w:val="0"/>
              <w:rPr>
                <w:rFonts w:ascii="Calibri" w:hAnsi="Calibri"/>
                <w:sz w:val="24"/>
              </w:rPr>
            </w:pPr>
            <w:r>
              <w:rPr>
                <w:rFonts w:ascii="Calibri" w:hAnsi="Calibri"/>
                <w:sz w:val="24"/>
              </w:rPr>
              <w:t xml:space="preserve">Chief of the </w:t>
            </w:r>
            <w:r w:rsidR="00FD310B">
              <w:rPr>
                <w:rFonts w:ascii="Calibri" w:hAnsi="Calibri"/>
                <w:sz w:val="24"/>
              </w:rPr>
              <w:t>O</w:t>
            </w:r>
            <w:r>
              <w:rPr>
                <w:rFonts w:ascii="Calibri" w:hAnsi="Calibri"/>
                <w:sz w:val="24"/>
              </w:rPr>
              <w:t>ffice for State Property Conservation, the General Department of Cadastral and Geography, the Ministry of Land Management</w:t>
            </w:r>
            <w:r w:rsidR="002D4A70">
              <w:rPr>
                <w:rFonts w:ascii="Calibri" w:hAnsi="Calibri"/>
                <w:sz w:val="24"/>
              </w:rPr>
              <w:t>, Urban Planning</w:t>
            </w:r>
            <w:r>
              <w:rPr>
                <w:rFonts w:ascii="Calibri" w:hAnsi="Calibri"/>
                <w:sz w:val="24"/>
              </w:rPr>
              <w:t xml:space="preserve"> and Construction</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r w:rsidR="007933F8" w:rsidTr="005C5100">
        <w:tc>
          <w:tcPr>
            <w:tcW w:w="544" w:type="dxa"/>
          </w:tcPr>
          <w:p w:rsidR="007933F8" w:rsidRPr="003E71CB" w:rsidRDefault="007933F8" w:rsidP="007933F8">
            <w:pPr>
              <w:jc w:val="both"/>
              <w:outlineLvl w:val="0"/>
              <w:rPr>
                <w:rFonts w:ascii="Calibri" w:hAnsi="Calibri"/>
                <w:bCs/>
                <w:sz w:val="24"/>
              </w:rPr>
            </w:pPr>
            <w:r>
              <w:rPr>
                <w:rFonts w:ascii="Calibri" w:hAnsi="Calibri"/>
                <w:bCs/>
                <w:sz w:val="24"/>
              </w:rPr>
              <w:t>Mr</w:t>
            </w:r>
          </w:p>
        </w:tc>
        <w:tc>
          <w:tcPr>
            <w:tcW w:w="1796" w:type="dxa"/>
          </w:tcPr>
          <w:p w:rsidR="007933F8" w:rsidRPr="003E71CB" w:rsidRDefault="007933F8" w:rsidP="007933F8">
            <w:pPr>
              <w:jc w:val="both"/>
              <w:outlineLvl w:val="0"/>
              <w:rPr>
                <w:rFonts w:ascii="Calibri" w:hAnsi="Calibri"/>
                <w:bCs/>
                <w:sz w:val="24"/>
              </w:rPr>
            </w:pPr>
            <w:proofErr w:type="spellStart"/>
            <w:r>
              <w:rPr>
                <w:rFonts w:ascii="Calibri" w:hAnsi="Calibri"/>
                <w:bCs/>
                <w:sz w:val="24"/>
              </w:rPr>
              <w:t>Dok</w:t>
            </w:r>
            <w:proofErr w:type="spellEnd"/>
            <w:r>
              <w:rPr>
                <w:rFonts w:ascii="Calibri" w:hAnsi="Calibri"/>
                <w:bCs/>
                <w:sz w:val="24"/>
              </w:rPr>
              <w:t xml:space="preserve"> </w:t>
            </w:r>
            <w:proofErr w:type="spellStart"/>
            <w:r>
              <w:rPr>
                <w:rFonts w:ascii="Calibri" w:hAnsi="Calibri"/>
                <w:bCs/>
                <w:sz w:val="24"/>
              </w:rPr>
              <w:t>Domar</w:t>
            </w:r>
            <w:proofErr w:type="spellEnd"/>
          </w:p>
        </w:tc>
        <w:tc>
          <w:tcPr>
            <w:tcW w:w="6030" w:type="dxa"/>
          </w:tcPr>
          <w:p w:rsidR="007933F8" w:rsidRDefault="007933F8" w:rsidP="007933F8">
            <w:pPr>
              <w:outlineLvl w:val="0"/>
              <w:rPr>
                <w:rFonts w:ascii="Calibri" w:hAnsi="Calibri"/>
                <w:sz w:val="24"/>
              </w:rPr>
            </w:pPr>
            <w:r>
              <w:rPr>
                <w:rFonts w:ascii="Calibri" w:hAnsi="Calibri"/>
                <w:sz w:val="24"/>
              </w:rPr>
              <w:t xml:space="preserve">Deputy Director, the Department of Water Supply for Rural Area, the Ministry of Rural Development </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r w:rsidR="007933F8" w:rsidTr="005C5100">
        <w:tc>
          <w:tcPr>
            <w:tcW w:w="544" w:type="dxa"/>
          </w:tcPr>
          <w:p w:rsidR="007933F8" w:rsidRPr="003E71CB" w:rsidRDefault="007933F8" w:rsidP="007933F8">
            <w:pPr>
              <w:jc w:val="both"/>
              <w:outlineLvl w:val="0"/>
              <w:rPr>
                <w:rFonts w:ascii="Calibri" w:hAnsi="Calibri"/>
                <w:bCs/>
                <w:sz w:val="24"/>
              </w:rPr>
            </w:pPr>
            <w:r>
              <w:rPr>
                <w:rFonts w:ascii="Calibri" w:hAnsi="Calibri"/>
                <w:bCs/>
                <w:sz w:val="24"/>
              </w:rPr>
              <w:t>Mr</w:t>
            </w:r>
          </w:p>
        </w:tc>
        <w:tc>
          <w:tcPr>
            <w:tcW w:w="1796" w:type="dxa"/>
          </w:tcPr>
          <w:p w:rsidR="007933F8" w:rsidRPr="003E71CB" w:rsidRDefault="007933F8" w:rsidP="007933F8">
            <w:pPr>
              <w:jc w:val="both"/>
              <w:outlineLvl w:val="0"/>
              <w:rPr>
                <w:rFonts w:ascii="Calibri" w:hAnsi="Calibri"/>
                <w:bCs/>
                <w:sz w:val="24"/>
              </w:rPr>
            </w:pPr>
            <w:proofErr w:type="spellStart"/>
            <w:r>
              <w:rPr>
                <w:rFonts w:ascii="Calibri" w:hAnsi="Calibri"/>
                <w:bCs/>
                <w:sz w:val="24"/>
              </w:rPr>
              <w:t>Ouk</w:t>
            </w:r>
            <w:proofErr w:type="spellEnd"/>
            <w:r>
              <w:rPr>
                <w:rFonts w:ascii="Calibri" w:hAnsi="Calibri"/>
                <w:bCs/>
                <w:sz w:val="24"/>
              </w:rPr>
              <w:t xml:space="preserve"> </w:t>
            </w:r>
            <w:proofErr w:type="spellStart"/>
            <w:r>
              <w:rPr>
                <w:rFonts w:ascii="Calibri" w:hAnsi="Calibri"/>
                <w:bCs/>
                <w:sz w:val="24"/>
              </w:rPr>
              <w:t>Vibol</w:t>
            </w:r>
            <w:proofErr w:type="spellEnd"/>
          </w:p>
        </w:tc>
        <w:tc>
          <w:tcPr>
            <w:tcW w:w="6030" w:type="dxa"/>
          </w:tcPr>
          <w:p w:rsidR="007933F8" w:rsidRDefault="007933F8" w:rsidP="007933F8">
            <w:pPr>
              <w:outlineLvl w:val="0"/>
              <w:rPr>
                <w:rFonts w:ascii="Calibri" w:hAnsi="Calibri"/>
                <w:sz w:val="24"/>
              </w:rPr>
            </w:pPr>
            <w:r>
              <w:rPr>
                <w:rFonts w:ascii="Calibri" w:hAnsi="Calibri"/>
                <w:sz w:val="24"/>
              </w:rPr>
              <w:t xml:space="preserve">Deputy Director, the Department of Fishery Conservation, the Ministry of Agriculture Forestry and Fishery  </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r w:rsidR="007933F8" w:rsidTr="005C5100">
        <w:tc>
          <w:tcPr>
            <w:tcW w:w="544" w:type="dxa"/>
          </w:tcPr>
          <w:p w:rsidR="007933F8" w:rsidRPr="003E71CB" w:rsidRDefault="007933F8" w:rsidP="007933F8">
            <w:pPr>
              <w:jc w:val="both"/>
              <w:outlineLvl w:val="0"/>
              <w:rPr>
                <w:rFonts w:ascii="Calibri" w:hAnsi="Calibri"/>
                <w:bCs/>
                <w:sz w:val="24"/>
              </w:rPr>
            </w:pPr>
            <w:r>
              <w:rPr>
                <w:rFonts w:ascii="Calibri" w:hAnsi="Calibri"/>
                <w:bCs/>
                <w:sz w:val="24"/>
              </w:rPr>
              <w:t>Mr</w:t>
            </w:r>
          </w:p>
        </w:tc>
        <w:tc>
          <w:tcPr>
            <w:tcW w:w="1796" w:type="dxa"/>
          </w:tcPr>
          <w:p w:rsidR="007933F8" w:rsidRPr="003E71CB" w:rsidRDefault="007933F8" w:rsidP="007933F8">
            <w:pPr>
              <w:jc w:val="both"/>
              <w:outlineLvl w:val="0"/>
              <w:rPr>
                <w:rFonts w:ascii="Calibri" w:hAnsi="Calibri"/>
                <w:bCs/>
                <w:sz w:val="24"/>
              </w:rPr>
            </w:pPr>
            <w:r>
              <w:rPr>
                <w:rFonts w:ascii="Calibri" w:hAnsi="Calibri"/>
                <w:bCs/>
                <w:sz w:val="24"/>
              </w:rPr>
              <w:t xml:space="preserve">Sam </w:t>
            </w:r>
            <w:proofErr w:type="spellStart"/>
            <w:r>
              <w:rPr>
                <w:rFonts w:ascii="Calibri" w:hAnsi="Calibri"/>
                <w:bCs/>
                <w:sz w:val="24"/>
              </w:rPr>
              <w:t>Khandy</w:t>
            </w:r>
            <w:proofErr w:type="spellEnd"/>
          </w:p>
        </w:tc>
        <w:tc>
          <w:tcPr>
            <w:tcW w:w="6030" w:type="dxa"/>
          </w:tcPr>
          <w:p w:rsidR="007933F8" w:rsidRDefault="007933F8" w:rsidP="007933F8">
            <w:pPr>
              <w:outlineLvl w:val="0"/>
              <w:rPr>
                <w:rFonts w:ascii="Calibri" w:hAnsi="Calibri"/>
                <w:sz w:val="24"/>
              </w:rPr>
            </w:pPr>
            <w:r>
              <w:rPr>
                <w:rFonts w:ascii="Calibri" w:hAnsi="Calibri"/>
                <w:sz w:val="24"/>
              </w:rPr>
              <w:t>Member of the Secretariat for Economic Land Concession, the Ministry of Environment</w:t>
            </w:r>
          </w:p>
          <w:p w:rsidR="00B107CA" w:rsidRPr="00A75FE2" w:rsidRDefault="00B107CA" w:rsidP="007933F8">
            <w:pPr>
              <w:outlineLvl w:val="0"/>
              <w:rPr>
                <w:rFonts w:ascii="Calibri" w:hAnsi="Calibri"/>
                <w:sz w:val="24"/>
              </w:rPr>
            </w:pPr>
          </w:p>
        </w:tc>
        <w:tc>
          <w:tcPr>
            <w:tcW w:w="1170" w:type="dxa"/>
          </w:tcPr>
          <w:p w:rsidR="007933F8" w:rsidRPr="003E71CB" w:rsidRDefault="007933F8" w:rsidP="007933F8">
            <w:pPr>
              <w:jc w:val="both"/>
              <w:outlineLvl w:val="0"/>
              <w:rPr>
                <w:rFonts w:ascii="Calibri" w:hAnsi="Calibri"/>
                <w:bCs/>
                <w:sz w:val="24"/>
              </w:rPr>
            </w:pPr>
            <w:r>
              <w:rPr>
                <w:rFonts w:ascii="Calibri" w:hAnsi="Calibri"/>
                <w:bCs/>
                <w:sz w:val="24"/>
              </w:rPr>
              <w:t>Member</w:t>
            </w:r>
          </w:p>
        </w:tc>
      </w:tr>
    </w:tbl>
    <w:p w:rsidR="007933F8" w:rsidRDefault="007933F8" w:rsidP="007933F8">
      <w:pPr>
        <w:widowControl w:val="0"/>
        <w:autoSpaceDE w:val="0"/>
        <w:autoSpaceDN w:val="0"/>
        <w:adjustRightInd w:val="0"/>
        <w:rPr>
          <w:sz w:val="24"/>
        </w:rPr>
      </w:pPr>
    </w:p>
    <w:p w:rsidR="007933F8" w:rsidRPr="00F956C9" w:rsidRDefault="007933F8" w:rsidP="00BC0AC4">
      <w:pPr>
        <w:widowControl w:val="0"/>
        <w:autoSpaceDE w:val="0"/>
        <w:autoSpaceDN w:val="0"/>
        <w:adjustRightInd w:val="0"/>
        <w:jc w:val="both"/>
        <w:rPr>
          <w:rFonts w:ascii="Calibri" w:hAnsi="Calibri" w:cs="Verdana"/>
          <w:sz w:val="24"/>
        </w:rPr>
      </w:pPr>
      <w:r w:rsidRPr="00F956C9">
        <w:rPr>
          <w:rFonts w:ascii="Calibri" w:hAnsi="Calibri" w:cs="Verdana"/>
          <w:sz w:val="24"/>
        </w:rPr>
        <w:t xml:space="preserve">All members must designate alternates to attend if they are not available. </w:t>
      </w:r>
    </w:p>
    <w:p w:rsidR="007933F8" w:rsidRPr="00F956C9" w:rsidRDefault="007933F8" w:rsidP="00BC0AC4">
      <w:pPr>
        <w:widowControl w:val="0"/>
        <w:autoSpaceDE w:val="0"/>
        <w:autoSpaceDN w:val="0"/>
        <w:adjustRightInd w:val="0"/>
        <w:jc w:val="both"/>
        <w:rPr>
          <w:rFonts w:ascii="Calibri" w:hAnsi="Calibri" w:cs="Verdana"/>
          <w:sz w:val="24"/>
        </w:rPr>
      </w:pPr>
      <w:r w:rsidRPr="00F956C9">
        <w:rPr>
          <w:rFonts w:ascii="Calibri" w:hAnsi="Calibri" w:cs="Verdana"/>
          <w:sz w:val="24"/>
        </w:rPr>
        <w:t xml:space="preserve">Additional representatives </w:t>
      </w:r>
      <w:r w:rsidR="00E7353A">
        <w:rPr>
          <w:rFonts w:ascii="Calibri" w:hAnsi="Calibri" w:cs="Verdana"/>
          <w:sz w:val="24"/>
        </w:rPr>
        <w:t xml:space="preserve">from </w:t>
      </w:r>
      <w:r w:rsidR="00FD310B">
        <w:rPr>
          <w:rFonts w:ascii="Calibri" w:hAnsi="Calibri" w:cs="Verdana"/>
          <w:sz w:val="24"/>
        </w:rPr>
        <w:t>l</w:t>
      </w:r>
      <w:r w:rsidR="00E7353A">
        <w:rPr>
          <w:rFonts w:ascii="Calibri" w:hAnsi="Calibri" w:cs="Verdana"/>
          <w:sz w:val="24"/>
        </w:rPr>
        <w:t xml:space="preserve">ine </w:t>
      </w:r>
      <w:r w:rsidR="00FD310B">
        <w:rPr>
          <w:rFonts w:ascii="Calibri" w:hAnsi="Calibri" w:cs="Verdana"/>
          <w:sz w:val="24"/>
        </w:rPr>
        <w:t>m</w:t>
      </w:r>
      <w:r w:rsidR="00E7353A">
        <w:rPr>
          <w:rFonts w:ascii="Calibri" w:hAnsi="Calibri" w:cs="Verdana"/>
          <w:sz w:val="24"/>
        </w:rPr>
        <w:t xml:space="preserve">inistries and </w:t>
      </w:r>
      <w:r w:rsidR="00FD310B">
        <w:rPr>
          <w:rFonts w:ascii="Calibri" w:hAnsi="Calibri" w:cs="Verdana"/>
          <w:sz w:val="24"/>
        </w:rPr>
        <w:t xml:space="preserve">members of the </w:t>
      </w:r>
      <w:r w:rsidR="00E7353A">
        <w:rPr>
          <w:rFonts w:ascii="Calibri" w:hAnsi="Calibri" w:cs="Verdana"/>
          <w:sz w:val="24"/>
        </w:rPr>
        <w:t>Consultation Group</w:t>
      </w:r>
      <w:r w:rsidR="00B01609">
        <w:rPr>
          <w:rStyle w:val="FootnoteReference"/>
          <w:rFonts w:ascii="Calibri" w:hAnsi="Calibri" w:cs="Verdana"/>
          <w:sz w:val="24"/>
        </w:rPr>
        <w:footnoteReference w:id="1"/>
      </w:r>
      <w:r w:rsidR="00E7353A">
        <w:rPr>
          <w:rFonts w:ascii="Calibri" w:hAnsi="Calibri" w:cs="Verdana"/>
          <w:sz w:val="24"/>
        </w:rPr>
        <w:t xml:space="preserve"> </w:t>
      </w:r>
      <w:r w:rsidRPr="00F956C9">
        <w:rPr>
          <w:rFonts w:ascii="Calibri" w:hAnsi="Calibri" w:cs="Verdana"/>
          <w:sz w:val="24"/>
        </w:rPr>
        <w:t xml:space="preserve">may be invited to meetings as </w:t>
      </w:r>
      <w:r w:rsidR="00E7353A">
        <w:rPr>
          <w:rFonts w:ascii="Calibri" w:hAnsi="Calibri" w:cs="Verdana"/>
          <w:sz w:val="24"/>
        </w:rPr>
        <w:t>observers</w:t>
      </w:r>
      <w:r w:rsidR="00FD310B">
        <w:rPr>
          <w:rFonts w:ascii="Calibri" w:hAnsi="Calibri" w:cs="Verdana"/>
          <w:sz w:val="24"/>
        </w:rPr>
        <w:t>,</w:t>
      </w:r>
      <w:r w:rsidRPr="00F956C9">
        <w:rPr>
          <w:rFonts w:ascii="Calibri" w:hAnsi="Calibri" w:cs="Verdana"/>
          <w:sz w:val="24"/>
        </w:rPr>
        <w:t xml:space="preserve"> as required.  </w:t>
      </w:r>
    </w:p>
    <w:p w:rsidR="007933F8" w:rsidRPr="00F956C9" w:rsidRDefault="007933F8" w:rsidP="00BC0AC4">
      <w:pPr>
        <w:widowControl w:val="0"/>
        <w:autoSpaceDE w:val="0"/>
        <w:autoSpaceDN w:val="0"/>
        <w:adjustRightInd w:val="0"/>
        <w:jc w:val="both"/>
        <w:rPr>
          <w:rFonts w:ascii="Calibri" w:hAnsi="Calibri" w:cs="Verdana"/>
          <w:sz w:val="24"/>
        </w:rPr>
      </w:pPr>
      <w:r w:rsidRPr="00F956C9">
        <w:rPr>
          <w:rFonts w:ascii="Calibri" w:hAnsi="Calibri" w:cs="Verdana"/>
          <w:sz w:val="24"/>
        </w:rPr>
        <w:lastRenderedPageBreak/>
        <w:t>Additional members can be ad</w:t>
      </w:r>
      <w:r>
        <w:rPr>
          <w:rFonts w:ascii="Calibri" w:hAnsi="Calibri" w:cs="Verdana"/>
          <w:sz w:val="24"/>
        </w:rPr>
        <w:t>ded to the Taskforce</w:t>
      </w:r>
      <w:r w:rsidRPr="00F956C9">
        <w:rPr>
          <w:rFonts w:ascii="Calibri" w:hAnsi="Calibri" w:cs="Verdana"/>
          <w:sz w:val="24"/>
        </w:rPr>
        <w:t xml:space="preserve"> as appropriate. </w:t>
      </w:r>
    </w:p>
    <w:p w:rsidR="007933F8" w:rsidRPr="00F956C9" w:rsidRDefault="007933F8" w:rsidP="00BC0AC4">
      <w:pPr>
        <w:widowControl w:val="0"/>
        <w:autoSpaceDE w:val="0"/>
        <w:autoSpaceDN w:val="0"/>
        <w:adjustRightInd w:val="0"/>
        <w:jc w:val="both"/>
        <w:rPr>
          <w:rFonts w:ascii="Calibri" w:hAnsi="Calibri" w:cs="Verdana"/>
          <w:sz w:val="24"/>
        </w:rPr>
      </w:pPr>
    </w:p>
    <w:p w:rsidR="007933F8" w:rsidRPr="00F956C9" w:rsidRDefault="007933F8" w:rsidP="00BC0AC4">
      <w:pPr>
        <w:jc w:val="both"/>
        <w:outlineLvl w:val="0"/>
        <w:rPr>
          <w:rFonts w:ascii="Calibri" w:hAnsi="Calibri"/>
          <w:b/>
          <w:sz w:val="24"/>
        </w:rPr>
      </w:pPr>
      <w:r w:rsidRPr="00F956C9">
        <w:rPr>
          <w:rFonts w:ascii="Calibri" w:hAnsi="Calibri"/>
          <w:b/>
          <w:sz w:val="24"/>
        </w:rPr>
        <w:t>3. Operations</w:t>
      </w:r>
    </w:p>
    <w:p w:rsidR="007933F8" w:rsidRDefault="007933F8" w:rsidP="00BC0AC4">
      <w:pPr>
        <w:widowControl w:val="0"/>
        <w:autoSpaceDE w:val="0"/>
        <w:autoSpaceDN w:val="0"/>
        <w:adjustRightInd w:val="0"/>
        <w:jc w:val="both"/>
        <w:rPr>
          <w:rFonts w:ascii="Calibri" w:hAnsi="Calibri" w:cs="Verdana"/>
          <w:sz w:val="24"/>
        </w:rPr>
      </w:pPr>
    </w:p>
    <w:p w:rsidR="007933F8" w:rsidRPr="00F956C9" w:rsidRDefault="007933F8" w:rsidP="00BC0AC4">
      <w:pPr>
        <w:widowControl w:val="0"/>
        <w:autoSpaceDE w:val="0"/>
        <w:autoSpaceDN w:val="0"/>
        <w:adjustRightInd w:val="0"/>
        <w:jc w:val="both"/>
        <w:rPr>
          <w:rFonts w:ascii="Calibri" w:hAnsi="Calibri" w:cs="Verdana"/>
          <w:sz w:val="24"/>
        </w:rPr>
      </w:pPr>
      <w:r w:rsidRPr="00F956C9">
        <w:rPr>
          <w:rFonts w:ascii="Calibri" w:hAnsi="Calibri" w:cs="Verdana"/>
          <w:sz w:val="24"/>
        </w:rPr>
        <w:t xml:space="preserve">The </w:t>
      </w:r>
      <w:r>
        <w:rPr>
          <w:rFonts w:ascii="Calibri" w:hAnsi="Calibri" w:cs="Verdana"/>
          <w:sz w:val="24"/>
        </w:rPr>
        <w:t xml:space="preserve">Cambodia REDD </w:t>
      </w:r>
      <w:r w:rsidRPr="00F956C9">
        <w:rPr>
          <w:rFonts w:ascii="Calibri" w:hAnsi="Calibri" w:cs="Verdana"/>
          <w:sz w:val="24"/>
        </w:rPr>
        <w:t xml:space="preserve">Taskforce </w:t>
      </w:r>
      <w:r>
        <w:rPr>
          <w:rFonts w:ascii="Calibri" w:hAnsi="Calibri" w:cs="Verdana"/>
          <w:sz w:val="24"/>
        </w:rPr>
        <w:t xml:space="preserve">(Taskforce) </w:t>
      </w:r>
      <w:r w:rsidRPr="00F956C9">
        <w:rPr>
          <w:rFonts w:ascii="Calibri" w:hAnsi="Calibri" w:cs="Verdana"/>
          <w:sz w:val="24"/>
        </w:rPr>
        <w:t xml:space="preserve">will meet monthly or more often if required. </w:t>
      </w:r>
    </w:p>
    <w:p w:rsidR="007933F8" w:rsidRPr="00F956C9" w:rsidRDefault="007933F8" w:rsidP="00BC0AC4">
      <w:pPr>
        <w:widowControl w:val="0"/>
        <w:autoSpaceDE w:val="0"/>
        <w:autoSpaceDN w:val="0"/>
        <w:adjustRightInd w:val="0"/>
        <w:jc w:val="both"/>
        <w:rPr>
          <w:rFonts w:ascii="Calibri" w:hAnsi="Calibri" w:cs="Verdana"/>
          <w:sz w:val="24"/>
        </w:rPr>
      </w:pPr>
      <w:r w:rsidRPr="00F956C9">
        <w:rPr>
          <w:rFonts w:ascii="Calibri" w:hAnsi="Calibri" w:cs="Verdana"/>
          <w:sz w:val="24"/>
        </w:rPr>
        <w:t>Meeting dates for subsequent meetings will be decided at each Taskforce meeting with confirmation of dates being provided at least 10</w:t>
      </w:r>
      <w:r w:rsidR="00BC0AC4">
        <w:rPr>
          <w:rFonts w:ascii="Calibri" w:hAnsi="Calibri" w:cs="Verdana"/>
          <w:sz w:val="24"/>
        </w:rPr>
        <w:t xml:space="preserve"> </w:t>
      </w:r>
      <w:r w:rsidRPr="00F956C9">
        <w:rPr>
          <w:rFonts w:ascii="Calibri" w:hAnsi="Calibri" w:cs="Verdana"/>
          <w:sz w:val="24"/>
        </w:rPr>
        <w:t xml:space="preserve">days in advance of meetings.  </w:t>
      </w:r>
    </w:p>
    <w:p w:rsidR="007933F8" w:rsidRPr="00F956C9" w:rsidRDefault="007933F8" w:rsidP="00BC0AC4">
      <w:pPr>
        <w:widowControl w:val="0"/>
        <w:autoSpaceDE w:val="0"/>
        <w:autoSpaceDN w:val="0"/>
        <w:adjustRightInd w:val="0"/>
        <w:jc w:val="both"/>
        <w:rPr>
          <w:rFonts w:ascii="Calibri" w:hAnsi="Calibri" w:cs="Verdana"/>
          <w:b/>
          <w:sz w:val="24"/>
        </w:rPr>
      </w:pPr>
      <w:r w:rsidRPr="00F956C9">
        <w:rPr>
          <w:rFonts w:ascii="Calibri" w:hAnsi="Calibri" w:cs="Verdana"/>
          <w:sz w:val="24"/>
        </w:rPr>
        <w:t xml:space="preserve">All meeting documents will be circulated at least one week in advance of the meeting and should be available to the Taskforce Secretariat sufficiently in advance of this to facilitate translation and review. </w:t>
      </w:r>
    </w:p>
    <w:p w:rsidR="007933F8" w:rsidRDefault="007933F8" w:rsidP="00BC0AC4">
      <w:pPr>
        <w:widowControl w:val="0"/>
        <w:autoSpaceDE w:val="0"/>
        <w:autoSpaceDN w:val="0"/>
        <w:adjustRightInd w:val="0"/>
        <w:jc w:val="both"/>
        <w:rPr>
          <w:rFonts w:ascii="Calibri" w:hAnsi="Calibri" w:cs="Verdana"/>
          <w:sz w:val="24"/>
        </w:rPr>
      </w:pPr>
    </w:p>
    <w:p w:rsidR="007933F8" w:rsidRDefault="007933F8" w:rsidP="00BC0AC4">
      <w:pPr>
        <w:widowControl w:val="0"/>
        <w:autoSpaceDE w:val="0"/>
        <w:autoSpaceDN w:val="0"/>
        <w:adjustRightInd w:val="0"/>
        <w:jc w:val="both"/>
        <w:rPr>
          <w:rFonts w:ascii="Calibri" w:hAnsi="Calibri" w:cs="Verdana"/>
          <w:sz w:val="24"/>
        </w:rPr>
      </w:pPr>
      <w:r>
        <w:rPr>
          <w:rFonts w:ascii="Calibri" w:hAnsi="Calibri" w:cs="Verdana"/>
          <w:sz w:val="24"/>
        </w:rPr>
        <w:t>Taskforce</w:t>
      </w:r>
      <w:r w:rsidRPr="00F956C9">
        <w:rPr>
          <w:rFonts w:ascii="Calibri" w:hAnsi="Calibri" w:cs="Verdana"/>
          <w:sz w:val="24"/>
        </w:rPr>
        <w:t xml:space="preserve"> meeting</w:t>
      </w:r>
      <w:r>
        <w:rPr>
          <w:rFonts w:ascii="Calibri" w:hAnsi="Calibri" w:cs="Verdana"/>
          <w:sz w:val="24"/>
        </w:rPr>
        <w:t>s</w:t>
      </w:r>
      <w:r w:rsidRPr="00F956C9">
        <w:rPr>
          <w:rFonts w:ascii="Calibri" w:hAnsi="Calibri" w:cs="Verdana"/>
          <w:sz w:val="24"/>
        </w:rPr>
        <w:t xml:space="preserve"> will </w:t>
      </w:r>
      <w:r w:rsidR="00FD310B">
        <w:rPr>
          <w:rFonts w:ascii="Calibri" w:hAnsi="Calibri" w:cs="Verdana"/>
          <w:sz w:val="24"/>
        </w:rPr>
        <w:t xml:space="preserve">require </w:t>
      </w:r>
      <w:proofErr w:type="gramStart"/>
      <w:r w:rsidR="00FD310B">
        <w:rPr>
          <w:rFonts w:ascii="Calibri" w:hAnsi="Calibri" w:cs="Verdana"/>
          <w:sz w:val="24"/>
        </w:rPr>
        <w:t xml:space="preserve">a </w:t>
      </w:r>
      <w:r w:rsidRPr="00F956C9">
        <w:rPr>
          <w:rFonts w:ascii="Calibri" w:hAnsi="Calibri" w:cs="Verdana"/>
          <w:sz w:val="24"/>
        </w:rPr>
        <w:t xml:space="preserve"> quorum</w:t>
      </w:r>
      <w:proofErr w:type="gramEnd"/>
      <w:r w:rsidRPr="00F956C9">
        <w:rPr>
          <w:rFonts w:ascii="Calibri" w:hAnsi="Calibri" w:cs="Verdana"/>
          <w:sz w:val="24"/>
        </w:rPr>
        <w:t xml:space="preserve"> </w:t>
      </w:r>
      <w:r w:rsidR="00FD310B">
        <w:rPr>
          <w:rFonts w:ascii="Calibri" w:hAnsi="Calibri" w:cs="Verdana"/>
          <w:sz w:val="24"/>
        </w:rPr>
        <w:t xml:space="preserve">of </w:t>
      </w:r>
      <w:r w:rsidRPr="00F956C9">
        <w:rPr>
          <w:rFonts w:ascii="Calibri" w:hAnsi="Calibri" w:cs="Verdana"/>
          <w:sz w:val="24"/>
        </w:rPr>
        <w:t>50%+1</w:t>
      </w:r>
      <w:r w:rsidR="00FD310B">
        <w:rPr>
          <w:rFonts w:ascii="Calibri" w:hAnsi="Calibri" w:cs="Verdana"/>
          <w:sz w:val="24"/>
        </w:rPr>
        <w:t xml:space="preserve"> Taskforce members to be present</w:t>
      </w:r>
      <w:r w:rsidRPr="00F956C9">
        <w:rPr>
          <w:rFonts w:ascii="Calibri" w:hAnsi="Calibri" w:cs="Verdana"/>
          <w:sz w:val="24"/>
        </w:rPr>
        <w:t>.</w:t>
      </w:r>
    </w:p>
    <w:p w:rsidR="00D654C7" w:rsidRPr="00F956C9" w:rsidRDefault="00D654C7" w:rsidP="00BC0AC4">
      <w:pPr>
        <w:jc w:val="both"/>
        <w:outlineLvl w:val="0"/>
        <w:rPr>
          <w:rFonts w:ascii="Calibri" w:hAnsi="Calibri"/>
          <w:sz w:val="24"/>
        </w:rPr>
      </w:pPr>
      <w:r>
        <w:rPr>
          <w:rFonts w:ascii="Calibri" w:hAnsi="Calibri"/>
          <w:sz w:val="24"/>
        </w:rPr>
        <w:t>Taskforce</w:t>
      </w:r>
      <w:r w:rsidRPr="00F956C9">
        <w:rPr>
          <w:rFonts w:ascii="Calibri" w:hAnsi="Calibri"/>
          <w:sz w:val="24"/>
        </w:rPr>
        <w:t xml:space="preserve"> meeti</w:t>
      </w:r>
      <w:r>
        <w:rPr>
          <w:rFonts w:ascii="Calibri" w:hAnsi="Calibri"/>
          <w:sz w:val="24"/>
        </w:rPr>
        <w:t xml:space="preserve">ngs will be </w:t>
      </w:r>
      <w:proofErr w:type="spellStart"/>
      <w:r>
        <w:rPr>
          <w:rFonts w:ascii="Calibri" w:hAnsi="Calibri"/>
          <w:sz w:val="24"/>
        </w:rPr>
        <w:t>minuted</w:t>
      </w:r>
      <w:proofErr w:type="spellEnd"/>
      <w:r>
        <w:rPr>
          <w:rFonts w:ascii="Calibri" w:hAnsi="Calibri"/>
          <w:sz w:val="24"/>
        </w:rPr>
        <w:t xml:space="preserve"> by the Taskforce</w:t>
      </w:r>
      <w:r w:rsidRPr="00F956C9">
        <w:rPr>
          <w:rFonts w:ascii="Calibri" w:hAnsi="Calibri"/>
          <w:sz w:val="24"/>
        </w:rPr>
        <w:t xml:space="preserve"> Secretariat and will be available</w:t>
      </w:r>
      <w:r w:rsidR="00211D3C">
        <w:rPr>
          <w:rFonts w:ascii="Calibri" w:hAnsi="Calibri"/>
          <w:sz w:val="24"/>
        </w:rPr>
        <w:t xml:space="preserve"> to Taskforce members</w:t>
      </w:r>
      <w:r w:rsidRPr="00F956C9">
        <w:rPr>
          <w:rFonts w:ascii="Calibri" w:hAnsi="Calibri"/>
          <w:sz w:val="24"/>
        </w:rPr>
        <w:t xml:space="preserve"> in both English and Khmer within two weeks of the meeting. Meeting minutes</w:t>
      </w:r>
      <w:r w:rsidR="00BC0AC4">
        <w:rPr>
          <w:rFonts w:ascii="Calibri" w:hAnsi="Calibri"/>
          <w:sz w:val="24"/>
        </w:rPr>
        <w:t>, r</w:t>
      </w:r>
      <w:r w:rsidR="00BC0AC4" w:rsidRPr="00F956C9">
        <w:rPr>
          <w:rFonts w:ascii="Calibri" w:hAnsi="Calibri"/>
          <w:sz w:val="24"/>
        </w:rPr>
        <w:t xml:space="preserve">eports, documents and decisions </w:t>
      </w:r>
      <w:r w:rsidRPr="00F956C9">
        <w:rPr>
          <w:rFonts w:ascii="Calibri" w:hAnsi="Calibri"/>
          <w:sz w:val="24"/>
        </w:rPr>
        <w:t xml:space="preserve">will be signed by the Taskforce Chair and initialed by the </w:t>
      </w:r>
      <w:r w:rsidR="00BC0AC4">
        <w:rPr>
          <w:rFonts w:ascii="Calibri" w:hAnsi="Calibri"/>
          <w:sz w:val="24"/>
        </w:rPr>
        <w:t>D</w:t>
      </w:r>
      <w:r w:rsidRPr="00F956C9">
        <w:rPr>
          <w:rFonts w:ascii="Calibri" w:hAnsi="Calibri"/>
          <w:sz w:val="24"/>
        </w:rPr>
        <w:t xml:space="preserve">eputy </w:t>
      </w:r>
      <w:r w:rsidR="00BC0AC4">
        <w:rPr>
          <w:rFonts w:ascii="Calibri" w:hAnsi="Calibri"/>
          <w:sz w:val="24"/>
        </w:rPr>
        <w:t>C</w:t>
      </w:r>
      <w:r w:rsidRPr="00F956C9">
        <w:rPr>
          <w:rFonts w:ascii="Calibri" w:hAnsi="Calibri"/>
          <w:sz w:val="24"/>
        </w:rPr>
        <w:t>hair.</w:t>
      </w:r>
    </w:p>
    <w:p w:rsidR="00D654C7" w:rsidRDefault="00D654C7" w:rsidP="00211D3C">
      <w:pPr>
        <w:jc w:val="both"/>
        <w:outlineLvl w:val="0"/>
        <w:rPr>
          <w:rFonts w:ascii="Calibri" w:hAnsi="Calibri"/>
          <w:b/>
          <w:sz w:val="24"/>
        </w:rPr>
      </w:pPr>
    </w:p>
    <w:p w:rsidR="00D654C7" w:rsidRPr="00F956C9" w:rsidRDefault="00D654C7" w:rsidP="00C30584">
      <w:pPr>
        <w:jc w:val="both"/>
        <w:outlineLvl w:val="0"/>
        <w:rPr>
          <w:rFonts w:ascii="Calibri" w:hAnsi="Calibri"/>
          <w:b/>
          <w:sz w:val="24"/>
        </w:rPr>
      </w:pPr>
      <w:r w:rsidRPr="00F956C9">
        <w:rPr>
          <w:rFonts w:ascii="Calibri" w:hAnsi="Calibri"/>
          <w:b/>
          <w:sz w:val="24"/>
        </w:rPr>
        <w:t>4. Decision-making</w:t>
      </w:r>
    </w:p>
    <w:p w:rsidR="00D654C7" w:rsidRDefault="00D654C7" w:rsidP="008E7078">
      <w:pPr>
        <w:jc w:val="both"/>
        <w:rPr>
          <w:rFonts w:ascii="Calibri" w:hAnsi="Calibri"/>
          <w:sz w:val="24"/>
        </w:rPr>
      </w:pPr>
    </w:p>
    <w:p w:rsidR="00D654C7" w:rsidRPr="00F956C9" w:rsidRDefault="00D654C7" w:rsidP="008E7078">
      <w:pPr>
        <w:jc w:val="both"/>
        <w:rPr>
          <w:rFonts w:ascii="Calibri" w:hAnsi="Calibri"/>
          <w:sz w:val="24"/>
        </w:rPr>
      </w:pPr>
      <w:r w:rsidRPr="00F956C9">
        <w:rPr>
          <w:rFonts w:ascii="Calibri" w:hAnsi="Calibri"/>
          <w:sz w:val="24"/>
        </w:rPr>
        <w:t>The Taskforce will make decision by consensus.</w:t>
      </w:r>
    </w:p>
    <w:p w:rsidR="00D654C7" w:rsidRDefault="00D654C7" w:rsidP="00B01609">
      <w:pPr>
        <w:jc w:val="both"/>
        <w:rPr>
          <w:rFonts w:ascii="Calibri" w:hAnsi="Calibri"/>
          <w:sz w:val="24"/>
        </w:rPr>
      </w:pPr>
    </w:p>
    <w:p w:rsidR="00D654C7" w:rsidRPr="00F956C9" w:rsidRDefault="00D654C7" w:rsidP="00B01609">
      <w:pPr>
        <w:jc w:val="both"/>
        <w:outlineLvl w:val="0"/>
        <w:rPr>
          <w:rFonts w:ascii="Calibri" w:hAnsi="Calibri"/>
          <w:b/>
          <w:sz w:val="24"/>
        </w:rPr>
      </w:pPr>
      <w:r w:rsidRPr="00F956C9">
        <w:rPr>
          <w:rFonts w:ascii="Calibri" w:hAnsi="Calibri"/>
          <w:b/>
          <w:sz w:val="24"/>
        </w:rPr>
        <w:t>5. Responsibilities</w:t>
      </w:r>
    </w:p>
    <w:p w:rsidR="00000000" w:rsidRDefault="00E74848">
      <w:pPr>
        <w:jc w:val="both"/>
        <w:rPr>
          <w:rFonts w:ascii="Calibri" w:hAnsi="Calibri"/>
          <w:sz w:val="24"/>
        </w:rPr>
      </w:pPr>
    </w:p>
    <w:p w:rsidR="00000000" w:rsidRDefault="00D654C7">
      <w:pPr>
        <w:jc w:val="both"/>
        <w:rPr>
          <w:rFonts w:ascii="Calibri" w:hAnsi="Calibri"/>
          <w:sz w:val="24"/>
        </w:rPr>
      </w:pPr>
      <w:r>
        <w:rPr>
          <w:rFonts w:ascii="Calibri" w:hAnsi="Calibri"/>
          <w:sz w:val="24"/>
        </w:rPr>
        <w:t xml:space="preserve">The </w:t>
      </w:r>
      <w:r w:rsidRPr="00F956C9">
        <w:rPr>
          <w:rFonts w:ascii="Calibri" w:hAnsi="Calibri"/>
          <w:sz w:val="24"/>
        </w:rPr>
        <w:t xml:space="preserve">Taskforce is responsible for the overall management of the REDD+ readiness process and will be the primary coordination and decision making body within the Government of Cambodia. The Taskforce will provide oversight of </w:t>
      </w:r>
      <w:proofErr w:type="spellStart"/>
      <w:r w:rsidRPr="00F956C9">
        <w:rPr>
          <w:rFonts w:ascii="Calibri" w:hAnsi="Calibri"/>
          <w:sz w:val="24"/>
        </w:rPr>
        <w:t>programmes</w:t>
      </w:r>
      <w:proofErr w:type="spellEnd"/>
      <w:r w:rsidRPr="00F956C9">
        <w:rPr>
          <w:rFonts w:ascii="Calibri" w:hAnsi="Calibri"/>
          <w:sz w:val="24"/>
        </w:rPr>
        <w:t xml:space="preserve"> working on REDD+</w:t>
      </w:r>
      <w:r w:rsidR="00AA605E">
        <w:rPr>
          <w:rFonts w:ascii="Calibri" w:hAnsi="Calibri"/>
          <w:sz w:val="24"/>
        </w:rPr>
        <w:t xml:space="preserve">, including the </w:t>
      </w:r>
      <w:r w:rsidR="00AA605E" w:rsidRPr="00F956C9">
        <w:rPr>
          <w:rFonts w:ascii="Calibri" w:hAnsi="Calibri"/>
          <w:sz w:val="24"/>
        </w:rPr>
        <w:t>Technical Teams</w:t>
      </w:r>
      <w:r w:rsidR="00B01609">
        <w:rPr>
          <w:rStyle w:val="FootnoteReference"/>
          <w:rFonts w:ascii="Calibri" w:hAnsi="Calibri"/>
          <w:sz w:val="24"/>
        </w:rPr>
        <w:footnoteReference w:id="2"/>
      </w:r>
      <w:r w:rsidR="00B01609">
        <w:rPr>
          <w:rFonts w:ascii="Calibri" w:hAnsi="Calibri"/>
          <w:sz w:val="24"/>
        </w:rPr>
        <w:t xml:space="preserve"> and Consultation Group</w:t>
      </w:r>
      <w:r w:rsidR="00AA605E">
        <w:rPr>
          <w:rFonts w:ascii="Calibri" w:hAnsi="Calibri"/>
          <w:sz w:val="24"/>
        </w:rPr>
        <w:t xml:space="preserve">, </w:t>
      </w:r>
      <w:r w:rsidRPr="00F956C9">
        <w:rPr>
          <w:rFonts w:ascii="Calibri" w:hAnsi="Calibri"/>
          <w:sz w:val="24"/>
        </w:rPr>
        <w:t xml:space="preserve">and coordinate these with existing or new </w:t>
      </w:r>
      <w:proofErr w:type="spellStart"/>
      <w:r w:rsidRPr="00F956C9">
        <w:rPr>
          <w:rFonts w:ascii="Calibri" w:hAnsi="Calibri"/>
          <w:sz w:val="24"/>
        </w:rPr>
        <w:t>programmes</w:t>
      </w:r>
      <w:proofErr w:type="spellEnd"/>
      <w:r w:rsidRPr="00F956C9">
        <w:rPr>
          <w:rFonts w:ascii="Calibri" w:hAnsi="Calibri"/>
          <w:sz w:val="24"/>
        </w:rPr>
        <w:t xml:space="preserve"> within the sector. It will also be responsible for reviewing all key outputs and decisions to ensure they are appropriate the Cambodia context and will take a lead in the development of the national REDD+ strategy and implementation framework.  </w:t>
      </w:r>
    </w:p>
    <w:p w:rsidR="00000000" w:rsidRDefault="00E74848">
      <w:pPr>
        <w:jc w:val="both"/>
        <w:rPr>
          <w:rFonts w:ascii="Calibri" w:hAnsi="Calibri"/>
          <w:sz w:val="24"/>
        </w:rPr>
      </w:pPr>
    </w:p>
    <w:p w:rsidR="00000000" w:rsidRDefault="00D654C7">
      <w:pPr>
        <w:jc w:val="both"/>
        <w:rPr>
          <w:rFonts w:ascii="Calibri" w:hAnsi="Calibri"/>
          <w:sz w:val="24"/>
        </w:rPr>
      </w:pPr>
      <w:r w:rsidRPr="00F956C9">
        <w:rPr>
          <w:rFonts w:ascii="Calibri" w:hAnsi="Calibri"/>
          <w:sz w:val="24"/>
        </w:rPr>
        <w:t xml:space="preserve">Specific responsibilities include: </w:t>
      </w:r>
    </w:p>
    <w:p w:rsidR="00000000" w:rsidRDefault="00D654C7">
      <w:pPr>
        <w:numPr>
          <w:ilvl w:val="0"/>
          <w:numId w:val="6"/>
        </w:numPr>
        <w:jc w:val="both"/>
        <w:rPr>
          <w:rFonts w:ascii="Calibri" w:hAnsi="Calibri"/>
          <w:sz w:val="24"/>
        </w:rPr>
      </w:pPr>
      <w:r w:rsidRPr="00F956C9">
        <w:rPr>
          <w:rFonts w:ascii="Calibri" w:hAnsi="Calibri"/>
          <w:sz w:val="24"/>
        </w:rPr>
        <w:t>Developing the National REDD+ strategy and Implementation Framework</w:t>
      </w:r>
    </w:p>
    <w:p w:rsidR="00000000" w:rsidRDefault="00B01609">
      <w:pPr>
        <w:numPr>
          <w:ilvl w:val="0"/>
          <w:numId w:val="6"/>
        </w:numPr>
        <w:jc w:val="both"/>
        <w:rPr>
          <w:rFonts w:ascii="Calibri" w:hAnsi="Calibri"/>
          <w:sz w:val="24"/>
        </w:rPr>
      </w:pPr>
      <w:commentRangeStart w:id="0"/>
      <w:r>
        <w:rPr>
          <w:rFonts w:ascii="Calibri" w:hAnsi="Calibri"/>
          <w:sz w:val="24"/>
        </w:rPr>
        <w:t>Approving</w:t>
      </w:r>
      <w:r w:rsidR="00BC0AC4">
        <w:rPr>
          <w:rFonts w:ascii="Calibri" w:hAnsi="Calibri"/>
          <w:sz w:val="24"/>
        </w:rPr>
        <w:t xml:space="preserve"> the</w:t>
      </w:r>
      <w:r w:rsidR="00BC0AC4" w:rsidRPr="00F956C9">
        <w:rPr>
          <w:rFonts w:ascii="Calibri" w:hAnsi="Calibri"/>
          <w:sz w:val="24"/>
        </w:rPr>
        <w:t xml:space="preserve"> </w:t>
      </w:r>
      <w:r w:rsidR="00D654C7" w:rsidRPr="00F956C9">
        <w:rPr>
          <w:rFonts w:ascii="Calibri" w:hAnsi="Calibri"/>
          <w:sz w:val="24"/>
        </w:rPr>
        <w:t>standards and guidelines for REDD+ demonstration activities</w:t>
      </w:r>
      <w:commentRangeEnd w:id="0"/>
      <w:r w:rsidR="00BC0AC4">
        <w:rPr>
          <w:rStyle w:val="CommentReference"/>
        </w:rPr>
        <w:commentReference w:id="0"/>
      </w:r>
    </w:p>
    <w:p w:rsidR="00000000" w:rsidRDefault="00D654C7">
      <w:pPr>
        <w:numPr>
          <w:ilvl w:val="0"/>
          <w:numId w:val="6"/>
        </w:numPr>
        <w:jc w:val="both"/>
        <w:rPr>
          <w:rFonts w:ascii="Calibri" w:hAnsi="Calibri"/>
          <w:sz w:val="24"/>
        </w:rPr>
      </w:pPr>
      <w:r>
        <w:rPr>
          <w:rFonts w:ascii="Calibri" w:hAnsi="Calibri"/>
          <w:sz w:val="24"/>
        </w:rPr>
        <w:t>Compiling and approving</w:t>
      </w:r>
      <w:r w:rsidRPr="00F956C9">
        <w:rPr>
          <w:rFonts w:ascii="Calibri" w:hAnsi="Calibri"/>
          <w:sz w:val="24"/>
        </w:rPr>
        <w:t xml:space="preserve"> REDD+ Readines</w:t>
      </w:r>
      <w:r>
        <w:rPr>
          <w:rFonts w:ascii="Calibri" w:hAnsi="Calibri"/>
          <w:sz w:val="24"/>
        </w:rPr>
        <w:t xml:space="preserve">s </w:t>
      </w:r>
      <w:proofErr w:type="spellStart"/>
      <w:r>
        <w:rPr>
          <w:rFonts w:ascii="Calibri" w:hAnsi="Calibri"/>
          <w:sz w:val="24"/>
        </w:rPr>
        <w:t>workplans</w:t>
      </w:r>
      <w:proofErr w:type="spellEnd"/>
      <w:r>
        <w:rPr>
          <w:rFonts w:ascii="Calibri" w:hAnsi="Calibri"/>
          <w:sz w:val="24"/>
        </w:rPr>
        <w:t xml:space="preserve"> and budgets from</w:t>
      </w:r>
      <w:r w:rsidRPr="00F956C9">
        <w:rPr>
          <w:rFonts w:ascii="Calibri" w:hAnsi="Calibri"/>
          <w:sz w:val="24"/>
        </w:rPr>
        <w:t xml:space="preserve"> line agencies</w:t>
      </w:r>
    </w:p>
    <w:p w:rsidR="00000000" w:rsidRDefault="00D654C7">
      <w:pPr>
        <w:numPr>
          <w:ilvl w:val="0"/>
          <w:numId w:val="6"/>
        </w:numPr>
        <w:jc w:val="both"/>
        <w:rPr>
          <w:rFonts w:ascii="Calibri" w:hAnsi="Calibri"/>
          <w:sz w:val="24"/>
        </w:rPr>
      </w:pPr>
      <w:r w:rsidRPr="00F956C9">
        <w:rPr>
          <w:rFonts w:ascii="Calibri" w:hAnsi="Calibri"/>
          <w:sz w:val="24"/>
        </w:rPr>
        <w:t>Establish</w:t>
      </w:r>
      <w:r>
        <w:rPr>
          <w:rFonts w:ascii="Calibri" w:hAnsi="Calibri"/>
          <w:sz w:val="24"/>
        </w:rPr>
        <w:t>ing</w:t>
      </w:r>
      <w:r w:rsidRPr="00F956C9">
        <w:rPr>
          <w:rFonts w:ascii="Calibri" w:hAnsi="Calibri"/>
          <w:sz w:val="24"/>
        </w:rPr>
        <w:t xml:space="preserve"> Technical Teams, reporting to the Taskforce, to review key technical issues as set out in the REDD+ Roadmap</w:t>
      </w:r>
    </w:p>
    <w:p w:rsidR="00D654C7" w:rsidRPr="00F956C9" w:rsidRDefault="00D654C7" w:rsidP="00BC0AC4">
      <w:pPr>
        <w:numPr>
          <w:ilvl w:val="0"/>
          <w:numId w:val="6"/>
        </w:numPr>
        <w:jc w:val="both"/>
        <w:rPr>
          <w:rFonts w:ascii="Calibri" w:hAnsi="Calibri"/>
          <w:sz w:val="24"/>
        </w:rPr>
      </w:pPr>
      <w:r w:rsidRPr="00F956C9">
        <w:rPr>
          <w:rFonts w:ascii="Calibri" w:hAnsi="Calibri"/>
          <w:sz w:val="24"/>
        </w:rPr>
        <w:t>Review</w:t>
      </w:r>
      <w:r>
        <w:rPr>
          <w:rFonts w:ascii="Calibri" w:hAnsi="Calibri"/>
          <w:sz w:val="24"/>
        </w:rPr>
        <w:t>ing and approving</w:t>
      </w:r>
      <w:r w:rsidRPr="00F956C9">
        <w:rPr>
          <w:rFonts w:ascii="Calibri" w:hAnsi="Calibri"/>
          <w:sz w:val="24"/>
        </w:rPr>
        <w:t xml:space="preserve"> proposed consultant</w:t>
      </w:r>
      <w:r>
        <w:rPr>
          <w:rFonts w:ascii="Calibri" w:hAnsi="Calibri"/>
          <w:sz w:val="24"/>
        </w:rPr>
        <w:t>s and advisors</w:t>
      </w:r>
      <w:r w:rsidRPr="00F956C9">
        <w:rPr>
          <w:rFonts w:ascii="Calibri" w:hAnsi="Calibri"/>
          <w:sz w:val="24"/>
        </w:rPr>
        <w:t xml:space="preserve"> to work with the REDD+ Taskforce </w:t>
      </w:r>
      <w:r>
        <w:rPr>
          <w:rFonts w:ascii="Calibri" w:hAnsi="Calibri"/>
          <w:sz w:val="24"/>
        </w:rPr>
        <w:t xml:space="preserve">and </w:t>
      </w:r>
      <w:r w:rsidRPr="00F956C9">
        <w:rPr>
          <w:rFonts w:ascii="Calibri" w:hAnsi="Calibri"/>
          <w:sz w:val="24"/>
        </w:rPr>
        <w:t xml:space="preserve">REDD+ Readiness </w:t>
      </w:r>
      <w:r>
        <w:rPr>
          <w:rFonts w:ascii="Calibri" w:hAnsi="Calibri"/>
          <w:sz w:val="24"/>
        </w:rPr>
        <w:t>process</w:t>
      </w:r>
      <w:r w:rsidR="00B01609">
        <w:rPr>
          <w:rFonts w:ascii="Calibri" w:hAnsi="Calibri"/>
          <w:sz w:val="24"/>
        </w:rPr>
        <w:t xml:space="preserve"> and approving</w:t>
      </w:r>
      <w:r w:rsidR="00211D3C">
        <w:rPr>
          <w:rFonts w:ascii="Calibri" w:hAnsi="Calibri"/>
          <w:sz w:val="24"/>
        </w:rPr>
        <w:t xml:space="preserve"> their inputs</w:t>
      </w:r>
    </w:p>
    <w:p w:rsidR="00D654C7" w:rsidRPr="00F956C9" w:rsidRDefault="00D654C7" w:rsidP="00BC0AC4">
      <w:pPr>
        <w:numPr>
          <w:ilvl w:val="0"/>
          <w:numId w:val="6"/>
        </w:numPr>
        <w:jc w:val="both"/>
        <w:rPr>
          <w:rFonts w:ascii="Calibri" w:hAnsi="Calibri"/>
          <w:sz w:val="24"/>
        </w:rPr>
      </w:pPr>
      <w:r>
        <w:rPr>
          <w:rFonts w:ascii="Calibri" w:hAnsi="Calibri"/>
          <w:sz w:val="24"/>
        </w:rPr>
        <w:t>Overseeing</w:t>
      </w:r>
      <w:r w:rsidRPr="00F956C9">
        <w:rPr>
          <w:rFonts w:ascii="Calibri" w:hAnsi="Calibri"/>
          <w:sz w:val="24"/>
        </w:rPr>
        <w:t xml:space="preserve"> </w:t>
      </w:r>
      <w:r>
        <w:rPr>
          <w:rFonts w:ascii="Calibri" w:hAnsi="Calibri"/>
          <w:sz w:val="24"/>
        </w:rPr>
        <w:t>stakeholder c</w:t>
      </w:r>
      <w:r w:rsidRPr="00F956C9">
        <w:rPr>
          <w:rFonts w:ascii="Calibri" w:hAnsi="Calibri"/>
          <w:sz w:val="24"/>
        </w:rPr>
        <w:t>onsultation and awareness-raising</w:t>
      </w:r>
      <w:r>
        <w:rPr>
          <w:rFonts w:ascii="Calibri" w:hAnsi="Calibri"/>
          <w:sz w:val="24"/>
        </w:rPr>
        <w:t xml:space="preserve"> processes</w:t>
      </w:r>
    </w:p>
    <w:p w:rsidR="00D654C7" w:rsidRPr="00F956C9" w:rsidRDefault="00D654C7" w:rsidP="00BC0AC4">
      <w:pPr>
        <w:numPr>
          <w:ilvl w:val="0"/>
          <w:numId w:val="6"/>
        </w:numPr>
        <w:jc w:val="both"/>
        <w:rPr>
          <w:rFonts w:ascii="Calibri" w:hAnsi="Calibri"/>
          <w:sz w:val="24"/>
        </w:rPr>
      </w:pPr>
      <w:r w:rsidRPr="00F956C9">
        <w:rPr>
          <w:rFonts w:ascii="Calibri" w:hAnsi="Calibri"/>
          <w:sz w:val="24"/>
        </w:rPr>
        <w:t>Seeking financial support on REDD+ Readiness process</w:t>
      </w:r>
    </w:p>
    <w:p w:rsidR="00D654C7" w:rsidRPr="00F956C9" w:rsidRDefault="00D654C7" w:rsidP="00211D3C">
      <w:pPr>
        <w:numPr>
          <w:ilvl w:val="0"/>
          <w:numId w:val="6"/>
        </w:numPr>
        <w:jc w:val="both"/>
        <w:rPr>
          <w:rFonts w:ascii="Calibri" w:hAnsi="Calibri"/>
          <w:sz w:val="24"/>
        </w:rPr>
      </w:pPr>
      <w:r w:rsidRPr="00F956C9">
        <w:rPr>
          <w:rFonts w:ascii="Calibri" w:hAnsi="Calibri"/>
          <w:sz w:val="24"/>
        </w:rPr>
        <w:t>Coordinati</w:t>
      </w:r>
      <w:r w:rsidR="00B01609">
        <w:rPr>
          <w:rFonts w:ascii="Calibri" w:hAnsi="Calibri"/>
          <w:sz w:val="24"/>
        </w:rPr>
        <w:t>ng</w:t>
      </w:r>
      <w:r w:rsidRPr="00F956C9">
        <w:rPr>
          <w:rFonts w:ascii="Calibri" w:hAnsi="Calibri"/>
          <w:sz w:val="24"/>
        </w:rPr>
        <w:t xml:space="preserve"> with executive bodies of other </w:t>
      </w:r>
      <w:proofErr w:type="spellStart"/>
      <w:r w:rsidRPr="00F956C9">
        <w:rPr>
          <w:rFonts w:ascii="Calibri" w:hAnsi="Calibri"/>
          <w:sz w:val="24"/>
        </w:rPr>
        <w:t>programmes</w:t>
      </w:r>
      <w:proofErr w:type="spellEnd"/>
      <w:r w:rsidRPr="00F956C9">
        <w:rPr>
          <w:rFonts w:ascii="Calibri" w:hAnsi="Calibri"/>
          <w:sz w:val="24"/>
        </w:rPr>
        <w:t xml:space="preserve"> and partnerships (for example UN-REDD Programme Executive Board</w:t>
      </w:r>
      <w:r>
        <w:rPr>
          <w:rFonts w:ascii="Calibri" w:hAnsi="Calibri"/>
          <w:sz w:val="24"/>
        </w:rPr>
        <w:t>, relevant Technical Working groups</w:t>
      </w:r>
      <w:r w:rsidRPr="00F956C9">
        <w:rPr>
          <w:rFonts w:ascii="Calibri" w:hAnsi="Calibri"/>
          <w:sz w:val="24"/>
        </w:rPr>
        <w:t xml:space="preserve">)  </w:t>
      </w:r>
    </w:p>
    <w:p w:rsidR="00D654C7" w:rsidRPr="00F956C9" w:rsidRDefault="00D654C7" w:rsidP="00211D3C">
      <w:pPr>
        <w:numPr>
          <w:ilvl w:val="0"/>
          <w:numId w:val="6"/>
        </w:numPr>
        <w:jc w:val="both"/>
        <w:rPr>
          <w:rFonts w:ascii="Calibri" w:hAnsi="Calibri"/>
          <w:sz w:val="24"/>
        </w:rPr>
      </w:pPr>
      <w:r>
        <w:rPr>
          <w:rFonts w:ascii="Calibri" w:hAnsi="Calibri"/>
          <w:sz w:val="24"/>
        </w:rPr>
        <w:t>Providing information on</w:t>
      </w:r>
      <w:r w:rsidRPr="00F956C9">
        <w:rPr>
          <w:rFonts w:ascii="Calibri" w:hAnsi="Calibri"/>
          <w:sz w:val="24"/>
        </w:rPr>
        <w:t xml:space="preserve"> ongoing REDD+ activities</w:t>
      </w:r>
      <w:r>
        <w:rPr>
          <w:rFonts w:ascii="Calibri" w:hAnsi="Calibri"/>
          <w:sz w:val="24"/>
        </w:rPr>
        <w:t xml:space="preserve"> within their Ministries and </w:t>
      </w:r>
      <w:r w:rsidR="00211D3C">
        <w:rPr>
          <w:rFonts w:ascii="Calibri" w:hAnsi="Calibri"/>
          <w:sz w:val="24"/>
        </w:rPr>
        <w:t xml:space="preserve">line </w:t>
      </w:r>
      <w:r>
        <w:rPr>
          <w:rFonts w:ascii="Calibri" w:hAnsi="Calibri"/>
          <w:sz w:val="24"/>
        </w:rPr>
        <w:t>agencies</w:t>
      </w:r>
    </w:p>
    <w:p w:rsidR="00D654C7" w:rsidRPr="00F956C9" w:rsidRDefault="00D654C7" w:rsidP="00C30584">
      <w:pPr>
        <w:numPr>
          <w:ilvl w:val="0"/>
          <w:numId w:val="6"/>
        </w:numPr>
        <w:jc w:val="both"/>
        <w:rPr>
          <w:rFonts w:ascii="Calibri" w:hAnsi="Calibri"/>
          <w:sz w:val="24"/>
        </w:rPr>
      </w:pPr>
      <w:r>
        <w:rPr>
          <w:rFonts w:ascii="Calibri" w:hAnsi="Calibri"/>
          <w:sz w:val="24"/>
        </w:rPr>
        <w:t>Participating</w:t>
      </w:r>
      <w:r w:rsidRPr="00F956C9">
        <w:rPr>
          <w:rFonts w:ascii="Calibri" w:hAnsi="Calibri"/>
          <w:sz w:val="24"/>
        </w:rPr>
        <w:t xml:space="preserve"> in </w:t>
      </w:r>
      <w:r w:rsidR="00211D3C">
        <w:rPr>
          <w:rFonts w:ascii="Calibri" w:hAnsi="Calibri"/>
          <w:sz w:val="24"/>
        </w:rPr>
        <w:t xml:space="preserve">national and international </w:t>
      </w:r>
      <w:r w:rsidRPr="00F956C9">
        <w:rPr>
          <w:rFonts w:ascii="Calibri" w:hAnsi="Calibri"/>
          <w:sz w:val="24"/>
        </w:rPr>
        <w:t>trainings</w:t>
      </w:r>
      <w:r w:rsidR="00211D3C">
        <w:rPr>
          <w:rFonts w:ascii="Calibri" w:hAnsi="Calibri"/>
          <w:sz w:val="24"/>
        </w:rPr>
        <w:t xml:space="preserve"> and</w:t>
      </w:r>
      <w:r w:rsidRPr="00F956C9">
        <w:rPr>
          <w:rFonts w:ascii="Calibri" w:hAnsi="Calibri"/>
          <w:sz w:val="24"/>
        </w:rPr>
        <w:t xml:space="preserve"> meetings on REDD+</w:t>
      </w:r>
      <w:r w:rsidR="00B01609">
        <w:rPr>
          <w:rFonts w:ascii="Calibri" w:hAnsi="Calibri"/>
          <w:sz w:val="24"/>
        </w:rPr>
        <w:t xml:space="preserve"> as </w:t>
      </w:r>
      <w:proofErr w:type="spellStart"/>
      <w:r w:rsidR="00B01609">
        <w:rPr>
          <w:rFonts w:ascii="Calibri" w:hAnsi="Calibri"/>
          <w:sz w:val="24"/>
        </w:rPr>
        <w:t>appropiate</w:t>
      </w:r>
      <w:proofErr w:type="spellEnd"/>
    </w:p>
    <w:p w:rsidR="00D654C7" w:rsidRPr="00F956C9" w:rsidRDefault="00D654C7" w:rsidP="008E7078">
      <w:pPr>
        <w:numPr>
          <w:ilvl w:val="0"/>
          <w:numId w:val="6"/>
        </w:numPr>
        <w:jc w:val="both"/>
        <w:rPr>
          <w:rFonts w:ascii="Calibri" w:hAnsi="Calibri"/>
          <w:sz w:val="24"/>
        </w:rPr>
      </w:pPr>
      <w:r w:rsidRPr="00F956C9">
        <w:rPr>
          <w:rFonts w:ascii="Calibri" w:hAnsi="Calibri"/>
          <w:sz w:val="24"/>
        </w:rPr>
        <w:t>Coordi</w:t>
      </w:r>
      <w:r>
        <w:rPr>
          <w:rFonts w:ascii="Calibri" w:hAnsi="Calibri"/>
          <w:sz w:val="24"/>
        </w:rPr>
        <w:t>nating</w:t>
      </w:r>
      <w:r w:rsidRPr="00F956C9">
        <w:rPr>
          <w:rFonts w:ascii="Calibri" w:hAnsi="Calibri"/>
          <w:sz w:val="24"/>
        </w:rPr>
        <w:t xml:space="preserve"> </w:t>
      </w:r>
      <w:r>
        <w:rPr>
          <w:rFonts w:ascii="Calibri" w:hAnsi="Calibri"/>
          <w:sz w:val="24"/>
        </w:rPr>
        <w:t>and liaising</w:t>
      </w:r>
      <w:r w:rsidRPr="00F956C9">
        <w:rPr>
          <w:rFonts w:ascii="Calibri" w:hAnsi="Calibri"/>
          <w:sz w:val="24"/>
        </w:rPr>
        <w:t xml:space="preserve"> with development partners and activities by NGOs</w:t>
      </w:r>
    </w:p>
    <w:p w:rsidR="00D654C7" w:rsidRPr="00F956C9" w:rsidRDefault="00D654C7" w:rsidP="008E7078">
      <w:pPr>
        <w:numPr>
          <w:ilvl w:val="0"/>
          <w:numId w:val="6"/>
        </w:numPr>
        <w:jc w:val="both"/>
        <w:rPr>
          <w:rFonts w:ascii="Calibri" w:hAnsi="Calibri"/>
          <w:sz w:val="24"/>
        </w:rPr>
      </w:pPr>
      <w:r>
        <w:rPr>
          <w:rFonts w:ascii="Calibri" w:hAnsi="Calibri"/>
          <w:sz w:val="24"/>
        </w:rPr>
        <w:t>Discussing and coordinating</w:t>
      </w:r>
      <w:r w:rsidRPr="00F956C9">
        <w:rPr>
          <w:rFonts w:ascii="Calibri" w:hAnsi="Calibri"/>
          <w:sz w:val="24"/>
        </w:rPr>
        <w:t xml:space="preserve"> actions relating to FLEGT issues</w:t>
      </w:r>
    </w:p>
    <w:p w:rsidR="00D654C7" w:rsidRPr="00F956C9" w:rsidRDefault="00D654C7" w:rsidP="00B01609">
      <w:pPr>
        <w:numPr>
          <w:ilvl w:val="0"/>
          <w:numId w:val="6"/>
        </w:numPr>
        <w:jc w:val="both"/>
        <w:rPr>
          <w:rFonts w:ascii="Calibri" w:hAnsi="Calibri"/>
          <w:sz w:val="24"/>
        </w:rPr>
      </w:pPr>
      <w:r w:rsidRPr="00F956C9">
        <w:rPr>
          <w:rFonts w:ascii="Calibri" w:hAnsi="Calibri"/>
          <w:sz w:val="24"/>
        </w:rPr>
        <w:t>Address</w:t>
      </w:r>
      <w:r>
        <w:rPr>
          <w:rFonts w:ascii="Calibri" w:hAnsi="Calibri"/>
          <w:sz w:val="24"/>
        </w:rPr>
        <w:t>ing</w:t>
      </w:r>
      <w:r w:rsidRPr="00F956C9">
        <w:rPr>
          <w:rFonts w:ascii="Calibri" w:hAnsi="Calibri"/>
          <w:sz w:val="24"/>
        </w:rPr>
        <w:t xml:space="preserve"> any conflicts that occur within the REDD+ development process</w:t>
      </w:r>
    </w:p>
    <w:p w:rsidR="00D654C7" w:rsidRDefault="00D654C7" w:rsidP="00B01609">
      <w:pPr>
        <w:jc w:val="both"/>
        <w:rPr>
          <w:rFonts w:ascii="Calibri" w:hAnsi="Calibri"/>
          <w:sz w:val="24"/>
        </w:rPr>
      </w:pPr>
    </w:p>
    <w:p w:rsidR="00000000" w:rsidRDefault="00E74848">
      <w:pPr>
        <w:jc w:val="both"/>
        <w:rPr>
          <w:rFonts w:ascii="Calibri" w:hAnsi="Calibri"/>
          <w:sz w:val="24"/>
        </w:rPr>
      </w:pPr>
    </w:p>
    <w:p w:rsidR="00000000" w:rsidRDefault="00D654C7">
      <w:pPr>
        <w:jc w:val="both"/>
        <w:outlineLvl w:val="0"/>
        <w:rPr>
          <w:rFonts w:ascii="Calibri" w:hAnsi="Calibri"/>
          <w:b/>
          <w:sz w:val="24"/>
        </w:rPr>
      </w:pPr>
      <w:r w:rsidRPr="00F956C9">
        <w:rPr>
          <w:rFonts w:ascii="Calibri" w:hAnsi="Calibri"/>
          <w:b/>
          <w:sz w:val="24"/>
        </w:rPr>
        <w:t>6. Reporting</w:t>
      </w:r>
    </w:p>
    <w:p w:rsidR="00000000" w:rsidRDefault="00E74848">
      <w:pPr>
        <w:jc w:val="both"/>
        <w:rPr>
          <w:rFonts w:ascii="Calibri" w:hAnsi="Calibri"/>
          <w:sz w:val="24"/>
        </w:rPr>
      </w:pPr>
    </w:p>
    <w:p w:rsidR="00000000" w:rsidRDefault="00D654C7">
      <w:pPr>
        <w:jc w:val="both"/>
        <w:rPr>
          <w:rFonts w:ascii="Calibri" w:hAnsi="Calibri"/>
          <w:sz w:val="24"/>
        </w:rPr>
      </w:pPr>
      <w:r w:rsidRPr="00F956C9">
        <w:rPr>
          <w:rFonts w:ascii="Calibri" w:hAnsi="Calibri"/>
          <w:sz w:val="24"/>
        </w:rPr>
        <w:t xml:space="preserve">Taskforce members are responsible for reporting to and consulting with their respective line agencies. Members can request additional time on specific issues if they feel it is of high importance to their line agency and further discussion is needed. </w:t>
      </w:r>
    </w:p>
    <w:p w:rsidR="00000000" w:rsidRDefault="00E74848">
      <w:pPr>
        <w:jc w:val="both"/>
        <w:rPr>
          <w:rFonts w:ascii="Calibri" w:hAnsi="Calibri"/>
          <w:sz w:val="24"/>
        </w:rPr>
      </w:pPr>
    </w:p>
    <w:p w:rsidR="00000000" w:rsidRDefault="00D654C7">
      <w:pPr>
        <w:pStyle w:val="NoSpacing"/>
        <w:jc w:val="both"/>
        <w:rPr>
          <w:sz w:val="24"/>
          <w:szCs w:val="24"/>
        </w:rPr>
      </w:pPr>
      <w:r w:rsidRPr="00F956C9">
        <w:rPr>
          <w:sz w:val="24"/>
          <w:szCs w:val="24"/>
        </w:rPr>
        <w:t xml:space="preserve">The Taskforce sends reports to the National Climate Change Committee (NCCC), as the main coordination mechanism on climate change. </w:t>
      </w:r>
    </w:p>
    <w:p w:rsidR="00000000" w:rsidRDefault="00D654C7">
      <w:pPr>
        <w:pStyle w:val="NoSpacing"/>
        <w:jc w:val="both"/>
        <w:rPr>
          <w:sz w:val="24"/>
          <w:szCs w:val="24"/>
        </w:rPr>
      </w:pPr>
      <w:r w:rsidRPr="00F956C9">
        <w:rPr>
          <w:sz w:val="24"/>
          <w:szCs w:val="24"/>
        </w:rPr>
        <w:t xml:space="preserve">For </w:t>
      </w:r>
      <w:r w:rsidR="00B01609">
        <w:rPr>
          <w:sz w:val="24"/>
          <w:szCs w:val="24"/>
        </w:rPr>
        <w:t xml:space="preserve">all Taskforce members </w:t>
      </w:r>
      <w:proofErr w:type="spellStart"/>
      <w:r w:rsidRPr="00F956C9">
        <w:rPr>
          <w:sz w:val="24"/>
          <w:szCs w:val="24"/>
        </w:rPr>
        <w:t>sectoral</w:t>
      </w:r>
      <w:proofErr w:type="spellEnd"/>
      <w:r w:rsidRPr="00F956C9">
        <w:rPr>
          <w:sz w:val="24"/>
          <w:szCs w:val="24"/>
        </w:rPr>
        <w:t xml:space="preserve"> coordination will happen</w:t>
      </w:r>
      <w:r>
        <w:rPr>
          <w:sz w:val="24"/>
          <w:szCs w:val="24"/>
        </w:rPr>
        <w:t xml:space="preserve"> through the</w:t>
      </w:r>
      <w:r w:rsidR="00B01609">
        <w:rPr>
          <w:sz w:val="24"/>
          <w:szCs w:val="24"/>
        </w:rPr>
        <w:t>ir relevant TWGs.</w:t>
      </w:r>
      <w:r w:rsidRPr="00F956C9">
        <w:rPr>
          <w:sz w:val="24"/>
          <w:szCs w:val="24"/>
        </w:rPr>
        <w:t xml:space="preserve"> Other TWGs ma</w:t>
      </w:r>
      <w:r>
        <w:rPr>
          <w:sz w:val="24"/>
          <w:szCs w:val="24"/>
        </w:rPr>
        <w:t>y be informed as appropriate.</w:t>
      </w:r>
    </w:p>
    <w:p w:rsidR="00000000" w:rsidRDefault="00E74848">
      <w:pPr>
        <w:jc w:val="both"/>
        <w:outlineLvl w:val="0"/>
        <w:rPr>
          <w:rFonts w:ascii="Calibri" w:hAnsi="Calibri"/>
          <w:sz w:val="24"/>
        </w:rPr>
      </w:pPr>
    </w:p>
    <w:p w:rsidR="00000000" w:rsidRDefault="00D654C7">
      <w:pPr>
        <w:jc w:val="both"/>
        <w:outlineLvl w:val="0"/>
        <w:rPr>
          <w:rFonts w:ascii="Calibri" w:hAnsi="Calibri"/>
          <w:b/>
          <w:sz w:val="24"/>
        </w:rPr>
      </w:pPr>
      <w:r w:rsidRPr="00F956C9">
        <w:rPr>
          <w:rFonts w:ascii="Calibri" w:hAnsi="Calibri"/>
          <w:b/>
          <w:sz w:val="24"/>
        </w:rPr>
        <w:t>7. Duration and timing</w:t>
      </w:r>
    </w:p>
    <w:p w:rsidR="00000000" w:rsidRDefault="00D654C7">
      <w:pPr>
        <w:jc w:val="both"/>
        <w:rPr>
          <w:rFonts w:ascii="Calibri" w:hAnsi="Calibri"/>
          <w:sz w:val="24"/>
        </w:rPr>
      </w:pPr>
      <w:r w:rsidRPr="00F956C9">
        <w:rPr>
          <w:rFonts w:ascii="Calibri" w:hAnsi="Calibri"/>
          <w:sz w:val="24"/>
        </w:rPr>
        <w:t>It is expected that members wi</w:t>
      </w:r>
      <w:r>
        <w:rPr>
          <w:rFonts w:ascii="Calibri" w:hAnsi="Calibri"/>
          <w:sz w:val="24"/>
        </w:rPr>
        <w:t>ll be required to work between 3 and 5</w:t>
      </w:r>
      <w:r w:rsidRPr="00F956C9">
        <w:rPr>
          <w:rFonts w:ascii="Calibri" w:hAnsi="Calibri"/>
          <w:sz w:val="24"/>
        </w:rPr>
        <w:t xml:space="preserve"> days per month, depending on activities.</w:t>
      </w:r>
    </w:p>
    <w:p w:rsidR="00D654C7" w:rsidRPr="00F956C9" w:rsidRDefault="00D654C7" w:rsidP="00BC0AC4">
      <w:pPr>
        <w:jc w:val="both"/>
        <w:rPr>
          <w:rFonts w:ascii="Calibri" w:hAnsi="Calibri"/>
          <w:sz w:val="24"/>
        </w:rPr>
      </w:pPr>
    </w:p>
    <w:p w:rsidR="00D654C7" w:rsidRPr="00F956C9" w:rsidRDefault="00D654C7" w:rsidP="00BC0AC4">
      <w:pPr>
        <w:jc w:val="both"/>
        <w:outlineLvl w:val="0"/>
        <w:rPr>
          <w:rFonts w:ascii="Calibri" w:hAnsi="Calibri"/>
          <w:b/>
          <w:sz w:val="24"/>
        </w:rPr>
      </w:pPr>
      <w:r w:rsidRPr="00F956C9">
        <w:rPr>
          <w:rFonts w:ascii="Calibri" w:hAnsi="Calibri"/>
          <w:b/>
          <w:sz w:val="24"/>
        </w:rPr>
        <w:t>8. Funding</w:t>
      </w:r>
    </w:p>
    <w:p w:rsidR="00D654C7" w:rsidRDefault="00D654C7" w:rsidP="00BC0AC4">
      <w:pPr>
        <w:pStyle w:val="NoSpacing"/>
        <w:jc w:val="both"/>
        <w:rPr>
          <w:sz w:val="24"/>
          <w:szCs w:val="24"/>
        </w:rPr>
      </w:pPr>
      <w:r w:rsidRPr="00F956C9">
        <w:rPr>
          <w:sz w:val="24"/>
          <w:szCs w:val="24"/>
        </w:rPr>
        <w:t xml:space="preserve">Financial support will be provided to cover expenses incurred during the implementation of tasks related to the role. </w:t>
      </w:r>
    </w:p>
    <w:p w:rsidR="00D654C7" w:rsidRPr="00F956C9" w:rsidRDefault="00D654C7" w:rsidP="00BC0AC4">
      <w:pPr>
        <w:widowControl w:val="0"/>
        <w:autoSpaceDE w:val="0"/>
        <w:autoSpaceDN w:val="0"/>
        <w:adjustRightInd w:val="0"/>
        <w:jc w:val="both"/>
        <w:rPr>
          <w:rFonts w:ascii="Calibri" w:hAnsi="Calibri" w:cs="Verdana"/>
          <w:sz w:val="24"/>
        </w:rPr>
      </w:pPr>
    </w:p>
    <w:p w:rsidR="00FA319E" w:rsidRDefault="00FA319E" w:rsidP="00BC0AC4">
      <w:pPr>
        <w:jc w:val="both"/>
        <w:rPr>
          <w:rFonts w:cstheme="minorBidi"/>
          <w:sz w:val="24"/>
        </w:rPr>
      </w:pPr>
    </w:p>
    <w:sectPr w:rsidR="00FA319E" w:rsidSect="000352D3">
      <w:pgSz w:w="11907" w:h="16840" w:code="9"/>
      <w:pgMar w:top="720" w:right="1138" w:bottom="720" w:left="1411"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iacomo Fedele" w:date="2012-08-24T10:05:00Z" w:initials="GF">
    <w:p w:rsidR="00BC0AC4" w:rsidRDefault="00BC0AC4">
      <w:pPr>
        <w:pStyle w:val="CommentText"/>
      </w:pPr>
      <w:r>
        <w:rPr>
          <w:rStyle w:val="CommentReference"/>
        </w:rPr>
        <w:annotationRef/>
      </w:r>
      <w:r>
        <w:t>Role of the Technical Team on Projects (to be moved down in the list)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48" w:rsidRDefault="00E74848" w:rsidP="00FB4FF4">
      <w:r>
        <w:separator/>
      </w:r>
    </w:p>
  </w:endnote>
  <w:endnote w:type="continuationSeparator" w:id="0">
    <w:p w:rsidR="00E74848" w:rsidRDefault="00E74848" w:rsidP="00FB4FF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DaunPenh">
    <w:panose1 w:val="01010101010101010101"/>
    <w:charset w:val="00"/>
    <w:family w:val="auto"/>
    <w:pitch w:val="variable"/>
    <w:sig w:usb0="0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48" w:rsidRDefault="00E74848" w:rsidP="00FB4FF4">
      <w:r>
        <w:separator/>
      </w:r>
    </w:p>
  </w:footnote>
  <w:footnote w:type="continuationSeparator" w:id="0">
    <w:p w:rsidR="00E74848" w:rsidRDefault="00E74848" w:rsidP="00FB4FF4">
      <w:r>
        <w:continuationSeparator/>
      </w:r>
    </w:p>
  </w:footnote>
  <w:footnote w:id="1">
    <w:p w:rsidR="00B01609" w:rsidRDefault="00B01609">
      <w:pPr>
        <w:pStyle w:val="FootnoteText"/>
      </w:pPr>
      <w:r>
        <w:rPr>
          <w:rStyle w:val="FootnoteReference"/>
        </w:rPr>
        <w:footnoteRef/>
      </w:r>
      <w:r>
        <w:t xml:space="preserve"> What is this</w:t>
      </w:r>
    </w:p>
  </w:footnote>
  <w:footnote w:id="2">
    <w:p w:rsidR="00B01609" w:rsidRDefault="00B01609">
      <w:pPr>
        <w:pStyle w:val="FootnoteText"/>
      </w:pPr>
      <w:r>
        <w:rPr>
          <w:rStyle w:val="FootnoteReference"/>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90502"/>
    <w:multiLevelType w:val="hybridMultilevel"/>
    <w:tmpl w:val="BF301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045D69"/>
    <w:multiLevelType w:val="hybridMultilevel"/>
    <w:tmpl w:val="27D2003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350723E"/>
    <w:multiLevelType w:val="hybridMultilevel"/>
    <w:tmpl w:val="E9F0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7F5E96"/>
    <w:multiLevelType w:val="hybridMultilevel"/>
    <w:tmpl w:val="C4E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803184"/>
    <w:multiLevelType w:val="hybridMultilevel"/>
    <w:tmpl w:val="B08ED3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B742EC"/>
    <w:multiLevelType w:val="hybridMultilevel"/>
    <w:tmpl w:val="94528B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noPunctuationKerning/>
  <w:characterSpacingControl w:val="doNotCompress"/>
  <w:footnotePr>
    <w:footnote w:id="-1"/>
    <w:footnote w:id="0"/>
  </w:footnotePr>
  <w:endnotePr>
    <w:endnote w:id="-1"/>
    <w:endnote w:id="0"/>
  </w:endnotePr>
  <w:compat/>
  <w:rsids>
    <w:rsidRoot w:val="006B0338"/>
    <w:rsid w:val="00004141"/>
    <w:rsid w:val="000352D3"/>
    <w:rsid w:val="000379DC"/>
    <w:rsid w:val="00061EC8"/>
    <w:rsid w:val="000748F4"/>
    <w:rsid w:val="00074EB5"/>
    <w:rsid w:val="00095ED7"/>
    <w:rsid w:val="000B3C8B"/>
    <w:rsid w:val="000B50AC"/>
    <w:rsid w:val="000C45AE"/>
    <w:rsid w:val="000D245D"/>
    <w:rsid w:val="000E7CB3"/>
    <w:rsid w:val="000F0D51"/>
    <w:rsid w:val="000F0EC8"/>
    <w:rsid w:val="000F25FD"/>
    <w:rsid w:val="000F5E86"/>
    <w:rsid w:val="00102AC2"/>
    <w:rsid w:val="00122312"/>
    <w:rsid w:val="0014245E"/>
    <w:rsid w:val="0017031D"/>
    <w:rsid w:val="00173887"/>
    <w:rsid w:val="00174EC7"/>
    <w:rsid w:val="001874B5"/>
    <w:rsid w:val="00197BAA"/>
    <w:rsid w:val="00211D3C"/>
    <w:rsid w:val="00213AE6"/>
    <w:rsid w:val="002142E5"/>
    <w:rsid w:val="002159E3"/>
    <w:rsid w:val="00233D0C"/>
    <w:rsid w:val="00252321"/>
    <w:rsid w:val="002626F1"/>
    <w:rsid w:val="00294F51"/>
    <w:rsid w:val="002A55AA"/>
    <w:rsid w:val="002B1B7A"/>
    <w:rsid w:val="002B537F"/>
    <w:rsid w:val="002C48F4"/>
    <w:rsid w:val="002D2681"/>
    <w:rsid w:val="002D4A70"/>
    <w:rsid w:val="002F6DF3"/>
    <w:rsid w:val="003125D5"/>
    <w:rsid w:val="003148D4"/>
    <w:rsid w:val="003245ED"/>
    <w:rsid w:val="00330DD3"/>
    <w:rsid w:val="00350A60"/>
    <w:rsid w:val="00355D46"/>
    <w:rsid w:val="00371878"/>
    <w:rsid w:val="00382114"/>
    <w:rsid w:val="00390BE2"/>
    <w:rsid w:val="003A0434"/>
    <w:rsid w:val="003A117E"/>
    <w:rsid w:val="003B0851"/>
    <w:rsid w:val="003B39C5"/>
    <w:rsid w:val="003C3DA4"/>
    <w:rsid w:val="003E2268"/>
    <w:rsid w:val="004012F3"/>
    <w:rsid w:val="00410DD2"/>
    <w:rsid w:val="004128BE"/>
    <w:rsid w:val="00441757"/>
    <w:rsid w:val="00444AB1"/>
    <w:rsid w:val="00476B81"/>
    <w:rsid w:val="004917B1"/>
    <w:rsid w:val="004D4483"/>
    <w:rsid w:val="004D672F"/>
    <w:rsid w:val="004E4514"/>
    <w:rsid w:val="00504361"/>
    <w:rsid w:val="00514F3C"/>
    <w:rsid w:val="0054257D"/>
    <w:rsid w:val="00545755"/>
    <w:rsid w:val="005905BD"/>
    <w:rsid w:val="0059505D"/>
    <w:rsid w:val="00595D4A"/>
    <w:rsid w:val="005B4942"/>
    <w:rsid w:val="005C5100"/>
    <w:rsid w:val="005D4488"/>
    <w:rsid w:val="005F7E63"/>
    <w:rsid w:val="006114F3"/>
    <w:rsid w:val="0061269F"/>
    <w:rsid w:val="0061672C"/>
    <w:rsid w:val="00626A80"/>
    <w:rsid w:val="00626F22"/>
    <w:rsid w:val="00662149"/>
    <w:rsid w:val="00665602"/>
    <w:rsid w:val="00685437"/>
    <w:rsid w:val="0069150A"/>
    <w:rsid w:val="00693088"/>
    <w:rsid w:val="006B0338"/>
    <w:rsid w:val="006C539F"/>
    <w:rsid w:val="006F757F"/>
    <w:rsid w:val="007248C0"/>
    <w:rsid w:val="00751FDA"/>
    <w:rsid w:val="00753D04"/>
    <w:rsid w:val="007541BF"/>
    <w:rsid w:val="00762FB1"/>
    <w:rsid w:val="00763335"/>
    <w:rsid w:val="007708FF"/>
    <w:rsid w:val="00776583"/>
    <w:rsid w:val="007779E1"/>
    <w:rsid w:val="007933F8"/>
    <w:rsid w:val="007A6D13"/>
    <w:rsid w:val="007C6C33"/>
    <w:rsid w:val="007C757E"/>
    <w:rsid w:val="007D2DE4"/>
    <w:rsid w:val="007D5762"/>
    <w:rsid w:val="007F7A5B"/>
    <w:rsid w:val="0080327C"/>
    <w:rsid w:val="008333FB"/>
    <w:rsid w:val="00845084"/>
    <w:rsid w:val="008469BD"/>
    <w:rsid w:val="00855877"/>
    <w:rsid w:val="00856A60"/>
    <w:rsid w:val="008709D6"/>
    <w:rsid w:val="00887319"/>
    <w:rsid w:val="00897B17"/>
    <w:rsid w:val="008B0C85"/>
    <w:rsid w:val="008C12FC"/>
    <w:rsid w:val="008C1DF7"/>
    <w:rsid w:val="008E587B"/>
    <w:rsid w:val="008E7078"/>
    <w:rsid w:val="008F35B0"/>
    <w:rsid w:val="00902985"/>
    <w:rsid w:val="009126CA"/>
    <w:rsid w:val="00914017"/>
    <w:rsid w:val="009201DE"/>
    <w:rsid w:val="009271A0"/>
    <w:rsid w:val="0093440C"/>
    <w:rsid w:val="00940D8B"/>
    <w:rsid w:val="00940DD7"/>
    <w:rsid w:val="00973007"/>
    <w:rsid w:val="00994DCD"/>
    <w:rsid w:val="009972CD"/>
    <w:rsid w:val="009D2312"/>
    <w:rsid w:val="00A057D1"/>
    <w:rsid w:val="00A235F0"/>
    <w:rsid w:val="00A53741"/>
    <w:rsid w:val="00A92362"/>
    <w:rsid w:val="00AA605E"/>
    <w:rsid w:val="00AB4ABE"/>
    <w:rsid w:val="00AC4940"/>
    <w:rsid w:val="00AF0F70"/>
    <w:rsid w:val="00AF2F7F"/>
    <w:rsid w:val="00AF3DE3"/>
    <w:rsid w:val="00B01609"/>
    <w:rsid w:val="00B0245C"/>
    <w:rsid w:val="00B03FFF"/>
    <w:rsid w:val="00B107CA"/>
    <w:rsid w:val="00B10EB7"/>
    <w:rsid w:val="00B13E52"/>
    <w:rsid w:val="00B248D7"/>
    <w:rsid w:val="00B24B77"/>
    <w:rsid w:val="00B37875"/>
    <w:rsid w:val="00B4586D"/>
    <w:rsid w:val="00B46E49"/>
    <w:rsid w:val="00B728AB"/>
    <w:rsid w:val="00B7375A"/>
    <w:rsid w:val="00B9373F"/>
    <w:rsid w:val="00BA2233"/>
    <w:rsid w:val="00BA79DD"/>
    <w:rsid w:val="00BC0AC4"/>
    <w:rsid w:val="00BD719B"/>
    <w:rsid w:val="00BF45F0"/>
    <w:rsid w:val="00C0626E"/>
    <w:rsid w:val="00C0743B"/>
    <w:rsid w:val="00C12AE2"/>
    <w:rsid w:val="00C30584"/>
    <w:rsid w:val="00C513D7"/>
    <w:rsid w:val="00C74DA7"/>
    <w:rsid w:val="00CD7AAA"/>
    <w:rsid w:val="00CE2435"/>
    <w:rsid w:val="00CE425D"/>
    <w:rsid w:val="00CF4A0E"/>
    <w:rsid w:val="00D02AE2"/>
    <w:rsid w:val="00D439B1"/>
    <w:rsid w:val="00D43FB8"/>
    <w:rsid w:val="00D654C7"/>
    <w:rsid w:val="00DB67B2"/>
    <w:rsid w:val="00DF7404"/>
    <w:rsid w:val="00E078E5"/>
    <w:rsid w:val="00E56E2E"/>
    <w:rsid w:val="00E63071"/>
    <w:rsid w:val="00E65757"/>
    <w:rsid w:val="00E66D8C"/>
    <w:rsid w:val="00E71056"/>
    <w:rsid w:val="00E716DA"/>
    <w:rsid w:val="00E7353A"/>
    <w:rsid w:val="00E74848"/>
    <w:rsid w:val="00E77245"/>
    <w:rsid w:val="00E846CB"/>
    <w:rsid w:val="00EA7F8F"/>
    <w:rsid w:val="00ED3677"/>
    <w:rsid w:val="00ED6DCF"/>
    <w:rsid w:val="00EF28A5"/>
    <w:rsid w:val="00F05E47"/>
    <w:rsid w:val="00F11298"/>
    <w:rsid w:val="00F35990"/>
    <w:rsid w:val="00F45316"/>
    <w:rsid w:val="00F51395"/>
    <w:rsid w:val="00F970FF"/>
    <w:rsid w:val="00FA319E"/>
    <w:rsid w:val="00FA426D"/>
    <w:rsid w:val="00FB14C1"/>
    <w:rsid w:val="00FB4FF4"/>
    <w:rsid w:val="00FB7385"/>
    <w:rsid w:val="00FD2813"/>
    <w:rsid w:val="00FD310B"/>
    <w:rsid w:val="00FE6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HAnsi"/>
        <w:sz w:val="22"/>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F4"/>
    <w:pPr>
      <w:tabs>
        <w:tab w:val="center" w:pos="4680"/>
        <w:tab w:val="right" w:pos="9360"/>
      </w:tabs>
    </w:pPr>
  </w:style>
  <w:style w:type="character" w:customStyle="1" w:styleId="HeaderChar">
    <w:name w:val="Header Char"/>
    <w:basedOn w:val="DefaultParagraphFont"/>
    <w:link w:val="Header"/>
    <w:uiPriority w:val="99"/>
    <w:rsid w:val="00FB4FF4"/>
  </w:style>
  <w:style w:type="paragraph" w:styleId="Footer">
    <w:name w:val="footer"/>
    <w:basedOn w:val="Normal"/>
    <w:link w:val="FooterChar"/>
    <w:uiPriority w:val="99"/>
    <w:unhideWhenUsed/>
    <w:rsid w:val="00FB4FF4"/>
    <w:pPr>
      <w:tabs>
        <w:tab w:val="center" w:pos="4680"/>
        <w:tab w:val="right" w:pos="9360"/>
      </w:tabs>
    </w:pPr>
  </w:style>
  <w:style w:type="character" w:customStyle="1" w:styleId="FooterChar">
    <w:name w:val="Footer Char"/>
    <w:basedOn w:val="DefaultParagraphFont"/>
    <w:link w:val="Footer"/>
    <w:uiPriority w:val="99"/>
    <w:rsid w:val="00FB4FF4"/>
  </w:style>
  <w:style w:type="character" w:styleId="Hyperlink">
    <w:name w:val="Hyperlink"/>
    <w:basedOn w:val="DefaultParagraphFont"/>
    <w:uiPriority w:val="99"/>
    <w:semiHidden/>
    <w:unhideWhenUsed/>
    <w:rsid w:val="00FB4FF4"/>
    <w:rPr>
      <w:color w:val="0000FF" w:themeColor="hyperlink"/>
      <w:u w:val="single"/>
    </w:rPr>
  </w:style>
  <w:style w:type="table" w:styleId="TableGrid">
    <w:name w:val="Table Grid"/>
    <w:basedOn w:val="TableNormal"/>
    <w:uiPriority w:val="59"/>
    <w:rsid w:val="00940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2114"/>
    <w:pPr>
      <w:ind w:left="720"/>
      <w:contextualSpacing/>
    </w:pPr>
  </w:style>
  <w:style w:type="paragraph" w:styleId="BalloonText">
    <w:name w:val="Balloon Text"/>
    <w:basedOn w:val="Normal"/>
    <w:link w:val="BalloonTextChar"/>
    <w:uiPriority w:val="99"/>
    <w:semiHidden/>
    <w:unhideWhenUsed/>
    <w:rsid w:val="00514F3C"/>
    <w:rPr>
      <w:rFonts w:ascii="Tahoma" w:hAnsi="Tahoma" w:cs="Tahoma"/>
      <w:sz w:val="16"/>
      <w:szCs w:val="26"/>
    </w:rPr>
  </w:style>
  <w:style w:type="character" w:customStyle="1" w:styleId="BalloonTextChar">
    <w:name w:val="Balloon Text Char"/>
    <w:basedOn w:val="DefaultParagraphFont"/>
    <w:link w:val="BalloonText"/>
    <w:uiPriority w:val="99"/>
    <w:semiHidden/>
    <w:rsid w:val="00514F3C"/>
    <w:rPr>
      <w:rFonts w:ascii="Tahoma" w:hAnsi="Tahoma" w:cs="Tahoma"/>
      <w:sz w:val="16"/>
      <w:szCs w:val="26"/>
    </w:rPr>
  </w:style>
  <w:style w:type="paragraph" w:styleId="FootnoteText">
    <w:name w:val="footnote text"/>
    <w:basedOn w:val="Normal"/>
    <w:link w:val="FootnoteTextChar"/>
    <w:uiPriority w:val="99"/>
    <w:semiHidden/>
    <w:unhideWhenUsed/>
    <w:rsid w:val="00CF4A0E"/>
    <w:rPr>
      <w:sz w:val="20"/>
      <w:szCs w:val="32"/>
    </w:rPr>
  </w:style>
  <w:style w:type="character" w:customStyle="1" w:styleId="FootnoteTextChar">
    <w:name w:val="Footnote Text Char"/>
    <w:basedOn w:val="DefaultParagraphFont"/>
    <w:link w:val="FootnoteText"/>
    <w:uiPriority w:val="99"/>
    <w:semiHidden/>
    <w:rsid w:val="00CF4A0E"/>
    <w:rPr>
      <w:sz w:val="20"/>
      <w:szCs w:val="32"/>
    </w:rPr>
  </w:style>
  <w:style w:type="character" w:styleId="FootnoteReference">
    <w:name w:val="footnote reference"/>
    <w:basedOn w:val="DefaultParagraphFont"/>
    <w:uiPriority w:val="99"/>
    <w:semiHidden/>
    <w:unhideWhenUsed/>
    <w:rsid w:val="00CF4A0E"/>
    <w:rPr>
      <w:vertAlign w:val="superscript"/>
    </w:rPr>
  </w:style>
  <w:style w:type="paragraph" w:styleId="NoSpacing">
    <w:name w:val="No Spacing"/>
    <w:uiPriority w:val="1"/>
    <w:qFormat/>
    <w:rsid w:val="00D654C7"/>
    <w:rPr>
      <w:rFonts w:ascii="Calibri" w:eastAsia="Calibri" w:hAnsi="Calibri" w:cs="Times New Roman"/>
      <w:szCs w:val="22"/>
      <w:lang w:val="en-GB" w:bidi="ar-SA"/>
    </w:rPr>
  </w:style>
  <w:style w:type="character" w:styleId="CommentReference">
    <w:name w:val="annotation reference"/>
    <w:basedOn w:val="DefaultParagraphFont"/>
    <w:uiPriority w:val="99"/>
    <w:semiHidden/>
    <w:unhideWhenUsed/>
    <w:rsid w:val="00BC0AC4"/>
    <w:rPr>
      <w:sz w:val="16"/>
      <w:szCs w:val="16"/>
    </w:rPr>
  </w:style>
  <w:style w:type="paragraph" w:styleId="CommentText">
    <w:name w:val="annotation text"/>
    <w:basedOn w:val="Normal"/>
    <w:link w:val="CommentTextChar"/>
    <w:uiPriority w:val="99"/>
    <w:semiHidden/>
    <w:unhideWhenUsed/>
    <w:rsid w:val="00BC0AC4"/>
    <w:rPr>
      <w:sz w:val="20"/>
      <w:szCs w:val="32"/>
    </w:rPr>
  </w:style>
  <w:style w:type="character" w:customStyle="1" w:styleId="CommentTextChar">
    <w:name w:val="Comment Text Char"/>
    <w:basedOn w:val="DefaultParagraphFont"/>
    <w:link w:val="CommentText"/>
    <w:uiPriority w:val="99"/>
    <w:semiHidden/>
    <w:rsid w:val="00BC0AC4"/>
    <w:rPr>
      <w:sz w:val="20"/>
      <w:szCs w:val="32"/>
    </w:rPr>
  </w:style>
  <w:style w:type="paragraph" w:styleId="CommentSubject">
    <w:name w:val="annotation subject"/>
    <w:basedOn w:val="CommentText"/>
    <w:next w:val="CommentText"/>
    <w:link w:val="CommentSubjectChar"/>
    <w:uiPriority w:val="99"/>
    <w:semiHidden/>
    <w:unhideWhenUsed/>
    <w:rsid w:val="00BC0AC4"/>
    <w:rPr>
      <w:b/>
      <w:bCs/>
    </w:rPr>
  </w:style>
  <w:style w:type="character" w:customStyle="1" w:styleId="CommentSubjectChar">
    <w:name w:val="Comment Subject Char"/>
    <w:basedOn w:val="CommentTextChar"/>
    <w:link w:val="CommentSubject"/>
    <w:uiPriority w:val="99"/>
    <w:semiHidden/>
    <w:rsid w:val="00BC0AC4"/>
    <w:rPr>
      <w:b/>
      <w:bCs/>
      <w:sz w:val="2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22"/>
        <w:szCs w:val="24"/>
        <w:lang w:val="en-US" w:eastAsia="en-US" w:bidi="km-K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FF4"/>
    <w:pPr>
      <w:tabs>
        <w:tab w:val="center" w:pos="4680"/>
        <w:tab w:val="right" w:pos="9360"/>
      </w:tabs>
    </w:pPr>
  </w:style>
  <w:style w:type="character" w:customStyle="1" w:styleId="HeaderChar">
    <w:name w:val="Header Char"/>
    <w:basedOn w:val="DefaultParagraphFont"/>
    <w:link w:val="Header"/>
    <w:uiPriority w:val="99"/>
    <w:rsid w:val="00FB4FF4"/>
  </w:style>
  <w:style w:type="paragraph" w:styleId="Footer">
    <w:name w:val="footer"/>
    <w:basedOn w:val="Normal"/>
    <w:link w:val="FooterChar"/>
    <w:uiPriority w:val="99"/>
    <w:unhideWhenUsed/>
    <w:rsid w:val="00FB4FF4"/>
    <w:pPr>
      <w:tabs>
        <w:tab w:val="center" w:pos="4680"/>
        <w:tab w:val="right" w:pos="9360"/>
      </w:tabs>
    </w:pPr>
  </w:style>
  <w:style w:type="character" w:customStyle="1" w:styleId="FooterChar">
    <w:name w:val="Footer Char"/>
    <w:basedOn w:val="DefaultParagraphFont"/>
    <w:link w:val="Footer"/>
    <w:uiPriority w:val="99"/>
    <w:rsid w:val="00FB4FF4"/>
  </w:style>
  <w:style w:type="character" w:styleId="Hyperlink">
    <w:name w:val="Hyperlink"/>
    <w:basedOn w:val="DefaultParagraphFont"/>
    <w:uiPriority w:val="99"/>
    <w:semiHidden/>
    <w:unhideWhenUsed/>
    <w:rsid w:val="00FB4FF4"/>
    <w:rPr>
      <w:color w:val="0000FF" w:themeColor="hyperlink"/>
      <w:u w:val="single"/>
    </w:rPr>
  </w:style>
  <w:style w:type="table" w:styleId="TableGrid">
    <w:name w:val="Table Grid"/>
    <w:basedOn w:val="TableNormal"/>
    <w:uiPriority w:val="59"/>
    <w:rsid w:val="00940D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2114"/>
    <w:pPr>
      <w:ind w:left="720"/>
      <w:contextualSpacing/>
    </w:pPr>
  </w:style>
  <w:style w:type="paragraph" w:styleId="BalloonText">
    <w:name w:val="Balloon Text"/>
    <w:basedOn w:val="Normal"/>
    <w:link w:val="BalloonTextChar"/>
    <w:uiPriority w:val="99"/>
    <w:semiHidden/>
    <w:unhideWhenUsed/>
    <w:rsid w:val="00514F3C"/>
    <w:rPr>
      <w:rFonts w:ascii="Tahoma" w:hAnsi="Tahoma" w:cs="Tahoma"/>
      <w:sz w:val="16"/>
      <w:szCs w:val="26"/>
    </w:rPr>
  </w:style>
  <w:style w:type="character" w:customStyle="1" w:styleId="BalloonTextChar">
    <w:name w:val="Balloon Text Char"/>
    <w:basedOn w:val="DefaultParagraphFont"/>
    <w:link w:val="BalloonText"/>
    <w:uiPriority w:val="99"/>
    <w:semiHidden/>
    <w:rsid w:val="00514F3C"/>
    <w:rPr>
      <w:rFonts w:ascii="Tahoma" w:hAnsi="Tahoma" w:cs="Tahoma"/>
      <w:sz w:val="16"/>
      <w:szCs w:val="26"/>
    </w:rPr>
  </w:style>
  <w:style w:type="paragraph" w:styleId="FootnoteText">
    <w:name w:val="footnote text"/>
    <w:basedOn w:val="Normal"/>
    <w:link w:val="FootnoteTextChar"/>
    <w:uiPriority w:val="99"/>
    <w:semiHidden/>
    <w:unhideWhenUsed/>
    <w:rsid w:val="00CF4A0E"/>
    <w:rPr>
      <w:sz w:val="20"/>
      <w:szCs w:val="32"/>
    </w:rPr>
  </w:style>
  <w:style w:type="character" w:customStyle="1" w:styleId="FootnoteTextChar">
    <w:name w:val="Footnote Text Char"/>
    <w:basedOn w:val="DefaultParagraphFont"/>
    <w:link w:val="FootnoteText"/>
    <w:uiPriority w:val="99"/>
    <w:semiHidden/>
    <w:rsid w:val="00CF4A0E"/>
    <w:rPr>
      <w:sz w:val="20"/>
      <w:szCs w:val="32"/>
    </w:rPr>
  </w:style>
  <w:style w:type="character" w:styleId="FootnoteReference">
    <w:name w:val="footnote reference"/>
    <w:basedOn w:val="DefaultParagraphFont"/>
    <w:uiPriority w:val="99"/>
    <w:semiHidden/>
    <w:unhideWhenUsed/>
    <w:rsid w:val="00CF4A0E"/>
    <w:rPr>
      <w:vertAlign w:val="superscript"/>
    </w:rPr>
  </w:style>
  <w:style w:type="paragraph" w:styleId="NoSpacing">
    <w:name w:val="No Spacing"/>
    <w:uiPriority w:val="1"/>
    <w:qFormat/>
    <w:rsid w:val="00D654C7"/>
    <w:rPr>
      <w:rFonts w:ascii="Calibri" w:eastAsia="Calibri" w:hAnsi="Calibri" w:cs="Times New Roman"/>
      <w:szCs w:val="22"/>
      <w:lang w:val="en-GB" w:bidi="ar-SA"/>
    </w:rPr>
  </w:style>
  <w:style w:type="character" w:styleId="CommentReference">
    <w:name w:val="annotation reference"/>
    <w:basedOn w:val="DefaultParagraphFont"/>
    <w:uiPriority w:val="99"/>
    <w:semiHidden/>
    <w:unhideWhenUsed/>
    <w:rsid w:val="00BC0AC4"/>
    <w:rPr>
      <w:sz w:val="16"/>
      <w:szCs w:val="16"/>
    </w:rPr>
  </w:style>
  <w:style w:type="paragraph" w:styleId="CommentText">
    <w:name w:val="annotation text"/>
    <w:basedOn w:val="Normal"/>
    <w:link w:val="CommentTextChar"/>
    <w:uiPriority w:val="99"/>
    <w:semiHidden/>
    <w:unhideWhenUsed/>
    <w:rsid w:val="00BC0AC4"/>
    <w:rPr>
      <w:sz w:val="20"/>
      <w:szCs w:val="32"/>
    </w:rPr>
  </w:style>
  <w:style w:type="character" w:customStyle="1" w:styleId="CommentTextChar">
    <w:name w:val="Comment Text Char"/>
    <w:basedOn w:val="DefaultParagraphFont"/>
    <w:link w:val="CommentText"/>
    <w:uiPriority w:val="99"/>
    <w:semiHidden/>
    <w:rsid w:val="00BC0AC4"/>
    <w:rPr>
      <w:sz w:val="20"/>
      <w:szCs w:val="32"/>
    </w:rPr>
  </w:style>
  <w:style w:type="paragraph" w:styleId="CommentSubject">
    <w:name w:val="annotation subject"/>
    <w:basedOn w:val="CommentText"/>
    <w:next w:val="CommentText"/>
    <w:link w:val="CommentSubjectChar"/>
    <w:uiPriority w:val="99"/>
    <w:semiHidden/>
    <w:unhideWhenUsed/>
    <w:rsid w:val="00BC0AC4"/>
    <w:rPr>
      <w:b/>
      <w:bCs/>
    </w:rPr>
  </w:style>
  <w:style w:type="character" w:customStyle="1" w:styleId="CommentSubjectChar">
    <w:name w:val="Comment Subject Char"/>
    <w:basedOn w:val="CommentTextChar"/>
    <w:link w:val="CommentSubject"/>
    <w:uiPriority w:val="99"/>
    <w:semiHidden/>
    <w:rsid w:val="00BC0AC4"/>
    <w:rPr>
      <w:b/>
      <w:bCs/>
      <w:sz w:val="20"/>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CAE98-5F3F-402A-B5C1-65D8E68A4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Huort</dc:creator>
  <cp:lastModifiedBy>timothy.boyle</cp:lastModifiedBy>
  <cp:revision>2</cp:revision>
  <cp:lastPrinted>2012-08-24T06:39:00Z</cp:lastPrinted>
  <dcterms:created xsi:type="dcterms:W3CDTF">2013-02-02T04:12:00Z</dcterms:created>
  <dcterms:modified xsi:type="dcterms:W3CDTF">2013-02-02T04:12:00Z</dcterms:modified>
</cp:coreProperties>
</file>