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3A" w:rsidRDefault="0026586E" w:rsidP="0026586E">
      <w:pPr>
        <w:jc w:val="center"/>
        <w:rPr>
          <w:rFonts w:ascii="Times New Roman" w:hAnsi="Times New Roman"/>
          <w:b/>
          <w:szCs w:val="22"/>
          <w:lang w:val="en-GB"/>
        </w:rPr>
      </w:pPr>
      <w:r>
        <w:rPr>
          <w:rFonts w:ascii="Times New Roman" w:hAnsi="Times New Roman"/>
          <w:b/>
          <w:szCs w:val="22"/>
          <w:lang w:val="en-GB"/>
        </w:rPr>
        <w:t>Terms of Reference</w:t>
      </w:r>
    </w:p>
    <w:p w:rsidR="001E0D27" w:rsidRPr="00E82981" w:rsidRDefault="001E0D27" w:rsidP="0026586E">
      <w:pPr>
        <w:jc w:val="center"/>
        <w:rPr>
          <w:rFonts w:ascii="Times New Roman" w:hAnsi="Times New Roman"/>
          <w:b/>
          <w:szCs w:val="22"/>
          <w:lang w:val="en-GB"/>
        </w:rPr>
      </w:pPr>
      <w:r>
        <w:rPr>
          <w:rFonts w:ascii="Times New Roman" w:hAnsi="Times New Roman"/>
          <w:b/>
          <w:szCs w:val="22"/>
          <w:lang w:val="en-GB"/>
        </w:rPr>
        <w:t xml:space="preserve">Lead </w:t>
      </w:r>
      <w:r w:rsidRPr="00E82981">
        <w:rPr>
          <w:rFonts w:ascii="Times New Roman" w:hAnsi="Times New Roman"/>
          <w:b/>
          <w:szCs w:val="22"/>
          <w:lang w:val="en-GB"/>
        </w:rPr>
        <w:t>Technical Advisor, Cambodian National REDD Roadmap</w:t>
      </w:r>
    </w:p>
    <w:p w:rsidR="0026586E" w:rsidRDefault="0026586E" w:rsidP="007D79B3">
      <w:pPr>
        <w:jc w:val="both"/>
        <w:rPr>
          <w:rFonts w:ascii="Times New Roman" w:hAnsi="Times New Roman"/>
          <w:b/>
          <w:i/>
          <w:szCs w:val="22"/>
          <w:lang w:val="en-GB"/>
        </w:rPr>
      </w:pPr>
    </w:p>
    <w:p w:rsidR="007D79B3" w:rsidRPr="00E82981" w:rsidRDefault="007D79B3" w:rsidP="007D79B3">
      <w:pPr>
        <w:jc w:val="both"/>
        <w:rPr>
          <w:rFonts w:ascii="Times New Roman" w:hAnsi="Times New Roman"/>
          <w:b/>
          <w:i/>
          <w:szCs w:val="22"/>
          <w:lang w:val="en-GB"/>
        </w:rPr>
      </w:pPr>
      <w:r w:rsidRPr="00E82981">
        <w:rPr>
          <w:rFonts w:ascii="Times New Roman" w:hAnsi="Times New Roman"/>
          <w:b/>
          <w:i/>
          <w:szCs w:val="22"/>
          <w:lang w:val="en-GB"/>
        </w:rPr>
        <w:t>Background</w:t>
      </w:r>
    </w:p>
    <w:p w:rsidR="007D79B3" w:rsidRPr="00E82981" w:rsidRDefault="007D79B3" w:rsidP="007D79B3">
      <w:pPr>
        <w:jc w:val="both"/>
        <w:rPr>
          <w:rFonts w:ascii="Times New Roman" w:hAnsi="Times New Roman"/>
          <w:szCs w:val="22"/>
          <w:lang w:val="en-GB"/>
        </w:rPr>
      </w:pPr>
      <w:r w:rsidRPr="00E82981">
        <w:rPr>
          <w:rFonts w:ascii="Times New Roman" w:hAnsi="Times New Roman"/>
        </w:rPr>
        <w:t xml:space="preserve">Over the past two years the Royal Government of Cambodia (RGC) has made significant steps towards the establishment of a national REDD policy. These steps include the development of a Readiness Project Idea Note (R-PIN) by the FA, which was submitted to the World Bank’s Forest Carbon Partnership Facility (FCPF) in late 2008; following the submission Cambodia was accepted into the FCPF at the meeting in Panama in March 2009. </w:t>
      </w:r>
      <w:r w:rsidRPr="00E82981">
        <w:rPr>
          <w:rFonts w:ascii="Times New Roman" w:hAnsi="Times New Roman"/>
          <w:szCs w:val="22"/>
          <w:lang w:val="en-GB"/>
        </w:rPr>
        <w:t>Cambodia was also granted membership of the UN</w:t>
      </w:r>
      <w:r w:rsidRPr="00E82981">
        <w:rPr>
          <w:rFonts w:ascii="Times New Roman" w:hAnsi="Times New Roman" w:cs="Lucida Grande"/>
          <w:szCs w:val="22"/>
          <w:lang w:val="en-GB"/>
        </w:rPr>
        <w:t xml:space="preserve"> </w:t>
      </w:r>
      <w:r w:rsidRPr="00E82981">
        <w:rPr>
          <w:rFonts w:ascii="Times New Roman" w:hAnsi="Times New Roman"/>
          <w:szCs w:val="22"/>
          <w:lang w:val="en-GB"/>
        </w:rPr>
        <w:t>REDD Programme Policy Board with observer status at the third UN REDD policy board meeting in Washington DC, USA, in October 2009. This led to the UN REDD agencies (UN Development Program-UNDP, Food and Agriculture Organization-FAO and UN Environmental Program-UNEP through the World Conservation Monitoring Centre) committing to support the Royal Government of Cambodia with an initial REDD Readiness process independent of the UN REDD Programme but using the same approach.</w:t>
      </w:r>
      <w:r w:rsidRPr="00E82981">
        <w:rPr>
          <w:rFonts w:ascii="Times New Roman" w:hAnsi="Times New Roman"/>
        </w:rPr>
        <w:t xml:space="preserve"> At sub-national level, two REDD pilot project have been established in </w:t>
      </w:r>
      <w:proofErr w:type="spellStart"/>
      <w:r w:rsidRPr="00E82981">
        <w:rPr>
          <w:rFonts w:ascii="Times New Roman" w:hAnsi="Times New Roman"/>
        </w:rPr>
        <w:t>Oddar</w:t>
      </w:r>
      <w:proofErr w:type="spellEnd"/>
      <w:r w:rsidRPr="00E82981">
        <w:rPr>
          <w:rFonts w:ascii="Times New Roman" w:hAnsi="Times New Roman"/>
        </w:rPr>
        <w:t xml:space="preserve"> </w:t>
      </w:r>
      <w:proofErr w:type="spellStart"/>
      <w:r w:rsidRPr="00E82981">
        <w:rPr>
          <w:rFonts w:ascii="Times New Roman" w:hAnsi="Times New Roman"/>
        </w:rPr>
        <w:t>Meanchey</w:t>
      </w:r>
      <w:proofErr w:type="spellEnd"/>
      <w:r w:rsidRPr="00E82981">
        <w:rPr>
          <w:rFonts w:ascii="Times New Roman" w:hAnsi="Times New Roman"/>
        </w:rPr>
        <w:t xml:space="preserve"> and </w:t>
      </w:r>
      <w:proofErr w:type="spellStart"/>
      <w:r w:rsidRPr="00E82981">
        <w:rPr>
          <w:rFonts w:ascii="Times New Roman" w:hAnsi="Times New Roman"/>
        </w:rPr>
        <w:t>Mondulkiri</w:t>
      </w:r>
      <w:proofErr w:type="spellEnd"/>
      <w:r w:rsidRPr="00E82981">
        <w:rPr>
          <w:rFonts w:ascii="Times New Roman" w:hAnsi="Times New Roman"/>
        </w:rPr>
        <w:t xml:space="preserve"> provinces, in partnership with local communities, international NGOs, and the private sector.</w:t>
      </w:r>
    </w:p>
    <w:p w:rsidR="007D79B3" w:rsidRPr="00E82981" w:rsidRDefault="007D79B3" w:rsidP="007D79B3">
      <w:pPr>
        <w:jc w:val="both"/>
        <w:rPr>
          <w:rFonts w:ascii="Times New Roman" w:hAnsi="Times New Roman"/>
          <w:szCs w:val="22"/>
          <w:lang w:val="en-GB"/>
        </w:rPr>
      </w:pPr>
      <w:r w:rsidRPr="00E82981">
        <w:rPr>
          <w:rFonts w:ascii="Times New Roman" w:hAnsi="Times New Roman"/>
          <w:szCs w:val="22"/>
          <w:lang w:val="en-GB"/>
        </w:rPr>
        <w:t xml:space="preserve">WCS has been invited by the RGC and UN agencies (UNDP and FAO) to </w:t>
      </w:r>
      <w:r>
        <w:rPr>
          <w:rFonts w:ascii="Times New Roman" w:hAnsi="Times New Roman"/>
          <w:szCs w:val="22"/>
          <w:lang w:val="en-GB"/>
        </w:rPr>
        <w:t>be the lead technical advisor</w:t>
      </w:r>
      <w:r w:rsidRPr="00E82981">
        <w:rPr>
          <w:rFonts w:ascii="Times New Roman" w:hAnsi="Times New Roman"/>
          <w:szCs w:val="22"/>
          <w:lang w:val="en-GB"/>
        </w:rPr>
        <w:t xml:space="preserve"> </w:t>
      </w:r>
      <w:r>
        <w:rPr>
          <w:rFonts w:ascii="Times New Roman" w:hAnsi="Times New Roman"/>
          <w:szCs w:val="22"/>
          <w:lang w:val="en-GB"/>
        </w:rPr>
        <w:t xml:space="preserve">in the </w:t>
      </w:r>
      <w:r w:rsidRPr="00E82981">
        <w:rPr>
          <w:rFonts w:ascii="Times New Roman" w:hAnsi="Times New Roman"/>
          <w:szCs w:val="22"/>
          <w:lang w:val="en-GB"/>
        </w:rPr>
        <w:t>development of a national REDD Readiness Roadmap for Cambodia. The initial development process is currently being undertaken by a REDD Technical Taskforce led by the Forestry Administration with key line agencies.</w:t>
      </w:r>
      <w:r>
        <w:rPr>
          <w:rFonts w:ascii="Times New Roman" w:hAnsi="Times New Roman"/>
          <w:szCs w:val="22"/>
          <w:lang w:val="en-GB"/>
        </w:rPr>
        <w:t xml:space="preserve"> Implementation of REDD in Cambodia is expected to be consistent with the activities </w:t>
      </w:r>
      <w:proofErr w:type="gramStart"/>
      <w:r>
        <w:rPr>
          <w:rFonts w:ascii="Times New Roman" w:hAnsi="Times New Roman"/>
          <w:szCs w:val="22"/>
          <w:lang w:val="en-GB"/>
        </w:rPr>
        <w:t>outlined</w:t>
      </w:r>
      <w:proofErr w:type="gramEnd"/>
      <w:r>
        <w:rPr>
          <w:rFonts w:ascii="Times New Roman" w:hAnsi="Times New Roman"/>
          <w:szCs w:val="22"/>
          <w:lang w:val="en-GB"/>
        </w:rPr>
        <w:t xml:space="preserve"> in the National Forest Programme (NFP) by the FA and the management of Protected Areas by the Ministry of Environment.</w:t>
      </w:r>
    </w:p>
    <w:p w:rsidR="007D79B3" w:rsidRPr="00E82981" w:rsidRDefault="007D79B3" w:rsidP="007D79B3">
      <w:pPr>
        <w:jc w:val="both"/>
        <w:rPr>
          <w:rFonts w:ascii="Times New Roman" w:hAnsi="Times New Roman"/>
          <w:b/>
          <w:bCs/>
          <w:i/>
          <w:szCs w:val="22"/>
        </w:rPr>
      </w:pPr>
      <w:r w:rsidRPr="00E82981">
        <w:rPr>
          <w:rFonts w:ascii="Times New Roman" w:hAnsi="Times New Roman"/>
          <w:b/>
          <w:bCs/>
          <w:i/>
          <w:szCs w:val="22"/>
        </w:rPr>
        <w:t>Responsibilities</w:t>
      </w:r>
    </w:p>
    <w:p w:rsidR="007D79B3" w:rsidRPr="00E82981" w:rsidRDefault="007D79B3" w:rsidP="007D79B3">
      <w:pPr>
        <w:jc w:val="both"/>
        <w:rPr>
          <w:rFonts w:ascii="Times New Roman" w:hAnsi="Times New Roman"/>
          <w:bCs/>
          <w:szCs w:val="22"/>
        </w:rPr>
      </w:pPr>
      <w:r w:rsidRPr="00E82981">
        <w:rPr>
          <w:rFonts w:ascii="Times New Roman" w:hAnsi="Times New Roman"/>
          <w:bCs/>
          <w:szCs w:val="22"/>
        </w:rPr>
        <w:t xml:space="preserve">WCS will provide technical </w:t>
      </w:r>
      <w:r>
        <w:rPr>
          <w:rFonts w:ascii="Times New Roman" w:hAnsi="Times New Roman"/>
          <w:bCs/>
          <w:szCs w:val="22"/>
        </w:rPr>
        <w:t>advice</w:t>
      </w:r>
      <w:r w:rsidRPr="00E82981">
        <w:rPr>
          <w:rFonts w:ascii="Times New Roman" w:hAnsi="Times New Roman"/>
          <w:bCs/>
          <w:szCs w:val="22"/>
        </w:rPr>
        <w:t xml:space="preserve"> to the RGC in the preparation of the following outputs:</w:t>
      </w:r>
    </w:p>
    <w:p w:rsidR="007D79B3" w:rsidRDefault="007D79B3" w:rsidP="007D79B3">
      <w:pPr>
        <w:pStyle w:val="NoSpacing"/>
        <w:numPr>
          <w:ilvl w:val="0"/>
          <w:numId w:val="3"/>
        </w:numPr>
        <w:jc w:val="both"/>
        <w:rPr>
          <w:rFonts w:ascii="Times New Roman" w:hAnsi="Times New Roman"/>
          <w:sz w:val="24"/>
        </w:rPr>
      </w:pPr>
      <w:r w:rsidRPr="00E82981">
        <w:rPr>
          <w:rFonts w:ascii="Times New Roman" w:hAnsi="Times New Roman"/>
          <w:sz w:val="24"/>
        </w:rPr>
        <w:t>The formation of an appropriate mechanism, such as a national REDD Task Force, for the preparation of a National REDD Roadmap document;</w:t>
      </w:r>
    </w:p>
    <w:p w:rsidR="007D79B3" w:rsidRDefault="007D79B3" w:rsidP="007D79B3">
      <w:pPr>
        <w:pStyle w:val="NoSpacing"/>
        <w:numPr>
          <w:ilvl w:val="0"/>
          <w:numId w:val="3"/>
        </w:numPr>
        <w:jc w:val="both"/>
        <w:rPr>
          <w:rFonts w:ascii="Times New Roman" w:hAnsi="Times New Roman"/>
          <w:sz w:val="24"/>
        </w:rPr>
      </w:pPr>
      <w:r w:rsidRPr="00E82981">
        <w:rPr>
          <w:rFonts w:ascii="Times New Roman" w:hAnsi="Times New Roman"/>
          <w:sz w:val="24"/>
        </w:rPr>
        <w:t>The drafting of a National REDD Roadmap outline document, including a framework for the final Roadmap document and a timeframe for its implementation</w:t>
      </w:r>
      <w:r>
        <w:rPr>
          <w:rFonts w:ascii="Times New Roman" w:hAnsi="Times New Roman"/>
          <w:sz w:val="24"/>
        </w:rPr>
        <w:t>.</w:t>
      </w:r>
    </w:p>
    <w:p w:rsidR="007D79B3" w:rsidRPr="00E82981" w:rsidRDefault="007D79B3" w:rsidP="007D79B3">
      <w:pPr>
        <w:pStyle w:val="NoSpacing"/>
        <w:jc w:val="both"/>
        <w:rPr>
          <w:rFonts w:ascii="Times New Roman" w:hAnsi="Times New Roman"/>
          <w:sz w:val="24"/>
        </w:rPr>
      </w:pPr>
    </w:p>
    <w:p w:rsidR="007D79B3" w:rsidRPr="00E82981" w:rsidRDefault="007D79B3" w:rsidP="007D79B3">
      <w:pPr>
        <w:jc w:val="both"/>
        <w:rPr>
          <w:rFonts w:ascii="Times New Roman" w:hAnsi="Times New Roman"/>
          <w:b/>
          <w:i/>
        </w:rPr>
      </w:pPr>
      <w:r>
        <w:rPr>
          <w:rFonts w:ascii="Times New Roman" w:hAnsi="Times New Roman"/>
          <w:b/>
        </w:rPr>
        <w:br w:type="page"/>
      </w:r>
      <w:r w:rsidRPr="00E82981">
        <w:rPr>
          <w:rFonts w:ascii="Times New Roman" w:hAnsi="Times New Roman"/>
          <w:b/>
          <w:i/>
        </w:rPr>
        <w:lastRenderedPageBreak/>
        <w:t>Activities</w:t>
      </w:r>
    </w:p>
    <w:p w:rsidR="007D79B3" w:rsidRPr="00E82981" w:rsidRDefault="007D79B3" w:rsidP="007D79B3">
      <w:pPr>
        <w:pStyle w:val="NoSpacing"/>
        <w:jc w:val="both"/>
        <w:rPr>
          <w:rFonts w:ascii="Times New Roman" w:hAnsi="Times New Roman"/>
          <w:sz w:val="24"/>
        </w:rPr>
      </w:pPr>
      <w:r w:rsidRPr="00E82981">
        <w:rPr>
          <w:rFonts w:ascii="Times New Roman" w:hAnsi="Times New Roman"/>
          <w:sz w:val="24"/>
        </w:rPr>
        <w:t>Development of the National REDD Roadmap document will require the following activities:</w:t>
      </w:r>
    </w:p>
    <w:p w:rsidR="007D79B3" w:rsidRPr="00E82981" w:rsidRDefault="007D79B3" w:rsidP="007D79B3">
      <w:pPr>
        <w:pStyle w:val="NoSpacing"/>
        <w:jc w:val="both"/>
        <w:rPr>
          <w:rFonts w:ascii="Times New Roman" w:hAnsi="Times New Roman"/>
          <w:sz w:val="24"/>
        </w:rPr>
      </w:pPr>
    </w:p>
    <w:p w:rsidR="007D79B3" w:rsidRPr="00E82981" w:rsidRDefault="007D79B3" w:rsidP="007D79B3">
      <w:pPr>
        <w:pStyle w:val="NoSpacing"/>
        <w:jc w:val="both"/>
        <w:rPr>
          <w:rFonts w:ascii="Times New Roman" w:hAnsi="Times New Roman"/>
          <w:i/>
          <w:sz w:val="24"/>
        </w:rPr>
      </w:pPr>
      <w:r w:rsidRPr="00E82981">
        <w:rPr>
          <w:rFonts w:ascii="Times New Roman" w:hAnsi="Times New Roman"/>
          <w:i/>
          <w:sz w:val="24"/>
        </w:rPr>
        <w:t>1. Establishing an appropriate coordination mechanism for REDD policy development</w:t>
      </w:r>
    </w:p>
    <w:p w:rsidR="007D79B3" w:rsidRPr="00E82981" w:rsidRDefault="007D79B3" w:rsidP="007D79B3">
      <w:pPr>
        <w:pStyle w:val="NoSpacing"/>
        <w:jc w:val="both"/>
        <w:rPr>
          <w:rFonts w:ascii="Times New Roman" w:hAnsi="Times New Roman"/>
          <w:sz w:val="24"/>
        </w:rPr>
      </w:pPr>
    </w:p>
    <w:p w:rsidR="007D79B3" w:rsidRPr="00E82981" w:rsidRDefault="007D79B3" w:rsidP="007D79B3">
      <w:pPr>
        <w:pStyle w:val="NoSpacing"/>
        <w:jc w:val="both"/>
        <w:rPr>
          <w:rFonts w:ascii="Times New Roman" w:hAnsi="Times New Roman"/>
          <w:sz w:val="24"/>
        </w:rPr>
      </w:pPr>
      <w:r>
        <w:rPr>
          <w:rFonts w:ascii="Times New Roman" w:hAnsi="Times New Roman"/>
          <w:sz w:val="24"/>
        </w:rPr>
        <w:t>WCS will facilitate</w:t>
      </w:r>
      <w:r w:rsidRPr="00E82981">
        <w:rPr>
          <w:rFonts w:ascii="Times New Roman" w:hAnsi="Times New Roman"/>
          <w:sz w:val="24"/>
        </w:rPr>
        <w:t xml:space="preserve"> coordination between the multiple Government agencies responsible for finances, land and forest management, including the Forestry Administration of MAFF, as the RGC’s designated lead on REDD, the Ministry of Environment, the Ministry of Land Management, Ministry of Defence, etc.</w:t>
      </w:r>
      <w:r>
        <w:rPr>
          <w:rFonts w:ascii="Times New Roman" w:hAnsi="Times New Roman"/>
          <w:sz w:val="24"/>
        </w:rPr>
        <w:t>, in order to assist in the creation of an appropriate coordination mechanism for REDD policy development.</w:t>
      </w:r>
      <w:r w:rsidRPr="00E82981">
        <w:rPr>
          <w:rFonts w:ascii="Times New Roman" w:hAnsi="Times New Roman"/>
          <w:sz w:val="24"/>
        </w:rPr>
        <w:t xml:space="preserve"> These same agencies are all members of the TWGF&amp;E.</w:t>
      </w:r>
    </w:p>
    <w:p w:rsidR="007D79B3" w:rsidRPr="00E82981" w:rsidRDefault="007D79B3" w:rsidP="007D79B3">
      <w:pPr>
        <w:pStyle w:val="NoSpacing"/>
        <w:jc w:val="both"/>
        <w:rPr>
          <w:rFonts w:ascii="Times New Roman" w:hAnsi="Times New Roman"/>
          <w:sz w:val="24"/>
        </w:rPr>
      </w:pPr>
    </w:p>
    <w:p w:rsidR="007D79B3" w:rsidRPr="00E82981" w:rsidRDefault="007D79B3" w:rsidP="007D79B3">
      <w:pPr>
        <w:pStyle w:val="NoSpacing"/>
        <w:jc w:val="both"/>
        <w:rPr>
          <w:rFonts w:ascii="Times New Roman" w:hAnsi="Times New Roman"/>
          <w:i/>
          <w:sz w:val="24"/>
        </w:rPr>
      </w:pPr>
      <w:r w:rsidRPr="00E82981">
        <w:rPr>
          <w:rFonts w:ascii="Times New Roman" w:hAnsi="Times New Roman"/>
          <w:i/>
          <w:sz w:val="24"/>
        </w:rPr>
        <w:t xml:space="preserve">2. Policy and </w:t>
      </w:r>
      <w:proofErr w:type="spellStart"/>
      <w:r w:rsidRPr="00E82981">
        <w:rPr>
          <w:rFonts w:ascii="Times New Roman" w:hAnsi="Times New Roman"/>
          <w:i/>
          <w:sz w:val="24"/>
        </w:rPr>
        <w:t>sectoral</w:t>
      </w:r>
      <w:proofErr w:type="spellEnd"/>
      <w:r w:rsidRPr="00E82981">
        <w:rPr>
          <w:rFonts w:ascii="Times New Roman" w:hAnsi="Times New Roman"/>
          <w:i/>
          <w:sz w:val="24"/>
        </w:rPr>
        <w:t xml:space="preserve"> analyses to inform the development of the Roadmap</w:t>
      </w:r>
    </w:p>
    <w:p w:rsidR="007D79B3" w:rsidRPr="00E82981" w:rsidRDefault="007D79B3" w:rsidP="007D79B3">
      <w:pPr>
        <w:pStyle w:val="NoSpacing"/>
        <w:jc w:val="both"/>
        <w:rPr>
          <w:rFonts w:ascii="Times New Roman" w:hAnsi="Times New Roman"/>
          <w:sz w:val="24"/>
        </w:rPr>
      </w:pPr>
    </w:p>
    <w:p w:rsidR="007D79B3" w:rsidRDefault="007D79B3" w:rsidP="007D79B3">
      <w:pPr>
        <w:pStyle w:val="NoSpacing"/>
        <w:jc w:val="both"/>
        <w:rPr>
          <w:rFonts w:ascii="Times New Roman" w:hAnsi="Times New Roman"/>
          <w:sz w:val="24"/>
        </w:rPr>
      </w:pPr>
      <w:r w:rsidRPr="00E82981">
        <w:rPr>
          <w:rFonts w:ascii="Times New Roman" w:hAnsi="Times New Roman"/>
          <w:sz w:val="24"/>
        </w:rPr>
        <w:t xml:space="preserve">In order to inform the development of the Roadmap for the design of an effective national REDD policy, a series of key policy and </w:t>
      </w:r>
      <w:proofErr w:type="spellStart"/>
      <w:r w:rsidRPr="00E82981">
        <w:rPr>
          <w:rFonts w:ascii="Times New Roman" w:hAnsi="Times New Roman"/>
          <w:sz w:val="24"/>
        </w:rPr>
        <w:t>sectoral</w:t>
      </w:r>
      <w:proofErr w:type="spellEnd"/>
      <w:r w:rsidRPr="00E82981">
        <w:rPr>
          <w:rFonts w:ascii="Times New Roman" w:hAnsi="Times New Roman"/>
          <w:sz w:val="24"/>
        </w:rPr>
        <w:t xml:space="preserve"> analyses will be undertaken. </w:t>
      </w:r>
    </w:p>
    <w:p w:rsidR="007D79B3" w:rsidRDefault="007D79B3" w:rsidP="007D79B3">
      <w:pPr>
        <w:pStyle w:val="NoSpacing"/>
        <w:jc w:val="both"/>
        <w:rPr>
          <w:rFonts w:ascii="Times New Roman" w:hAnsi="Times New Roman"/>
          <w:sz w:val="24"/>
        </w:rPr>
      </w:pPr>
    </w:p>
    <w:p w:rsidR="007D79B3" w:rsidRDefault="007D79B3" w:rsidP="007D79B3">
      <w:pPr>
        <w:pStyle w:val="NoSpacing"/>
        <w:jc w:val="both"/>
        <w:rPr>
          <w:rFonts w:ascii="Times New Roman" w:hAnsi="Times New Roman"/>
          <w:sz w:val="24"/>
        </w:rPr>
      </w:pPr>
      <w:proofErr w:type="spellStart"/>
      <w:r>
        <w:rPr>
          <w:rFonts w:ascii="Times New Roman" w:hAnsi="Times New Roman"/>
          <w:sz w:val="24"/>
        </w:rPr>
        <w:t>i</w:t>
      </w:r>
      <w:proofErr w:type="spellEnd"/>
      <w:r>
        <w:rPr>
          <w:rFonts w:ascii="Times New Roman" w:hAnsi="Times New Roman"/>
          <w:sz w:val="24"/>
        </w:rPr>
        <w:t xml:space="preserve">. Two analyses will be undertaken by third party consultants. </w:t>
      </w:r>
      <w:r w:rsidRPr="00E82981">
        <w:rPr>
          <w:rFonts w:ascii="Times New Roman" w:hAnsi="Times New Roman"/>
          <w:sz w:val="24"/>
        </w:rPr>
        <w:t>Terms of reference for each of the</w:t>
      </w:r>
      <w:r>
        <w:rPr>
          <w:rFonts w:ascii="Times New Roman" w:hAnsi="Times New Roman"/>
          <w:sz w:val="24"/>
        </w:rPr>
        <w:t>se analyses</w:t>
      </w:r>
      <w:r w:rsidRPr="00E82981">
        <w:rPr>
          <w:rFonts w:ascii="Times New Roman" w:hAnsi="Times New Roman"/>
          <w:sz w:val="24"/>
        </w:rPr>
        <w:t xml:space="preserve"> will be developed</w:t>
      </w:r>
      <w:r>
        <w:rPr>
          <w:rFonts w:ascii="Times New Roman" w:hAnsi="Times New Roman"/>
          <w:sz w:val="24"/>
        </w:rPr>
        <w:t xml:space="preserve"> by WCS, in partnership with the National REDD Task Force, and appropriate consultants identified to undertake these tasks. These consultants will be contracted by WCS. These analyses are:</w:t>
      </w:r>
    </w:p>
    <w:p w:rsidR="007D79B3" w:rsidRPr="00E82981" w:rsidRDefault="007D79B3" w:rsidP="007D79B3">
      <w:pPr>
        <w:pStyle w:val="NoSpacing"/>
        <w:jc w:val="both"/>
        <w:rPr>
          <w:rFonts w:ascii="Times New Roman" w:hAnsi="Times New Roman"/>
          <w:sz w:val="24"/>
        </w:rPr>
      </w:pPr>
    </w:p>
    <w:p w:rsidR="007D79B3" w:rsidRPr="00E82981" w:rsidRDefault="007D79B3" w:rsidP="007D79B3">
      <w:pPr>
        <w:pStyle w:val="ColorfulList-Accent11"/>
        <w:numPr>
          <w:ilvl w:val="0"/>
          <w:numId w:val="7"/>
        </w:numPr>
        <w:autoSpaceDE w:val="0"/>
        <w:autoSpaceDN w:val="0"/>
        <w:adjustRightInd w:val="0"/>
        <w:spacing w:after="0" w:line="240" w:lineRule="auto"/>
        <w:jc w:val="both"/>
        <w:rPr>
          <w:rFonts w:ascii="Times New Roman" w:hAnsi="Times New Roman"/>
          <w:sz w:val="24"/>
        </w:rPr>
      </w:pPr>
      <w:r w:rsidRPr="00E82981">
        <w:rPr>
          <w:rFonts w:ascii="Times New Roman" w:hAnsi="Times New Roman"/>
          <w:sz w:val="24"/>
        </w:rPr>
        <w:t>An analysis of the current Cambodian laws and the policies of the RGC in the context of REDD</w:t>
      </w:r>
      <w:r>
        <w:rPr>
          <w:rFonts w:ascii="Times New Roman" w:hAnsi="Times New Roman"/>
          <w:sz w:val="24"/>
        </w:rPr>
        <w:t>;</w:t>
      </w:r>
    </w:p>
    <w:p w:rsidR="007D79B3" w:rsidRPr="00B405D3" w:rsidRDefault="007D79B3" w:rsidP="007D79B3">
      <w:pPr>
        <w:pStyle w:val="ColorfulList-Accent11"/>
        <w:numPr>
          <w:ilvl w:val="0"/>
          <w:numId w:val="7"/>
        </w:numPr>
        <w:autoSpaceDE w:val="0"/>
        <w:autoSpaceDN w:val="0"/>
        <w:adjustRightInd w:val="0"/>
        <w:spacing w:after="0" w:line="240" w:lineRule="auto"/>
        <w:jc w:val="both"/>
        <w:rPr>
          <w:rFonts w:ascii="Times New Roman" w:hAnsi="Times New Roman"/>
          <w:sz w:val="24"/>
        </w:rPr>
      </w:pPr>
      <w:r>
        <w:rPr>
          <w:rFonts w:ascii="Times New Roman" w:hAnsi="Times New Roman"/>
          <w:sz w:val="24"/>
        </w:rPr>
        <w:t>An assessment of the technical o</w:t>
      </w:r>
      <w:r w:rsidRPr="00B02998">
        <w:rPr>
          <w:rFonts w:ascii="Times New Roman" w:hAnsi="Times New Roman"/>
          <w:sz w:val="24"/>
        </w:rPr>
        <w:t>ptions for the development of a national REDD Monitoring, Reporting and Verification (MRV) and Reference Emissions Levels (RELs)</w:t>
      </w:r>
      <w:r>
        <w:rPr>
          <w:rFonts w:ascii="Times New Roman" w:hAnsi="Times New Roman"/>
          <w:sz w:val="24"/>
        </w:rPr>
        <w:t>,</w:t>
      </w:r>
      <w:r w:rsidRPr="00B02998">
        <w:rPr>
          <w:rFonts w:ascii="Times New Roman" w:hAnsi="Times New Roman"/>
          <w:sz w:val="24"/>
        </w:rPr>
        <w:t xml:space="preserve"> and related steps necessary for REDD readiness</w:t>
      </w:r>
      <w:r>
        <w:rPr>
          <w:rFonts w:ascii="Times New Roman" w:hAnsi="Times New Roman"/>
          <w:sz w:val="24"/>
        </w:rPr>
        <w:t>.</w:t>
      </w:r>
    </w:p>
    <w:p w:rsidR="007D79B3" w:rsidRDefault="007D79B3" w:rsidP="007D79B3">
      <w:pPr>
        <w:pStyle w:val="ColorfulList-Accent11"/>
        <w:autoSpaceDE w:val="0"/>
        <w:autoSpaceDN w:val="0"/>
        <w:adjustRightInd w:val="0"/>
        <w:spacing w:after="0" w:line="240" w:lineRule="auto"/>
        <w:ind w:left="0"/>
        <w:jc w:val="both"/>
        <w:rPr>
          <w:rFonts w:ascii="Times New Roman" w:hAnsi="Times New Roman"/>
          <w:sz w:val="24"/>
        </w:rPr>
      </w:pPr>
    </w:p>
    <w:p w:rsidR="007D79B3" w:rsidRDefault="007D79B3" w:rsidP="007D79B3">
      <w:pPr>
        <w:pStyle w:val="ColorfulList-Accent11"/>
        <w:autoSpaceDE w:val="0"/>
        <w:autoSpaceDN w:val="0"/>
        <w:adjustRightInd w:val="0"/>
        <w:spacing w:after="0" w:line="240" w:lineRule="auto"/>
        <w:ind w:left="0"/>
        <w:jc w:val="both"/>
        <w:rPr>
          <w:rFonts w:ascii="Times New Roman" w:hAnsi="Times New Roman"/>
          <w:sz w:val="24"/>
        </w:rPr>
      </w:pPr>
      <w:r>
        <w:rPr>
          <w:rFonts w:ascii="Times New Roman" w:hAnsi="Times New Roman"/>
          <w:sz w:val="24"/>
        </w:rPr>
        <w:t xml:space="preserve">ii. WCS will review two </w:t>
      </w:r>
      <w:proofErr w:type="spellStart"/>
      <w:r>
        <w:rPr>
          <w:rFonts w:ascii="Times New Roman" w:hAnsi="Times New Roman"/>
          <w:sz w:val="24"/>
        </w:rPr>
        <w:t>sectoral</w:t>
      </w:r>
      <w:proofErr w:type="spellEnd"/>
      <w:r>
        <w:rPr>
          <w:rFonts w:ascii="Times New Roman" w:hAnsi="Times New Roman"/>
          <w:sz w:val="24"/>
        </w:rPr>
        <w:t xml:space="preserve"> analyses prepared by third party agencies. These are:</w:t>
      </w:r>
    </w:p>
    <w:p w:rsidR="007D79B3" w:rsidRDefault="007D79B3" w:rsidP="007D79B3">
      <w:pPr>
        <w:pStyle w:val="ColorfulList-Accent11"/>
        <w:autoSpaceDE w:val="0"/>
        <w:autoSpaceDN w:val="0"/>
        <w:adjustRightInd w:val="0"/>
        <w:spacing w:after="0" w:line="240" w:lineRule="auto"/>
        <w:ind w:left="0"/>
        <w:jc w:val="both"/>
        <w:rPr>
          <w:rFonts w:ascii="Times New Roman" w:hAnsi="Times New Roman"/>
          <w:sz w:val="24"/>
        </w:rPr>
      </w:pPr>
    </w:p>
    <w:p w:rsidR="007D79B3" w:rsidRDefault="007D79B3" w:rsidP="007D79B3">
      <w:pPr>
        <w:pStyle w:val="ColorfulList-Accent11"/>
        <w:numPr>
          <w:ilvl w:val="0"/>
          <w:numId w:val="9"/>
        </w:numPr>
        <w:autoSpaceDE w:val="0"/>
        <w:autoSpaceDN w:val="0"/>
        <w:adjustRightInd w:val="0"/>
        <w:spacing w:after="0" w:line="240" w:lineRule="auto"/>
        <w:jc w:val="both"/>
        <w:rPr>
          <w:rFonts w:ascii="Times New Roman" w:hAnsi="Times New Roman"/>
          <w:sz w:val="24"/>
        </w:rPr>
      </w:pPr>
      <w:r w:rsidRPr="00E82981">
        <w:rPr>
          <w:rFonts w:ascii="Times New Roman" w:hAnsi="Times New Roman"/>
          <w:sz w:val="24"/>
        </w:rPr>
        <w:t>Assessment of current land-use and forest governance (</w:t>
      </w:r>
      <w:r>
        <w:rPr>
          <w:rFonts w:ascii="Times New Roman" w:hAnsi="Times New Roman"/>
          <w:sz w:val="24"/>
        </w:rPr>
        <w:t xml:space="preserve">study undertaken by </w:t>
      </w:r>
      <w:r w:rsidRPr="00E82981">
        <w:rPr>
          <w:rFonts w:ascii="Times New Roman" w:hAnsi="Times New Roman"/>
          <w:sz w:val="24"/>
        </w:rPr>
        <w:t>FAO)</w:t>
      </w:r>
      <w:r>
        <w:rPr>
          <w:rFonts w:ascii="Times New Roman" w:hAnsi="Times New Roman"/>
          <w:sz w:val="24"/>
        </w:rPr>
        <w:t>;</w:t>
      </w:r>
    </w:p>
    <w:p w:rsidR="007D79B3" w:rsidRPr="007F317B" w:rsidRDefault="007D79B3" w:rsidP="007D79B3">
      <w:pPr>
        <w:pStyle w:val="ColorfulList-Accent11"/>
        <w:numPr>
          <w:ilvl w:val="0"/>
          <w:numId w:val="9"/>
        </w:numPr>
        <w:autoSpaceDE w:val="0"/>
        <w:autoSpaceDN w:val="0"/>
        <w:adjustRightInd w:val="0"/>
        <w:spacing w:after="0" w:line="240" w:lineRule="auto"/>
        <w:jc w:val="both"/>
        <w:rPr>
          <w:rFonts w:ascii="Times New Roman" w:hAnsi="Times New Roman"/>
          <w:sz w:val="24"/>
        </w:rPr>
      </w:pPr>
      <w:r w:rsidRPr="007F317B">
        <w:rPr>
          <w:rFonts w:ascii="Times New Roman" w:hAnsi="Times New Roman"/>
          <w:sz w:val="24"/>
        </w:rPr>
        <w:t>REDD co-benefits mapping (</w:t>
      </w:r>
      <w:r>
        <w:rPr>
          <w:rFonts w:ascii="Times New Roman" w:hAnsi="Times New Roman"/>
          <w:sz w:val="24"/>
        </w:rPr>
        <w:t xml:space="preserve">study undertaken by </w:t>
      </w:r>
      <w:r w:rsidRPr="007F317B">
        <w:rPr>
          <w:rFonts w:ascii="Times New Roman" w:hAnsi="Times New Roman"/>
          <w:sz w:val="24"/>
        </w:rPr>
        <w:t>UNEP-WCMC)</w:t>
      </w:r>
      <w:r>
        <w:rPr>
          <w:rFonts w:ascii="Times New Roman" w:hAnsi="Times New Roman"/>
          <w:sz w:val="24"/>
        </w:rPr>
        <w:t>.</w:t>
      </w:r>
    </w:p>
    <w:p w:rsidR="007D79B3" w:rsidRPr="00E82981" w:rsidRDefault="007D79B3" w:rsidP="007D79B3">
      <w:pPr>
        <w:pStyle w:val="ColorfulList-Accent11"/>
        <w:autoSpaceDE w:val="0"/>
        <w:autoSpaceDN w:val="0"/>
        <w:adjustRightInd w:val="0"/>
        <w:spacing w:after="0" w:line="240" w:lineRule="auto"/>
        <w:ind w:left="0"/>
        <w:jc w:val="both"/>
        <w:rPr>
          <w:rFonts w:ascii="Times New Roman" w:hAnsi="Times New Roman"/>
          <w:sz w:val="24"/>
        </w:rPr>
      </w:pPr>
    </w:p>
    <w:p w:rsidR="007D79B3" w:rsidRPr="00E82981" w:rsidRDefault="007D79B3" w:rsidP="007D79B3">
      <w:pPr>
        <w:pStyle w:val="ColorfulList-Accent11"/>
        <w:autoSpaceDE w:val="0"/>
        <w:autoSpaceDN w:val="0"/>
        <w:adjustRightInd w:val="0"/>
        <w:spacing w:after="0" w:line="240" w:lineRule="auto"/>
        <w:ind w:left="0"/>
        <w:jc w:val="both"/>
        <w:rPr>
          <w:rFonts w:ascii="Times New Roman" w:hAnsi="Times New Roman"/>
          <w:i/>
          <w:sz w:val="24"/>
        </w:rPr>
      </w:pPr>
      <w:r w:rsidRPr="00E82981">
        <w:rPr>
          <w:rFonts w:ascii="Times New Roman" w:hAnsi="Times New Roman"/>
          <w:i/>
          <w:sz w:val="24"/>
        </w:rPr>
        <w:t xml:space="preserve">3. Consultation Plan and Safeguards (Strategic Environmental and Social Assessment, SESA) </w:t>
      </w:r>
    </w:p>
    <w:p w:rsidR="007D79B3" w:rsidRPr="00E82981" w:rsidRDefault="007D79B3" w:rsidP="007D79B3">
      <w:pPr>
        <w:pStyle w:val="ColorfulList-Accent11"/>
        <w:autoSpaceDE w:val="0"/>
        <w:autoSpaceDN w:val="0"/>
        <w:adjustRightInd w:val="0"/>
        <w:spacing w:after="0" w:line="240" w:lineRule="auto"/>
        <w:ind w:left="0"/>
        <w:jc w:val="both"/>
        <w:rPr>
          <w:rFonts w:ascii="Times New Roman" w:hAnsi="Times New Roman"/>
          <w:sz w:val="24"/>
        </w:rPr>
      </w:pPr>
    </w:p>
    <w:p w:rsidR="007D79B3" w:rsidRDefault="007D79B3" w:rsidP="007D79B3">
      <w:pPr>
        <w:pStyle w:val="ColorfulList-Accent11"/>
        <w:autoSpaceDE w:val="0"/>
        <w:autoSpaceDN w:val="0"/>
        <w:adjustRightInd w:val="0"/>
        <w:spacing w:after="0" w:line="240" w:lineRule="auto"/>
        <w:ind w:left="0"/>
        <w:jc w:val="both"/>
        <w:rPr>
          <w:rFonts w:ascii="Times New Roman" w:hAnsi="Times New Roman"/>
          <w:sz w:val="24"/>
        </w:rPr>
      </w:pPr>
      <w:r>
        <w:rPr>
          <w:rFonts w:ascii="Times New Roman" w:hAnsi="Times New Roman"/>
          <w:sz w:val="24"/>
        </w:rPr>
        <w:t>The REDD Roadmap will</w:t>
      </w:r>
      <w:r w:rsidRPr="002F583E">
        <w:rPr>
          <w:rFonts w:ascii="Times New Roman" w:hAnsi="Times New Roman"/>
          <w:sz w:val="24"/>
        </w:rPr>
        <w:t xml:space="preserve"> specifically consider how consultations on REDD policy development will occur and the safeguards that will need to be build in. This is particularly important given the historical conflicts in the forestry sector. </w:t>
      </w:r>
      <w:r>
        <w:rPr>
          <w:rFonts w:ascii="Times New Roman" w:hAnsi="Times New Roman"/>
          <w:sz w:val="24"/>
        </w:rPr>
        <w:t>A</w:t>
      </w:r>
      <w:r w:rsidRPr="002F583E">
        <w:rPr>
          <w:rFonts w:ascii="Times New Roman" w:hAnsi="Times New Roman"/>
          <w:sz w:val="24"/>
        </w:rPr>
        <w:t xml:space="preserve"> draft consultation plan and recommendations for policy safeguards </w:t>
      </w:r>
      <w:r>
        <w:rPr>
          <w:rFonts w:ascii="Times New Roman" w:hAnsi="Times New Roman"/>
          <w:sz w:val="24"/>
        </w:rPr>
        <w:t xml:space="preserve">will </w:t>
      </w:r>
      <w:r w:rsidRPr="002F583E">
        <w:rPr>
          <w:rFonts w:ascii="Times New Roman" w:hAnsi="Times New Roman"/>
          <w:sz w:val="24"/>
        </w:rPr>
        <w:t xml:space="preserve">be developed by </w:t>
      </w:r>
      <w:r>
        <w:rPr>
          <w:rFonts w:ascii="Times New Roman" w:hAnsi="Times New Roman"/>
          <w:sz w:val="24"/>
        </w:rPr>
        <w:t>a consultant, in consultation with the National REDD Task Force</w:t>
      </w:r>
      <w:r w:rsidRPr="002F583E">
        <w:rPr>
          <w:rFonts w:ascii="Times New Roman" w:hAnsi="Times New Roman"/>
          <w:sz w:val="24"/>
        </w:rPr>
        <w:t>. The policy s</w:t>
      </w:r>
      <w:r>
        <w:rPr>
          <w:rFonts w:ascii="Times New Roman" w:hAnsi="Times New Roman"/>
          <w:sz w:val="24"/>
        </w:rPr>
        <w:t>afeguards developed will</w:t>
      </w:r>
      <w:r w:rsidRPr="002F583E">
        <w:rPr>
          <w:rFonts w:ascii="Times New Roman" w:hAnsi="Times New Roman"/>
          <w:sz w:val="24"/>
        </w:rPr>
        <w:t xml:space="preserve"> be consistent with Cambodian law with consideration of international recommendations (e.g. from the UN REDD programme). Th</w:t>
      </w:r>
      <w:r>
        <w:rPr>
          <w:rFonts w:ascii="Times New Roman" w:hAnsi="Times New Roman"/>
          <w:sz w:val="24"/>
        </w:rPr>
        <w:t>e consultation plan will</w:t>
      </w:r>
      <w:r w:rsidRPr="002F583E">
        <w:rPr>
          <w:rFonts w:ascii="Times New Roman" w:hAnsi="Times New Roman"/>
          <w:sz w:val="24"/>
        </w:rPr>
        <w:t xml:space="preserve"> include reviews by relevant national Government agencies, discussion with sub-national Government bodies including provincial and district authorities, and discussion with local communities and civil society</w:t>
      </w:r>
      <w:proofErr w:type="gramStart"/>
      <w:r w:rsidRPr="002F583E">
        <w:rPr>
          <w:rFonts w:ascii="Times New Roman" w:hAnsi="Times New Roman"/>
          <w:sz w:val="24"/>
        </w:rPr>
        <w:t>.</w:t>
      </w:r>
      <w:r>
        <w:rPr>
          <w:rFonts w:ascii="Times New Roman" w:hAnsi="Times New Roman"/>
          <w:sz w:val="24"/>
        </w:rPr>
        <w:t>.</w:t>
      </w:r>
      <w:proofErr w:type="gramEnd"/>
    </w:p>
    <w:p w:rsidR="007D79B3" w:rsidRPr="00E82981" w:rsidRDefault="007D79B3" w:rsidP="007D79B3">
      <w:pPr>
        <w:pStyle w:val="ColorfulList-Accent11"/>
        <w:autoSpaceDE w:val="0"/>
        <w:autoSpaceDN w:val="0"/>
        <w:adjustRightInd w:val="0"/>
        <w:spacing w:after="0" w:line="240" w:lineRule="auto"/>
        <w:ind w:left="0"/>
        <w:jc w:val="both"/>
        <w:rPr>
          <w:rFonts w:ascii="Times New Roman" w:hAnsi="Times New Roman"/>
          <w:sz w:val="24"/>
        </w:rPr>
      </w:pPr>
      <w:r w:rsidRPr="00E82981">
        <w:rPr>
          <w:rFonts w:ascii="Times New Roman" w:hAnsi="Times New Roman"/>
          <w:sz w:val="24"/>
        </w:rPr>
        <w:lastRenderedPageBreak/>
        <w:t>Te</w:t>
      </w:r>
      <w:r>
        <w:rPr>
          <w:rFonts w:ascii="Times New Roman" w:hAnsi="Times New Roman"/>
          <w:sz w:val="24"/>
        </w:rPr>
        <w:t>rms of reference for this consultancy</w:t>
      </w:r>
      <w:r w:rsidRPr="00E82981">
        <w:rPr>
          <w:rFonts w:ascii="Times New Roman" w:hAnsi="Times New Roman"/>
          <w:sz w:val="24"/>
        </w:rPr>
        <w:t xml:space="preserve"> will be developed</w:t>
      </w:r>
      <w:r>
        <w:rPr>
          <w:rFonts w:ascii="Times New Roman" w:hAnsi="Times New Roman"/>
          <w:sz w:val="24"/>
        </w:rPr>
        <w:t xml:space="preserve"> by WCS, in partnership with the National REDD Task Force, and an appropriate consultant identified to undertake this task. This consultant will be contracted by WCS.</w:t>
      </w:r>
    </w:p>
    <w:p w:rsidR="007D79B3" w:rsidRPr="00E82981" w:rsidRDefault="007D79B3" w:rsidP="007D79B3">
      <w:pPr>
        <w:pStyle w:val="NoSpacing"/>
        <w:jc w:val="both"/>
      </w:pPr>
    </w:p>
    <w:p w:rsidR="007D79B3" w:rsidRPr="00E82981" w:rsidRDefault="007D79B3" w:rsidP="007D79B3">
      <w:pPr>
        <w:jc w:val="both"/>
        <w:rPr>
          <w:rFonts w:ascii="Times New Roman" w:hAnsi="Times New Roman"/>
          <w:b/>
          <w:i/>
        </w:rPr>
      </w:pPr>
      <w:r w:rsidRPr="00E82981">
        <w:rPr>
          <w:rFonts w:ascii="Times New Roman" w:hAnsi="Times New Roman"/>
          <w:b/>
          <w:i/>
        </w:rPr>
        <w:t>Timescale</w:t>
      </w:r>
    </w:p>
    <w:p w:rsidR="007D79B3" w:rsidRDefault="007D79B3" w:rsidP="007D79B3">
      <w:pPr>
        <w:jc w:val="both"/>
        <w:rPr>
          <w:rFonts w:ascii="Times New Roman" w:hAnsi="Times New Roman"/>
        </w:rPr>
      </w:pPr>
      <w:proofErr w:type="gramStart"/>
      <w:r>
        <w:rPr>
          <w:rFonts w:ascii="Times New Roman" w:hAnsi="Times New Roman"/>
        </w:rPr>
        <w:t>This terms</w:t>
      </w:r>
      <w:proofErr w:type="gramEnd"/>
      <w:r>
        <w:rPr>
          <w:rFonts w:ascii="Times New Roman" w:hAnsi="Times New Roman"/>
        </w:rPr>
        <w:t xml:space="preserve"> of reference covers the period from 1 November 2009 to 30 June 2010.</w:t>
      </w:r>
    </w:p>
    <w:p w:rsidR="007D79B3" w:rsidRDefault="007D79B3" w:rsidP="007D79B3">
      <w:pPr>
        <w:jc w:val="both"/>
        <w:rPr>
          <w:rFonts w:ascii="Times New Roman" w:hAnsi="Times New Roman"/>
        </w:rPr>
      </w:pPr>
      <w:r w:rsidRPr="00E82981">
        <w:rPr>
          <w:rFonts w:ascii="Times New Roman" w:hAnsi="Times New Roman"/>
        </w:rPr>
        <w:t>The National REDD Task Force will be</w:t>
      </w:r>
      <w:r>
        <w:rPr>
          <w:rFonts w:ascii="Times New Roman" w:hAnsi="Times New Roman"/>
        </w:rPr>
        <w:t xml:space="preserve"> operational by February 2010. T</w:t>
      </w:r>
      <w:r w:rsidRPr="00E82981">
        <w:rPr>
          <w:rFonts w:ascii="Times New Roman" w:hAnsi="Times New Roman"/>
        </w:rPr>
        <w:t>he National REDD Roadmap outline document will be completed by the end of June 2010.</w:t>
      </w:r>
    </w:p>
    <w:p w:rsidR="001E0D27" w:rsidRDefault="007D79B3" w:rsidP="007D79B3">
      <w:pPr>
        <w:jc w:val="both"/>
        <w:rPr>
          <w:rFonts w:ascii="Times New Roman" w:hAnsi="Times New Roman"/>
        </w:rPr>
      </w:pPr>
      <w:r>
        <w:rPr>
          <w:rFonts w:ascii="Times New Roman" w:hAnsi="Times New Roman"/>
        </w:rPr>
        <w:t>WCS will provide one principal technical advisor to work on a part-time basis on these activities from 1 November 2009 to 30 June 2010; a second full-time technical advisor will be appointed by WCS to assist the principal technical advisor from the 1 May to the 30 June.</w:t>
      </w:r>
    </w:p>
    <w:p w:rsidR="007D79B3" w:rsidRPr="00B46C01" w:rsidRDefault="007D79B3" w:rsidP="007D79B3">
      <w:pPr>
        <w:pStyle w:val="NoSpacing"/>
        <w:rPr>
          <w:rFonts w:ascii="Times New Roman" w:hAnsi="Times New Roman"/>
          <w:b/>
          <w:i/>
          <w:sz w:val="24"/>
        </w:rPr>
      </w:pPr>
      <w:r w:rsidRPr="00B46C01">
        <w:rPr>
          <w:rFonts w:ascii="Times New Roman" w:hAnsi="Times New Roman"/>
          <w:b/>
          <w:i/>
          <w:sz w:val="24"/>
        </w:rPr>
        <w:t>Budget</w:t>
      </w:r>
    </w:p>
    <w:p w:rsidR="007D79B3" w:rsidRPr="00B46C01" w:rsidRDefault="007D79B3" w:rsidP="007D79B3">
      <w:pPr>
        <w:pStyle w:val="NoSpacing"/>
        <w:rPr>
          <w:rFonts w:ascii="Times New Roman" w:hAnsi="Times New Roman"/>
          <w:sz w:val="24"/>
        </w:rPr>
      </w:pPr>
    </w:p>
    <w:p w:rsidR="007D79B3" w:rsidRPr="001E0D27" w:rsidRDefault="007D79B3" w:rsidP="007D79B3">
      <w:pPr>
        <w:pStyle w:val="NoSpacing"/>
        <w:rPr>
          <w:rFonts w:ascii="Times New Roman" w:hAnsi="Times New Roman"/>
          <w:b/>
          <w:i/>
          <w:sz w:val="24"/>
        </w:rPr>
      </w:pPr>
      <w:r w:rsidRPr="001E0D27">
        <w:rPr>
          <w:rFonts w:ascii="Times New Roman" w:hAnsi="Times New Roman"/>
          <w:b/>
          <w:i/>
          <w:sz w:val="24"/>
        </w:rPr>
        <w:t>2009</w:t>
      </w:r>
    </w:p>
    <w:p w:rsidR="007D79B3" w:rsidRPr="001E0D27" w:rsidRDefault="007D79B3" w:rsidP="007D79B3">
      <w:pPr>
        <w:pStyle w:val="NoSpacing"/>
        <w:rPr>
          <w:rFonts w:ascii="Times New Roman" w:hAnsi="Times New Roman"/>
        </w:rPr>
      </w:pPr>
    </w:p>
    <w:tbl>
      <w:tblPr>
        <w:tblW w:w="8294" w:type="dxa"/>
        <w:tblInd w:w="94" w:type="dxa"/>
        <w:tblLook w:val="0000"/>
      </w:tblPr>
      <w:tblGrid>
        <w:gridCol w:w="2092"/>
        <w:gridCol w:w="4762"/>
        <w:gridCol w:w="1440"/>
      </w:tblGrid>
      <w:tr w:rsidR="007D79B3" w:rsidRPr="001E0D27" w:rsidTr="001E0D27">
        <w:trPr>
          <w:trHeight w:val="375"/>
        </w:trPr>
        <w:tc>
          <w:tcPr>
            <w:tcW w:w="2092" w:type="dxa"/>
            <w:tcBorders>
              <w:top w:val="nil"/>
              <w:left w:val="nil"/>
              <w:bottom w:val="single" w:sz="8" w:space="0" w:color="auto"/>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Item</w:t>
            </w:r>
          </w:p>
        </w:tc>
        <w:tc>
          <w:tcPr>
            <w:tcW w:w="4762" w:type="dxa"/>
            <w:tcBorders>
              <w:top w:val="nil"/>
              <w:left w:val="nil"/>
              <w:bottom w:val="single" w:sz="8" w:space="0" w:color="auto"/>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Description</w:t>
            </w:r>
          </w:p>
        </w:tc>
        <w:tc>
          <w:tcPr>
            <w:tcW w:w="1440" w:type="dxa"/>
            <w:tcBorders>
              <w:top w:val="nil"/>
              <w:left w:val="nil"/>
              <w:bottom w:val="single" w:sz="8" w:space="0" w:color="auto"/>
              <w:right w:val="nil"/>
            </w:tcBorders>
            <w:shd w:val="clear" w:color="auto" w:fill="auto"/>
            <w:noWrap/>
          </w:tcPr>
          <w:p w:rsidR="007D79B3" w:rsidRPr="001E0D27" w:rsidRDefault="007D79B3" w:rsidP="007D79B3">
            <w:pPr>
              <w:spacing w:after="0"/>
              <w:ind w:right="-108"/>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Cost</w:t>
            </w:r>
          </w:p>
        </w:tc>
      </w:tr>
      <w:tr w:rsidR="007D79B3" w:rsidRPr="001E0D27" w:rsidTr="001E0D27">
        <w:trPr>
          <w:trHeight w:val="375"/>
        </w:trPr>
        <w:tc>
          <w:tcPr>
            <w:tcW w:w="2092"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i/>
                <w:iCs/>
                <w:color w:val="000000"/>
                <w:sz w:val="22"/>
                <w:szCs w:val="22"/>
                <w:lang w:bidi="th-TH"/>
              </w:rPr>
            </w:pPr>
            <w:r w:rsidRPr="001E0D27">
              <w:rPr>
                <w:rFonts w:ascii="Times New Roman" w:eastAsia="Times New Roman" w:hAnsi="Times New Roman"/>
                <w:i/>
                <w:iCs/>
                <w:color w:val="000000"/>
                <w:sz w:val="22"/>
                <w:szCs w:val="22"/>
                <w:lang w:bidi="th-TH"/>
              </w:rPr>
              <w:t>REDD working group</w:t>
            </w:r>
          </w:p>
        </w:tc>
        <w:tc>
          <w:tcPr>
            <w:tcW w:w="4762"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w:t>
            </w:r>
          </w:p>
        </w:tc>
        <w:tc>
          <w:tcPr>
            <w:tcW w:w="1440"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Line agency representatives</w:t>
            </w:r>
          </w:p>
        </w:tc>
        <w:tc>
          <w:tcPr>
            <w:tcW w:w="4762" w:type="dxa"/>
            <w:tcBorders>
              <w:top w:val="nil"/>
              <w:left w:val="nil"/>
              <w:bottom w:val="nil"/>
              <w:right w:val="nil"/>
            </w:tcBorders>
            <w:shd w:val="clear" w:color="auto" w:fill="auto"/>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12 members from FA and other line agencies (monthly per-diems)</w:t>
            </w:r>
          </w:p>
        </w:tc>
        <w:tc>
          <w:tcPr>
            <w:tcW w:w="1440"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xml:space="preserve">$2,000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xml:space="preserve">Administration assistant </w:t>
            </w:r>
          </w:p>
        </w:tc>
        <w:tc>
          <w:tcPr>
            <w:tcW w:w="4762" w:type="dxa"/>
            <w:tcBorders>
              <w:top w:val="nil"/>
              <w:left w:val="nil"/>
              <w:bottom w:val="nil"/>
              <w:right w:val="nil"/>
            </w:tcBorders>
            <w:shd w:val="clear" w:color="auto" w:fill="auto"/>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Administration Assistant to help with logistic arrangements and communication @300/month</w:t>
            </w:r>
          </w:p>
        </w:tc>
        <w:tc>
          <w:tcPr>
            <w:tcW w:w="1440"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xml:space="preserve">$300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p>
        </w:tc>
        <w:tc>
          <w:tcPr>
            <w:tcW w:w="4762"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i/>
                <w:iCs/>
                <w:color w:val="000000"/>
                <w:sz w:val="22"/>
                <w:szCs w:val="22"/>
                <w:lang w:bidi="th-TH"/>
              </w:rPr>
            </w:pPr>
            <w:r w:rsidRPr="001E0D27">
              <w:rPr>
                <w:rFonts w:ascii="Times New Roman" w:eastAsia="Times New Roman" w:hAnsi="Times New Roman"/>
                <w:i/>
                <w:iCs/>
                <w:color w:val="000000"/>
                <w:sz w:val="22"/>
                <w:szCs w:val="22"/>
                <w:lang w:bidi="th-TH"/>
              </w:rPr>
              <w:t>sub total</w:t>
            </w:r>
          </w:p>
        </w:tc>
        <w:tc>
          <w:tcPr>
            <w:tcW w:w="1440" w:type="dxa"/>
            <w:tcBorders>
              <w:top w:val="single" w:sz="8" w:space="0" w:color="auto"/>
              <w:left w:val="nil"/>
              <w:bottom w:val="single" w:sz="8" w:space="0" w:color="auto"/>
              <w:right w:val="nil"/>
            </w:tcBorders>
            <w:shd w:val="clear" w:color="auto" w:fill="auto"/>
            <w:noWrap/>
          </w:tcPr>
          <w:p w:rsidR="007D79B3" w:rsidRPr="001E0D27" w:rsidRDefault="007D79B3" w:rsidP="007D79B3">
            <w:pPr>
              <w:spacing w:after="0"/>
              <w:jc w:val="right"/>
              <w:rPr>
                <w:rFonts w:ascii="Times New Roman" w:eastAsia="Times New Roman" w:hAnsi="Times New Roman"/>
                <w:b/>
                <w:bCs/>
                <w:color w:val="000000"/>
                <w:sz w:val="22"/>
                <w:szCs w:val="22"/>
                <w:lang w:bidi="th-TH"/>
              </w:rPr>
            </w:pPr>
            <w:r w:rsidRPr="001E0D27">
              <w:rPr>
                <w:rFonts w:ascii="Times New Roman" w:eastAsia="Times New Roman" w:hAnsi="Times New Roman"/>
                <w:b/>
                <w:bCs/>
                <w:color w:val="000000"/>
                <w:sz w:val="22"/>
                <w:szCs w:val="22"/>
                <w:lang w:bidi="th-TH"/>
              </w:rPr>
              <w:t xml:space="preserve">$2,300 </w:t>
            </w:r>
          </w:p>
        </w:tc>
      </w:tr>
      <w:tr w:rsidR="007D79B3" w:rsidRPr="001E0D27" w:rsidTr="001E0D27">
        <w:trPr>
          <w:trHeight w:val="375"/>
        </w:trPr>
        <w:tc>
          <w:tcPr>
            <w:tcW w:w="2092"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i/>
                <w:iCs/>
                <w:color w:val="000000"/>
                <w:sz w:val="22"/>
                <w:szCs w:val="22"/>
                <w:lang w:bidi="th-TH"/>
              </w:rPr>
            </w:pPr>
            <w:r w:rsidRPr="001E0D27">
              <w:rPr>
                <w:rFonts w:ascii="Times New Roman" w:eastAsia="Times New Roman" w:hAnsi="Times New Roman"/>
                <w:i/>
                <w:iCs/>
                <w:color w:val="000000"/>
                <w:sz w:val="22"/>
                <w:szCs w:val="22"/>
                <w:lang w:bidi="th-TH"/>
              </w:rPr>
              <w:t>Consultants</w:t>
            </w:r>
          </w:p>
        </w:tc>
        <w:tc>
          <w:tcPr>
            <w:tcW w:w="4762"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w:t>
            </w:r>
          </w:p>
        </w:tc>
        <w:tc>
          <w:tcPr>
            <w:tcW w:w="1440" w:type="dxa"/>
            <w:tcBorders>
              <w:top w:val="nil"/>
              <w:left w:val="nil"/>
              <w:bottom w:val="nil"/>
              <w:right w:val="nil"/>
            </w:tcBorders>
            <w:shd w:val="clear" w:color="auto" w:fill="C0C0C0"/>
            <w:noWrap/>
          </w:tcPr>
          <w:p w:rsidR="007D79B3" w:rsidRPr="001E0D27" w:rsidRDefault="007D79B3" w:rsidP="007D79B3">
            <w:pPr>
              <w:spacing w:after="0"/>
              <w:jc w:val="right"/>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WCS</w:t>
            </w:r>
          </w:p>
        </w:tc>
        <w:tc>
          <w:tcPr>
            <w:tcW w:w="4762" w:type="dxa"/>
            <w:tcBorders>
              <w:top w:val="nil"/>
              <w:left w:val="nil"/>
              <w:bottom w:val="nil"/>
              <w:right w:val="nil"/>
            </w:tcBorders>
            <w:shd w:val="clear" w:color="auto" w:fill="auto"/>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TA</w:t>
            </w:r>
          </w:p>
        </w:tc>
        <w:tc>
          <w:tcPr>
            <w:tcW w:w="1440"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xml:space="preserve">$4,500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p>
        </w:tc>
        <w:tc>
          <w:tcPr>
            <w:tcW w:w="4762"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i/>
                <w:iCs/>
                <w:color w:val="000000"/>
                <w:sz w:val="22"/>
                <w:szCs w:val="22"/>
                <w:lang w:bidi="th-TH"/>
              </w:rPr>
            </w:pPr>
            <w:r w:rsidRPr="001E0D27">
              <w:rPr>
                <w:rFonts w:ascii="Times New Roman" w:eastAsia="Times New Roman" w:hAnsi="Times New Roman"/>
                <w:i/>
                <w:iCs/>
                <w:color w:val="000000"/>
                <w:sz w:val="22"/>
                <w:szCs w:val="22"/>
                <w:lang w:bidi="th-TH"/>
              </w:rPr>
              <w:t>sub total</w:t>
            </w:r>
          </w:p>
        </w:tc>
        <w:tc>
          <w:tcPr>
            <w:tcW w:w="1440" w:type="dxa"/>
            <w:tcBorders>
              <w:top w:val="single" w:sz="8" w:space="0" w:color="auto"/>
              <w:left w:val="nil"/>
              <w:bottom w:val="single" w:sz="8" w:space="0" w:color="auto"/>
              <w:right w:val="nil"/>
            </w:tcBorders>
            <w:shd w:val="clear" w:color="auto" w:fill="auto"/>
            <w:noWrap/>
          </w:tcPr>
          <w:p w:rsidR="007D79B3" w:rsidRPr="001E0D27" w:rsidRDefault="007D79B3" w:rsidP="007D79B3">
            <w:pPr>
              <w:spacing w:after="0"/>
              <w:jc w:val="right"/>
              <w:rPr>
                <w:rFonts w:ascii="Times New Roman" w:eastAsia="Times New Roman" w:hAnsi="Times New Roman"/>
                <w:b/>
                <w:bCs/>
                <w:color w:val="000000"/>
                <w:sz w:val="22"/>
                <w:szCs w:val="22"/>
                <w:lang w:bidi="th-TH"/>
              </w:rPr>
            </w:pPr>
            <w:r w:rsidRPr="001E0D27">
              <w:rPr>
                <w:rFonts w:ascii="Times New Roman" w:eastAsia="Times New Roman" w:hAnsi="Times New Roman"/>
                <w:b/>
                <w:bCs/>
                <w:color w:val="000000"/>
                <w:sz w:val="22"/>
                <w:szCs w:val="22"/>
                <w:lang w:bidi="th-TH"/>
              </w:rPr>
              <w:t xml:space="preserve">$4,500 </w:t>
            </w:r>
          </w:p>
        </w:tc>
      </w:tr>
      <w:tr w:rsidR="007D79B3" w:rsidRPr="001E0D27" w:rsidTr="001E0D27">
        <w:trPr>
          <w:trHeight w:val="375"/>
        </w:trPr>
        <w:tc>
          <w:tcPr>
            <w:tcW w:w="2092"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i/>
                <w:iCs/>
                <w:color w:val="000000"/>
                <w:sz w:val="22"/>
                <w:szCs w:val="22"/>
                <w:lang w:bidi="th-TH"/>
              </w:rPr>
            </w:pPr>
            <w:r w:rsidRPr="001E0D27">
              <w:rPr>
                <w:rFonts w:ascii="Times New Roman" w:eastAsia="Times New Roman" w:hAnsi="Times New Roman"/>
                <w:i/>
                <w:iCs/>
                <w:color w:val="000000"/>
                <w:sz w:val="22"/>
                <w:szCs w:val="22"/>
                <w:lang w:bidi="th-TH"/>
              </w:rPr>
              <w:t>International Travel</w:t>
            </w:r>
          </w:p>
        </w:tc>
        <w:tc>
          <w:tcPr>
            <w:tcW w:w="4762"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w:t>
            </w:r>
          </w:p>
        </w:tc>
        <w:tc>
          <w:tcPr>
            <w:tcW w:w="1440" w:type="dxa"/>
            <w:tcBorders>
              <w:top w:val="nil"/>
              <w:left w:val="nil"/>
              <w:bottom w:val="nil"/>
              <w:right w:val="nil"/>
            </w:tcBorders>
            <w:shd w:val="clear" w:color="auto" w:fill="C0C0C0"/>
            <w:noWrap/>
          </w:tcPr>
          <w:p w:rsidR="007D79B3" w:rsidRPr="001E0D27" w:rsidRDefault="007D79B3" w:rsidP="007D79B3">
            <w:pPr>
              <w:spacing w:after="0"/>
              <w:jc w:val="right"/>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Flights, Accommodation and Food</w:t>
            </w:r>
          </w:p>
        </w:tc>
        <w:tc>
          <w:tcPr>
            <w:tcW w:w="4762" w:type="dxa"/>
            <w:tcBorders>
              <w:top w:val="nil"/>
              <w:left w:val="nil"/>
              <w:bottom w:val="nil"/>
              <w:right w:val="nil"/>
            </w:tcBorders>
            <w:shd w:val="clear" w:color="auto" w:fill="auto"/>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Long-haul flights, plus regional trips (</w:t>
            </w:r>
            <w:smartTag w:uri="urn:schemas-microsoft-com:office:smarttags" w:element="City">
              <w:r w:rsidRPr="001E0D27">
                <w:rPr>
                  <w:rFonts w:ascii="Times New Roman" w:eastAsia="Times New Roman" w:hAnsi="Times New Roman"/>
                  <w:color w:val="000000"/>
                  <w:sz w:val="22"/>
                  <w:szCs w:val="22"/>
                  <w:lang w:bidi="th-TH"/>
                </w:rPr>
                <w:t>Bangkok</w:t>
              </w:r>
            </w:smartTag>
            <w:r w:rsidRPr="001E0D27">
              <w:rPr>
                <w:rFonts w:ascii="Times New Roman" w:eastAsia="Times New Roman" w:hAnsi="Times New Roman"/>
                <w:color w:val="000000"/>
                <w:sz w:val="22"/>
                <w:szCs w:val="22"/>
                <w:lang w:bidi="th-TH"/>
              </w:rPr>
              <w:t xml:space="preserve">, </w:t>
            </w:r>
            <w:smartTag w:uri="urn:schemas-microsoft-com:office:smarttags" w:element="City">
              <w:smartTag w:uri="urn:schemas-microsoft-com:office:smarttags" w:element="place">
                <w:r w:rsidRPr="001E0D27">
                  <w:rPr>
                    <w:rFonts w:ascii="Times New Roman" w:eastAsia="Times New Roman" w:hAnsi="Times New Roman"/>
                    <w:color w:val="000000"/>
                    <w:sz w:val="22"/>
                    <w:szCs w:val="22"/>
                    <w:lang w:bidi="th-TH"/>
                  </w:rPr>
                  <w:t>Barcelona</w:t>
                </w:r>
              </w:smartTag>
            </w:smartTag>
            <w:r w:rsidRPr="001E0D27">
              <w:rPr>
                <w:rFonts w:ascii="Times New Roman" w:eastAsia="Times New Roman" w:hAnsi="Times New Roman"/>
                <w:color w:val="000000"/>
                <w:sz w:val="22"/>
                <w:szCs w:val="22"/>
                <w:lang w:bidi="th-TH"/>
              </w:rPr>
              <w:t>, COP15)</w:t>
            </w:r>
          </w:p>
        </w:tc>
        <w:tc>
          <w:tcPr>
            <w:tcW w:w="1440"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xml:space="preserve">$4,000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p>
        </w:tc>
        <w:tc>
          <w:tcPr>
            <w:tcW w:w="4762"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i/>
                <w:iCs/>
                <w:color w:val="000000"/>
                <w:sz w:val="22"/>
                <w:szCs w:val="22"/>
                <w:lang w:bidi="th-TH"/>
              </w:rPr>
            </w:pPr>
            <w:r w:rsidRPr="001E0D27">
              <w:rPr>
                <w:rFonts w:ascii="Times New Roman" w:eastAsia="Times New Roman" w:hAnsi="Times New Roman"/>
                <w:i/>
                <w:iCs/>
                <w:color w:val="000000"/>
                <w:sz w:val="22"/>
                <w:szCs w:val="22"/>
                <w:lang w:bidi="th-TH"/>
              </w:rPr>
              <w:t>sub total</w:t>
            </w:r>
          </w:p>
        </w:tc>
        <w:tc>
          <w:tcPr>
            <w:tcW w:w="1440" w:type="dxa"/>
            <w:tcBorders>
              <w:top w:val="single" w:sz="8" w:space="0" w:color="auto"/>
              <w:left w:val="nil"/>
              <w:bottom w:val="single" w:sz="8" w:space="0" w:color="auto"/>
              <w:right w:val="nil"/>
            </w:tcBorders>
            <w:shd w:val="clear" w:color="auto" w:fill="auto"/>
            <w:noWrap/>
          </w:tcPr>
          <w:p w:rsidR="007D79B3" w:rsidRPr="001E0D27" w:rsidRDefault="007D79B3" w:rsidP="007D79B3">
            <w:pPr>
              <w:spacing w:after="0"/>
              <w:jc w:val="right"/>
              <w:rPr>
                <w:rFonts w:ascii="Times New Roman" w:eastAsia="Times New Roman" w:hAnsi="Times New Roman"/>
                <w:b/>
                <w:bCs/>
                <w:color w:val="000000"/>
                <w:sz w:val="22"/>
                <w:szCs w:val="22"/>
                <w:lang w:bidi="th-TH"/>
              </w:rPr>
            </w:pPr>
            <w:r w:rsidRPr="001E0D27">
              <w:rPr>
                <w:rFonts w:ascii="Times New Roman" w:eastAsia="Times New Roman" w:hAnsi="Times New Roman"/>
                <w:b/>
                <w:bCs/>
                <w:color w:val="000000"/>
                <w:sz w:val="22"/>
                <w:szCs w:val="22"/>
                <w:lang w:bidi="th-TH"/>
              </w:rPr>
              <w:t xml:space="preserve">$4,000 </w:t>
            </w:r>
          </w:p>
        </w:tc>
      </w:tr>
      <w:tr w:rsidR="007D79B3" w:rsidRPr="001E0D27" w:rsidTr="001E0D27">
        <w:trPr>
          <w:trHeight w:val="375"/>
        </w:trPr>
        <w:tc>
          <w:tcPr>
            <w:tcW w:w="2092"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i/>
                <w:iCs/>
                <w:color w:val="000000"/>
                <w:sz w:val="22"/>
                <w:szCs w:val="22"/>
                <w:lang w:bidi="th-TH"/>
              </w:rPr>
            </w:pPr>
            <w:r w:rsidRPr="001E0D27">
              <w:rPr>
                <w:rFonts w:ascii="Times New Roman" w:eastAsia="Times New Roman" w:hAnsi="Times New Roman"/>
                <w:i/>
                <w:iCs/>
                <w:color w:val="000000"/>
                <w:sz w:val="22"/>
                <w:szCs w:val="22"/>
                <w:lang w:bidi="th-TH"/>
              </w:rPr>
              <w:t>Miscellaneous</w:t>
            </w:r>
          </w:p>
        </w:tc>
        <w:tc>
          <w:tcPr>
            <w:tcW w:w="4762" w:type="dxa"/>
            <w:tcBorders>
              <w:top w:val="nil"/>
              <w:left w:val="nil"/>
              <w:bottom w:val="nil"/>
              <w:right w:val="nil"/>
            </w:tcBorders>
            <w:shd w:val="clear" w:color="auto" w:fill="C0C0C0"/>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w:t>
            </w:r>
          </w:p>
        </w:tc>
        <w:tc>
          <w:tcPr>
            <w:tcW w:w="1440" w:type="dxa"/>
            <w:tcBorders>
              <w:top w:val="nil"/>
              <w:left w:val="nil"/>
              <w:bottom w:val="nil"/>
              <w:right w:val="nil"/>
            </w:tcBorders>
            <w:shd w:val="clear" w:color="auto" w:fill="C0C0C0"/>
            <w:noWrap/>
          </w:tcPr>
          <w:p w:rsidR="007D79B3" w:rsidRPr="001E0D27" w:rsidRDefault="007D79B3" w:rsidP="007D79B3">
            <w:pPr>
              <w:spacing w:after="0"/>
              <w:jc w:val="right"/>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w:t>
            </w:r>
          </w:p>
        </w:tc>
      </w:tr>
      <w:tr w:rsidR="007D79B3" w:rsidRPr="001E0D27" w:rsidTr="001E0D27">
        <w:trPr>
          <w:trHeight w:val="375"/>
        </w:trPr>
        <w:tc>
          <w:tcPr>
            <w:tcW w:w="2092" w:type="dxa"/>
            <w:tcBorders>
              <w:top w:val="nil"/>
              <w:left w:val="nil"/>
              <w:bottom w:val="dotted" w:sz="4" w:space="0" w:color="auto"/>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Computers</w:t>
            </w:r>
          </w:p>
        </w:tc>
        <w:tc>
          <w:tcPr>
            <w:tcW w:w="4762" w:type="dxa"/>
            <w:tcBorders>
              <w:top w:val="nil"/>
              <w:left w:val="nil"/>
              <w:bottom w:val="dotted" w:sz="4" w:space="0" w:color="auto"/>
              <w:right w:val="nil"/>
            </w:tcBorders>
            <w:shd w:val="clear" w:color="auto" w:fill="auto"/>
          </w:tcPr>
          <w:p w:rsidR="007D79B3" w:rsidRPr="001E0D27" w:rsidRDefault="007D79B3" w:rsidP="007D79B3">
            <w:pPr>
              <w:spacing w:after="0"/>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3 Computers and printer</w:t>
            </w:r>
          </w:p>
        </w:tc>
        <w:tc>
          <w:tcPr>
            <w:tcW w:w="1440" w:type="dxa"/>
            <w:tcBorders>
              <w:top w:val="nil"/>
              <w:left w:val="nil"/>
              <w:right w:val="nil"/>
            </w:tcBorders>
            <w:shd w:val="clear" w:color="auto" w:fill="auto"/>
            <w:noWrap/>
          </w:tcPr>
          <w:p w:rsidR="007D79B3" w:rsidRPr="001E0D27" w:rsidRDefault="007D79B3" w:rsidP="007D79B3">
            <w:pPr>
              <w:spacing w:after="0"/>
              <w:jc w:val="right"/>
              <w:rPr>
                <w:rFonts w:ascii="Times New Roman" w:eastAsia="Times New Roman" w:hAnsi="Times New Roman"/>
                <w:color w:val="000000"/>
                <w:sz w:val="22"/>
                <w:szCs w:val="22"/>
                <w:lang w:bidi="th-TH"/>
              </w:rPr>
            </w:pPr>
            <w:r w:rsidRPr="001E0D27">
              <w:rPr>
                <w:rFonts w:ascii="Times New Roman" w:eastAsia="Times New Roman" w:hAnsi="Times New Roman"/>
                <w:color w:val="000000"/>
                <w:sz w:val="22"/>
                <w:szCs w:val="22"/>
                <w:lang w:bidi="th-TH"/>
              </w:rPr>
              <w:t xml:space="preserve">$5,300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p>
        </w:tc>
        <w:tc>
          <w:tcPr>
            <w:tcW w:w="4762"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i/>
                <w:iCs/>
                <w:color w:val="000000"/>
                <w:sz w:val="22"/>
                <w:szCs w:val="22"/>
                <w:lang w:bidi="th-TH"/>
              </w:rPr>
            </w:pPr>
            <w:r w:rsidRPr="001E0D27">
              <w:rPr>
                <w:rFonts w:ascii="Times New Roman" w:eastAsia="Times New Roman" w:hAnsi="Times New Roman"/>
                <w:i/>
                <w:iCs/>
                <w:color w:val="000000"/>
                <w:sz w:val="22"/>
                <w:szCs w:val="22"/>
                <w:lang w:bidi="th-TH"/>
              </w:rPr>
              <w:t>sub total</w:t>
            </w:r>
          </w:p>
        </w:tc>
        <w:tc>
          <w:tcPr>
            <w:tcW w:w="1440" w:type="dxa"/>
            <w:tcBorders>
              <w:top w:val="nil"/>
              <w:left w:val="nil"/>
              <w:bottom w:val="nil"/>
              <w:right w:val="nil"/>
            </w:tcBorders>
            <w:shd w:val="clear" w:color="auto" w:fill="auto"/>
            <w:noWrap/>
          </w:tcPr>
          <w:p w:rsidR="007D79B3" w:rsidRPr="001E0D27" w:rsidRDefault="007D79B3" w:rsidP="007D79B3">
            <w:pPr>
              <w:spacing w:after="0"/>
              <w:jc w:val="right"/>
              <w:rPr>
                <w:rFonts w:ascii="Times New Roman" w:eastAsia="Times New Roman" w:hAnsi="Times New Roman"/>
                <w:b/>
                <w:bCs/>
                <w:color w:val="000000"/>
                <w:sz w:val="22"/>
                <w:szCs w:val="22"/>
                <w:lang w:bidi="th-TH"/>
              </w:rPr>
            </w:pPr>
            <w:r w:rsidRPr="001E0D27">
              <w:rPr>
                <w:rFonts w:ascii="Times New Roman" w:eastAsia="Times New Roman" w:hAnsi="Times New Roman"/>
                <w:b/>
                <w:bCs/>
                <w:color w:val="000000"/>
                <w:sz w:val="22"/>
                <w:szCs w:val="22"/>
                <w:lang w:bidi="th-TH"/>
              </w:rPr>
              <w:t xml:space="preserve">$5,300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p>
        </w:tc>
        <w:tc>
          <w:tcPr>
            <w:tcW w:w="4762" w:type="dxa"/>
            <w:tcBorders>
              <w:top w:val="single" w:sz="8" w:space="0" w:color="auto"/>
              <w:left w:val="single" w:sz="8" w:space="0" w:color="auto"/>
              <w:bottom w:val="single" w:sz="8" w:space="0" w:color="auto"/>
              <w:right w:val="nil"/>
            </w:tcBorders>
            <w:shd w:val="clear" w:color="auto" w:fill="auto"/>
            <w:noWrap/>
          </w:tcPr>
          <w:p w:rsidR="007D79B3" w:rsidRPr="001E0D27" w:rsidRDefault="007D79B3" w:rsidP="007D79B3">
            <w:pPr>
              <w:spacing w:after="0"/>
              <w:jc w:val="right"/>
              <w:rPr>
                <w:rFonts w:ascii="Times New Roman" w:eastAsia="Times New Roman" w:hAnsi="Times New Roman"/>
                <w:b/>
                <w:bCs/>
                <w:color w:val="000000"/>
                <w:sz w:val="22"/>
                <w:szCs w:val="22"/>
                <w:lang w:bidi="th-TH"/>
              </w:rPr>
            </w:pPr>
            <w:r w:rsidRPr="001E0D27">
              <w:rPr>
                <w:rFonts w:ascii="Times New Roman" w:eastAsia="Times New Roman" w:hAnsi="Times New Roman"/>
                <w:b/>
                <w:bCs/>
                <w:color w:val="000000"/>
                <w:sz w:val="22"/>
                <w:szCs w:val="22"/>
                <w:lang w:bidi="th-TH"/>
              </w:rPr>
              <w:t>Total Activity Budget</w:t>
            </w:r>
          </w:p>
        </w:tc>
        <w:tc>
          <w:tcPr>
            <w:tcW w:w="1440" w:type="dxa"/>
            <w:tcBorders>
              <w:top w:val="single" w:sz="8" w:space="0" w:color="auto"/>
              <w:left w:val="single" w:sz="8" w:space="0" w:color="auto"/>
              <w:bottom w:val="single" w:sz="8" w:space="0" w:color="auto"/>
              <w:right w:val="single" w:sz="8" w:space="0" w:color="auto"/>
            </w:tcBorders>
            <w:shd w:val="clear" w:color="auto" w:fill="auto"/>
            <w:noWrap/>
          </w:tcPr>
          <w:p w:rsidR="007D79B3" w:rsidRPr="001E0D27" w:rsidRDefault="007D79B3" w:rsidP="007D79B3">
            <w:pPr>
              <w:spacing w:after="0"/>
              <w:jc w:val="right"/>
              <w:rPr>
                <w:rFonts w:ascii="Times New Roman" w:eastAsia="Times New Roman" w:hAnsi="Times New Roman"/>
                <w:b/>
                <w:bCs/>
                <w:sz w:val="22"/>
                <w:szCs w:val="22"/>
                <w:lang w:bidi="th-TH"/>
              </w:rPr>
            </w:pPr>
            <w:r w:rsidRPr="001E0D27">
              <w:rPr>
                <w:rFonts w:ascii="Times New Roman" w:eastAsia="Times New Roman" w:hAnsi="Times New Roman"/>
                <w:b/>
                <w:bCs/>
                <w:sz w:val="22"/>
                <w:szCs w:val="22"/>
                <w:lang w:bidi="th-TH"/>
              </w:rPr>
              <w:t xml:space="preserve">$16,100 </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p>
        </w:tc>
        <w:tc>
          <w:tcPr>
            <w:tcW w:w="4762" w:type="dxa"/>
            <w:tcBorders>
              <w:top w:val="single" w:sz="8" w:space="0" w:color="auto"/>
              <w:left w:val="single" w:sz="8" w:space="0" w:color="auto"/>
              <w:bottom w:val="single" w:sz="8" w:space="0" w:color="auto"/>
              <w:right w:val="nil"/>
            </w:tcBorders>
            <w:shd w:val="clear" w:color="auto" w:fill="auto"/>
            <w:noWrap/>
          </w:tcPr>
          <w:p w:rsidR="007D79B3" w:rsidRPr="001E0D27" w:rsidRDefault="007D79B3" w:rsidP="007D79B3">
            <w:pPr>
              <w:spacing w:after="0"/>
              <w:jc w:val="right"/>
              <w:rPr>
                <w:rFonts w:ascii="Times New Roman" w:eastAsia="Times New Roman" w:hAnsi="Times New Roman"/>
                <w:b/>
                <w:bCs/>
                <w:color w:val="000000"/>
                <w:sz w:val="22"/>
                <w:szCs w:val="22"/>
                <w:lang w:bidi="th-TH"/>
              </w:rPr>
            </w:pPr>
            <w:r w:rsidRPr="001E0D27">
              <w:rPr>
                <w:rFonts w:ascii="Times New Roman" w:eastAsia="Times New Roman" w:hAnsi="Times New Roman"/>
                <w:b/>
                <w:bCs/>
                <w:color w:val="000000"/>
                <w:sz w:val="22"/>
                <w:szCs w:val="22"/>
                <w:lang w:bidi="th-TH"/>
              </w:rPr>
              <w:t>WCS Indirect Costs @7%</w:t>
            </w:r>
          </w:p>
        </w:tc>
        <w:tc>
          <w:tcPr>
            <w:tcW w:w="1440" w:type="dxa"/>
            <w:tcBorders>
              <w:top w:val="single" w:sz="8" w:space="0" w:color="auto"/>
              <w:left w:val="single" w:sz="8" w:space="0" w:color="auto"/>
              <w:bottom w:val="single" w:sz="8" w:space="0" w:color="auto"/>
              <w:right w:val="single" w:sz="8" w:space="0" w:color="auto"/>
            </w:tcBorders>
            <w:shd w:val="clear" w:color="auto" w:fill="auto"/>
            <w:noWrap/>
          </w:tcPr>
          <w:p w:rsidR="007D79B3" w:rsidRPr="001E0D27" w:rsidRDefault="007D79B3" w:rsidP="007D79B3">
            <w:pPr>
              <w:spacing w:after="0"/>
              <w:jc w:val="right"/>
              <w:rPr>
                <w:rFonts w:ascii="Times New Roman" w:eastAsia="Times New Roman" w:hAnsi="Times New Roman"/>
                <w:b/>
                <w:bCs/>
                <w:sz w:val="22"/>
                <w:szCs w:val="22"/>
                <w:lang w:bidi="th-TH"/>
              </w:rPr>
            </w:pPr>
            <w:r w:rsidRPr="001E0D27">
              <w:rPr>
                <w:rFonts w:ascii="Times New Roman" w:eastAsia="Times New Roman" w:hAnsi="Times New Roman"/>
                <w:b/>
                <w:bCs/>
                <w:sz w:val="22"/>
                <w:szCs w:val="22"/>
                <w:lang w:bidi="th-TH"/>
              </w:rPr>
              <w:t>$1,127</w:t>
            </w:r>
          </w:p>
        </w:tc>
      </w:tr>
      <w:tr w:rsidR="007D79B3" w:rsidRPr="001E0D27" w:rsidTr="001E0D27">
        <w:trPr>
          <w:trHeight w:val="375"/>
        </w:trPr>
        <w:tc>
          <w:tcPr>
            <w:tcW w:w="2092" w:type="dxa"/>
            <w:tcBorders>
              <w:top w:val="nil"/>
              <w:left w:val="nil"/>
              <w:bottom w:val="nil"/>
              <w:right w:val="nil"/>
            </w:tcBorders>
            <w:shd w:val="clear" w:color="auto" w:fill="auto"/>
            <w:noWrap/>
          </w:tcPr>
          <w:p w:rsidR="007D79B3" w:rsidRPr="001E0D27" w:rsidRDefault="007D79B3" w:rsidP="007D79B3">
            <w:pPr>
              <w:spacing w:after="0"/>
              <w:rPr>
                <w:rFonts w:ascii="Times New Roman" w:eastAsia="Times New Roman" w:hAnsi="Times New Roman"/>
                <w:color w:val="000000"/>
                <w:sz w:val="22"/>
                <w:szCs w:val="22"/>
                <w:lang w:bidi="th-TH"/>
              </w:rPr>
            </w:pPr>
          </w:p>
        </w:tc>
        <w:tc>
          <w:tcPr>
            <w:tcW w:w="4762" w:type="dxa"/>
            <w:tcBorders>
              <w:top w:val="single" w:sz="8" w:space="0" w:color="auto"/>
              <w:left w:val="single" w:sz="8" w:space="0" w:color="auto"/>
              <w:bottom w:val="single" w:sz="8" w:space="0" w:color="auto"/>
              <w:right w:val="nil"/>
            </w:tcBorders>
            <w:shd w:val="clear" w:color="auto" w:fill="auto"/>
            <w:noWrap/>
          </w:tcPr>
          <w:p w:rsidR="007D79B3" w:rsidRPr="001E0D27" w:rsidRDefault="007D79B3" w:rsidP="007D79B3">
            <w:pPr>
              <w:spacing w:after="0"/>
              <w:jc w:val="right"/>
              <w:rPr>
                <w:rFonts w:ascii="Times New Roman" w:eastAsia="Times New Roman" w:hAnsi="Times New Roman"/>
                <w:b/>
                <w:bCs/>
                <w:color w:val="000000"/>
                <w:sz w:val="22"/>
                <w:szCs w:val="22"/>
                <w:lang w:bidi="th-TH"/>
              </w:rPr>
            </w:pPr>
            <w:r w:rsidRPr="001E0D27">
              <w:rPr>
                <w:rFonts w:ascii="Times New Roman" w:eastAsia="Times New Roman" w:hAnsi="Times New Roman"/>
                <w:b/>
                <w:bCs/>
                <w:color w:val="000000"/>
                <w:sz w:val="22"/>
                <w:szCs w:val="22"/>
                <w:lang w:bidi="th-TH"/>
              </w:rPr>
              <w:t>Total Budget</w:t>
            </w:r>
          </w:p>
        </w:tc>
        <w:tc>
          <w:tcPr>
            <w:tcW w:w="1440" w:type="dxa"/>
            <w:tcBorders>
              <w:top w:val="single" w:sz="8" w:space="0" w:color="auto"/>
              <w:left w:val="single" w:sz="8" w:space="0" w:color="auto"/>
              <w:bottom w:val="single" w:sz="8" w:space="0" w:color="auto"/>
              <w:right w:val="single" w:sz="8" w:space="0" w:color="auto"/>
            </w:tcBorders>
            <w:shd w:val="clear" w:color="auto" w:fill="auto"/>
            <w:noWrap/>
          </w:tcPr>
          <w:p w:rsidR="007D79B3" w:rsidRPr="001E0D27" w:rsidRDefault="007D79B3" w:rsidP="007D79B3">
            <w:pPr>
              <w:spacing w:after="0"/>
              <w:jc w:val="right"/>
              <w:rPr>
                <w:rFonts w:ascii="Times New Roman" w:eastAsia="Times New Roman" w:hAnsi="Times New Roman"/>
                <w:b/>
                <w:bCs/>
                <w:sz w:val="22"/>
                <w:szCs w:val="22"/>
                <w:lang w:bidi="th-TH"/>
              </w:rPr>
            </w:pPr>
            <w:r w:rsidRPr="001E0D27">
              <w:rPr>
                <w:rFonts w:ascii="Times New Roman" w:eastAsia="Times New Roman" w:hAnsi="Times New Roman"/>
                <w:b/>
                <w:bCs/>
                <w:sz w:val="22"/>
                <w:szCs w:val="22"/>
                <w:lang w:bidi="th-TH"/>
              </w:rPr>
              <w:t>$17,227</w:t>
            </w:r>
          </w:p>
        </w:tc>
      </w:tr>
    </w:tbl>
    <w:p w:rsidR="007D79B3" w:rsidRDefault="007D79B3" w:rsidP="007D79B3">
      <w:pPr>
        <w:pStyle w:val="NoSpacing"/>
        <w:tabs>
          <w:tab w:val="left" w:pos="284"/>
        </w:tabs>
      </w:pPr>
    </w:p>
    <w:p w:rsidR="007D79B3" w:rsidRPr="001E0D27" w:rsidRDefault="007D79B3" w:rsidP="007D79B3">
      <w:pPr>
        <w:autoSpaceDE w:val="0"/>
        <w:autoSpaceDN w:val="0"/>
        <w:adjustRightInd w:val="0"/>
        <w:spacing w:after="0"/>
        <w:rPr>
          <w:b/>
          <w:i/>
        </w:rPr>
      </w:pPr>
      <w:r>
        <w:rPr>
          <w:i/>
        </w:rPr>
        <w:br w:type="page"/>
      </w:r>
      <w:r w:rsidRPr="001E0D27">
        <w:rPr>
          <w:b/>
          <w:i/>
        </w:rPr>
        <w:lastRenderedPageBreak/>
        <w:t>2010</w:t>
      </w:r>
    </w:p>
    <w:p w:rsidR="007D79B3" w:rsidRPr="00A67C28" w:rsidRDefault="007D79B3" w:rsidP="007D79B3">
      <w:pPr>
        <w:autoSpaceDE w:val="0"/>
        <w:autoSpaceDN w:val="0"/>
        <w:adjustRightInd w:val="0"/>
        <w:spacing w:after="0"/>
        <w:rPr>
          <w:i/>
        </w:rPr>
      </w:pPr>
    </w:p>
    <w:tbl>
      <w:tblPr>
        <w:tblW w:w="8300" w:type="dxa"/>
        <w:tblInd w:w="88" w:type="dxa"/>
        <w:tblLook w:val="0000"/>
      </w:tblPr>
      <w:tblGrid>
        <w:gridCol w:w="3620"/>
        <w:gridCol w:w="3600"/>
        <w:gridCol w:w="1080"/>
      </w:tblGrid>
      <w:tr w:rsidR="007D79B3" w:rsidRPr="00E273E3" w:rsidTr="001E0D27">
        <w:trPr>
          <w:trHeight w:val="260"/>
        </w:trPr>
        <w:tc>
          <w:tcPr>
            <w:tcW w:w="3620" w:type="dxa"/>
            <w:tcBorders>
              <w:top w:val="nil"/>
              <w:left w:val="nil"/>
              <w:bottom w:val="single" w:sz="8" w:space="0" w:color="auto"/>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Item</w:t>
            </w:r>
          </w:p>
        </w:tc>
        <w:tc>
          <w:tcPr>
            <w:tcW w:w="3600" w:type="dxa"/>
            <w:tcBorders>
              <w:top w:val="nil"/>
              <w:left w:val="nil"/>
              <w:bottom w:val="single" w:sz="8" w:space="0" w:color="auto"/>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Description</w:t>
            </w:r>
          </w:p>
        </w:tc>
        <w:tc>
          <w:tcPr>
            <w:tcW w:w="1080" w:type="dxa"/>
            <w:tcBorders>
              <w:top w:val="nil"/>
              <w:left w:val="nil"/>
              <w:bottom w:val="single" w:sz="8" w:space="0" w:color="auto"/>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Cost</w:t>
            </w:r>
          </w:p>
        </w:tc>
      </w:tr>
      <w:tr w:rsidR="007D79B3" w:rsidRPr="00E273E3" w:rsidTr="001E0D27">
        <w:trPr>
          <w:trHeight w:val="260"/>
        </w:trPr>
        <w:tc>
          <w:tcPr>
            <w:tcW w:w="362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i/>
                <w:iCs/>
                <w:color w:val="000000"/>
                <w:sz w:val="22"/>
                <w:szCs w:val="22"/>
              </w:rPr>
            </w:pPr>
            <w:r w:rsidRPr="00E273E3">
              <w:rPr>
                <w:rFonts w:ascii="Times New Roman" w:hAnsi="Times New Roman"/>
                <w:i/>
                <w:iCs/>
                <w:color w:val="000000"/>
                <w:sz w:val="22"/>
                <w:szCs w:val="22"/>
              </w:rPr>
              <w:t>REDD Taskforce</w:t>
            </w:r>
          </w:p>
        </w:tc>
        <w:tc>
          <w:tcPr>
            <w:tcW w:w="360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 </w:t>
            </w:r>
          </w:p>
        </w:tc>
        <w:tc>
          <w:tcPr>
            <w:tcW w:w="108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 </w:t>
            </w:r>
          </w:p>
        </w:tc>
      </w:tr>
      <w:tr w:rsidR="007D79B3" w:rsidRPr="00E273E3" w:rsidTr="001E0D27">
        <w:trPr>
          <w:trHeight w:val="260"/>
        </w:trPr>
        <w:tc>
          <w:tcPr>
            <w:tcW w:w="3620" w:type="dxa"/>
            <w:vMerge w:val="restart"/>
            <w:tcBorders>
              <w:top w:val="nil"/>
              <w:left w:val="nil"/>
              <w:bottom w:val="nil"/>
              <w:right w:val="nil"/>
            </w:tcBorders>
            <w:shd w:val="clear" w:color="auto" w:fill="auto"/>
            <w:noWrap/>
          </w:tcPr>
          <w:p w:rsidR="007D79B3" w:rsidRPr="00E273E3" w:rsidRDefault="001E0D27" w:rsidP="007D79B3">
            <w:pPr>
              <w:spacing w:after="0"/>
              <w:rPr>
                <w:rFonts w:ascii="Times New Roman" w:hAnsi="Times New Roman"/>
                <w:color w:val="000000"/>
                <w:sz w:val="22"/>
                <w:szCs w:val="22"/>
              </w:rPr>
            </w:pPr>
            <w:r w:rsidRPr="00045ADA">
              <w:rPr>
                <w:rFonts w:ascii="Times New Roman" w:hAnsi="Times New Roman"/>
                <w:color w:val="000000"/>
                <w:sz w:val="22"/>
                <w:szCs w:val="22"/>
              </w:rPr>
              <w:t xml:space="preserve">REDD </w:t>
            </w:r>
            <w:r>
              <w:rPr>
                <w:rFonts w:ascii="Times New Roman" w:hAnsi="Times New Roman"/>
                <w:color w:val="000000"/>
                <w:sz w:val="22"/>
                <w:szCs w:val="22"/>
              </w:rPr>
              <w:t xml:space="preserve">Taskforce </w:t>
            </w:r>
            <w:r w:rsidRPr="00045ADA">
              <w:rPr>
                <w:rFonts w:ascii="Times New Roman" w:hAnsi="Times New Roman"/>
                <w:color w:val="000000"/>
                <w:sz w:val="22"/>
                <w:szCs w:val="22"/>
              </w:rPr>
              <w:t>National Coordinator</w:t>
            </w:r>
          </w:p>
        </w:tc>
        <w:tc>
          <w:tcPr>
            <w:tcW w:w="3600" w:type="dxa"/>
            <w:vMerge w:val="restart"/>
            <w:tcBorders>
              <w:top w:val="nil"/>
              <w:left w:val="nil"/>
              <w:bottom w:val="nil"/>
              <w:right w:val="nil"/>
            </w:tcBorders>
            <w:shd w:val="clear" w:color="auto" w:fill="auto"/>
          </w:tcPr>
          <w:p w:rsidR="007D79B3" w:rsidRPr="00045ADA" w:rsidRDefault="007D79B3" w:rsidP="007D79B3">
            <w:pPr>
              <w:spacing w:after="0"/>
              <w:rPr>
                <w:rFonts w:ascii="Times New Roman" w:hAnsi="Times New Roman"/>
                <w:color w:val="000000"/>
                <w:sz w:val="22"/>
                <w:szCs w:val="22"/>
              </w:rPr>
            </w:pPr>
            <w:r w:rsidRPr="00045ADA">
              <w:rPr>
                <w:rFonts w:ascii="Times New Roman" w:hAnsi="Times New Roman"/>
                <w:color w:val="000000"/>
                <w:sz w:val="22"/>
                <w:szCs w:val="22"/>
              </w:rPr>
              <w:t xml:space="preserve">Consultancy </w:t>
            </w:r>
            <w:r w:rsidR="001E0D27">
              <w:rPr>
                <w:rFonts w:ascii="Times New Roman" w:hAnsi="Times New Roman"/>
                <w:color w:val="000000"/>
                <w:sz w:val="22"/>
                <w:szCs w:val="22"/>
              </w:rPr>
              <w:t>(</w:t>
            </w:r>
            <w:r w:rsidRPr="00045ADA">
              <w:rPr>
                <w:rFonts w:ascii="Times New Roman" w:hAnsi="Times New Roman"/>
                <w:color w:val="000000"/>
                <w:sz w:val="22"/>
                <w:szCs w:val="22"/>
              </w:rPr>
              <w:t>contracted by WCS)</w:t>
            </w:r>
          </w:p>
        </w:tc>
        <w:tc>
          <w:tcPr>
            <w:tcW w:w="1080" w:type="dxa"/>
            <w:vMerge w:val="restart"/>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$5,000</w:t>
            </w:r>
          </w:p>
        </w:tc>
      </w:tr>
      <w:tr w:rsidR="007D79B3" w:rsidRPr="00E273E3" w:rsidTr="001E0D27">
        <w:trPr>
          <w:trHeight w:val="260"/>
        </w:trPr>
        <w:tc>
          <w:tcPr>
            <w:tcW w:w="3620" w:type="dxa"/>
            <w:vMerge/>
            <w:tcBorders>
              <w:top w:val="nil"/>
              <w:left w:val="nil"/>
              <w:bottom w:val="nil"/>
              <w:right w:val="nil"/>
            </w:tcBorders>
            <w:shd w:val="clear" w:color="auto" w:fill="auto"/>
            <w:vAlign w:val="center"/>
          </w:tcPr>
          <w:p w:rsidR="007D79B3" w:rsidRPr="00E273E3" w:rsidRDefault="007D79B3" w:rsidP="007D79B3">
            <w:pPr>
              <w:spacing w:after="0"/>
              <w:rPr>
                <w:rFonts w:ascii="Times New Roman" w:hAnsi="Times New Roman"/>
                <w:color w:val="000000"/>
                <w:sz w:val="22"/>
                <w:szCs w:val="22"/>
              </w:rPr>
            </w:pPr>
          </w:p>
        </w:tc>
        <w:tc>
          <w:tcPr>
            <w:tcW w:w="3600" w:type="dxa"/>
            <w:vMerge/>
            <w:tcBorders>
              <w:top w:val="nil"/>
              <w:left w:val="nil"/>
              <w:bottom w:val="nil"/>
              <w:right w:val="nil"/>
            </w:tcBorders>
            <w:shd w:val="clear" w:color="auto" w:fill="auto"/>
            <w:vAlign w:val="center"/>
          </w:tcPr>
          <w:p w:rsidR="007D79B3" w:rsidRPr="00E273E3" w:rsidRDefault="007D79B3" w:rsidP="007D79B3">
            <w:pPr>
              <w:spacing w:after="0"/>
              <w:rPr>
                <w:rFonts w:ascii="Times New Roman" w:hAnsi="Times New Roman"/>
                <w:color w:val="000000"/>
                <w:sz w:val="22"/>
                <w:szCs w:val="22"/>
              </w:rPr>
            </w:pPr>
          </w:p>
        </w:tc>
        <w:tc>
          <w:tcPr>
            <w:tcW w:w="1080" w:type="dxa"/>
            <w:vMerge/>
            <w:tcBorders>
              <w:top w:val="nil"/>
              <w:left w:val="nil"/>
              <w:bottom w:val="nil"/>
              <w:right w:val="nil"/>
            </w:tcBorders>
            <w:shd w:val="clear" w:color="auto" w:fill="auto"/>
            <w:vAlign w:val="center"/>
          </w:tcPr>
          <w:p w:rsidR="007D79B3" w:rsidRPr="00E273E3" w:rsidRDefault="007D79B3" w:rsidP="007D79B3">
            <w:pPr>
              <w:spacing w:after="0"/>
              <w:rPr>
                <w:rFonts w:ascii="Times New Roman" w:hAnsi="Times New Roman"/>
                <w:color w:val="000000"/>
                <w:sz w:val="22"/>
                <w:szCs w:val="22"/>
              </w:rPr>
            </w:pPr>
          </w:p>
        </w:tc>
      </w:tr>
      <w:tr w:rsidR="007D79B3" w:rsidRPr="00E273E3" w:rsidTr="001E0D27">
        <w:trPr>
          <w:trHeight w:val="260"/>
        </w:trPr>
        <w:tc>
          <w:tcPr>
            <w:tcW w:w="3620" w:type="dxa"/>
            <w:vMerge w:val="restart"/>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 xml:space="preserve">Administration assistant </w:t>
            </w:r>
          </w:p>
        </w:tc>
        <w:tc>
          <w:tcPr>
            <w:tcW w:w="3600" w:type="dxa"/>
            <w:vMerge w:val="restart"/>
            <w:tcBorders>
              <w:top w:val="nil"/>
              <w:left w:val="nil"/>
              <w:bottom w:val="nil"/>
              <w:right w:val="nil"/>
            </w:tcBorders>
            <w:shd w:val="clear" w:color="auto" w:fill="auto"/>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Administration Assistant to help with logistic arrangements and communication @300/month</w:t>
            </w:r>
          </w:p>
        </w:tc>
        <w:tc>
          <w:tcPr>
            <w:tcW w:w="1080" w:type="dxa"/>
            <w:vMerge w:val="restart"/>
            <w:tcBorders>
              <w:top w:val="nil"/>
              <w:left w:val="nil"/>
              <w:bottom w:val="single" w:sz="8" w:space="0" w:color="000000"/>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$1,500</w:t>
            </w:r>
          </w:p>
        </w:tc>
      </w:tr>
      <w:tr w:rsidR="007D79B3" w:rsidRPr="00E273E3" w:rsidTr="001E0D27">
        <w:trPr>
          <w:trHeight w:val="260"/>
        </w:trPr>
        <w:tc>
          <w:tcPr>
            <w:tcW w:w="3620" w:type="dxa"/>
            <w:vMerge/>
            <w:tcBorders>
              <w:top w:val="nil"/>
              <w:left w:val="nil"/>
              <w:bottom w:val="nil"/>
              <w:right w:val="nil"/>
            </w:tcBorders>
            <w:shd w:val="clear" w:color="auto" w:fill="auto"/>
            <w:vAlign w:val="center"/>
          </w:tcPr>
          <w:p w:rsidR="007D79B3" w:rsidRPr="00E273E3" w:rsidRDefault="007D79B3" w:rsidP="007D79B3">
            <w:pPr>
              <w:spacing w:after="0"/>
              <w:rPr>
                <w:rFonts w:ascii="Times New Roman" w:hAnsi="Times New Roman"/>
                <w:color w:val="000000"/>
                <w:sz w:val="22"/>
                <w:szCs w:val="22"/>
              </w:rPr>
            </w:pPr>
          </w:p>
        </w:tc>
        <w:tc>
          <w:tcPr>
            <w:tcW w:w="3600" w:type="dxa"/>
            <w:vMerge/>
            <w:tcBorders>
              <w:top w:val="nil"/>
              <w:left w:val="nil"/>
              <w:bottom w:val="nil"/>
              <w:right w:val="nil"/>
            </w:tcBorders>
            <w:shd w:val="clear" w:color="auto" w:fill="auto"/>
            <w:vAlign w:val="center"/>
          </w:tcPr>
          <w:p w:rsidR="007D79B3" w:rsidRPr="00E273E3" w:rsidRDefault="007D79B3" w:rsidP="007D79B3">
            <w:pPr>
              <w:spacing w:after="0"/>
              <w:rPr>
                <w:rFonts w:ascii="Times New Roman" w:hAnsi="Times New Roman"/>
                <w:color w:val="000000"/>
                <w:sz w:val="22"/>
                <w:szCs w:val="22"/>
              </w:rPr>
            </w:pPr>
          </w:p>
        </w:tc>
        <w:tc>
          <w:tcPr>
            <w:tcW w:w="1080" w:type="dxa"/>
            <w:vMerge/>
            <w:tcBorders>
              <w:top w:val="nil"/>
              <w:left w:val="nil"/>
              <w:bottom w:val="single" w:sz="8" w:space="0" w:color="000000"/>
              <w:right w:val="nil"/>
            </w:tcBorders>
            <w:shd w:val="clear" w:color="auto" w:fill="auto"/>
            <w:vAlign w:val="center"/>
          </w:tcPr>
          <w:p w:rsidR="007D79B3" w:rsidRPr="00E273E3" w:rsidRDefault="007D79B3" w:rsidP="007D79B3">
            <w:pPr>
              <w:spacing w:after="0"/>
              <w:rPr>
                <w:rFonts w:ascii="Times New Roman" w:hAnsi="Times New Roman"/>
                <w:color w:val="000000"/>
                <w:sz w:val="22"/>
                <w:szCs w:val="22"/>
              </w:rPr>
            </w:pP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p>
        </w:tc>
        <w:tc>
          <w:tcPr>
            <w:tcW w:w="360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i/>
                <w:iCs/>
                <w:color w:val="000000"/>
                <w:sz w:val="22"/>
                <w:szCs w:val="22"/>
              </w:rPr>
            </w:pPr>
            <w:r w:rsidRPr="00E273E3">
              <w:rPr>
                <w:rFonts w:ascii="Times New Roman" w:hAnsi="Times New Roman"/>
                <w:i/>
                <w:iCs/>
                <w:color w:val="000000"/>
                <w:sz w:val="22"/>
                <w:szCs w:val="22"/>
              </w:rPr>
              <w:t>sub total</w:t>
            </w:r>
          </w:p>
        </w:tc>
        <w:tc>
          <w:tcPr>
            <w:tcW w:w="1080" w:type="dxa"/>
            <w:tcBorders>
              <w:top w:val="single" w:sz="8" w:space="0" w:color="auto"/>
              <w:left w:val="nil"/>
              <w:bottom w:val="single" w:sz="8" w:space="0" w:color="auto"/>
              <w:right w:val="nil"/>
            </w:tcBorders>
            <w:shd w:val="clear" w:color="auto" w:fill="auto"/>
            <w:noWrap/>
          </w:tcPr>
          <w:p w:rsidR="007D79B3" w:rsidRPr="00E273E3" w:rsidRDefault="007D79B3" w:rsidP="007D79B3">
            <w:pPr>
              <w:spacing w:after="0"/>
              <w:jc w:val="right"/>
              <w:rPr>
                <w:rFonts w:ascii="Times New Roman" w:hAnsi="Times New Roman"/>
                <w:b/>
                <w:bCs/>
                <w:color w:val="000000"/>
                <w:sz w:val="22"/>
                <w:szCs w:val="22"/>
              </w:rPr>
            </w:pPr>
            <w:r w:rsidRPr="00E273E3">
              <w:rPr>
                <w:rFonts w:ascii="Times New Roman" w:hAnsi="Times New Roman"/>
                <w:b/>
                <w:bCs/>
                <w:color w:val="000000"/>
                <w:sz w:val="22"/>
                <w:szCs w:val="22"/>
              </w:rPr>
              <w:t>$6,500</w:t>
            </w:r>
          </w:p>
        </w:tc>
      </w:tr>
      <w:tr w:rsidR="007D79B3" w:rsidRPr="00E273E3" w:rsidTr="001E0D27">
        <w:trPr>
          <w:trHeight w:val="260"/>
        </w:trPr>
        <w:tc>
          <w:tcPr>
            <w:tcW w:w="362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i/>
                <w:iCs/>
                <w:color w:val="000000"/>
                <w:sz w:val="22"/>
                <w:szCs w:val="22"/>
              </w:rPr>
            </w:pPr>
            <w:r w:rsidRPr="00E273E3">
              <w:rPr>
                <w:rFonts w:ascii="Times New Roman" w:hAnsi="Times New Roman"/>
                <w:i/>
                <w:iCs/>
                <w:color w:val="000000"/>
                <w:sz w:val="22"/>
                <w:szCs w:val="22"/>
              </w:rPr>
              <w:t>Consultants</w:t>
            </w:r>
          </w:p>
        </w:tc>
        <w:tc>
          <w:tcPr>
            <w:tcW w:w="360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 </w:t>
            </w:r>
          </w:p>
        </w:tc>
        <w:tc>
          <w:tcPr>
            <w:tcW w:w="1080" w:type="dxa"/>
            <w:tcBorders>
              <w:top w:val="nil"/>
              <w:left w:val="nil"/>
              <w:bottom w:val="nil"/>
              <w:right w:val="nil"/>
            </w:tcBorders>
            <w:shd w:val="clear" w:color="auto" w:fill="C0C0C0"/>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 </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WCS</w:t>
            </w:r>
          </w:p>
        </w:tc>
        <w:tc>
          <w:tcPr>
            <w:tcW w:w="3600" w:type="dxa"/>
            <w:tcBorders>
              <w:top w:val="nil"/>
              <w:left w:val="nil"/>
              <w:bottom w:val="nil"/>
              <w:right w:val="nil"/>
            </w:tcBorders>
            <w:shd w:val="clear" w:color="auto" w:fill="auto"/>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Tom Clements' time, plus support from additional TA</w:t>
            </w:r>
          </w:p>
        </w:tc>
        <w:tc>
          <w:tcPr>
            <w:tcW w:w="1080" w:type="dxa"/>
            <w:tcBorders>
              <w:top w:val="nil"/>
              <w:left w:val="nil"/>
              <w:bottom w:val="nil"/>
              <w:right w:val="nil"/>
            </w:tcBorders>
            <w:shd w:val="clear" w:color="auto" w:fill="auto"/>
            <w:noWrap/>
          </w:tcPr>
          <w:p w:rsidR="007D79B3" w:rsidRPr="00E273E3" w:rsidRDefault="00205376" w:rsidP="007D79B3">
            <w:pPr>
              <w:spacing w:after="0"/>
              <w:jc w:val="right"/>
              <w:rPr>
                <w:rFonts w:ascii="Times New Roman" w:hAnsi="Times New Roman"/>
                <w:color w:val="000000"/>
                <w:sz w:val="22"/>
                <w:szCs w:val="22"/>
              </w:rPr>
            </w:pPr>
            <w:r>
              <w:rPr>
                <w:rFonts w:ascii="Times New Roman" w:hAnsi="Times New Roman"/>
                <w:color w:val="000000"/>
                <w:sz w:val="22"/>
                <w:szCs w:val="22"/>
              </w:rPr>
              <w:t>$28</w:t>
            </w:r>
            <w:r w:rsidR="007D79B3" w:rsidRPr="00E273E3">
              <w:rPr>
                <w:rFonts w:ascii="Times New Roman" w:hAnsi="Times New Roman"/>
                <w:color w:val="000000"/>
                <w:sz w:val="22"/>
                <w:szCs w:val="22"/>
              </w:rPr>
              <w:t>,000</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Consultation and safeguards expert</w:t>
            </w:r>
          </w:p>
        </w:tc>
        <w:tc>
          <w:tcPr>
            <w:tcW w:w="3600" w:type="dxa"/>
            <w:tcBorders>
              <w:top w:val="nil"/>
              <w:left w:val="nil"/>
              <w:bottom w:val="nil"/>
              <w:right w:val="nil"/>
            </w:tcBorders>
            <w:shd w:val="clear" w:color="auto" w:fill="auto"/>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(including SESA)</w:t>
            </w:r>
          </w:p>
        </w:tc>
        <w:tc>
          <w:tcPr>
            <w:tcW w:w="108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$6,000</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Legal Consultant(s)</w:t>
            </w:r>
          </w:p>
        </w:tc>
        <w:tc>
          <w:tcPr>
            <w:tcW w:w="360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p>
        </w:tc>
        <w:tc>
          <w:tcPr>
            <w:tcW w:w="1080" w:type="dxa"/>
            <w:tcBorders>
              <w:top w:val="nil"/>
              <w:left w:val="nil"/>
              <w:bottom w:val="nil"/>
              <w:right w:val="nil"/>
            </w:tcBorders>
            <w:shd w:val="clear" w:color="auto" w:fill="auto"/>
            <w:noWrap/>
          </w:tcPr>
          <w:p w:rsidR="007D79B3" w:rsidRPr="00E273E3" w:rsidRDefault="00205376" w:rsidP="007D79B3">
            <w:pPr>
              <w:spacing w:after="0"/>
              <w:jc w:val="right"/>
              <w:rPr>
                <w:rFonts w:ascii="Times New Roman" w:hAnsi="Times New Roman"/>
                <w:color w:val="000000"/>
                <w:sz w:val="22"/>
                <w:szCs w:val="22"/>
              </w:rPr>
            </w:pPr>
            <w:r>
              <w:rPr>
                <w:rFonts w:ascii="Times New Roman" w:hAnsi="Times New Roman"/>
                <w:color w:val="000000"/>
                <w:sz w:val="22"/>
                <w:szCs w:val="22"/>
              </w:rPr>
              <w:t>$17</w:t>
            </w:r>
            <w:r w:rsidR="007D79B3" w:rsidRPr="00E273E3">
              <w:rPr>
                <w:rFonts w:ascii="Times New Roman" w:hAnsi="Times New Roman"/>
                <w:color w:val="000000"/>
                <w:sz w:val="22"/>
                <w:szCs w:val="22"/>
              </w:rPr>
              <w:t>,500</w:t>
            </w:r>
          </w:p>
        </w:tc>
      </w:tr>
      <w:tr w:rsidR="007D79B3" w:rsidRPr="00E273E3" w:rsidTr="001E0D27">
        <w:trPr>
          <w:trHeight w:val="260"/>
        </w:trPr>
        <w:tc>
          <w:tcPr>
            <w:tcW w:w="7220" w:type="dxa"/>
            <w:gridSpan w:val="2"/>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sz w:val="22"/>
                <w:szCs w:val="22"/>
              </w:rPr>
            </w:pPr>
            <w:r w:rsidRPr="00E273E3">
              <w:rPr>
                <w:rFonts w:ascii="Times New Roman" w:hAnsi="Times New Roman"/>
                <w:sz w:val="22"/>
                <w:szCs w:val="22"/>
              </w:rPr>
              <w:t>Development of  national REDD MRV and RELs</w:t>
            </w:r>
          </w:p>
        </w:tc>
        <w:tc>
          <w:tcPr>
            <w:tcW w:w="1080" w:type="dxa"/>
            <w:tcBorders>
              <w:top w:val="nil"/>
              <w:left w:val="nil"/>
              <w:bottom w:val="nil"/>
              <w:right w:val="nil"/>
            </w:tcBorders>
            <w:shd w:val="clear" w:color="auto" w:fill="auto"/>
            <w:noWrap/>
          </w:tcPr>
          <w:p w:rsidR="007D79B3" w:rsidRPr="00E273E3" w:rsidRDefault="00205376" w:rsidP="007D79B3">
            <w:pPr>
              <w:spacing w:after="0"/>
              <w:jc w:val="right"/>
              <w:rPr>
                <w:rFonts w:ascii="Times New Roman" w:hAnsi="Times New Roman"/>
                <w:color w:val="000000"/>
                <w:sz w:val="22"/>
                <w:szCs w:val="22"/>
              </w:rPr>
            </w:pPr>
            <w:r>
              <w:rPr>
                <w:rFonts w:ascii="Times New Roman" w:hAnsi="Times New Roman"/>
                <w:color w:val="000000"/>
                <w:sz w:val="22"/>
                <w:szCs w:val="22"/>
              </w:rPr>
              <w:t>$15</w:t>
            </w:r>
            <w:r w:rsidR="007D79B3" w:rsidRPr="00E273E3">
              <w:rPr>
                <w:rFonts w:ascii="Times New Roman" w:hAnsi="Times New Roman"/>
                <w:color w:val="000000"/>
                <w:sz w:val="22"/>
                <w:szCs w:val="22"/>
              </w:rPr>
              <w:t>,000</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p>
        </w:tc>
        <w:tc>
          <w:tcPr>
            <w:tcW w:w="360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i/>
                <w:iCs/>
                <w:color w:val="000000"/>
                <w:sz w:val="22"/>
                <w:szCs w:val="22"/>
              </w:rPr>
            </w:pPr>
            <w:r w:rsidRPr="00E273E3">
              <w:rPr>
                <w:rFonts w:ascii="Times New Roman" w:hAnsi="Times New Roman"/>
                <w:i/>
                <w:iCs/>
                <w:color w:val="000000"/>
                <w:sz w:val="22"/>
                <w:szCs w:val="22"/>
              </w:rPr>
              <w:t>sub total</w:t>
            </w:r>
          </w:p>
        </w:tc>
        <w:tc>
          <w:tcPr>
            <w:tcW w:w="1080" w:type="dxa"/>
            <w:tcBorders>
              <w:top w:val="single" w:sz="8" w:space="0" w:color="auto"/>
              <w:left w:val="nil"/>
              <w:bottom w:val="single" w:sz="8" w:space="0" w:color="auto"/>
              <w:right w:val="nil"/>
            </w:tcBorders>
            <w:shd w:val="clear" w:color="auto" w:fill="auto"/>
            <w:noWrap/>
          </w:tcPr>
          <w:p w:rsidR="007D79B3" w:rsidRPr="00E273E3" w:rsidRDefault="00205376" w:rsidP="007D79B3">
            <w:pPr>
              <w:spacing w:after="0"/>
              <w:jc w:val="right"/>
              <w:rPr>
                <w:rFonts w:ascii="Times New Roman" w:hAnsi="Times New Roman"/>
                <w:b/>
                <w:bCs/>
                <w:color w:val="000000"/>
                <w:sz w:val="22"/>
                <w:szCs w:val="22"/>
              </w:rPr>
            </w:pPr>
            <w:r>
              <w:rPr>
                <w:rFonts w:ascii="Times New Roman" w:hAnsi="Times New Roman"/>
                <w:b/>
                <w:bCs/>
                <w:color w:val="000000"/>
                <w:sz w:val="22"/>
                <w:szCs w:val="22"/>
              </w:rPr>
              <w:t>$66</w:t>
            </w:r>
            <w:r w:rsidR="007D79B3" w:rsidRPr="00E273E3">
              <w:rPr>
                <w:rFonts w:ascii="Times New Roman" w:hAnsi="Times New Roman"/>
                <w:b/>
                <w:bCs/>
                <w:color w:val="000000"/>
                <w:sz w:val="22"/>
                <w:szCs w:val="22"/>
              </w:rPr>
              <w:t>,500</w:t>
            </w:r>
          </w:p>
        </w:tc>
      </w:tr>
      <w:tr w:rsidR="007D79B3" w:rsidRPr="00E273E3" w:rsidTr="001E0D27">
        <w:trPr>
          <w:trHeight w:val="260"/>
        </w:trPr>
        <w:tc>
          <w:tcPr>
            <w:tcW w:w="362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i/>
                <w:iCs/>
                <w:color w:val="000000"/>
                <w:sz w:val="22"/>
                <w:szCs w:val="22"/>
              </w:rPr>
            </w:pPr>
            <w:r w:rsidRPr="00E273E3">
              <w:rPr>
                <w:rFonts w:ascii="Times New Roman" w:hAnsi="Times New Roman"/>
                <w:i/>
                <w:iCs/>
                <w:color w:val="000000"/>
                <w:sz w:val="22"/>
                <w:szCs w:val="22"/>
              </w:rPr>
              <w:t>International Travel</w:t>
            </w:r>
          </w:p>
        </w:tc>
        <w:tc>
          <w:tcPr>
            <w:tcW w:w="360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 </w:t>
            </w:r>
          </w:p>
        </w:tc>
        <w:tc>
          <w:tcPr>
            <w:tcW w:w="1080" w:type="dxa"/>
            <w:tcBorders>
              <w:top w:val="nil"/>
              <w:left w:val="nil"/>
              <w:bottom w:val="nil"/>
              <w:right w:val="nil"/>
            </w:tcBorders>
            <w:shd w:val="clear" w:color="auto" w:fill="C0C0C0"/>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 </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International Flights</w:t>
            </w:r>
          </w:p>
        </w:tc>
        <w:tc>
          <w:tcPr>
            <w:tcW w:w="3600" w:type="dxa"/>
            <w:tcBorders>
              <w:top w:val="nil"/>
              <w:left w:val="nil"/>
              <w:bottom w:val="nil"/>
              <w:right w:val="nil"/>
            </w:tcBorders>
            <w:shd w:val="clear" w:color="auto" w:fill="auto"/>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3 long-haul flights, plus regional trips (Bangkok)</w:t>
            </w:r>
          </w:p>
        </w:tc>
        <w:tc>
          <w:tcPr>
            <w:tcW w:w="108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$8,000</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Accommodation and Food</w:t>
            </w:r>
          </w:p>
        </w:tc>
        <w:tc>
          <w:tcPr>
            <w:tcW w:w="360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Hotels and Food costs</w:t>
            </w:r>
          </w:p>
        </w:tc>
        <w:tc>
          <w:tcPr>
            <w:tcW w:w="108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$1,500</w:t>
            </w:r>
          </w:p>
        </w:tc>
      </w:tr>
      <w:tr w:rsidR="007D79B3" w:rsidRPr="00E273E3" w:rsidTr="001E0D27">
        <w:trPr>
          <w:trHeight w:val="260"/>
        </w:trPr>
        <w:tc>
          <w:tcPr>
            <w:tcW w:w="3620" w:type="dxa"/>
            <w:tcBorders>
              <w:top w:val="nil"/>
              <w:left w:val="nil"/>
              <w:bottom w:val="dotted" w:sz="4" w:space="0" w:color="auto"/>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Visas</w:t>
            </w:r>
          </w:p>
        </w:tc>
        <w:tc>
          <w:tcPr>
            <w:tcW w:w="3600" w:type="dxa"/>
            <w:tcBorders>
              <w:top w:val="nil"/>
              <w:left w:val="nil"/>
              <w:bottom w:val="dotted" w:sz="4" w:space="0" w:color="auto"/>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Cambodia visas</w:t>
            </w:r>
          </w:p>
        </w:tc>
        <w:tc>
          <w:tcPr>
            <w:tcW w:w="108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$300</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p>
        </w:tc>
        <w:tc>
          <w:tcPr>
            <w:tcW w:w="360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i/>
                <w:iCs/>
                <w:color w:val="000000"/>
                <w:sz w:val="22"/>
                <w:szCs w:val="22"/>
              </w:rPr>
            </w:pPr>
            <w:r w:rsidRPr="00E273E3">
              <w:rPr>
                <w:rFonts w:ascii="Times New Roman" w:hAnsi="Times New Roman"/>
                <w:i/>
                <w:iCs/>
                <w:color w:val="000000"/>
                <w:sz w:val="22"/>
                <w:szCs w:val="22"/>
              </w:rPr>
              <w:t>sub total</w:t>
            </w:r>
          </w:p>
        </w:tc>
        <w:tc>
          <w:tcPr>
            <w:tcW w:w="1080" w:type="dxa"/>
            <w:tcBorders>
              <w:top w:val="single" w:sz="8" w:space="0" w:color="auto"/>
              <w:left w:val="nil"/>
              <w:bottom w:val="single" w:sz="8" w:space="0" w:color="auto"/>
              <w:right w:val="nil"/>
            </w:tcBorders>
            <w:shd w:val="clear" w:color="auto" w:fill="auto"/>
            <w:noWrap/>
          </w:tcPr>
          <w:p w:rsidR="007D79B3" w:rsidRPr="00E273E3" w:rsidRDefault="007D79B3" w:rsidP="007D79B3">
            <w:pPr>
              <w:spacing w:after="0"/>
              <w:jc w:val="right"/>
              <w:rPr>
                <w:rFonts w:ascii="Times New Roman" w:hAnsi="Times New Roman"/>
                <w:b/>
                <w:bCs/>
                <w:color w:val="000000"/>
                <w:sz w:val="22"/>
                <w:szCs w:val="22"/>
              </w:rPr>
            </w:pPr>
            <w:r w:rsidRPr="00E273E3">
              <w:rPr>
                <w:rFonts w:ascii="Times New Roman" w:hAnsi="Times New Roman"/>
                <w:b/>
                <w:bCs/>
                <w:color w:val="000000"/>
                <w:sz w:val="22"/>
                <w:szCs w:val="22"/>
              </w:rPr>
              <w:t>$9,800</w:t>
            </w:r>
          </w:p>
        </w:tc>
      </w:tr>
      <w:tr w:rsidR="007D79B3" w:rsidRPr="00E273E3" w:rsidTr="001E0D27">
        <w:trPr>
          <w:trHeight w:val="260"/>
        </w:trPr>
        <w:tc>
          <w:tcPr>
            <w:tcW w:w="7220" w:type="dxa"/>
            <w:gridSpan w:val="2"/>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i/>
                <w:iCs/>
                <w:color w:val="000000"/>
                <w:sz w:val="22"/>
                <w:szCs w:val="22"/>
              </w:rPr>
            </w:pPr>
            <w:r w:rsidRPr="00E273E3">
              <w:rPr>
                <w:rFonts w:ascii="Times New Roman" w:hAnsi="Times New Roman"/>
                <w:i/>
                <w:iCs/>
                <w:color w:val="000000"/>
                <w:sz w:val="22"/>
                <w:szCs w:val="22"/>
              </w:rPr>
              <w:t>Consultations and Trainings, workshops and meeting</w:t>
            </w:r>
          </w:p>
        </w:tc>
        <w:tc>
          <w:tcPr>
            <w:tcW w:w="1080" w:type="dxa"/>
            <w:tcBorders>
              <w:top w:val="nil"/>
              <w:left w:val="nil"/>
              <w:bottom w:val="nil"/>
              <w:right w:val="nil"/>
            </w:tcBorders>
            <w:shd w:val="clear" w:color="auto" w:fill="C0C0C0"/>
            <w:noWrap/>
          </w:tcPr>
          <w:p w:rsidR="007D79B3" w:rsidRPr="00E273E3" w:rsidRDefault="007D79B3" w:rsidP="007D79B3">
            <w:pPr>
              <w:spacing w:after="0"/>
              <w:jc w:val="right"/>
              <w:rPr>
                <w:rFonts w:ascii="Times New Roman" w:hAnsi="Times New Roman"/>
                <w:b/>
                <w:bCs/>
                <w:color w:val="000000"/>
                <w:sz w:val="22"/>
                <w:szCs w:val="22"/>
              </w:rPr>
            </w:pPr>
            <w:r w:rsidRPr="00E273E3">
              <w:rPr>
                <w:rFonts w:ascii="Times New Roman" w:hAnsi="Times New Roman"/>
                <w:b/>
                <w:bCs/>
                <w:color w:val="000000"/>
                <w:sz w:val="22"/>
                <w:szCs w:val="22"/>
              </w:rPr>
              <w:t> </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REDD training workshops</w:t>
            </w:r>
          </w:p>
        </w:tc>
        <w:tc>
          <w:tcPr>
            <w:tcW w:w="360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1 workshops @$4,000</w:t>
            </w:r>
          </w:p>
        </w:tc>
        <w:tc>
          <w:tcPr>
            <w:tcW w:w="108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$4,000</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Consultation workshops</w:t>
            </w:r>
          </w:p>
        </w:tc>
        <w:tc>
          <w:tcPr>
            <w:tcW w:w="360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2 workshops @$4,000</w:t>
            </w:r>
          </w:p>
        </w:tc>
        <w:tc>
          <w:tcPr>
            <w:tcW w:w="108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$8,000</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REDD working group meetings</w:t>
            </w:r>
          </w:p>
        </w:tc>
        <w:tc>
          <w:tcPr>
            <w:tcW w:w="360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Meetings @400, 10 meetings</w:t>
            </w:r>
          </w:p>
        </w:tc>
        <w:tc>
          <w:tcPr>
            <w:tcW w:w="108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$4,000</w:t>
            </w:r>
          </w:p>
        </w:tc>
      </w:tr>
      <w:tr w:rsidR="007D79B3" w:rsidRPr="00E273E3" w:rsidTr="001E0D27">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p>
        </w:tc>
        <w:tc>
          <w:tcPr>
            <w:tcW w:w="360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i/>
                <w:iCs/>
                <w:color w:val="000000"/>
                <w:sz w:val="22"/>
                <w:szCs w:val="22"/>
              </w:rPr>
            </w:pPr>
            <w:r w:rsidRPr="00E273E3">
              <w:rPr>
                <w:rFonts w:ascii="Times New Roman" w:hAnsi="Times New Roman"/>
                <w:i/>
                <w:iCs/>
                <w:color w:val="000000"/>
                <w:sz w:val="22"/>
                <w:szCs w:val="22"/>
              </w:rPr>
              <w:t>sub total</w:t>
            </w:r>
          </w:p>
        </w:tc>
        <w:tc>
          <w:tcPr>
            <w:tcW w:w="1080" w:type="dxa"/>
            <w:tcBorders>
              <w:top w:val="single" w:sz="8" w:space="0" w:color="auto"/>
              <w:left w:val="nil"/>
              <w:bottom w:val="single" w:sz="8" w:space="0" w:color="auto"/>
              <w:right w:val="nil"/>
            </w:tcBorders>
            <w:shd w:val="clear" w:color="auto" w:fill="auto"/>
            <w:noWrap/>
          </w:tcPr>
          <w:p w:rsidR="007D79B3" w:rsidRPr="00E273E3" w:rsidRDefault="007D79B3" w:rsidP="007D79B3">
            <w:pPr>
              <w:spacing w:after="0"/>
              <w:jc w:val="right"/>
              <w:rPr>
                <w:rFonts w:ascii="Times New Roman" w:hAnsi="Times New Roman"/>
                <w:b/>
                <w:bCs/>
                <w:color w:val="000000"/>
                <w:sz w:val="22"/>
                <w:szCs w:val="22"/>
              </w:rPr>
            </w:pPr>
            <w:r w:rsidRPr="00E273E3">
              <w:rPr>
                <w:rFonts w:ascii="Times New Roman" w:hAnsi="Times New Roman"/>
                <w:b/>
                <w:bCs/>
                <w:color w:val="000000"/>
                <w:sz w:val="22"/>
                <w:szCs w:val="22"/>
              </w:rPr>
              <w:t>$16,000</w:t>
            </w:r>
          </w:p>
        </w:tc>
      </w:tr>
      <w:tr w:rsidR="007D79B3" w:rsidRPr="00E273E3" w:rsidTr="001E0D27">
        <w:trPr>
          <w:trHeight w:val="260"/>
        </w:trPr>
        <w:tc>
          <w:tcPr>
            <w:tcW w:w="362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i/>
                <w:iCs/>
                <w:color w:val="000000"/>
                <w:sz w:val="22"/>
                <w:szCs w:val="22"/>
              </w:rPr>
            </w:pPr>
            <w:r w:rsidRPr="00E273E3">
              <w:rPr>
                <w:rFonts w:ascii="Times New Roman" w:hAnsi="Times New Roman"/>
                <w:i/>
                <w:iCs/>
                <w:color w:val="000000"/>
                <w:sz w:val="22"/>
                <w:szCs w:val="22"/>
              </w:rPr>
              <w:t>Miscellaneous</w:t>
            </w:r>
          </w:p>
        </w:tc>
        <w:tc>
          <w:tcPr>
            <w:tcW w:w="3600" w:type="dxa"/>
            <w:tcBorders>
              <w:top w:val="nil"/>
              <w:left w:val="nil"/>
              <w:bottom w:val="nil"/>
              <w:right w:val="nil"/>
            </w:tcBorders>
            <w:shd w:val="clear" w:color="auto" w:fill="C0C0C0"/>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 </w:t>
            </w:r>
          </w:p>
        </w:tc>
        <w:tc>
          <w:tcPr>
            <w:tcW w:w="1080" w:type="dxa"/>
            <w:tcBorders>
              <w:top w:val="nil"/>
              <w:left w:val="nil"/>
              <w:bottom w:val="nil"/>
              <w:right w:val="nil"/>
            </w:tcBorders>
            <w:shd w:val="clear" w:color="auto" w:fill="C0C0C0"/>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 </w:t>
            </w:r>
          </w:p>
        </w:tc>
      </w:tr>
      <w:tr w:rsidR="007D79B3" w:rsidRPr="00E273E3" w:rsidTr="001E0D27">
        <w:trPr>
          <w:trHeight w:val="260"/>
        </w:trPr>
        <w:tc>
          <w:tcPr>
            <w:tcW w:w="3620" w:type="dxa"/>
            <w:tcBorders>
              <w:top w:val="nil"/>
              <w:left w:val="nil"/>
              <w:bottom w:val="dotted" w:sz="4" w:space="0" w:color="auto"/>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Operational expenses</w:t>
            </w:r>
          </w:p>
        </w:tc>
        <w:tc>
          <w:tcPr>
            <w:tcW w:w="3600" w:type="dxa"/>
            <w:tcBorders>
              <w:top w:val="nil"/>
              <w:left w:val="nil"/>
              <w:bottom w:val="dotted" w:sz="4" w:space="0" w:color="auto"/>
              <w:right w:val="nil"/>
            </w:tcBorders>
            <w:shd w:val="clear" w:color="auto" w:fill="auto"/>
          </w:tcPr>
          <w:p w:rsidR="007D79B3" w:rsidRPr="00E273E3" w:rsidRDefault="007D79B3" w:rsidP="007D79B3">
            <w:pPr>
              <w:spacing w:after="0"/>
              <w:rPr>
                <w:rFonts w:ascii="Times New Roman" w:hAnsi="Times New Roman"/>
                <w:color w:val="000000"/>
                <w:sz w:val="22"/>
                <w:szCs w:val="22"/>
              </w:rPr>
            </w:pPr>
            <w:r w:rsidRPr="00E273E3">
              <w:rPr>
                <w:rFonts w:ascii="Times New Roman" w:hAnsi="Times New Roman"/>
                <w:color w:val="000000"/>
                <w:sz w:val="22"/>
                <w:szCs w:val="22"/>
              </w:rPr>
              <w:t>Telephone, printing, photocopy and others @300/month</w:t>
            </w:r>
          </w:p>
        </w:tc>
        <w:tc>
          <w:tcPr>
            <w:tcW w:w="1080" w:type="dxa"/>
            <w:tcBorders>
              <w:top w:val="nil"/>
              <w:left w:val="nil"/>
              <w:bottom w:val="nil"/>
              <w:right w:val="nil"/>
            </w:tcBorders>
            <w:shd w:val="clear" w:color="auto" w:fill="auto"/>
            <w:noWrap/>
          </w:tcPr>
          <w:p w:rsidR="007D79B3" w:rsidRPr="00E273E3" w:rsidRDefault="007D79B3" w:rsidP="007D79B3">
            <w:pPr>
              <w:spacing w:after="0"/>
              <w:jc w:val="right"/>
              <w:rPr>
                <w:rFonts w:ascii="Times New Roman" w:hAnsi="Times New Roman"/>
                <w:color w:val="000000"/>
                <w:sz w:val="22"/>
                <w:szCs w:val="22"/>
              </w:rPr>
            </w:pPr>
            <w:r w:rsidRPr="00E273E3">
              <w:rPr>
                <w:rFonts w:ascii="Times New Roman" w:hAnsi="Times New Roman"/>
                <w:color w:val="000000"/>
                <w:sz w:val="22"/>
                <w:szCs w:val="22"/>
              </w:rPr>
              <w:t>$6,500</w:t>
            </w:r>
          </w:p>
        </w:tc>
      </w:tr>
      <w:tr w:rsidR="00205376" w:rsidRPr="00E273E3" w:rsidTr="001E0D27">
        <w:trPr>
          <w:trHeight w:val="260"/>
        </w:trPr>
        <w:tc>
          <w:tcPr>
            <w:tcW w:w="3620" w:type="dxa"/>
            <w:tcBorders>
              <w:top w:val="nil"/>
              <w:left w:val="nil"/>
              <w:bottom w:val="dotted" w:sz="4" w:space="0" w:color="auto"/>
              <w:right w:val="nil"/>
            </w:tcBorders>
            <w:shd w:val="clear" w:color="auto" w:fill="auto"/>
            <w:noWrap/>
          </w:tcPr>
          <w:p w:rsidR="00205376" w:rsidRPr="00E273E3" w:rsidRDefault="00205376" w:rsidP="007D79B3">
            <w:pPr>
              <w:spacing w:after="0"/>
              <w:rPr>
                <w:rFonts w:ascii="Times New Roman" w:hAnsi="Times New Roman"/>
                <w:color w:val="000000"/>
                <w:sz w:val="22"/>
                <w:szCs w:val="22"/>
              </w:rPr>
            </w:pPr>
            <w:r>
              <w:rPr>
                <w:rFonts w:ascii="Times New Roman" w:hAnsi="Times New Roman"/>
                <w:color w:val="000000"/>
                <w:sz w:val="22"/>
                <w:szCs w:val="22"/>
              </w:rPr>
              <w:t>Equipment for Taskforce meetings</w:t>
            </w:r>
          </w:p>
        </w:tc>
        <w:tc>
          <w:tcPr>
            <w:tcW w:w="3600" w:type="dxa"/>
            <w:tcBorders>
              <w:top w:val="nil"/>
              <w:left w:val="nil"/>
              <w:bottom w:val="dotted" w:sz="4" w:space="0" w:color="auto"/>
              <w:right w:val="nil"/>
            </w:tcBorders>
            <w:shd w:val="clear" w:color="auto" w:fill="auto"/>
          </w:tcPr>
          <w:p w:rsidR="00205376" w:rsidRPr="00E273E3" w:rsidRDefault="00205376" w:rsidP="007D79B3">
            <w:pPr>
              <w:spacing w:after="0"/>
              <w:rPr>
                <w:rFonts w:ascii="Times New Roman" w:hAnsi="Times New Roman"/>
                <w:color w:val="000000"/>
                <w:sz w:val="22"/>
                <w:szCs w:val="22"/>
              </w:rPr>
            </w:pPr>
            <w:r>
              <w:rPr>
                <w:rFonts w:ascii="Times New Roman" w:hAnsi="Times New Roman"/>
                <w:color w:val="000000"/>
                <w:sz w:val="22"/>
                <w:szCs w:val="22"/>
              </w:rPr>
              <w:t>Laptops and LCD projectors</w:t>
            </w:r>
          </w:p>
        </w:tc>
        <w:tc>
          <w:tcPr>
            <w:tcW w:w="1080" w:type="dxa"/>
            <w:tcBorders>
              <w:top w:val="nil"/>
              <w:left w:val="nil"/>
              <w:bottom w:val="nil"/>
              <w:right w:val="nil"/>
            </w:tcBorders>
            <w:shd w:val="clear" w:color="auto" w:fill="auto"/>
            <w:noWrap/>
          </w:tcPr>
          <w:p w:rsidR="00205376" w:rsidRPr="00E273E3" w:rsidRDefault="00205376" w:rsidP="007D79B3">
            <w:pPr>
              <w:spacing w:after="0"/>
              <w:jc w:val="right"/>
              <w:rPr>
                <w:rFonts w:ascii="Times New Roman" w:hAnsi="Times New Roman"/>
                <w:color w:val="000000"/>
                <w:sz w:val="22"/>
                <w:szCs w:val="22"/>
              </w:rPr>
            </w:pPr>
            <w:r>
              <w:rPr>
                <w:rFonts w:ascii="Times New Roman" w:hAnsi="Times New Roman"/>
                <w:color w:val="000000"/>
                <w:sz w:val="22"/>
                <w:szCs w:val="22"/>
              </w:rPr>
              <w:t>$7,000</w:t>
            </w:r>
          </w:p>
        </w:tc>
      </w:tr>
      <w:tr w:rsidR="007D79B3" w:rsidRPr="00E273E3" w:rsidTr="00783C4E">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p>
        </w:tc>
        <w:tc>
          <w:tcPr>
            <w:tcW w:w="3600" w:type="dxa"/>
            <w:tcBorders>
              <w:top w:val="nil"/>
              <w:left w:val="nil"/>
              <w:bottom w:val="single" w:sz="8" w:space="0" w:color="auto"/>
              <w:right w:val="nil"/>
            </w:tcBorders>
            <w:shd w:val="clear" w:color="auto" w:fill="auto"/>
            <w:noWrap/>
          </w:tcPr>
          <w:p w:rsidR="007D79B3" w:rsidRPr="00E273E3" w:rsidRDefault="007D79B3" w:rsidP="007D79B3">
            <w:pPr>
              <w:spacing w:after="0"/>
              <w:jc w:val="right"/>
              <w:rPr>
                <w:rFonts w:ascii="Times New Roman" w:hAnsi="Times New Roman"/>
                <w:i/>
                <w:iCs/>
                <w:color w:val="000000"/>
                <w:sz w:val="22"/>
                <w:szCs w:val="22"/>
              </w:rPr>
            </w:pPr>
            <w:r w:rsidRPr="00E273E3">
              <w:rPr>
                <w:rFonts w:ascii="Times New Roman" w:hAnsi="Times New Roman"/>
                <w:i/>
                <w:iCs/>
                <w:color w:val="000000"/>
                <w:sz w:val="22"/>
                <w:szCs w:val="22"/>
              </w:rPr>
              <w:t>sub total</w:t>
            </w:r>
          </w:p>
        </w:tc>
        <w:tc>
          <w:tcPr>
            <w:tcW w:w="1080" w:type="dxa"/>
            <w:tcBorders>
              <w:top w:val="nil"/>
              <w:left w:val="nil"/>
              <w:bottom w:val="single" w:sz="8" w:space="0" w:color="auto"/>
              <w:right w:val="nil"/>
            </w:tcBorders>
            <w:shd w:val="clear" w:color="auto" w:fill="auto"/>
            <w:noWrap/>
          </w:tcPr>
          <w:p w:rsidR="007D79B3" w:rsidRPr="00E273E3" w:rsidRDefault="00205376" w:rsidP="007D79B3">
            <w:pPr>
              <w:spacing w:after="0"/>
              <w:jc w:val="right"/>
              <w:rPr>
                <w:rFonts w:ascii="Times New Roman" w:hAnsi="Times New Roman"/>
                <w:b/>
                <w:bCs/>
                <w:color w:val="000000"/>
                <w:sz w:val="22"/>
                <w:szCs w:val="22"/>
              </w:rPr>
            </w:pPr>
            <w:r>
              <w:rPr>
                <w:rFonts w:ascii="Times New Roman" w:hAnsi="Times New Roman"/>
                <w:b/>
                <w:bCs/>
                <w:color w:val="000000"/>
                <w:sz w:val="22"/>
                <w:szCs w:val="22"/>
              </w:rPr>
              <w:t>$13</w:t>
            </w:r>
            <w:r w:rsidR="007D79B3" w:rsidRPr="00E273E3">
              <w:rPr>
                <w:rFonts w:ascii="Times New Roman" w:hAnsi="Times New Roman"/>
                <w:b/>
                <w:bCs/>
                <w:color w:val="000000"/>
                <w:sz w:val="22"/>
                <w:szCs w:val="22"/>
              </w:rPr>
              <w:t>,500</w:t>
            </w:r>
          </w:p>
        </w:tc>
      </w:tr>
      <w:tr w:rsidR="007D79B3" w:rsidRPr="00E273E3" w:rsidTr="00783C4E">
        <w:trPr>
          <w:trHeight w:val="260"/>
        </w:trPr>
        <w:tc>
          <w:tcPr>
            <w:tcW w:w="3620" w:type="dxa"/>
            <w:tcBorders>
              <w:top w:val="nil"/>
              <w:left w:val="nil"/>
              <w:bottom w:val="nil"/>
              <w:right w:val="single" w:sz="8" w:space="0" w:color="auto"/>
            </w:tcBorders>
            <w:shd w:val="clear" w:color="auto" w:fill="auto"/>
            <w:noWrap/>
          </w:tcPr>
          <w:p w:rsidR="007D79B3" w:rsidRPr="00E273E3" w:rsidRDefault="007D79B3" w:rsidP="007D79B3">
            <w:pPr>
              <w:spacing w:after="0"/>
              <w:rPr>
                <w:rFonts w:ascii="Times New Roman" w:hAnsi="Times New Roman"/>
                <w:color w:val="000000"/>
                <w:sz w:val="22"/>
                <w:szCs w:val="22"/>
              </w:rPr>
            </w:pPr>
          </w:p>
        </w:tc>
        <w:tc>
          <w:tcPr>
            <w:tcW w:w="3600" w:type="dxa"/>
            <w:tcBorders>
              <w:top w:val="single" w:sz="8" w:space="0" w:color="auto"/>
              <w:left w:val="single" w:sz="8" w:space="0" w:color="auto"/>
              <w:bottom w:val="nil"/>
              <w:right w:val="single" w:sz="8" w:space="0" w:color="auto"/>
            </w:tcBorders>
            <w:shd w:val="clear" w:color="auto" w:fill="auto"/>
            <w:noWrap/>
          </w:tcPr>
          <w:p w:rsidR="007D79B3" w:rsidRPr="00783C4E" w:rsidRDefault="007D79B3" w:rsidP="007D79B3">
            <w:pPr>
              <w:spacing w:after="0"/>
              <w:jc w:val="right"/>
              <w:rPr>
                <w:rFonts w:ascii="Times New Roman" w:hAnsi="Times New Roman"/>
                <w:b/>
                <w:iCs/>
                <w:color w:val="000000"/>
                <w:sz w:val="22"/>
                <w:szCs w:val="22"/>
              </w:rPr>
            </w:pPr>
            <w:r w:rsidRPr="00783C4E">
              <w:rPr>
                <w:rFonts w:ascii="Times New Roman" w:hAnsi="Times New Roman"/>
                <w:b/>
                <w:iCs/>
                <w:color w:val="000000"/>
                <w:sz w:val="22"/>
                <w:szCs w:val="22"/>
              </w:rPr>
              <w:t>WCS Indirect costs @7%</w:t>
            </w:r>
          </w:p>
        </w:tc>
        <w:tc>
          <w:tcPr>
            <w:tcW w:w="1080" w:type="dxa"/>
            <w:tcBorders>
              <w:top w:val="single" w:sz="8" w:space="0" w:color="auto"/>
              <w:left w:val="single" w:sz="8" w:space="0" w:color="auto"/>
              <w:bottom w:val="nil"/>
              <w:right w:val="nil"/>
            </w:tcBorders>
            <w:shd w:val="clear" w:color="auto" w:fill="auto"/>
            <w:noWrap/>
          </w:tcPr>
          <w:p w:rsidR="007D79B3" w:rsidRPr="00783C4E" w:rsidRDefault="007D79B3" w:rsidP="007D79B3">
            <w:pPr>
              <w:spacing w:after="0"/>
              <w:jc w:val="right"/>
              <w:rPr>
                <w:rFonts w:ascii="Times New Roman" w:hAnsi="Times New Roman"/>
                <w:b/>
                <w:bCs/>
                <w:color w:val="000000"/>
                <w:sz w:val="22"/>
                <w:szCs w:val="22"/>
              </w:rPr>
            </w:pPr>
            <w:r w:rsidRPr="00783C4E">
              <w:rPr>
                <w:rFonts w:ascii="Times New Roman" w:hAnsi="Times New Roman"/>
                <w:b/>
                <w:bCs/>
                <w:color w:val="000000"/>
                <w:sz w:val="22"/>
                <w:szCs w:val="22"/>
              </w:rPr>
              <w:t>$7,406</w:t>
            </w:r>
          </w:p>
        </w:tc>
      </w:tr>
      <w:tr w:rsidR="007D79B3" w:rsidRPr="00E273E3" w:rsidTr="00783C4E">
        <w:trPr>
          <w:trHeight w:val="260"/>
        </w:trPr>
        <w:tc>
          <w:tcPr>
            <w:tcW w:w="3620" w:type="dxa"/>
            <w:tcBorders>
              <w:top w:val="nil"/>
              <w:left w:val="nil"/>
              <w:bottom w:val="nil"/>
              <w:right w:val="nil"/>
            </w:tcBorders>
            <w:shd w:val="clear" w:color="auto" w:fill="auto"/>
            <w:noWrap/>
          </w:tcPr>
          <w:p w:rsidR="007D79B3" w:rsidRPr="00E273E3" w:rsidRDefault="007D79B3" w:rsidP="007D79B3">
            <w:pPr>
              <w:spacing w:after="0"/>
              <w:rPr>
                <w:rFonts w:ascii="Times New Roman" w:hAnsi="Times New Roman"/>
                <w:color w:val="000000"/>
                <w:sz w:val="22"/>
                <w:szCs w:val="22"/>
              </w:rPr>
            </w:pPr>
          </w:p>
        </w:tc>
        <w:tc>
          <w:tcPr>
            <w:tcW w:w="3600" w:type="dxa"/>
            <w:tcBorders>
              <w:top w:val="single" w:sz="8" w:space="0" w:color="auto"/>
              <w:left w:val="single" w:sz="8" w:space="0" w:color="auto"/>
              <w:bottom w:val="single" w:sz="8" w:space="0" w:color="auto"/>
              <w:right w:val="nil"/>
            </w:tcBorders>
            <w:shd w:val="clear" w:color="auto" w:fill="auto"/>
            <w:noWrap/>
          </w:tcPr>
          <w:p w:rsidR="007D79B3" w:rsidRPr="00E273E3" w:rsidRDefault="007D79B3" w:rsidP="007D79B3">
            <w:pPr>
              <w:spacing w:after="0"/>
              <w:jc w:val="right"/>
              <w:rPr>
                <w:rFonts w:ascii="Times New Roman" w:hAnsi="Times New Roman"/>
                <w:b/>
                <w:bCs/>
                <w:color w:val="000000"/>
                <w:sz w:val="22"/>
                <w:szCs w:val="22"/>
              </w:rPr>
            </w:pPr>
            <w:r w:rsidRPr="00E273E3">
              <w:rPr>
                <w:rFonts w:ascii="Times New Roman" w:hAnsi="Times New Roman"/>
                <w:b/>
                <w:bCs/>
                <w:color w:val="000000"/>
                <w:sz w:val="22"/>
                <w:szCs w:val="22"/>
              </w:rPr>
              <w:t>Total Activity Budget</w:t>
            </w:r>
          </w:p>
        </w:tc>
        <w:tc>
          <w:tcPr>
            <w:tcW w:w="1080" w:type="dxa"/>
            <w:tcBorders>
              <w:top w:val="single" w:sz="8" w:space="0" w:color="auto"/>
              <w:left w:val="single" w:sz="8" w:space="0" w:color="auto"/>
              <w:bottom w:val="single" w:sz="8" w:space="0" w:color="auto"/>
            </w:tcBorders>
            <w:shd w:val="clear" w:color="auto" w:fill="auto"/>
            <w:noWrap/>
          </w:tcPr>
          <w:p w:rsidR="007D79B3" w:rsidRPr="00E273E3" w:rsidRDefault="007D79B3" w:rsidP="007D79B3">
            <w:pPr>
              <w:spacing w:after="0"/>
              <w:jc w:val="right"/>
              <w:rPr>
                <w:rFonts w:ascii="Times New Roman" w:hAnsi="Times New Roman"/>
                <w:b/>
                <w:bCs/>
                <w:sz w:val="22"/>
                <w:szCs w:val="22"/>
              </w:rPr>
            </w:pPr>
            <w:r w:rsidRPr="00E273E3">
              <w:rPr>
                <w:rFonts w:ascii="Times New Roman" w:hAnsi="Times New Roman"/>
                <w:b/>
                <w:bCs/>
                <w:sz w:val="22"/>
                <w:szCs w:val="22"/>
              </w:rPr>
              <w:t>$119,706</w:t>
            </w:r>
          </w:p>
        </w:tc>
      </w:tr>
    </w:tbl>
    <w:p w:rsidR="007D79B3" w:rsidRDefault="007D79B3" w:rsidP="007D79B3">
      <w:pPr>
        <w:tabs>
          <w:tab w:val="left" w:pos="5434"/>
        </w:tabs>
        <w:autoSpaceDE w:val="0"/>
        <w:autoSpaceDN w:val="0"/>
        <w:adjustRightInd w:val="0"/>
        <w:spacing w:after="0"/>
      </w:pPr>
      <w:r>
        <w:tab/>
      </w:r>
    </w:p>
    <w:p w:rsidR="007D79B3" w:rsidRPr="00E82981" w:rsidRDefault="007D79B3" w:rsidP="007D79B3">
      <w:pPr>
        <w:jc w:val="both"/>
      </w:pPr>
    </w:p>
    <w:sectPr w:rsidR="007D79B3" w:rsidRPr="00E82981" w:rsidSect="007D79B3">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Courie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2D81"/>
    <w:multiLevelType w:val="hybridMultilevel"/>
    <w:tmpl w:val="01568704"/>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DD1333"/>
    <w:multiLevelType w:val="hybridMultilevel"/>
    <w:tmpl w:val="708405C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Lucida Grande"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Lucida Grande"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Lucida Grande" w:hint="default"/>
      </w:rPr>
    </w:lvl>
    <w:lvl w:ilvl="8" w:tplc="08090005" w:tentative="1">
      <w:start w:val="1"/>
      <w:numFmt w:val="bullet"/>
      <w:lvlText w:val=""/>
      <w:lvlJc w:val="left"/>
      <w:pPr>
        <w:ind w:left="6510" w:hanging="360"/>
      </w:pPr>
      <w:rPr>
        <w:rFonts w:ascii="Wingdings" w:hAnsi="Wingdings" w:hint="default"/>
      </w:rPr>
    </w:lvl>
  </w:abstractNum>
  <w:abstractNum w:abstractNumId="2">
    <w:nsid w:val="0F9567D2"/>
    <w:multiLevelType w:val="hybridMultilevel"/>
    <w:tmpl w:val="51AC841E"/>
    <w:lvl w:ilvl="0" w:tplc="F7F631D6">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nsid w:val="26F77E3C"/>
    <w:multiLevelType w:val="hybridMultilevel"/>
    <w:tmpl w:val="2D9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DB00C1"/>
    <w:multiLevelType w:val="hybridMultilevel"/>
    <w:tmpl w:val="51AC841E"/>
    <w:lvl w:ilvl="0" w:tplc="F7F631D6">
      <w:start w:val="1"/>
      <w:numFmt w:val="decimal"/>
      <w:lvlText w:val="%1."/>
      <w:lvlJc w:val="left"/>
      <w:pPr>
        <w:tabs>
          <w:tab w:val="num" w:pos="-666"/>
        </w:tabs>
        <w:ind w:left="-666"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774" w:hanging="180"/>
      </w:pPr>
    </w:lvl>
    <w:lvl w:ilvl="3" w:tplc="0809000F" w:tentative="1">
      <w:start w:val="1"/>
      <w:numFmt w:val="decimal"/>
      <w:lvlText w:val="%4."/>
      <w:lvlJc w:val="left"/>
      <w:pPr>
        <w:ind w:left="1494" w:hanging="360"/>
      </w:pPr>
    </w:lvl>
    <w:lvl w:ilvl="4" w:tplc="08090019" w:tentative="1">
      <w:start w:val="1"/>
      <w:numFmt w:val="lowerLetter"/>
      <w:lvlText w:val="%5."/>
      <w:lvlJc w:val="left"/>
      <w:pPr>
        <w:ind w:left="2214" w:hanging="360"/>
      </w:pPr>
    </w:lvl>
    <w:lvl w:ilvl="5" w:tplc="0809001B" w:tentative="1">
      <w:start w:val="1"/>
      <w:numFmt w:val="lowerRoman"/>
      <w:lvlText w:val="%6."/>
      <w:lvlJc w:val="right"/>
      <w:pPr>
        <w:ind w:left="2934" w:hanging="180"/>
      </w:pPr>
    </w:lvl>
    <w:lvl w:ilvl="6" w:tplc="0809000F" w:tentative="1">
      <w:start w:val="1"/>
      <w:numFmt w:val="decimal"/>
      <w:lvlText w:val="%7."/>
      <w:lvlJc w:val="left"/>
      <w:pPr>
        <w:ind w:left="3654" w:hanging="360"/>
      </w:pPr>
    </w:lvl>
    <w:lvl w:ilvl="7" w:tplc="08090019" w:tentative="1">
      <w:start w:val="1"/>
      <w:numFmt w:val="lowerLetter"/>
      <w:lvlText w:val="%8."/>
      <w:lvlJc w:val="left"/>
      <w:pPr>
        <w:ind w:left="4374" w:hanging="360"/>
      </w:pPr>
    </w:lvl>
    <w:lvl w:ilvl="8" w:tplc="0809001B" w:tentative="1">
      <w:start w:val="1"/>
      <w:numFmt w:val="lowerRoman"/>
      <w:lvlText w:val="%9."/>
      <w:lvlJc w:val="right"/>
      <w:pPr>
        <w:ind w:left="5094" w:hanging="180"/>
      </w:pPr>
    </w:lvl>
  </w:abstractNum>
  <w:abstractNum w:abstractNumId="5">
    <w:nsid w:val="2F162C4D"/>
    <w:multiLevelType w:val="hybridMultilevel"/>
    <w:tmpl w:val="776A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A63D2"/>
    <w:multiLevelType w:val="hybridMultilevel"/>
    <w:tmpl w:val="726AAD56"/>
    <w:lvl w:ilvl="0" w:tplc="7974C39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83331"/>
    <w:multiLevelType w:val="hybridMultilevel"/>
    <w:tmpl w:val="4D74A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48D23A7"/>
    <w:multiLevelType w:val="hybridMultilevel"/>
    <w:tmpl w:val="D324B26E"/>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774" w:hanging="180"/>
      </w:pPr>
    </w:lvl>
    <w:lvl w:ilvl="3" w:tplc="0809000F" w:tentative="1">
      <w:start w:val="1"/>
      <w:numFmt w:val="decimal"/>
      <w:lvlText w:val="%4."/>
      <w:lvlJc w:val="left"/>
      <w:pPr>
        <w:ind w:left="1494" w:hanging="360"/>
      </w:pPr>
    </w:lvl>
    <w:lvl w:ilvl="4" w:tplc="08090019" w:tentative="1">
      <w:start w:val="1"/>
      <w:numFmt w:val="lowerLetter"/>
      <w:lvlText w:val="%5."/>
      <w:lvlJc w:val="left"/>
      <w:pPr>
        <w:ind w:left="2214" w:hanging="360"/>
      </w:pPr>
    </w:lvl>
    <w:lvl w:ilvl="5" w:tplc="0809001B" w:tentative="1">
      <w:start w:val="1"/>
      <w:numFmt w:val="lowerRoman"/>
      <w:lvlText w:val="%6."/>
      <w:lvlJc w:val="right"/>
      <w:pPr>
        <w:ind w:left="2934" w:hanging="180"/>
      </w:pPr>
    </w:lvl>
    <w:lvl w:ilvl="6" w:tplc="0809000F" w:tentative="1">
      <w:start w:val="1"/>
      <w:numFmt w:val="decimal"/>
      <w:lvlText w:val="%7."/>
      <w:lvlJc w:val="left"/>
      <w:pPr>
        <w:ind w:left="3654" w:hanging="360"/>
      </w:pPr>
    </w:lvl>
    <w:lvl w:ilvl="7" w:tplc="08090019" w:tentative="1">
      <w:start w:val="1"/>
      <w:numFmt w:val="lowerLetter"/>
      <w:lvlText w:val="%8."/>
      <w:lvlJc w:val="left"/>
      <w:pPr>
        <w:ind w:left="4374" w:hanging="360"/>
      </w:pPr>
    </w:lvl>
    <w:lvl w:ilvl="8" w:tplc="0809001B" w:tentative="1">
      <w:start w:val="1"/>
      <w:numFmt w:val="lowerRoman"/>
      <w:lvlText w:val="%9."/>
      <w:lvlJc w:val="right"/>
      <w:pPr>
        <w:ind w:left="5094" w:hanging="180"/>
      </w:pPr>
    </w:lvl>
  </w:abstractNum>
  <w:abstractNum w:abstractNumId="9">
    <w:nsid w:val="46167AF4"/>
    <w:multiLevelType w:val="hybridMultilevel"/>
    <w:tmpl w:val="51AC841E"/>
    <w:lvl w:ilvl="0" w:tplc="F7F631D6">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nsid w:val="4D736CB3"/>
    <w:multiLevelType w:val="hybridMultilevel"/>
    <w:tmpl w:val="C198593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Lucida Grande"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Lucida Grande"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Lucida Grande"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E334BED"/>
    <w:multiLevelType w:val="multilevel"/>
    <w:tmpl w:val="4D74A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770335F"/>
    <w:multiLevelType w:val="hybridMultilevel"/>
    <w:tmpl w:val="F7809316"/>
    <w:lvl w:ilvl="0" w:tplc="F188A492">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80240A"/>
    <w:multiLevelType w:val="hybridMultilevel"/>
    <w:tmpl w:val="5C162804"/>
    <w:lvl w:ilvl="0" w:tplc="06F897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FA2E7F"/>
    <w:multiLevelType w:val="hybridMultilevel"/>
    <w:tmpl w:val="D3F4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330871"/>
    <w:multiLevelType w:val="hybridMultilevel"/>
    <w:tmpl w:val="F31C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6F1A8B"/>
    <w:multiLevelType w:val="hybridMultilevel"/>
    <w:tmpl w:val="1ED6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761137"/>
    <w:multiLevelType w:val="hybridMultilevel"/>
    <w:tmpl w:val="4D4244F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Lucida Grande"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Lucida Grande"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Lucida Grande" w:hint="default"/>
      </w:rPr>
    </w:lvl>
    <w:lvl w:ilvl="8" w:tplc="08090005" w:tentative="1">
      <w:start w:val="1"/>
      <w:numFmt w:val="bullet"/>
      <w:lvlText w:val=""/>
      <w:lvlJc w:val="left"/>
      <w:pPr>
        <w:ind w:left="6510" w:hanging="360"/>
      </w:pPr>
      <w:rPr>
        <w:rFonts w:ascii="Wingdings" w:hAnsi="Wingdings" w:hint="default"/>
      </w:rPr>
    </w:lvl>
  </w:abstractNum>
  <w:abstractNum w:abstractNumId="18">
    <w:nsid w:val="7A3A4DD6"/>
    <w:multiLevelType w:val="hybridMultilevel"/>
    <w:tmpl w:val="51AC841E"/>
    <w:lvl w:ilvl="0" w:tplc="F7F631D6">
      <w:start w:val="1"/>
      <w:numFmt w:val="decimal"/>
      <w:lvlText w:val="%1."/>
      <w:lvlJc w:val="left"/>
      <w:pPr>
        <w:tabs>
          <w:tab w:val="num" w:pos="5760"/>
        </w:tabs>
        <w:ind w:left="5760" w:hanging="36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19">
    <w:nsid w:val="7BCC1AB9"/>
    <w:multiLevelType w:val="hybridMultilevel"/>
    <w:tmpl w:val="8398EDB4"/>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F984F9B"/>
    <w:multiLevelType w:val="multilevel"/>
    <w:tmpl w:val="51AC841E"/>
    <w:lvl w:ilvl="0">
      <w:start w:val="1"/>
      <w:numFmt w:val="decimal"/>
      <w:lvlText w:val="%1."/>
      <w:lvlJc w:val="left"/>
      <w:pPr>
        <w:tabs>
          <w:tab w:val="num" w:pos="-666"/>
        </w:tabs>
        <w:ind w:left="-666" w:hanging="360"/>
      </w:pPr>
      <w:rPr>
        <w:rFonts w:hint="default"/>
      </w:rPr>
    </w:lvl>
    <w:lvl w:ilvl="1">
      <w:start w:val="1"/>
      <w:numFmt w:val="lowerLetter"/>
      <w:lvlText w:val="%2."/>
      <w:lvlJc w:val="left"/>
      <w:pPr>
        <w:ind w:left="54" w:hanging="360"/>
      </w:pPr>
    </w:lvl>
    <w:lvl w:ilvl="2">
      <w:start w:val="1"/>
      <w:numFmt w:val="lowerRoman"/>
      <w:lvlText w:val="%3."/>
      <w:lvlJc w:val="right"/>
      <w:pPr>
        <w:ind w:left="774" w:hanging="180"/>
      </w:pPr>
    </w:lvl>
    <w:lvl w:ilvl="3">
      <w:start w:val="1"/>
      <w:numFmt w:val="decimal"/>
      <w:lvlText w:val="%4."/>
      <w:lvlJc w:val="left"/>
      <w:pPr>
        <w:ind w:left="1494" w:hanging="360"/>
      </w:pPr>
    </w:lvl>
    <w:lvl w:ilvl="4">
      <w:start w:val="1"/>
      <w:numFmt w:val="lowerLetter"/>
      <w:lvlText w:val="%5."/>
      <w:lvlJc w:val="left"/>
      <w:pPr>
        <w:ind w:left="2214" w:hanging="360"/>
      </w:pPr>
    </w:lvl>
    <w:lvl w:ilvl="5">
      <w:start w:val="1"/>
      <w:numFmt w:val="lowerRoman"/>
      <w:lvlText w:val="%6."/>
      <w:lvlJc w:val="right"/>
      <w:pPr>
        <w:ind w:left="2934" w:hanging="180"/>
      </w:pPr>
    </w:lvl>
    <w:lvl w:ilvl="6">
      <w:start w:val="1"/>
      <w:numFmt w:val="decimal"/>
      <w:lvlText w:val="%7."/>
      <w:lvlJc w:val="left"/>
      <w:pPr>
        <w:ind w:left="3654" w:hanging="360"/>
      </w:pPr>
    </w:lvl>
    <w:lvl w:ilvl="7">
      <w:start w:val="1"/>
      <w:numFmt w:val="lowerLetter"/>
      <w:lvlText w:val="%8."/>
      <w:lvlJc w:val="left"/>
      <w:pPr>
        <w:ind w:left="4374" w:hanging="360"/>
      </w:pPr>
    </w:lvl>
    <w:lvl w:ilvl="8">
      <w:start w:val="1"/>
      <w:numFmt w:val="lowerRoman"/>
      <w:lvlText w:val="%9."/>
      <w:lvlJc w:val="right"/>
      <w:pPr>
        <w:ind w:left="5094" w:hanging="180"/>
      </w:pPr>
    </w:lvl>
  </w:abstractNum>
  <w:num w:numId="1">
    <w:abstractNumId w:val="7"/>
  </w:num>
  <w:num w:numId="2">
    <w:abstractNumId w:val="11"/>
  </w:num>
  <w:num w:numId="3">
    <w:abstractNumId w:val="19"/>
  </w:num>
  <w:num w:numId="4">
    <w:abstractNumId w:val="4"/>
  </w:num>
  <w:num w:numId="5">
    <w:abstractNumId w:val="13"/>
  </w:num>
  <w:num w:numId="6">
    <w:abstractNumId w:val="20"/>
  </w:num>
  <w:num w:numId="7">
    <w:abstractNumId w:val="8"/>
  </w:num>
  <w:num w:numId="8">
    <w:abstractNumId w:val="5"/>
  </w:num>
  <w:num w:numId="9">
    <w:abstractNumId w:val="15"/>
  </w:num>
  <w:num w:numId="10">
    <w:abstractNumId w:val="3"/>
  </w:num>
  <w:num w:numId="11">
    <w:abstractNumId w:val="17"/>
  </w:num>
  <w:num w:numId="12">
    <w:abstractNumId w:val="14"/>
  </w:num>
  <w:num w:numId="13">
    <w:abstractNumId w:val="1"/>
  </w:num>
  <w:num w:numId="14">
    <w:abstractNumId w:val="0"/>
  </w:num>
  <w:num w:numId="15">
    <w:abstractNumId w:val="2"/>
  </w:num>
  <w:num w:numId="16">
    <w:abstractNumId w:val="12"/>
  </w:num>
  <w:num w:numId="17">
    <w:abstractNumId w:val="18"/>
  </w:num>
  <w:num w:numId="18">
    <w:abstractNumId w:val="9"/>
  </w:num>
  <w:num w:numId="19">
    <w:abstractNumId w:val="10"/>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360"/>
  <w:drawingGridVerticalSpacing w:val="360"/>
  <w:displayHorizontalDrawingGridEvery w:val="0"/>
  <w:displayVerticalDrawingGridEvery w:val="0"/>
  <w:characterSpacingControl w:val="doNotCompress"/>
  <w:compat/>
  <w:rsids>
    <w:rsidRoot w:val="00731EDC"/>
    <w:rsid w:val="001E0D27"/>
    <w:rsid w:val="00205376"/>
    <w:rsid w:val="0026586E"/>
    <w:rsid w:val="0026623A"/>
    <w:rsid w:val="00783C4E"/>
    <w:rsid w:val="007D79B3"/>
    <w:rsid w:val="00BC6D64"/>
    <w:rsid w:val="00BD5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1ED"/>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EDC"/>
    <w:rPr>
      <w:rFonts w:ascii="Calibri" w:eastAsia="Calibri" w:hAnsi="Calibri"/>
      <w:sz w:val="22"/>
      <w:szCs w:val="22"/>
      <w:lang w:val="en-GB"/>
    </w:rPr>
  </w:style>
  <w:style w:type="paragraph" w:customStyle="1" w:styleId="ColorfulList-Accent11">
    <w:name w:val="Colorful List - Accent 11"/>
    <w:basedOn w:val="Normal"/>
    <w:uiPriority w:val="34"/>
    <w:qFormat/>
    <w:rsid w:val="0066159E"/>
    <w:pPr>
      <w:spacing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500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080"/>
    <w:rPr>
      <w:rFonts w:ascii="Tahoma" w:hAnsi="Tahoma" w:cs="Tahoma"/>
      <w:sz w:val="16"/>
      <w:szCs w:val="16"/>
    </w:rPr>
  </w:style>
  <w:style w:type="character" w:styleId="CommentReference">
    <w:name w:val="annotation reference"/>
    <w:basedOn w:val="DefaultParagraphFont"/>
    <w:semiHidden/>
    <w:unhideWhenUsed/>
    <w:rsid w:val="00C50080"/>
    <w:rPr>
      <w:sz w:val="16"/>
      <w:szCs w:val="16"/>
    </w:rPr>
  </w:style>
  <w:style w:type="paragraph" w:styleId="CommentText">
    <w:name w:val="annotation text"/>
    <w:basedOn w:val="Normal"/>
    <w:link w:val="CommentTextChar"/>
    <w:semiHidden/>
    <w:unhideWhenUsed/>
    <w:rsid w:val="00C50080"/>
    <w:rPr>
      <w:sz w:val="20"/>
      <w:szCs w:val="20"/>
    </w:rPr>
  </w:style>
  <w:style w:type="character" w:customStyle="1" w:styleId="CommentTextChar">
    <w:name w:val="Comment Text Char"/>
    <w:basedOn w:val="DefaultParagraphFont"/>
    <w:link w:val="CommentText"/>
    <w:uiPriority w:val="99"/>
    <w:semiHidden/>
    <w:rsid w:val="00C50080"/>
  </w:style>
  <w:style w:type="paragraph" w:styleId="CommentSubject">
    <w:name w:val="annotation subject"/>
    <w:basedOn w:val="CommentText"/>
    <w:next w:val="CommentText"/>
    <w:link w:val="CommentSubjectChar"/>
    <w:semiHidden/>
    <w:unhideWhenUsed/>
    <w:rsid w:val="00C50080"/>
    <w:rPr>
      <w:b/>
      <w:bCs/>
    </w:rPr>
  </w:style>
  <w:style w:type="character" w:customStyle="1" w:styleId="CommentSubjectChar">
    <w:name w:val="Comment Subject Char"/>
    <w:basedOn w:val="CommentTextChar"/>
    <w:link w:val="CommentSubject"/>
    <w:uiPriority w:val="99"/>
    <w:semiHidden/>
    <w:rsid w:val="00C50080"/>
    <w:rPr>
      <w:b/>
      <w:bCs/>
    </w:rPr>
  </w:style>
  <w:style w:type="paragraph" w:styleId="ListParagraph">
    <w:name w:val="List Paragraph"/>
    <w:basedOn w:val="Normal"/>
    <w:uiPriority w:val="34"/>
    <w:qFormat/>
    <w:rsid w:val="00B02998"/>
    <w:pPr>
      <w:spacing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623876350">
      <w:bodyDiv w:val="1"/>
      <w:marLeft w:val="0"/>
      <w:marRight w:val="0"/>
      <w:marTop w:val="0"/>
      <w:marBottom w:val="0"/>
      <w:divBdr>
        <w:top w:val="none" w:sz="0" w:space="0" w:color="auto"/>
        <w:left w:val="none" w:sz="0" w:space="0" w:color="auto"/>
        <w:bottom w:val="none" w:sz="0" w:space="0" w:color="auto"/>
        <w:right w:val="none" w:sz="0" w:space="0" w:color="auto"/>
      </w:divBdr>
    </w:div>
    <w:div w:id="17791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Lead Technical Advisor, Cambodian National REDD Roadmap</vt:lpstr>
    </vt:vector>
  </TitlesOfParts>
  <Company>WCC Cambodia Program</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Technical Advisor, Cambodian National REDD Roadmap</dc:title>
  <dc:creator>WCS Cambodia</dc:creator>
  <cp:lastModifiedBy>timothy.boyle</cp:lastModifiedBy>
  <cp:revision>2</cp:revision>
  <dcterms:created xsi:type="dcterms:W3CDTF">2010-06-14T03:49:00Z</dcterms:created>
  <dcterms:modified xsi:type="dcterms:W3CDTF">2010-06-14T03:49:00Z</dcterms:modified>
</cp:coreProperties>
</file>