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CC83A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14:paraId="5DAA1D07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2288C14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892C2BE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145C6F2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CEDF62D" w14:textId="77777777" w:rsid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7422E3B" w14:textId="77777777" w:rsidR="007A120F" w:rsidRDefault="007A120F" w:rsidP="007A120F">
      <w:pPr>
        <w:rPr>
          <w:rFonts w:asciiTheme="majorHAnsi" w:hAnsiTheme="majorHAnsi"/>
          <w:b/>
          <w:sz w:val="22"/>
          <w:szCs w:val="22"/>
        </w:rPr>
      </w:pPr>
    </w:p>
    <w:p w14:paraId="6E3B6675" w14:textId="04A2C02A" w:rsidR="00F15BC1" w:rsidRP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  <w:r w:rsidRPr="007A120F">
        <w:rPr>
          <w:rFonts w:asciiTheme="majorHAnsi" w:hAnsiTheme="majorHAnsi"/>
          <w:b/>
          <w:sz w:val="22"/>
          <w:szCs w:val="22"/>
        </w:rPr>
        <w:t>Compilation of literature</w:t>
      </w:r>
    </w:p>
    <w:p w14:paraId="72B2CAB8" w14:textId="77777777" w:rsidR="007A120F" w:rsidRPr="007A120F" w:rsidRDefault="007A120F" w:rsidP="007A120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9B1FA71" w14:textId="77777777" w:rsidR="007A120F" w:rsidRDefault="007A120F" w:rsidP="00D022FA">
      <w:pPr>
        <w:rPr>
          <w:rFonts w:asciiTheme="majorHAnsi" w:hAnsiTheme="majorHAnsi"/>
          <w:sz w:val="22"/>
          <w:szCs w:val="22"/>
        </w:rPr>
      </w:pPr>
    </w:p>
    <w:p w14:paraId="3BE1C85F" w14:textId="77777777" w:rsidR="007A120F" w:rsidRDefault="007A120F" w:rsidP="00D022FA">
      <w:pPr>
        <w:rPr>
          <w:rFonts w:asciiTheme="majorHAnsi" w:hAnsiTheme="majorHAnsi"/>
          <w:sz w:val="22"/>
          <w:szCs w:val="22"/>
        </w:rPr>
      </w:pPr>
    </w:p>
    <w:p w14:paraId="66685143" w14:textId="77777777" w:rsidR="007A120F" w:rsidRPr="00B27263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  <w:r w:rsidRPr="00B27263">
        <w:rPr>
          <w:rFonts w:asciiTheme="majorHAnsi" w:hAnsiTheme="majorHAnsi"/>
          <w:b/>
          <w:noProof w:val="0"/>
          <w:sz w:val="22"/>
          <w:szCs w:val="22"/>
        </w:rPr>
        <w:t>Addressing Tenure for successful REDD+:</w:t>
      </w:r>
    </w:p>
    <w:p w14:paraId="4B0260EA" w14:textId="77777777" w:rsidR="007A120F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  <w:r w:rsidRPr="00B27263">
        <w:rPr>
          <w:rFonts w:asciiTheme="majorHAnsi" w:hAnsiTheme="majorHAnsi"/>
          <w:b/>
          <w:noProof w:val="0"/>
          <w:sz w:val="22"/>
          <w:szCs w:val="22"/>
        </w:rPr>
        <w:t>Analysis of opportunities and options</w:t>
      </w:r>
    </w:p>
    <w:p w14:paraId="60F44DDF" w14:textId="77777777" w:rsidR="007A120F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</w:p>
    <w:p w14:paraId="175C45F2" w14:textId="77777777" w:rsidR="007A120F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</w:p>
    <w:p w14:paraId="49F417E6" w14:textId="181B12D6" w:rsidR="007A120F" w:rsidRDefault="007A120F" w:rsidP="007A120F">
      <w:pPr>
        <w:spacing w:line="276" w:lineRule="auto"/>
        <w:jc w:val="right"/>
        <w:rPr>
          <w:rFonts w:asciiTheme="majorHAnsi" w:hAnsiTheme="majorHAnsi"/>
          <w:b/>
          <w:noProof w:val="0"/>
          <w:sz w:val="22"/>
          <w:szCs w:val="22"/>
        </w:rPr>
      </w:pPr>
      <w:r>
        <w:rPr>
          <w:rFonts w:asciiTheme="majorHAnsi" w:hAnsiTheme="majorHAnsi"/>
          <w:b/>
          <w:noProof w:val="0"/>
          <w:sz w:val="22"/>
          <w:szCs w:val="22"/>
        </w:rPr>
        <w:t>Version: 9 July 2013</w:t>
      </w:r>
    </w:p>
    <w:p w14:paraId="3445BB3B" w14:textId="77777777" w:rsidR="007A120F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</w:p>
    <w:p w14:paraId="722C96C1" w14:textId="77777777" w:rsidR="007A120F" w:rsidRDefault="007A120F" w:rsidP="007A120F">
      <w:pPr>
        <w:spacing w:line="276" w:lineRule="auto"/>
        <w:jc w:val="center"/>
        <w:rPr>
          <w:rFonts w:asciiTheme="majorHAnsi" w:hAnsiTheme="majorHAnsi"/>
          <w:b/>
          <w:noProof w:val="0"/>
          <w:sz w:val="22"/>
          <w:szCs w:val="22"/>
        </w:rPr>
      </w:pPr>
    </w:p>
    <w:p w14:paraId="33A05F87" w14:textId="77777777" w:rsidR="007A120F" w:rsidRDefault="007A120F" w:rsidP="007A120F">
      <w:pPr>
        <w:spacing w:line="276" w:lineRule="auto"/>
        <w:rPr>
          <w:rFonts w:asciiTheme="majorHAnsi" w:hAnsiTheme="majorHAnsi"/>
          <w:b/>
          <w:noProof w:val="0"/>
          <w:sz w:val="22"/>
          <w:szCs w:val="22"/>
        </w:rPr>
      </w:pPr>
    </w:p>
    <w:p w14:paraId="2484DCE5" w14:textId="77777777" w:rsidR="007A120F" w:rsidRDefault="007A120F" w:rsidP="007A120F">
      <w:pPr>
        <w:spacing w:line="276" w:lineRule="auto"/>
        <w:rPr>
          <w:rFonts w:asciiTheme="majorHAnsi" w:hAnsiTheme="majorHAnsi"/>
          <w:b/>
          <w:noProof w:val="0"/>
          <w:sz w:val="22"/>
          <w:szCs w:val="22"/>
        </w:rPr>
      </w:pPr>
    </w:p>
    <w:p w14:paraId="73CCBF60" w14:textId="2A91E2B9" w:rsidR="007A120F" w:rsidRDefault="007A120F" w:rsidP="007A120F">
      <w:pPr>
        <w:spacing w:line="276" w:lineRule="auto"/>
        <w:rPr>
          <w:rFonts w:asciiTheme="majorHAnsi" w:hAnsiTheme="majorHAnsi"/>
          <w:noProof w:val="0"/>
          <w:sz w:val="22"/>
          <w:szCs w:val="22"/>
        </w:rPr>
      </w:pPr>
      <w:r w:rsidRPr="007A120F">
        <w:rPr>
          <w:rFonts w:asciiTheme="majorHAnsi" w:hAnsiTheme="majorHAnsi"/>
          <w:noProof w:val="0"/>
          <w:sz w:val="22"/>
          <w:szCs w:val="22"/>
        </w:rPr>
        <w:t>This compilation of literature is a living document</w:t>
      </w:r>
      <w:r>
        <w:rPr>
          <w:rFonts w:asciiTheme="majorHAnsi" w:hAnsiTheme="majorHAnsi"/>
          <w:noProof w:val="0"/>
          <w:sz w:val="22"/>
          <w:szCs w:val="22"/>
        </w:rPr>
        <w:t>. It will be updated regularly.</w:t>
      </w:r>
    </w:p>
    <w:p w14:paraId="17FB9BBA" w14:textId="77777777" w:rsidR="007A120F" w:rsidRDefault="007A120F" w:rsidP="007A120F">
      <w:pPr>
        <w:spacing w:line="276" w:lineRule="auto"/>
        <w:rPr>
          <w:rFonts w:asciiTheme="majorHAnsi" w:hAnsiTheme="majorHAnsi"/>
          <w:noProof w:val="0"/>
          <w:sz w:val="22"/>
          <w:szCs w:val="22"/>
        </w:rPr>
      </w:pPr>
    </w:p>
    <w:p w14:paraId="2A7D89CC" w14:textId="7FBCB917" w:rsidR="007A120F" w:rsidRPr="007A120F" w:rsidRDefault="007A120F" w:rsidP="007A120F">
      <w:pPr>
        <w:spacing w:line="276" w:lineRule="auto"/>
        <w:rPr>
          <w:rFonts w:asciiTheme="majorHAnsi" w:hAnsiTheme="majorHAnsi"/>
          <w:noProof w:val="0"/>
          <w:sz w:val="22"/>
          <w:szCs w:val="22"/>
        </w:rPr>
      </w:pPr>
      <w:r>
        <w:rPr>
          <w:rFonts w:asciiTheme="majorHAnsi" w:hAnsiTheme="majorHAnsi"/>
          <w:noProof w:val="0"/>
          <w:sz w:val="22"/>
          <w:szCs w:val="22"/>
        </w:rPr>
        <w:t xml:space="preserve">In the course of preparations for the expert meeting on </w:t>
      </w:r>
      <w:r w:rsidRPr="007A120F">
        <w:rPr>
          <w:rFonts w:asciiTheme="majorHAnsi" w:hAnsiTheme="majorHAnsi"/>
          <w:i/>
          <w:noProof w:val="0"/>
          <w:sz w:val="22"/>
          <w:szCs w:val="22"/>
        </w:rPr>
        <w:t>Options for Addressing Tenure under REDD+</w:t>
      </w:r>
      <w:r>
        <w:rPr>
          <w:rFonts w:asciiTheme="majorHAnsi" w:hAnsiTheme="majorHAnsi"/>
          <w:noProof w:val="0"/>
          <w:sz w:val="22"/>
          <w:szCs w:val="22"/>
        </w:rPr>
        <w:t xml:space="preserve"> as well as during the process of w</w:t>
      </w:r>
      <w:r w:rsidR="002B2FB2">
        <w:rPr>
          <w:rFonts w:asciiTheme="majorHAnsi" w:hAnsiTheme="majorHAnsi"/>
          <w:noProof w:val="0"/>
          <w:sz w:val="22"/>
          <w:szCs w:val="22"/>
        </w:rPr>
        <w:t xml:space="preserve">riting the analysis </w:t>
      </w:r>
      <w:r w:rsidR="002B2FB2" w:rsidRPr="002B2FB2">
        <w:rPr>
          <w:rFonts w:asciiTheme="majorHAnsi" w:hAnsiTheme="majorHAnsi"/>
          <w:i/>
          <w:noProof w:val="0"/>
          <w:sz w:val="22"/>
          <w:szCs w:val="22"/>
        </w:rPr>
        <w:t>Addressing t</w:t>
      </w:r>
      <w:r w:rsidRPr="002B2FB2">
        <w:rPr>
          <w:rFonts w:asciiTheme="majorHAnsi" w:hAnsiTheme="majorHAnsi"/>
          <w:i/>
          <w:noProof w:val="0"/>
          <w:sz w:val="22"/>
          <w:szCs w:val="22"/>
        </w:rPr>
        <w:t>enure for successful REDD+ - options and opportunities</w:t>
      </w:r>
      <w:r>
        <w:rPr>
          <w:rFonts w:asciiTheme="majorHAnsi" w:hAnsiTheme="majorHAnsi"/>
          <w:noProof w:val="0"/>
          <w:sz w:val="22"/>
          <w:szCs w:val="22"/>
        </w:rPr>
        <w:t xml:space="preserve">,  </w:t>
      </w:r>
      <w:r w:rsidR="002B2FB2">
        <w:rPr>
          <w:rFonts w:asciiTheme="majorHAnsi" w:hAnsiTheme="majorHAnsi"/>
          <w:noProof w:val="0"/>
          <w:sz w:val="22"/>
          <w:szCs w:val="22"/>
        </w:rPr>
        <w:t xml:space="preserve">a profound literature review was carried out. Part of this compilation of literature </w:t>
      </w:r>
      <w:r>
        <w:rPr>
          <w:rFonts w:asciiTheme="majorHAnsi" w:hAnsiTheme="majorHAnsi"/>
          <w:noProof w:val="0"/>
          <w:sz w:val="22"/>
          <w:szCs w:val="22"/>
        </w:rPr>
        <w:t xml:space="preserve"> </w:t>
      </w:r>
      <w:r w:rsidR="002B2FB2">
        <w:rPr>
          <w:rFonts w:asciiTheme="majorHAnsi" w:hAnsiTheme="majorHAnsi"/>
          <w:noProof w:val="0"/>
          <w:sz w:val="22"/>
          <w:szCs w:val="22"/>
        </w:rPr>
        <w:t xml:space="preserve">will be the bibliography of the analysis. However, many other interesting documents on land and forest tenure in the context of REDD+ should be available to the REDD+ community.  </w:t>
      </w:r>
    </w:p>
    <w:p w14:paraId="2D1C2317" w14:textId="77777777" w:rsidR="007A120F" w:rsidRDefault="007A120F" w:rsidP="007A120F">
      <w:pPr>
        <w:spacing w:line="276" w:lineRule="auto"/>
        <w:rPr>
          <w:rFonts w:asciiTheme="majorHAnsi" w:hAnsiTheme="majorHAnsi"/>
          <w:b/>
          <w:noProof w:val="0"/>
          <w:sz w:val="22"/>
          <w:szCs w:val="22"/>
        </w:rPr>
      </w:pPr>
    </w:p>
    <w:p w14:paraId="2B7AE3E0" w14:textId="77777777" w:rsidR="007A120F" w:rsidRPr="00B27263" w:rsidRDefault="007A120F" w:rsidP="007A120F">
      <w:pPr>
        <w:spacing w:line="276" w:lineRule="auto"/>
        <w:rPr>
          <w:rFonts w:asciiTheme="majorHAnsi" w:hAnsiTheme="majorHAnsi"/>
          <w:b/>
          <w:noProof w:val="0"/>
          <w:sz w:val="22"/>
          <w:szCs w:val="22"/>
        </w:rPr>
      </w:pPr>
    </w:p>
    <w:p w14:paraId="5FD0C026" w14:textId="77777777" w:rsidR="007A120F" w:rsidRDefault="007A120F" w:rsidP="007A120F">
      <w:pPr>
        <w:rPr>
          <w:rFonts w:asciiTheme="majorHAnsi" w:hAnsiTheme="majorHAnsi"/>
          <w:sz w:val="22"/>
          <w:szCs w:val="22"/>
        </w:rPr>
      </w:pPr>
    </w:p>
    <w:p w14:paraId="41434924" w14:textId="77777777" w:rsidR="007A120F" w:rsidRDefault="007A120F" w:rsidP="00D022FA">
      <w:pPr>
        <w:rPr>
          <w:rFonts w:asciiTheme="majorHAnsi" w:hAnsiTheme="majorHAnsi"/>
          <w:sz w:val="22"/>
          <w:szCs w:val="22"/>
        </w:rPr>
      </w:pPr>
    </w:p>
    <w:p w14:paraId="7C26300D" w14:textId="77777777" w:rsidR="007A120F" w:rsidRPr="00D022FA" w:rsidRDefault="007A120F" w:rsidP="00D022FA">
      <w:pPr>
        <w:rPr>
          <w:rFonts w:asciiTheme="majorHAnsi" w:hAnsiTheme="majorHAnsi"/>
          <w:sz w:val="22"/>
          <w:szCs w:val="22"/>
        </w:rPr>
      </w:pPr>
    </w:p>
    <w:p w14:paraId="77D68612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7BE24C35" w14:textId="77777777" w:rsidR="00F15BC1" w:rsidRPr="00D022FA" w:rsidRDefault="00F15BC1" w:rsidP="00D022FA">
      <w:pPr>
        <w:rPr>
          <w:rFonts w:asciiTheme="majorHAnsi" w:eastAsia="Calibri" w:hAnsiTheme="majorHAnsi" w:cs="Arial"/>
          <w:sz w:val="22"/>
          <w:szCs w:val="22"/>
        </w:rPr>
      </w:pPr>
    </w:p>
    <w:p w14:paraId="33928E35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186651F6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</w:rPr>
      </w:pPr>
    </w:p>
    <w:p w14:paraId="28630184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793DF2CD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</w:rPr>
      </w:pPr>
    </w:p>
    <w:p w14:paraId="5898981C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71104AE7" w14:textId="77777777" w:rsidR="00F15BC1" w:rsidRPr="00D022FA" w:rsidRDefault="00F15BC1" w:rsidP="00D022FA">
      <w:pPr>
        <w:pStyle w:val="Funotentext"/>
        <w:rPr>
          <w:rFonts w:asciiTheme="majorHAnsi" w:hAnsiTheme="majorHAnsi"/>
          <w:sz w:val="22"/>
          <w:szCs w:val="22"/>
        </w:rPr>
      </w:pPr>
    </w:p>
    <w:p w14:paraId="19166CDE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</w:rPr>
      </w:pPr>
    </w:p>
    <w:p w14:paraId="0C5B3853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</w:rPr>
      </w:pPr>
    </w:p>
    <w:p w14:paraId="228C7A0F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023343E1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03BFCB96" w14:textId="77777777" w:rsidR="00F15BC1" w:rsidRPr="00D022FA" w:rsidRDefault="00F15BC1" w:rsidP="00D022FA">
      <w:pPr>
        <w:rPr>
          <w:rFonts w:asciiTheme="majorHAnsi" w:hAnsiTheme="majorHAnsi"/>
          <w:bCs/>
          <w:iCs/>
          <w:sz w:val="22"/>
          <w:szCs w:val="22"/>
          <w:lang w:val="en-US"/>
        </w:rPr>
      </w:pPr>
    </w:p>
    <w:p w14:paraId="6FF1D97C" w14:textId="77777777" w:rsidR="00F15BC1" w:rsidRPr="00D022FA" w:rsidRDefault="00F15BC1" w:rsidP="00D022FA">
      <w:pPr>
        <w:rPr>
          <w:rFonts w:asciiTheme="majorHAnsi" w:hAnsiTheme="majorHAnsi"/>
          <w:i/>
          <w:sz w:val="22"/>
          <w:szCs w:val="22"/>
          <w:lang w:val="en-US"/>
        </w:rPr>
      </w:pPr>
    </w:p>
    <w:p w14:paraId="2C317063" w14:textId="77777777" w:rsidR="00F15BC1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7FB14460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4E9922D7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63DA77A2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4F2C6069" w14:textId="77777777" w:rsidR="00F15BC1" w:rsidRPr="00D022FA" w:rsidRDefault="00F15BC1" w:rsidP="00D022FA">
      <w:pPr>
        <w:pStyle w:val="Funotentext"/>
        <w:rPr>
          <w:rFonts w:asciiTheme="majorHAnsi" w:hAnsiTheme="majorHAnsi"/>
          <w:sz w:val="22"/>
          <w:szCs w:val="22"/>
          <w:lang w:val="en-US"/>
        </w:rPr>
      </w:pPr>
    </w:p>
    <w:p w14:paraId="747B7ED2" w14:textId="77777777" w:rsidR="00F15BC1" w:rsidRPr="00D022FA" w:rsidRDefault="00F15BC1" w:rsidP="00D022FA">
      <w:pPr>
        <w:pStyle w:val="Funotentext"/>
        <w:rPr>
          <w:rFonts w:asciiTheme="majorHAnsi" w:hAnsiTheme="majorHAnsi"/>
          <w:sz w:val="22"/>
          <w:szCs w:val="22"/>
          <w:lang w:val="en-US"/>
        </w:rPr>
      </w:pPr>
    </w:p>
    <w:p w14:paraId="40BD46F5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  <w:lang w:val="en-US"/>
        </w:rPr>
      </w:pPr>
    </w:p>
    <w:p w14:paraId="281877BE" w14:textId="77777777" w:rsidR="00F15BC1" w:rsidRPr="00D022FA" w:rsidRDefault="00F15BC1" w:rsidP="00D022FA">
      <w:pPr>
        <w:rPr>
          <w:rFonts w:asciiTheme="majorHAnsi" w:hAnsiTheme="majorHAnsi"/>
          <w:sz w:val="22"/>
          <w:szCs w:val="22"/>
        </w:rPr>
      </w:pPr>
    </w:p>
    <w:p w14:paraId="4DB67D14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Angelsen, A. (ed.): </w:t>
      </w:r>
      <w:r w:rsidRPr="002B2FB2">
        <w:rPr>
          <w:rFonts w:asciiTheme="majorHAnsi" w:hAnsiTheme="majorHAnsi"/>
          <w:i/>
          <w:sz w:val="22"/>
          <w:szCs w:val="22"/>
          <w:lang w:val="en-US"/>
        </w:rPr>
        <w:t>Realising REDD+ - National Strategy and Policy Options</w:t>
      </w:r>
      <w:r w:rsidRPr="00F84D75">
        <w:rPr>
          <w:rFonts w:asciiTheme="majorHAnsi" w:hAnsiTheme="majorHAnsi"/>
          <w:sz w:val="22"/>
          <w:szCs w:val="22"/>
          <w:lang w:val="en-US"/>
        </w:rPr>
        <w:t>, CIFOR 2009</w:t>
      </w:r>
    </w:p>
    <w:p w14:paraId="4C2C70E2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</w:rPr>
        <w:t xml:space="preserve">Angelsen, A., Brockhaus, M., Sunderlin, D. and Verchot, L.V. (eds) </w:t>
      </w:r>
      <w:r w:rsidRPr="002B2FB2">
        <w:rPr>
          <w:rFonts w:asciiTheme="majorHAnsi" w:hAnsiTheme="majorHAnsi"/>
          <w:i/>
          <w:sz w:val="22"/>
          <w:szCs w:val="22"/>
        </w:rPr>
        <w:t>Analysing REDD+: Challenges and choices</w:t>
      </w:r>
      <w:r w:rsidRPr="00F84D75">
        <w:rPr>
          <w:rFonts w:asciiTheme="majorHAnsi" w:hAnsiTheme="majorHAnsi"/>
          <w:sz w:val="22"/>
          <w:szCs w:val="22"/>
        </w:rPr>
        <w:t>; CIFOR, 2012</w:t>
      </w:r>
    </w:p>
    <w:p w14:paraId="5FF37B92" w14:textId="77777777" w:rsidR="00F15BC1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fr-FR"/>
        </w:rPr>
      </w:pPr>
      <w:r w:rsidRPr="007F2822">
        <w:rPr>
          <w:rFonts w:asciiTheme="majorHAnsi" w:hAnsiTheme="majorHAnsi"/>
          <w:sz w:val="22"/>
          <w:szCs w:val="22"/>
          <w:lang w:val="en-US"/>
        </w:rPr>
        <w:t xml:space="preserve">Awono, A., et al., </w:t>
      </w:r>
      <w:r w:rsidRPr="007F2822">
        <w:rPr>
          <w:rFonts w:asciiTheme="majorHAnsi" w:hAnsiTheme="majorHAnsi"/>
          <w:i/>
          <w:sz w:val="22"/>
          <w:szCs w:val="22"/>
          <w:lang w:val="en-US"/>
        </w:rPr>
        <w:t>“Tenure and participation in local REDD+ projects: Insights from southern Cameroon.”</w:t>
      </w:r>
      <w:r w:rsidRPr="007F2822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7F2822">
        <w:rPr>
          <w:rFonts w:asciiTheme="majorHAnsi" w:hAnsiTheme="majorHAnsi"/>
          <w:sz w:val="22"/>
          <w:szCs w:val="22"/>
          <w:lang w:val="fr-FR"/>
        </w:rPr>
        <w:t>Environ. Sci. Policy (2013), p. 2</w:t>
      </w:r>
    </w:p>
    <w:p w14:paraId="1AD87858" w14:textId="4D20A1B3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 w:cs="Georgia"/>
          <w:noProof w:val="0"/>
          <w:sz w:val="22"/>
          <w:szCs w:val="22"/>
          <w:lang w:val="en-US"/>
        </w:rPr>
        <w:t xml:space="preserve">Bolin, A., Lawrence, L. and Leggett, M. 2013. </w:t>
      </w:r>
      <w:r w:rsidRPr="00F84D75">
        <w:rPr>
          <w:rFonts w:asciiTheme="majorHAnsi" w:hAnsiTheme="majorHAnsi" w:cs="Georgia"/>
          <w:i/>
          <w:iCs/>
          <w:noProof w:val="0"/>
          <w:sz w:val="22"/>
          <w:szCs w:val="22"/>
          <w:lang w:val="en-US"/>
        </w:rPr>
        <w:t xml:space="preserve">Land tenure and fast-tracking REDD+: time to reframe the debate? </w:t>
      </w:r>
      <w:r w:rsidRPr="00F84D75">
        <w:rPr>
          <w:rFonts w:asciiTheme="majorHAnsi" w:hAnsiTheme="majorHAnsi" w:cs="Georgia"/>
          <w:noProof w:val="0"/>
          <w:sz w:val="22"/>
          <w:szCs w:val="22"/>
          <w:lang w:val="en-US"/>
        </w:rPr>
        <w:t>Oxford: Global Canopy Programme</w:t>
      </w:r>
      <w:r w:rsidR="002B2FB2">
        <w:rPr>
          <w:rFonts w:asciiTheme="majorHAnsi" w:hAnsiTheme="majorHAnsi" w:cs="Georgia"/>
          <w:noProof w:val="0"/>
          <w:sz w:val="22"/>
          <w:szCs w:val="22"/>
          <w:lang w:val="en-US"/>
        </w:rPr>
        <w:t>,</w:t>
      </w:r>
      <w:r w:rsidRPr="00F84D75">
        <w:rPr>
          <w:rFonts w:asciiTheme="majorHAnsi" w:hAnsiTheme="majorHAnsi" w:cs="Georgia"/>
          <w:noProof w:val="0"/>
          <w:sz w:val="22"/>
          <w:szCs w:val="22"/>
          <w:lang w:val="en-US"/>
        </w:rPr>
        <w:t xml:space="preserve"> 2</w:t>
      </w:r>
      <w:r w:rsidR="002B2FB2">
        <w:rPr>
          <w:rFonts w:asciiTheme="majorHAnsi" w:hAnsiTheme="majorHAnsi"/>
          <w:sz w:val="22"/>
          <w:szCs w:val="22"/>
          <w:lang w:val="en-US"/>
        </w:rPr>
        <w:t>013</w:t>
      </w:r>
    </w:p>
    <w:p w14:paraId="7D8D7572" w14:textId="77E831CE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Bollen, A. and Ozinga, S.</w:t>
      </w:r>
      <w:r w:rsidR="002B2FB2">
        <w:rPr>
          <w:rFonts w:asciiTheme="majorHAnsi" w:hAnsiTheme="majorHAnsi"/>
          <w:sz w:val="22"/>
          <w:szCs w:val="22"/>
          <w:lang w:val="en-US"/>
        </w:rPr>
        <w:t>: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2B2FB2">
        <w:rPr>
          <w:rFonts w:asciiTheme="majorHAnsi" w:hAnsiTheme="majorHAnsi"/>
          <w:i/>
          <w:sz w:val="22"/>
          <w:szCs w:val="22"/>
          <w:lang w:val="en-US"/>
        </w:rPr>
        <w:t>Improving Forest Governance – a comparison of FLEGT VPAs and their impact</w:t>
      </w:r>
      <w:r w:rsidRPr="00F84D75">
        <w:rPr>
          <w:rFonts w:asciiTheme="majorHAnsi" w:hAnsiTheme="majorHAnsi"/>
          <w:sz w:val="22"/>
          <w:szCs w:val="22"/>
          <w:lang w:val="en-US"/>
        </w:rPr>
        <w:t>; FERN 2013</w:t>
      </w:r>
    </w:p>
    <w:p w14:paraId="36DFA06F" w14:textId="270FFC0E" w:rsidR="00F15BC1" w:rsidRPr="00F84D75" w:rsidRDefault="002B2FB2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Bruce, J.W.:</w:t>
      </w:r>
      <w:r w:rsidR="00F15BC1" w:rsidRPr="00F84D75">
        <w:rPr>
          <w:rFonts w:asciiTheme="majorHAnsi" w:hAnsiTheme="majorHAnsi"/>
          <w:sz w:val="22"/>
          <w:szCs w:val="22"/>
        </w:rPr>
        <w:t xml:space="preserve"> </w:t>
      </w:r>
      <w:r w:rsidR="00F15BC1" w:rsidRPr="002B2FB2">
        <w:rPr>
          <w:rFonts w:asciiTheme="majorHAnsi" w:hAnsiTheme="majorHAnsi"/>
          <w:i/>
          <w:sz w:val="22"/>
          <w:szCs w:val="22"/>
          <w:lang w:val="en-US"/>
        </w:rPr>
        <w:t>Identifying and working with beneficiaries when rights are unclear. Insights for REDD+ initiatives</w:t>
      </w:r>
      <w:r>
        <w:rPr>
          <w:rFonts w:asciiTheme="majorHAnsi" w:hAnsiTheme="majorHAnsi"/>
          <w:sz w:val="22"/>
          <w:szCs w:val="22"/>
          <w:lang w:val="en-US"/>
        </w:rPr>
        <w:t>. PROFOR,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 xml:space="preserve"> 2012</w:t>
      </w:r>
    </w:p>
    <w:p w14:paraId="3C1A8C47" w14:textId="22710F4D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</w:rPr>
        <w:t xml:space="preserve">CIFOR; </w:t>
      </w:r>
      <w:r w:rsidRPr="002B2FB2">
        <w:rPr>
          <w:rFonts w:asciiTheme="majorHAnsi" w:hAnsiTheme="majorHAnsi"/>
          <w:i/>
          <w:sz w:val="22"/>
          <w:szCs w:val="22"/>
          <w:lang w:val="en-US"/>
        </w:rPr>
        <w:t>Approaches to benefit-sharing. A preliminary comparative analysi</w:t>
      </w:r>
      <w:r w:rsidR="002B2FB2" w:rsidRPr="002B2FB2">
        <w:rPr>
          <w:rFonts w:asciiTheme="majorHAnsi" w:hAnsiTheme="majorHAnsi"/>
          <w:i/>
          <w:sz w:val="22"/>
          <w:szCs w:val="22"/>
          <w:lang w:val="en-US"/>
        </w:rPr>
        <w:t>s of 13 REDD+ countries</w:t>
      </w:r>
      <w:r w:rsidR="002B2FB2">
        <w:rPr>
          <w:rFonts w:asciiTheme="majorHAnsi" w:hAnsiTheme="majorHAnsi"/>
          <w:sz w:val="22"/>
          <w:szCs w:val="22"/>
          <w:lang w:val="en-US"/>
        </w:rPr>
        <w:t>.  CIFOR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Working paper 108. 2013  </w:t>
      </w:r>
    </w:p>
    <w:p w14:paraId="61846458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 w:cs="Times"/>
          <w:noProof w:val="0"/>
          <w:sz w:val="22"/>
          <w:szCs w:val="22"/>
          <w:lang w:val="en-US"/>
        </w:rPr>
      </w:pPr>
      <w:r w:rsidRPr="00F84D75">
        <w:rPr>
          <w:rFonts w:asciiTheme="majorHAnsi" w:hAnsiTheme="majorHAnsi" w:cs="Times"/>
          <w:noProof w:val="0"/>
          <w:sz w:val="22"/>
          <w:szCs w:val="22"/>
          <w:lang w:val="en-US"/>
        </w:rPr>
        <w:t xml:space="preserve">CLIMATEFOCUS: </w:t>
      </w:r>
      <w:r w:rsidRPr="002B2FB2">
        <w:rPr>
          <w:rFonts w:asciiTheme="majorHAnsi" w:hAnsiTheme="majorHAnsi" w:cs="Times"/>
          <w:i/>
          <w:noProof w:val="0"/>
          <w:sz w:val="22"/>
          <w:szCs w:val="22"/>
          <w:lang w:val="en-US"/>
        </w:rPr>
        <w:t>Safeguards in REDD+ and Forest Carbon Standards: A Review of Social, Environmental and Procedural Concepts and Application</w:t>
      </w:r>
    </w:p>
    <w:p w14:paraId="2F0A7B08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 xml:space="preserve">Cotula &amp; Mayers, 2009; Sunderlin et al., 2009 in Westholm, L., Robin Biddulph, Ida Hellmark and Anders Ekbom, </w:t>
      </w:r>
      <w:r w:rsidRPr="00F15BC1">
        <w:rPr>
          <w:rFonts w:asciiTheme="majorHAnsi" w:hAnsiTheme="majorHAnsi"/>
          <w:i/>
          <w:sz w:val="22"/>
          <w:szCs w:val="22"/>
          <w:lang w:val="en-US"/>
        </w:rPr>
        <w:t>“</w:t>
      </w:r>
      <w:r w:rsidRPr="00F15BC1">
        <w:rPr>
          <w:rFonts w:asciiTheme="majorHAnsi" w:hAnsiTheme="majorHAnsi"/>
          <w:bCs/>
          <w:i/>
          <w:iCs/>
          <w:sz w:val="22"/>
          <w:szCs w:val="22"/>
          <w:lang w:val="en-US"/>
        </w:rPr>
        <w:t>REDD+ AND TENURE: A Review of the Latest Developments in Research, Implementation and Debate”</w:t>
      </w:r>
      <w:r w:rsidRPr="00F15BC1">
        <w:rPr>
          <w:rFonts w:asciiTheme="majorHAnsi" w:hAnsiTheme="majorHAnsi"/>
          <w:bCs/>
          <w:iCs/>
          <w:sz w:val="22"/>
          <w:szCs w:val="22"/>
          <w:lang w:val="en-US"/>
        </w:rPr>
        <w:t>, University of Gothenburg, Focali, Sida, 2011</w:t>
      </w:r>
    </w:p>
    <w:p w14:paraId="401EAD6F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eastAsia="Calibri" w:hAnsiTheme="majorHAnsi" w:cs="Arial"/>
          <w:sz w:val="22"/>
          <w:szCs w:val="22"/>
        </w:rPr>
      </w:pPr>
      <w:r w:rsidRPr="00F15BC1">
        <w:rPr>
          <w:rFonts w:asciiTheme="majorHAnsi" w:eastAsia="Calibri" w:hAnsiTheme="majorHAnsi" w:cs="Arial"/>
          <w:i/>
          <w:sz w:val="22"/>
          <w:szCs w:val="22"/>
        </w:rPr>
        <w:t>Country Needs Assessment On REDD+ Readiness Among UN-REDD Readiness among UN-REDD and FCPF Members Countries</w:t>
      </w:r>
      <w:r w:rsidRPr="00F15BC1">
        <w:rPr>
          <w:rFonts w:asciiTheme="majorHAnsi" w:eastAsia="Calibri" w:hAnsiTheme="majorHAnsi" w:cs="Arial"/>
          <w:sz w:val="22"/>
          <w:szCs w:val="22"/>
        </w:rPr>
        <w:t>, UN-REDD Programme and Forest Carbon Partnership Facility, October 2012.</w:t>
      </w:r>
    </w:p>
    <w:p w14:paraId="2EF06CDA" w14:textId="77777777" w:rsidR="003F1DE2" w:rsidRDefault="002B2FB2" w:rsidP="003F1DE2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 xml:space="preserve">Deininger, K., Selod, Harris and Anthony Burns: </w:t>
      </w:r>
      <w:r w:rsidR="00F15BC1" w:rsidRPr="002B2FB2">
        <w:rPr>
          <w:rFonts w:asciiTheme="majorHAnsi" w:hAnsiTheme="majorHAnsi"/>
          <w:i/>
          <w:sz w:val="22"/>
          <w:szCs w:val="22"/>
          <w:lang w:val="en-US"/>
        </w:rPr>
        <w:t>The Land Governance Asessment Framework – Identifying and Monitoring Good Practice in the Land Sector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>, The World Bank, 2012</w:t>
      </w:r>
    </w:p>
    <w:p w14:paraId="6689F7B8" w14:textId="2D28B0DC" w:rsidR="00F15BC1" w:rsidRPr="003F1DE2" w:rsidRDefault="00F15BC1" w:rsidP="003F1DE2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3F1DE2">
        <w:rPr>
          <w:rFonts w:asciiTheme="majorHAnsi" w:hAnsiTheme="majorHAnsi"/>
          <w:sz w:val="22"/>
          <w:szCs w:val="22"/>
          <w:lang w:val="en-US"/>
        </w:rPr>
        <w:t xml:space="preserve">Doherty, E. and  Heike Schroeder, 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“Forest Tenure and Multi-level Governance in Avoiding Deforestation under REDD+”</w:t>
      </w:r>
      <w:r w:rsidR="003F1DE2" w:rsidRPr="003F1DE2">
        <w:rPr>
          <w:rFonts w:asciiTheme="majorHAnsi" w:hAnsiTheme="majorHAnsi"/>
          <w:i/>
          <w:sz w:val="22"/>
          <w:szCs w:val="22"/>
          <w:lang w:val="en-US"/>
        </w:rPr>
        <w:t xml:space="preserve">; </w:t>
      </w:r>
      <w:r w:rsidR="003F1DE2" w:rsidRPr="003F1DE2">
        <w:rPr>
          <w:rFonts w:asciiTheme="majorHAnsi" w:hAnsiTheme="majorHAnsi"/>
          <w:sz w:val="22"/>
          <w:szCs w:val="22"/>
        </w:rPr>
        <w:t xml:space="preserve">Global Environmental Politics </w:t>
      </w:r>
      <w:r w:rsidR="003F1DE2" w:rsidRPr="003F1DE2">
        <w:rPr>
          <w:rFonts w:asciiTheme="majorHAnsi" w:hAnsiTheme="majorHAnsi" w:cs="Verdana"/>
          <w:noProof w:val="0"/>
          <w:sz w:val="22"/>
          <w:szCs w:val="22"/>
          <w:lang w:val="de-DE"/>
        </w:rPr>
        <w:t xml:space="preserve">November 2011, Vol. 11, </w:t>
      </w:r>
      <w:proofErr w:type="spellStart"/>
      <w:r w:rsidR="003F1DE2" w:rsidRPr="003F1DE2">
        <w:rPr>
          <w:rFonts w:asciiTheme="majorHAnsi" w:hAnsiTheme="majorHAnsi" w:cs="Verdana"/>
          <w:noProof w:val="0"/>
          <w:sz w:val="22"/>
          <w:szCs w:val="22"/>
          <w:lang w:val="de-DE"/>
        </w:rPr>
        <w:t>No</w:t>
      </w:r>
      <w:proofErr w:type="spellEnd"/>
      <w:r w:rsidR="003F1DE2" w:rsidRPr="003F1DE2">
        <w:rPr>
          <w:rFonts w:asciiTheme="majorHAnsi" w:hAnsiTheme="majorHAnsi" w:cs="Verdana"/>
          <w:noProof w:val="0"/>
          <w:sz w:val="22"/>
          <w:szCs w:val="22"/>
          <w:lang w:val="de-DE"/>
        </w:rPr>
        <w:t xml:space="preserve">. 4, Pages 66-88; Massachusetts Institute </w:t>
      </w:r>
      <w:proofErr w:type="spellStart"/>
      <w:r w:rsidR="003F1DE2" w:rsidRPr="003F1DE2">
        <w:rPr>
          <w:rFonts w:asciiTheme="majorHAnsi" w:hAnsiTheme="majorHAnsi" w:cs="Verdana"/>
          <w:noProof w:val="0"/>
          <w:sz w:val="22"/>
          <w:szCs w:val="22"/>
          <w:lang w:val="de-DE"/>
        </w:rPr>
        <w:t>of</w:t>
      </w:r>
      <w:proofErr w:type="spellEnd"/>
      <w:r w:rsidR="003F1DE2" w:rsidRPr="003F1DE2">
        <w:rPr>
          <w:rFonts w:asciiTheme="majorHAnsi" w:hAnsiTheme="majorHAnsi" w:cs="Verdana"/>
          <w:noProof w:val="0"/>
          <w:sz w:val="22"/>
          <w:szCs w:val="22"/>
          <w:lang w:val="de-DE"/>
        </w:rPr>
        <w:t xml:space="preserve"> Technology, 2011</w:t>
      </w:r>
    </w:p>
    <w:p w14:paraId="55F147C0" w14:textId="169D48AE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 xml:space="preserve">Edouard, F. and Adriana Herrera Garibay, </w:t>
      </w:r>
      <w:r w:rsidRPr="00F15BC1">
        <w:rPr>
          <w:rFonts w:asciiTheme="majorHAnsi" w:hAnsiTheme="majorHAnsi"/>
          <w:i/>
          <w:sz w:val="22"/>
          <w:szCs w:val="22"/>
          <w:lang w:val="en-US"/>
        </w:rPr>
        <w:t>“Tenure of indigenous peoples territories and REDD+ as a forestry management incentive: the case of Mesoamerican countries”</w:t>
      </w:r>
      <w:r w:rsidRPr="00F15BC1">
        <w:rPr>
          <w:rFonts w:asciiTheme="majorHAnsi" w:hAnsiTheme="majorHAnsi"/>
          <w:sz w:val="22"/>
          <w:szCs w:val="22"/>
          <w:lang w:val="en-US"/>
        </w:rPr>
        <w:t>,</w:t>
      </w:r>
      <w:r w:rsidR="003F1DE2">
        <w:rPr>
          <w:rFonts w:asciiTheme="majorHAnsi" w:hAnsiTheme="majorHAnsi"/>
          <w:sz w:val="22"/>
          <w:szCs w:val="22"/>
          <w:lang w:val="en-US"/>
        </w:rPr>
        <w:t xml:space="preserve"> UN-REDD Programme, October 2012</w:t>
      </w:r>
    </w:p>
    <w:p w14:paraId="245A7EE6" w14:textId="36456194" w:rsidR="00F15BC1" w:rsidRPr="00F84D75" w:rsidRDefault="003F1DE2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FAO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 xml:space="preserve">: </w:t>
      </w:r>
      <w:r w:rsidR="00F15BC1" w:rsidRPr="003F1DE2">
        <w:rPr>
          <w:rFonts w:asciiTheme="majorHAnsi" w:hAnsiTheme="majorHAnsi"/>
          <w:i/>
          <w:sz w:val="22"/>
          <w:szCs w:val="22"/>
          <w:lang w:val="en-US"/>
        </w:rPr>
        <w:t>Mainstreaming Climate Smart Agriculture into a Braoder Landscape Approach</w:t>
      </w:r>
      <w:r>
        <w:rPr>
          <w:rFonts w:asciiTheme="majorHAnsi" w:hAnsiTheme="majorHAnsi"/>
          <w:sz w:val="22"/>
          <w:szCs w:val="22"/>
          <w:lang w:val="en-US"/>
        </w:rPr>
        <w:t>; 2012</w:t>
      </w:r>
    </w:p>
    <w:p w14:paraId="3EC2F17B" w14:textId="1EBD3060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FAO: Enhancing FAO’s Practices for Supporting Capacity Development of Member Countries, 2010</w:t>
      </w:r>
    </w:p>
    <w:p w14:paraId="57B6D0CD" w14:textId="5FE2C562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FAO</w:t>
      </w:r>
      <w:r w:rsidR="003F1DE2">
        <w:rPr>
          <w:rFonts w:asciiTheme="majorHAnsi" w:hAnsiTheme="majorHAnsi"/>
          <w:sz w:val="22"/>
          <w:szCs w:val="22"/>
          <w:lang w:val="en-US"/>
        </w:rPr>
        <w:t>: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De</w:t>
      </w:r>
      <w:r w:rsidR="0022251F">
        <w:rPr>
          <w:rFonts w:asciiTheme="majorHAnsi" w:hAnsiTheme="majorHAnsi"/>
          <w:i/>
          <w:sz w:val="22"/>
          <w:szCs w:val="22"/>
          <w:lang w:val="en-US"/>
        </w:rPr>
        <w:t>veloping Effective Forest Policies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 xml:space="preserve"> – a guide</w:t>
      </w:r>
      <w:r w:rsidRPr="00F84D75">
        <w:rPr>
          <w:rFonts w:asciiTheme="majorHAnsi" w:hAnsiTheme="majorHAnsi"/>
          <w:sz w:val="22"/>
          <w:szCs w:val="22"/>
          <w:lang w:val="en-US"/>
        </w:rPr>
        <w:t>, FAO Forestry Paper 161, 2010</w:t>
      </w:r>
    </w:p>
    <w:p w14:paraId="1B752F80" w14:textId="19BB2D1A" w:rsidR="00F15BC1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</w:rPr>
        <w:t xml:space="preserve">FAO </w:t>
      </w:r>
      <w:r w:rsidRPr="00D022FA">
        <w:rPr>
          <w:rFonts w:asciiTheme="majorHAnsi" w:hAnsiTheme="majorHAnsi"/>
          <w:sz w:val="22"/>
          <w:szCs w:val="22"/>
          <w:lang w:val="en-US"/>
        </w:rPr>
        <w:t>Expert Meeting of the UN-REDD Global Programme entitled „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Options for a</w:t>
      </w:r>
      <w:r w:rsidR="0022251F">
        <w:rPr>
          <w:rFonts w:asciiTheme="majorHAnsi" w:hAnsiTheme="majorHAnsi"/>
          <w:i/>
          <w:sz w:val="22"/>
          <w:szCs w:val="22"/>
          <w:lang w:val="en-US"/>
        </w:rPr>
        <w:t>d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dressing tenure under REDD+</w:t>
      </w:r>
      <w:r w:rsidRPr="00D022FA">
        <w:rPr>
          <w:rFonts w:asciiTheme="majorHAnsi" w:hAnsiTheme="majorHAnsi"/>
          <w:sz w:val="22"/>
          <w:szCs w:val="22"/>
          <w:lang w:val="en-US"/>
        </w:rPr>
        <w:t xml:space="preserve">“ held 25 – 27 February 2013 at FAO in Rome/Italy; report of the meeting under </w:t>
      </w:r>
      <w:hyperlink r:id="rId6" w:history="1">
        <w:r w:rsidRPr="00344767">
          <w:rPr>
            <w:rStyle w:val="Link"/>
            <w:rFonts w:asciiTheme="majorHAnsi" w:hAnsiTheme="majorHAnsi"/>
            <w:sz w:val="22"/>
            <w:szCs w:val="22"/>
            <w:lang w:val="en-US"/>
          </w:rPr>
          <w:t>www.unredd.net/governance</w:t>
        </w:r>
      </w:hyperlink>
    </w:p>
    <w:p w14:paraId="79AC11F8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</w:rPr>
        <w:t>FAO Land Tenure Studies 9; Good Governance in land tenure and administration, 2009</w:t>
      </w:r>
    </w:p>
    <w:p w14:paraId="593A5A71" w14:textId="446D60A1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FAO Land Tenure S</w:t>
      </w:r>
      <w:r w:rsidR="00F15BC1" w:rsidRPr="00F84D75">
        <w:rPr>
          <w:rFonts w:asciiTheme="majorHAnsi" w:hAnsiTheme="majorHAnsi"/>
          <w:sz w:val="22"/>
          <w:szCs w:val="22"/>
        </w:rPr>
        <w:t>tudies</w:t>
      </w:r>
      <w:r w:rsidR="003F1DE2">
        <w:rPr>
          <w:rFonts w:asciiTheme="majorHAnsi" w:hAnsiTheme="majorHAnsi"/>
          <w:sz w:val="22"/>
          <w:szCs w:val="22"/>
        </w:rPr>
        <w:t xml:space="preserve"> 3</w:t>
      </w:r>
      <w:r>
        <w:rPr>
          <w:rFonts w:asciiTheme="majorHAnsi" w:hAnsiTheme="majorHAnsi"/>
          <w:sz w:val="22"/>
          <w:szCs w:val="22"/>
        </w:rPr>
        <w:t>:</w:t>
      </w:r>
      <w:r w:rsidRPr="001B3B9F">
        <w:rPr>
          <w:rFonts w:asciiTheme="majorHAnsi" w:hAnsiTheme="majorHAnsi"/>
          <w:i/>
          <w:sz w:val="22"/>
          <w:szCs w:val="22"/>
        </w:rPr>
        <w:t xml:space="preserve"> </w:t>
      </w:r>
      <w:r w:rsidR="00F15BC1" w:rsidRPr="001B3B9F">
        <w:rPr>
          <w:rFonts w:asciiTheme="majorHAnsi" w:hAnsiTheme="majorHAnsi"/>
          <w:i/>
          <w:sz w:val="22"/>
          <w:szCs w:val="22"/>
        </w:rPr>
        <w:t>land tenure and rural development</w:t>
      </w:r>
      <w:r w:rsidR="00F15BC1" w:rsidRPr="00F84D75">
        <w:rPr>
          <w:rFonts w:asciiTheme="majorHAnsi" w:hAnsiTheme="majorHAnsi"/>
          <w:sz w:val="22"/>
          <w:szCs w:val="22"/>
        </w:rPr>
        <w:t>, 2002</w:t>
      </w:r>
    </w:p>
    <w:p w14:paraId="2EAC8AED" w14:textId="72E2DAE9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FAO Legislative Study 105:</w:t>
      </w:r>
      <w:r w:rsidR="00F15BC1" w:rsidRPr="00F84D75">
        <w:rPr>
          <w:rFonts w:asciiTheme="majorHAnsi" w:hAnsiTheme="majorHAnsi"/>
          <w:sz w:val="22"/>
          <w:szCs w:val="22"/>
        </w:rPr>
        <w:t xml:space="preserve"> Statutory recognition of customary land rights in Africa. An investigation into best practices for lawmaking and impleme</w:t>
      </w:r>
      <w:r>
        <w:rPr>
          <w:rFonts w:asciiTheme="majorHAnsi" w:hAnsiTheme="majorHAnsi"/>
          <w:sz w:val="22"/>
          <w:szCs w:val="22"/>
        </w:rPr>
        <w:t>ntation;</w:t>
      </w:r>
      <w:r w:rsidR="00F15BC1" w:rsidRPr="00F84D75">
        <w:rPr>
          <w:rFonts w:asciiTheme="majorHAnsi" w:hAnsiTheme="majorHAnsi"/>
          <w:sz w:val="22"/>
          <w:szCs w:val="22"/>
        </w:rPr>
        <w:t xml:space="preserve"> 2010</w:t>
      </w:r>
    </w:p>
    <w:p w14:paraId="2C5A72D3" w14:textId="7C670473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FAO</w:t>
      </w:r>
      <w:r w:rsidR="001B3B9F">
        <w:rPr>
          <w:rFonts w:asciiTheme="majorHAnsi" w:hAnsiTheme="majorHAnsi"/>
          <w:sz w:val="22"/>
          <w:szCs w:val="22"/>
          <w:lang w:val="en-US"/>
        </w:rPr>
        <w:t>: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Participatory Land Delimitation</w:t>
      </w:r>
      <w:r w:rsidR="001B3B9F">
        <w:rPr>
          <w:rFonts w:asciiTheme="majorHAnsi" w:hAnsiTheme="majorHAnsi"/>
          <w:sz w:val="22"/>
          <w:szCs w:val="22"/>
          <w:lang w:val="en-US"/>
        </w:rPr>
        <w:t xml:space="preserve"> </w:t>
      </w:r>
      <w:hyperlink r:id="rId7" w:history="1">
        <w:r w:rsidRPr="00F84D75">
          <w:rPr>
            <w:rStyle w:val="Link"/>
            <w:rFonts w:asciiTheme="majorHAnsi" w:hAnsiTheme="majorHAnsi"/>
            <w:sz w:val="22"/>
            <w:szCs w:val="22"/>
            <w:lang w:val="en-US"/>
          </w:rPr>
          <w:t>ftp://ftp.fao.org/docrep/fao/012/ak546e/ak546e00.pdf</w:t>
        </w:r>
      </w:hyperlink>
    </w:p>
    <w:p w14:paraId="24F3E27E" w14:textId="4CF72569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FAO: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Cli</w:t>
      </w:r>
      <w:r w:rsidR="00F15BC1" w:rsidRPr="001B3B9F">
        <w:rPr>
          <w:rFonts w:asciiTheme="majorHAnsi" w:hAnsiTheme="majorHAnsi"/>
          <w:i/>
          <w:sz w:val="22"/>
          <w:szCs w:val="22"/>
          <w:lang w:val="en-US"/>
        </w:rPr>
        <w:t>m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a</w:t>
      </w:r>
      <w:r w:rsidR="00F15BC1" w:rsidRPr="001B3B9F">
        <w:rPr>
          <w:rFonts w:asciiTheme="majorHAnsi" w:hAnsiTheme="majorHAnsi"/>
          <w:i/>
          <w:sz w:val="22"/>
          <w:szCs w:val="22"/>
          <w:lang w:val="en-US"/>
        </w:rPr>
        <w:t>te Change Mitigation Finance for Smallholder Agriculture – a guide book to harvesting soil carbon sequestration benefits</w:t>
      </w:r>
      <w:r>
        <w:rPr>
          <w:rFonts w:asciiTheme="majorHAnsi" w:hAnsiTheme="majorHAnsi"/>
          <w:i/>
          <w:sz w:val="22"/>
          <w:szCs w:val="22"/>
          <w:lang w:val="en-US"/>
        </w:rPr>
        <w:t>,</w:t>
      </w:r>
      <w:r w:rsidRPr="001B3B9F">
        <w:rPr>
          <w:rFonts w:asciiTheme="majorHAnsi" w:hAnsiTheme="majorHAnsi"/>
          <w:sz w:val="22"/>
          <w:szCs w:val="22"/>
          <w:lang w:val="en-US"/>
        </w:rPr>
        <w:t xml:space="preserve"> 2011</w:t>
      </w:r>
    </w:p>
    <w:p w14:paraId="3B44CD72" w14:textId="5A0CCBB8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FAO</w:t>
      </w:r>
      <w:r w:rsidR="00F15BC1" w:rsidRPr="00F84D75">
        <w:rPr>
          <w:rFonts w:asciiTheme="majorHAnsi" w:hAnsiTheme="majorHAnsi"/>
          <w:sz w:val="22"/>
          <w:szCs w:val="22"/>
        </w:rPr>
        <w:t xml:space="preserve">: </w:t>
      </w:r>
      <w:r w:rsidR="00F15BC1" w:rsidRPr="001B3B9F">
        <w:rPr>
          <w:rFonts w:asciiTheme="majorHAnsi" w:hAnsiTheme="majorHAnsi"/>
          <w:i/>
          <w:sz w:val="22"/>
          <w:szCs w:val="22"/>
          <w:lang w:val="en-US"/>
        </w:rPr>
        <w:t>Developing a Climate-Smart Agricultur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e Strategy at the Country Level</w:t>
      </w:r>
      <w:r w:rsidR="00F15BC1" w:rsidRPr="001B3B9F">
        <w:rPr>
          <w:rFonts w:asciiTheme="majorHAnsi" w:hAnsiTheme="majorHAnsi"/>
          <w:i/>
          <w:sz w:val="22"/>
          <w:szCs w:val="22"/>
          <w:lang w:val="en-US"/>
        </w:rPr>
        <w:t xml:space="preserve"> - lessons from recent experience</w:t>
      </w:r>
      <w:r>
        <w:rPr>
          <w:rFonts w:asciiTheme="majorHAnsi" w:hAnsiTheme="majorHAnsi"/>
          <w:sz w:val="22"/>
          <w:szCs w:val="22"/>
          <w:lang w:val="en-US"/>
        </w:rPr>
        <w:t>. Background Paper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 xml:space="preserve"> for the Second Globnal Conference on Agriculture, Food Security and </w:t>
      </w:r>
      <w:r>
        <w:rPr>
          <w:rFonts w:asciiTheme="majorHAnsi" w:hAnsiTheme="majorHAnsi"/>
          <w:sz w:val="22"/>
          <w:szCs w:val="22"/>
          <w:lang w:val="en-US"/>
        </w:rPr>
        <w:t>Climate Change, 2012</w:t>
      </w:r>
    </w:p>
    <w:p w14:paraId="598A67CD" w14:textId="7FDF9BC1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FAO: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Greening the economy with climate-smart agriculture</w:t>
      </w:r>
      <w:r w:rsidR="001B3B9F">
        <w:rPr>
          <w:rFonts w:asciiTheme="majorHAnsi" w:hAnsiTheme="majorHAnsi"/>
          <w:sz w:val="22"/>
          <w:szCs w:val="22"/>
          <w:lang w:val="en-US"/>
        </w:rPr>
        <w:t>. B</w:t>
      </w:r>
      <w:r w:rsidRPr="00F84D75">
        <w:rPr>
          <w:rFonts w:asciiTheme="majorHAnsi" w:hAnsiTheme="majorHAnsi"/>
          <w:sz w:val="22"/>
          <w:szCs w:val="22"/>
          <w:lang w:val="en-US"/>
        </w:rPr>
        <w:t>ackground paper for the Second Global Conference on Agriculture, Food Securtity and Climate Change, 2012</w:t>
      </w:r>
    </w:p>
    <w:p w14:paraId="2DBD1810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>FCCC Descision XXXXX, Annex 1</w:t>
      </w:r>
    </w:p>
    <w:p w14:paraId="4A50E991" w14:textId="22BD13E2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</w:rPr>
      </w:pPr>
      <w:r w:rsidRPr="00F84D75">
        <w:rPr>
          <w:rFonts w:asciiTheme="majorHAnsi" w:hAnsiTheme="majorHAnsi"/>
          <w:bCs/>
          <w:iCs/>
          <w:sz w:val="22"/>
          <w:szCs w:val="22"/>
        </w:rPr>
        <w:t xml:space="preserve">FCPF, UN-REDD Programme, </w:t>
      </w:r>
      <w:r w:rsidRPr="00F84D75">
        <w:rPr>
          <w:rFonts w:asciiTheme="majorHAnsi" w:hAnsiTheme="majorHAnsi"/>
          <w:bCs/>
          <w:i/>
          <w:iCs/>
          <w:sz w:val="22"/>
          <w:szCs w:val="22"/>
        </w:rPr>
        <w:t>Guidelines on Stakeholder Engagement in REDD+ Readiness with a focus on the Participation of Indigenous Peoples and Other Forest-Dependent Communities</w:t>
      </w:r>
      <w:r w:rsidRPr="00F84D75">
        <w:rPr>
          <w:rFonts w:asciiTheme="majorHAnsi" w:hAnsiTheme="majorHAnsi"/>
          <w:bCs/>
          <w:iCs/>
          <w:sz w:val="22"/>
          <w:szCs w:val="22"/>
        </w:rPr>
        <w:t xml:space="preserve">, April 20, 2012 </w:t>
      </w:r>
    </w:p>
    <w:p w14:paraId="0320868E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</w:rPr>
        <w:t xml:space="preserve">FLEGT Briefing Notes 2, 3 and 5 at </w:t>
      </w:r>
      <w:hyperlink r:id="rId8" w:history="1">
        <w:r w:rsidRPr="00D022FA">
          <w:rPr>
            <w:rStyle w:val="Link"/>
            <w:rFonts w:asciiTheme="majorHAnsi" w:hAnsiTheme="majorHAnsi"/>
            <w:sz w:val="22"/>
            <w:szCs w:val="22"/>
          </w:rPr>
          <w:t>http://www.euflegt.efi.int</w:t>
        </w:r>
      </w:hyperlink>
      <w:r w:rsidRPr="00D022FA">
        <w:rPr>
          <w:rFonts w:asciiTheme="majorHAnsi" w:hAnsiTheme="majorHAnsi"/>
          <w:sz w:val="22"/>
          <w:szCs w:val="22"/>
        </w:rPr>
        <w:t xml:space="preserve"> </w:t>
      </w:r>
    </w:p>
    <w:p w14:paraId="11D6A3BF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 xml:space="preserve">FLEGT Voluntray Partnership Agreement (VPA ) EU-Cameroon, Annex VIII at </w:t>
      </w:r>
      <w:hyperlink r:id="rId9" w:history="1">
        <w:r w:rsidRPr="00D022FA">
          <w:rPr>
            <w:rStyle w:val="Link"/>
            <w:rFonts w:asciiTheme="majorHAnsi" w:hAnsiTheme="majorHAnsi"/>
            <w:sz w:val="22"/>
            <w:szCs w:val="22"/>
          </w:rPr>
          <w:t>http://www.euflegt.efi.int</w:t>
        </w:r>
      </w:hyperlink>
    </w:p>
    <w:p w14:paraId="2F98D334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>Focali; Assessment of existing global financial initiatives and monitoring aspects of carbon sinks in forests ecosystems. The issue of REDD, Focali Report, Gothenburg: forest, climate and livelihood research network, 2009. Westholm, L.</w:t>
      </w:r>
    </w:p>
    <w:p w14:paraId="14EB42E4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FONAFIFO, CONAFOR and Ministry of Environment: Lessons learned fro REDD+ from PES and conservation incentives programs. Examples from Coasta Rica, Mexico and Ecuador, 2012 </w:t>
      </w:r>
    </w:p>
    <w:p w14:paraId="2071E5DE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</w:rPr>
        <w:t xml:space="preserve">Graham, K. (ODI) and Vignola, R. (CATIE): </w:t>
      </w:r>
      <w:r w:rsidRPr="00F84D75">
        <w:rPr>
          <w:rFonts w:asciiTheme="majorHAnsi" w:hAnsiTheme="majorHAnsi"/>
          <w:sz w:val="22"/>
          <w:szCs w:val="22"/>
          <w:lang w:val="en-US"/>
        </w:rPr>
        <w:t>REDD+ and agriculture - a cross-sectoral appraoch to REDD+ and the implications for the poor (undated)</w:t>
      </w:r>
    </w:p>
    <w:p w14:paraId="4C8C4299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>Greiber, T. Payments for Ecosystem Services. Legal and Institutional Frameworks; IUCN Environmental Policy and Law Paper No. 78. 2009</w:t>
      </w:r>
    </w:p>
    <w:p w14:paraId="3BE3D654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IIED Briefing: Climate Investment Funds: understanding the PPCR in Bangladesh and Nepal, April 2013</w:t>
      </w:r>
    </w:p>
    <w:p w14:paraId="2EA219D3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</w:rPr>
        <w:t xml:space="preserve">IIED, 2002: </w:t>
      </w:r>
      <w:r w:rsidRPr="00D022FA">
        <w:rPr>
          <w:rFonts w:asciiTheme="majorHAnsi" w:hAnsiTheme="majorHAnsi"/>
          <w:sz w:val="22"/>
          <w:szCs w:val="22"/>
          <w:lang w:val="en-US"/>
        </w:rPr>
        <w:t xml:space="preserve">Silver Bullet of Fool’s Gold – a global review of markets for forest environmental services and their impact on the poor, </w:t>
      </w:r>
    </w:p>
    <w:p w14:paraId="1BC58E2B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 xml:space="preserve">IIED; Carbon rights legislation: not yet ready for private sector REDD+. IIED briefing. February 2013. </w:t>
      </w:r>
    </w:p>
    <w:p w14:paraId="04EBCB49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IIED: All that glitters – a review of payments for watershed services in developing countries.</w:t>
      </w:r>
    </w:p>
    <w:p w14:paraId="64E263D1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Institute for Global Environmental Strategies (IGES) REDD+ Projects – a review of selected REDD+ projects designs, 2013</w:t>
      </w:r>
    </w:p>
    <w:p w14:paraId="5C1C40E2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IUCN/The Katoomba Group: Payments for Ecosystem Services – Legal and Institutional Frameworks, 2009</w:t>
      </w:r>
    </w:p>
    <w:p w14:paraId="42F216E3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Land Administration Guidelines, ECE/HBP/96</w:t>
      </w:r>
    </w:p>
    <w:p w14:paraId="5C64D4CF" w14:textId="60113D66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Philippines: 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>Land Sector</w:t>
      </w:r>
      <w:r>
        <w:rPr>
          <w:rFonts w:asciiTheme="majorHAnsi" w:hAnsiTheme="majorHAnsi"/>
          <w:sz w:val="22"/>
          <w:szCs w:val="22"/>
          <w:lang w:val="en-US"/>
        </w:rPr>
        <w:t xml:space="preserve"> Development Framework: 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>Vision for the Land Sector in the Philippines, Report A13, June 2010</w:t>
      </w:r>
    </w:p>
    <w:p w14:paraId="285BBF0D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 w:cs="MyriadPro-Regular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 xml:space="preserve">Larson, A.M. </w:t>
      </w:r>
      <w:r w:rsidRPr="001B3B9F">
        <w:rPr>
          <w:rFonts w:asciiTheme="majorHAnsi" w:hAnsiTheme="majorHAnsi"/>
          <w:i/>
          <w:sz w:val="22"/>
          <w:szCs w:val="22"/>
        </w:rPr>
        <w:t>Tenure rights and access to forests: A training manual for research. Part I a guide to key issues</w:t>
      </w:r>
      <w:r w:rsidRPr="00F84D75">
        <w:rPr>
          <w:rFonts w:asciiTheme="majorHAnsi" w:hAnsiTheme="majorHAnsi"/>
          <w:sz w:val="22"/>
          <w:szCs w:val="22"/>
        </w:rPr>
        <w:t>, CIFOR, 2012.</w:t>
      </w:r>
      <w:r w:rsidRPr="00F84D75">
        <w:rPr>
          <w:rFonts w:asciiTheme="majorHAnsi" w:hAnsiTheme="majorHAnsi" w:cs="MyriadPro-Regular"/>
          <w:sz w:val="22"/>
          <w:szCs w:val="22"/>
        </w:rPr>
        <w:t xml:space="preserve"> </w:t>
      </w:r>
    </w:p>
    <w:p w14:paraId="62BD24D8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Lawry, S. et al.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Devolution of forest rights and sustainable forest management, Volume 1: a review of policies and programs in 16 developing countries, Tetra Tech ARD for USAID; Scheyvens, H. and Sagara, M. REDD+ projects – a review of seletced REDD+ project designs</w:t>
      </w:r>
      <w:r w:rsidRPr="00F84D75">
        <w:rPr>
          <w:rFonts w:asciiTheme="majorHAnsi" w:hAnsiTheme="majorHAnsi"/>
          <w:sz w:val="22"/>
          <w:szCs w:val="22"/>
          <w:lang w:val="en-US"/>
        </w:rPr>
        <w:t>, Institute for Global Environmental Studies (IGES), 2013</w:t>
      </w:r>
    </w:p>
    <w:p w14:paraId="0D3B6B7B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Merger, E. et al.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A bottom –up approach to estimating cost elements of REDD+ pilot projects in Tanzania in: Carbon Balance and Management</w:t>
      </w:r>
      <w:r w:rsidRPr="00F84D75">
        <w:rPr>
          <w:rFonts w:asciiTheme="majorHAnsi" w:hAnsiTheme="majorHAnsi"/>
          <w:sz w:val="22"/>
          <w:szCs w:val="22"/>
          <w:lang w:val="en-US"/>
        </w:rPr>
        <w:t>, 2012</w:t>
      </w:r>
    </w:p>
    <w:p w14:paraId="3B970E92" w14:textId="20E9BC5D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Nzau, V.M.</w:t>
      </w:r>
      <w:r w:rsidR="001B3B9F">
        <w:rPr>
          <w:rFonts w:asciiTheme="majorHAnsi" w:hAnsiTheme="majorHAnsi"/>
          <w:sz w:val="22"/>
          <w:szCs w:val="22"/>
          <w:lang w:val="en-US"/>
        </w:rPr>
        <w:t>: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Mainstreaming climate change resilience into development planning in Kenya</w:t>
      </w:r>
      <w:r w:rsidRPr="00F84D75">
        <w:rPr>
          <w:rFonts w:asciiTheme="majorHAnsi" w:hAnsiTheme="majorHAnsi"/>
          <w:sz w:val="22"/>
          <w:szCs w:val="22"/>
          <w:lang w:val="en-US"/>
        </w:rPr>
        <w:t>, IIED and Government of Kenya, Climate Change Country Report 2013</w:t>
      </w:r>
    </w:p>
    <w:p w14:paraId="2D16DC6B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  <w:lang w:val="en-US"/>
        </w:rPr>
      </w:pPr>
      <w:r w:rsidRPr="007F2822">
        <w:rPr>
          <w:rFonts w:asciiTheme="majorHAnsi" w:hAnsiTheme="majorHAnsi"/>
          <w:bCs/>
          <w:iCs/>
          <w:sz w:val="22"/>
          <w:szCs w:val="22"/>
          <w:lang w:val="en-US"/>
        </w:rPr>
        <w:t xml:space="preserve">Oyono, R.P., Ribot, J.C., Larson, A.M., </w:t>
      </w:r>
      <w:r w:rsidRPr="007F2822">
        <w:rPr>
          <w:rFonts w:asciiTheme="majorHAnsi" w:hAnsiTheme="majorHAnsi"/>
          <w:bCs/>
          <w:i/>
          <w:iCs/>
          <w:sz w:val="22"/>
          <w:szCs w:val="22"/>
          <w:lang w:val="en-US"/>
        </w:rPr>
        <w:t>“Green and Black Gold in Rural Cameroon: Natural Resources for Local Governance, Justice and Sustainability”</w:t>
      </w:r>
      <w:r w:rsidRPr="007F2822">
        <w:rPr>
          <w:rFonts w:asciiTheme="majorHAnsi" w:hAnsiTheme="majorHAnsi"/>
          <w:bCs/>
          <w:iCs/>
          <w:sz w:val="22"/>
          <w:szCs w:val="22"/>
          <w:lang w:val="en-US"/>
        </w:rPr>
        <w:t>, Working Papers 22, World Resources Institute, Washington, DC, USA, 2006</w:t>
      </w:r>
      <w:r w:rsidRPr="00F84D75">
        <w:rPr>
          <w:rFonts w:asciiTheme="majorHAnsi" w:hAnsiTheme="majorHAnsi"/>
          <w:bCs/>
          <w:iCs/>
          <w:sz w:val="22"/>
          <w:szCs w:val="22"/>
          <w:lang w:val="en-US"/>
        </w:rPr>
        <w:t>.</w:t>
      </w:r>
    </w:p>
    <w:p w14:paraId="6112C57E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</w:rPr>
        <w:t xml:space="preserve">Peskett, L. and Brodnig, G., REDDnet.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Carbon rights in REDD+. Exploring the implications for poor and vulnerable people</w:t>
      </w:r>
      <w:r w:rsidRPr="00F84D75">
        <w:rPr>
          <w:rFonts w:asciiTheme="majorHAnsi" w:hAnsiTheme="majorHAnsi"/>
          <w:sz w:val="22"/>
          <w:szCs w:val="22"/>
          <w:lang w:val="en-US"/>
        </w:rPr>
        <w:t>. 2010</w:t>
      </w:r>
    </w:p>
    <w:p w14:paraId="282F5DB3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Pham Thu Thuy et al, </w:t>
      </w:r>
      <w:r w:rsidRPr="001B3B9F">
        <w:rPr>
          <w:rFonts w:asciiTheme="majorHAnsi" w:hAnsiTheme="majorHAnsi"/>
          <w:i/>
          <w:sz w:val="22"/>
          <w:szCs w:val="22"/>
          <w:lang w:val="en-US"/>
        </w:rPr>
        <w:t>Approaches to benefit sharing – a preliminary comparative analysis of 13 REDD+ countries,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 CIFOR 2013</w:t>
      </w:r>
    </w:p>
    <w:p w14:paraId="3C2A5739" w14:textId="59F82D2B" w:rsidR="00F15BC1" w:rsidRPr="001B3B9F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i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PROFOR/World Bank</w:t>
      </w:r>
      <w:r w:rsidR="00F15BC1" w:rsidRPr="00F84D75">
        <w:rPr>
          <w:rFonts w:asciiTheme="majorHAnsi" w:hAnsiTheme="majorHAnsi"/>
          <w:sz w:val="22"/>
          <w:szCs w:val="22"/>
        </w:rPr>
        <w:t xml:space="preserve">: </w:t>
      </w:r>
      <w:r w:rsidR="00F15BC1" w:rsidRPr="001B3B9F">
        <w:rPr>
          <w:rFonts w:asciiTheme="majorHAnsi" w:hAnsiTheme="majorHAnsi"/>
          <w:i/>
          <w:sz w:val="22"/>
          <w:szCs w:val="22"/>
          <w:lang w:val="en-US"/>
        </w:rPr>
        <w:t>Investing in Trees and Landscape Restoration in Africa – what, where and how</w:t>
      </w:r>
    </w:p>
    <w:p w14:paraId="3F60EC37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Rain Forest Foundation UK: </w:t>
      </w:r>
      <w:proofErr w:type="spellStart"/>
      <w:r w:rsidRPr="00F84D75">
        <w:rPr>
          <w:rFonts w:asciiTheme="majorHAnsi" w:hAnsiTheme="majorHAnsi" w:cs="Courier"/>
          <w:noProof w:val="0"/>
          <w:sz w:val="22"/>
          <w:szCs w:val="22"/>
          <w:lang w:val="en-US"/>
        </w:rPr>
        <w:t>MappingForRights</w:t>
      </w:r>
      <w:proofErr w:type="spellEnd"/>
      <w:r w:rsidRPr="00F84D75">
        <w:rPr>
          <w:rFonts w:asciiTheme="majorHAnsi" w:hAnsiTheme="majorHAnsi" w:cs="Courier"/>
          <w:noProof w:val="0"/>
          <w:sz w:val="22"/>
          <w:szCs w:val="22"/>
          <w:lang w:val="en-US"/>
        </w:rPr>
        <w:t xml:space="preserve"> </w:t>
      </w:r>
      <w:hyperlink r:id="rId10" w:history="1">
        <w:r w:rsidRPr="00F84D75">
          <w:rPr>
            <w:rStyle w:val="Link"/>
            <w:rFonts w:asciiTheme="majorHAnsi" w:hAnsiTheme="majorHAnsi" w:cs="Courier"/>
            <w:noProof w:val="0"/>
            <w:sz w:val="22"/>
            <w:szCs w:val="22"/>
            <w:lang w:val="en-US"/>
          </w:rPr>
          <w:t>http://www.mappingforrights.org</w:t>
        </w:r>
      </w:hyperlink>
    </w:p>
    <w:p w14:paraId="0452D0E7" w14:textId="098DD460" w:rsidR="00F15BC1" w:rsidRPr="00F15BC1" w:rsidRDefault="001B3B9F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UN-REDD </w:t>
      </w:r>
      <w:r w:rsidR="00F15BC1" w:rsidRPr="00F15BC1">
        <w:rPr>
          <w:rFonts w:asciiTheme="majorHAnsi" w:hAnsiTheme="majorHAnsi"/>
          <w:sz w:val="22"/>
          <w:szCs w:val="22"/>
        </w:rPr>
        <w:t>Readiness Plan for REDD, R-PP Final Version – Democratic Republic of Congo, Ministry of Environment, Conservation of Nature and Tourism, DRC, 15 July 2010</w:t>
      </w:r>
    </w:p>
    <w:p w14:paraId="7824D600" w14:textId="42E2957E" w:rsidR="00F15BC1" w:rsidRPr="00F15BC1" w:rsidRDefault="001B3B9F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UN-REDD </w:t>
      </w:r>
      <w:r w:rsidR="00F15BC1" w:rsidRPr="00F15BC1">
        <w:rPr>
          <w:rFonts w:asciiTheme="majorHAnsi" w:hAnsiTheme="majorHAnsi"/>
          <w:sz w:val="22"/>
          <w:szCs w:val="22"/>
        </w:rPr>
        <w:t>Readiness Plan for REDD, R-PP Final Version – Democratic Republic of Congo, Ministry of Environment, Conservation of Nature and Tourism, DRC, 2010</w:t>
      </w:r>
    </w:p>
    <w:p w14:paraId="3832C506" w14:textId="098F6FAE" w:rsidR="00F15BC1" w:rsidRPr="00F84D75" w:rsidRDefault="001B3B9F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LaViña, </w:t>
      </w:r>
      <w:r w:rsidRPr="00F84D75">
        <w:rPr>
          <w:rFonts w:asciiTheme="majorHAnsi" w:hAnsiTheme="majorHAnsi"/>
          <w:sz w:val="22"/>
          <w:szCs w:val="22"/>
        </w:rPr>
        <w:t>A.</w:t>
      </w:r>
      <w:r>
        <w:rPr>
          <w:rFonts w:asciiTheme="majorHAnsi" w:hAnsiTheme="majorHAnsi"/>
          <w:sz w:val="22"/>
          <w:szCs w:val="22"/>
        </w:rPr>
        <w:t xml:space="preserve"> and Lynch, </w:t>
      </w:r>
      <w:r w:rsidRPr="00F84D75"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. J.:</w:t>
      </w:r>
      <w:r w:rsidRPr="00F84D75">
        <w:rPr>
          <w:rFonts w:asciiTheme="majorHAnsi" w:hAnsiTheme="majorHAnsi"/>
          <w:sz w:val="22"/>
          <w:szCs w:val="22"/>
        </w:rPr>
        <w:t xml:space="preserve"> </w:t>
      </w:r>
      <w:r w:rsidR="00F15BC1" w:rsidRPr="001B3B9F">
        <w:rPr>
          <w:rFonts w:asciiTheme="majorHAnsi" w:hAnsiTheme="majorHAnsi"/>
          <w:i/>
          <w:sz w:val="22"/>
          <w:szCs w:val="22"/>
        </w:rPr>
        <w:t>REDD lights: who owns the carbon in forests and trees? Carbon ownership as the basis of social accountability: The case of Philippines</w:t>
      </w:r>
      <w:r>
        <w:rPr>
          <w:rFonts w:asciiTheme="majorHAnsi" w:hAnsiTheme="majorHAnsi"/>
          <w:sz w:val="22"/>
          <w:szCs w:val="22"/>
        </w:rPr>
        <w:t xml:space="preserve">; </w:t>
      </w:r>
      <w:r w:rsidR="00F15BC1" w:rsidRPr="00F84D75">
        <w:rPr>
          <w:rFonts w:asciiTheme="majorHAnsi" w:hAnsiTheme="majorHAnsi"/>
          <w:sz w:val="22"/>
          <w:szCs w:val="22"/>
        </w:rPr>
        <w:t xml:space="preserve">2010.  </w:t>
      </w:r>
    </w:p>
    <w:p w14:paraId="0EBD36F2" w14:textId="5EBC0B00" w:rsidR="00F15BC1" w:rsidRPr="00F15BC1" w:rsidRDefault="001B3B9F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UN-</w:t>
      </w:r>
      <w:r w:rsidR="00F15BC1" w:rsidRPr="00F15BC1">
        <w:rPr>
          <w:rFonts w:asciiTheme="majorHAnsi" w:hAnsiTheme="majorHAnsi"/>
          <w:sz w:val="22"/>
          <w:szCs w:val="22"/>
          <w:lang w:val="en-US"/>
        </w:rPr>
        <w:t>REDD+ National Programme Document (NPD), Cambodia, December, 2011</w:t>
      </w:r>
    </w:p>
    <w:p w14:paraId="0BF1AB7F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 xml:space="preserve">REDDnet. </w:t>
      </w:r>
      <w:r w:rsidRPr="001B3B9F">
        <w:rPr>
          <w:rFonts w:asciiTheme="majorHAnsi" w:hAnsiTheme="majorHAnsi"/>
          <w:i/>
          <w:sz w:val="22"/>
          <w:szCs w:val="22"/>
        </w:rPr>
        <w:t>Networking for equity in forest climate policy</w:t>
      </w:r>
      <w:r w:rsidRPr="001B3B9F">
        <w:rPr>
          <w:rFonts w:asciiTheme="majorHAnsi" w:hAnsiTheme="majorHAnsi"/>
          <w:b/>
          <w:i/>
          <w:sz w:val="22"/>
          <w:szCs w:val="22"/>
        </w:rPr>
        <w:t xml:space="preserve">. </w:t>
      </w:r>
      <w:r w:rsidRPr="001B3B9F">
        <w:rPr>
          <w:rFonts w:asciiTheme="majorHAnsi" w:hAnsiTheme="majorHAnsi"/>
          <w:bCs/>
          <w:i/>
          <w:sz w:val="22"/>
          <w:szCs w:val="22"/>
        </w:rPr>
        <w:t>Carbon rights</w:t>
      </w:r>
      <w:r w:rsidRPr="001B3B9F">
        <w:rPr>
          <w:rFonts w:asciiTheme="majorHAnsi" w:hAnsiTheme="majorHAnsi"/>
          <w:i/>
          <w:sz w:val="22"/>
          <w:szCs w:val="22"/>
        </w:rPr>
        <w:t xml:space="preserve"> in REDD+: exploring the implications for poor and vulnerable people.</w:t>
      </w:r>
    </w:p>
    <w:p w14:paraId="514CE8D9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Report of the </w:t>
      </w:r>
      <w:r w:rsidRPr="00F84D75">
        <w:rPr>
          <w:rFonts w:asciiTheme="majorHAnsi" w:hAnsiTheme="majorHAnsi"/>
          <w:i/>
          <w:iCs/>
          <w:sz w:val="22"/>
          <w:szCs w:val="22"/>
          <w:lang w:val="en-US"/>
        </w:rPr>
        <w:t xml:space="preserve">International Workshop on Methodologies Regarding Free Prior and Informed Consent </w:t>
      </w:r>
      <w:r w:rsidRPr="00F84D75">
        <w:rPr>
          <w:rFonts w:asciiTheme="majorHAnsi" w:hAnsiTheme="majorHAnsi"/>
          <w:sz w:val="22"/>
          <w:szCs w:val="22"/>
          <w:lang w:val="en-US"/>
        </w:rPr>
        <w:t>E/C.19/2005/3, endorsed by the UNPFII at its Fourth Session in 2005</w:t>
      </w:r>
    </w:p>
    <w:p w14:paraId="0E8DB223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>Resosudarmo, I. A. P. et al</w:t>
      </w:r>
      <w:r w:rsidRPr="00F15BC1">
        <w:rPr>
          <w:rFonts w:asciiTheme="majorHAnsi" w:hAnsiTheme="majorHAnsi"/>
          <w:i/>
          <w:sz w:val="22"/>
          <w:szCs w:val="22"/>
          <w:lang w:val="en-US"/>
        </w:rPr>
        <w:t>.,”Does Tenure Security Lead to REDD+ Project Effectiveness? Reflections from Five Emerging Sites in Indonesia”</w:t>
      </w:r>
      <w:r w:rsidRPr="00F15BC1">
        <w:rPr>
          <w:rFonts w:asciiTheme="majorHAnsi" w:hAnsiTheme="majorHAnsi"/>
          <w:sz w:val="22"/>
          <w:szCs w:val="22"/>
          <w:lang w:val="en-US"/>
        </w:rPr>
        <w:t>, World Development (2013),</w:t>
      </w:r>
    </w:p>
    <w:p w14:paraId="422FE033" w14:textId="77777777" w:rsidR="003F1DE2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Rights and Resources Initiative (RRI): What Rights? A Comparative Analysis of Developing countries’ National Legislation on Community and Indigenous Peoples’ Forest Tenure Rights, 2012; </w:t>
      </w:r>
    </w:p>
    <w:p w14:paraId="7582AF30" w14:textId="3985197F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RUPES Sumberjaya</w:t>
      </w:r>
      <w:r w:rsidR="003F1DE2">
        <w:rPr>
          <w:rFonts w:asciiTheme="majorHAnsi" w:hAnsiTheme="majorHAnsi"/>
          <w:sz w:val="22"/>
          <w:szCs w:val="22"/>
          <w:lang w:val="en-US"/>
        </w:rPr>
        <w:t xml:space="preserve">: 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Rewarding upland P</w:t>
      </w:r>
      <w:r w:rsidR="003F1DE2" w:rsidRPr="003F1DE2">
        <w:rPr>
          <w:rFonts w:asciiTheme="majorHAnsi" w:hAnsiTheme="majorHAnsi"/>
          <w:i/>
          <w:sz w:val="22"/>
          <w:szCs w:val="22"/>
          <w:lang w:val="en-US"/>
        </w:rPr>
        <w:t>oor for Environmental Services</w:t>
      </w:r>
      <w:r w:rsidR="003F1DE2">
        <w:rPr>
          <w:rFonts w:asciiTheme="majorHAnsi" w:hAnsiTheme="majorHAnsi"/>
          <w:sz w:val="22"/>
          <w:szCs w:val="22"/>
          <w:lang w:val="en-US"/>
        </w:rPr>
        <w:t xml:space="preserve">, 2011 </w:t>
      </w:r>
      <w:r w:rsidRPr="00D022FA">
        <w:rPr>
          <w:rFonts w:asciiTheme="majorHAnsi" w:hAnsiTheme="majorHAnsi"/>
          <w:sz w:val="22"/>
          <w:szCs w:val="22"/>
          <w:lang w:val="en-US"/>
        </w:rPr>
        <w:t>www.worldagroforestry centre.org/sea</w:t>
      </w:r>
    </w:p>
    <w:p w14:paraId="3187CC22" w14:textId="715F2FE9" w:rsidR="00F15BC1" w:rsidRPr="00F84D75" w:rsidRDefault="003F1DE2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RUPES:</w:t>
      </w:r>
      <w:r w:rsidR="00F15BC1" w:rsidRPr="00F84D75">
        <w:rPr>
          <w:rFonts w:asciiTheme="majorHAnsi" w:hAnsiTheme="majorHAnsi"/>
          <w:sz w:val="22"/>
          <w:szCs w:val="22"/>
        </w:rPr>
        <w:t xml:space="preserve"> 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 xml:space="preserve">Clean Rivers, Lighted Lights - </w:t>
      </w:r>
      <w:r w:rsidR="00F15BC1" w:rsidRPr="003F1DE2">
        <w:rPr>
          <w:rFonts w:asciiTheme="majorHAnsi" w:hAnsiTheme="majorHAnsi"/>
          <w:i/>
          <w:sz w:val="22"/>
          <w:szCs w:val="22"/>
          <w:lang w:val="en-US"/>
        </w:rPr>
        <w:t>Monetary Rewards for Reducing Sediment</w:t>
      </w:r>
      <w:r>
        <w:rPr>
          <w:rFonts w:asciiTheme="majorHAnsi" w:hAnsiTheme="majorHAnsi"/>
          <w:sz w:val="22"/>
          <w:szCs w:val="22"/>
          <w:lang w:val="en-US"/>
        </w:rPr>
        <w:t xml:space="preserve">; </w:t>
      </w:r>
      <w:r w:rsidR="00F15BC1" w:rsidRPr="00F84D75">
        <w:rPr>
          <w:rFonts w:asciiTheme="majorHAnsi" w:hAnsiTheme="majorHAnsi"/>
          <w:sz w:val="22"/>
          <w:szCs w:val="22"/>
          <w:lang w:val="en-US"/>
        </w:rPr>
        <w:t>IFAD and ICRAF</w:t>
      </w:r>
      <w:r>
        <w:rPr>
          <w:rFonts w:asciiTheme="majorHAnsi" w:hAnsiTheme="majorHAnsi"/>
          <w:sz w:val="22"/>
          <w:szCs w:val="22"/>
          <w:lang w:val="en-US"/>
        </w:rPr>
        <w:t>, 2011</w:t>
      </w:r>
    </w:p>
    <w:p w14:paraId="41AF0C64" w14:textId="77777777" w:rsidR="00F15BC1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  <w:lang w:val="en-US"/>
        </w:rPr>
      </w:pPr>
      <w:r w:rsidRPr="007F2822">
        <w:rPr>
          <w:rFonts w:asciiTheme="majorHAnsi" w:hAnsiTheme="majorHAnsi"/>
          <w:bCs/>
          <w:iCs/>
          <w:sz w:val="22"/>
          <w:szCs w:val="22"/>
          <w:lang w:val="en-US"/>
        </w:rPr>
        <w:t xml:space="preserve">Schlager, E., Ostrom, E., </w:t>
      </w:r>
      <w:r w:rsidRPr="007F2822">
        <w:rPr>
          <w:rFonts w:asciiTheme="majorHAnsi" w:hAnsiTheme="majorHAnsi"/>
          <w:bCs/>
          <w:i/>
          <w:iCs/>
          <w:sz w:val="22"/>
          <w:szCs w:val="22"/>
          <w:lang w:val="en-US"/>
        </w:rPr>
        <w:t>“Property rights regimes and natural resources: a conceptual analysis”</w:t>
      </w:r>
      <w:r w:rsidRPr="007F2822">
        <w:rPr>
          <w:rFonts w:asciiTheme="majorHAnsi" w:hAnsiTheme="majorHAnsi"/>
          <w:bCs/>
          <w:iCs/>
          <w:sz w:val="22"/>
          <w:szCs w:val="22"/>
          <w:lang w:val="en-US"/>
        </w:rPr>
        <w:t>, Land Econom</w:t>
      </w:r>
      <w:r>
        <w:rPr>
          <w:rFonts w:asciiTheme="majorHAnsi" w:hAnsiTheme="majorHAnsi"/>
          <w:bCs/>
          <w:iCs/>
          <w:sz w:val="22"/>
          <w:szCs w:val="22"/>
          <w:lang w:val="en-US"/>
        </w:rPr>
        <w:t>ics 68, (3), pp. 249–262, 1992</w:t>
      </w:r>
    </w:p>
    <w:p w14:paraId="737B4293" w14:textId="740EC2D5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</w:rPr>
        <w:t xml:space="preserve">Streck, C,; </w:t>
      </w:r>
      <w:r w:rsidRPr="003F1DE2">
        <w:rPr>
          <w:rFonts w:asciiTheme="majorHAnsi" w:hAnsiTheme="majorHAnsi"/>
          <w:i/>
          <w:sz w:val="22"/>
          <w:szCs w:val="22"/>
        </w:rPr>
        <w:t>Climate change and forests: emerging policy and</w:t>
      </w:r>
      <w:r w:rsidR="003F1DE2" w:rsidRPr="003F1DE2">
        <w:rPr>
          <w:rFonts w:asciiTheme="majorHAnsi" w:hAnsiTheme="majorHAnsi"/>
          <w:i/>
          <w:sz w:val="22"/>
          <w:szCs w:val="22"/>
        </w:rPr>
        <w:t xml:space="preserve"> market opportunities</w:t>
      </w:r>
      <w:r w:rsidR="003F1DE2">
        <w:rPr>
          <w:rFonts w:asciiTheme="majorHAnsi" w:hAnsiTheme="majorHAnsi"/>
          <w:sz w:val="22"/>
          <w:szCs w:val="22"/>
        </w:rPr>
        <w:t xml:space="preserve">. </w:t>
      </w:r>
      <w:r w:rsidRPr="00F84D75">
        <w:rPr>
          <w:rFonts w:asciiTheme="majorHAnsi" w:hAnsiTheme="majorHAnsi"/>
          <w:sz w:val="22"/>
          <w:szCs w:val="22"/>
        </w:rPr>
        <w:t xml:space="preserve">Washington, DC: Brookings Institution. 2008. </w:t>
      </w:r>
    </w:p>
    <w:p w14:paraId="5AB5F0F8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 xml:space="preserve">Sunderlin, et al. 2008 in Knox, Anna, Caron,  Goldstein and Miner, </w:t>
      </w:r>
      <w:r w:rsidRPr="00F15BC1">
        <w:rPr>
          <w:rFonts w:asciiTheme="majorHAnsi" w:hAnsiTheme="majorHAnsi"/>
          <w:i/>
          <w:iCs/>
          <w:sz w:val="22"/>
          <w:szCs w:val="22"/>
          <w:lang w:val="en-US"/>
        </w:rPr>
        <w:t>The interface of land and natural resource tenure and climate change mitigation strategies:</w:t>
      </w:r>
      <w:r w:rsidRPr="00F15BC1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F15BC1">
        <w:rPr>
          <w:rFonts w:asciiTheme="majorHAnsi" w:hAnsiTheme="majorHAnsi"/>
          <w:i/>
          <w:iCs/>
          <w:sz w:val="22"/>
          <w:szCs w:val="22"/>
          <w:lang w:val="en-US"/>
        </w:rPr>
        <w:t>challenges and options</w:t>
      </w:r>
      <w:r w:rsidRPr="00F15BC1">
        <w:rPr>
          <w:rFonts w:asciiTheme="majorHAnsi" w:hAnsiTheme="majorHAnsi"/>
          <w:sz w:val="22"/>
          <w:szCs w:val="22"/>
          <w:lang w:val="en-US"/>
        </w:rPr>
        <w:t>,  Background paper for the expert meeting on land tenure issues for implementing climate change mitigation policies in the AFOLU sectors, Rome, November 2010</w:t>
      </w:r>
    </w:p>
    <w:p w14:paraId="10EA45C5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  <w:lang w:val="en-US"/>
        </w:rPr>
      </w:pPr>
      <w:r w:rsidRPr="00F84D75">
        <w:rPr>
          <w:rFonts w:asciiTheme="majorHAnsi" w:hAnsiTheme="majorHAnsi"/>
          <w:bCs/>
          <w:iCs/>
          <w:sz w:val="22"/>
          <w:szCs w:val="22"/>
          <w:lang w:val="en-US"/>
        </w:rPr>
        <w:t xml:space="preserve">Sunderlin, W. D. et al., </w:t>
      </w:r>
      <w:r w:rsidRPr="00F84D75">
        <w:rPr>
          <w:rFonts w:asciiTheme="majorHAnsi" w:hAnsiTheme="majorHAnsi"/>
          <w:bCs/>
          <w:i/>
          <w:iCs/>
          <w:sz w:val="22"/>
          <w:szCs w:val="22"/>
          <w:lang w:val="en-US"/>
        </w:rPr>
        <w:t>“How are REDD+ Proponents Addressing Tenure Problems? Evidence from Brazil, Cameroon, Tanzania, Indonesia, and Vietnam”</w:t>
      </w:r>
      <w:r w:rsidRPr="00F84D75">
        <w:rPr>
          <w:rFonts w:asciiTheme="majorHAnsi" w:hAnsiTheme="majorHAnsi"/>
          <w:bCs/>
          <w:iCs/>
          <w:sz w:val="22"/>
          <w:szCs w:val="22"/>
          <w:lang w:val="en-US"/>
        </w:rPr>
        <w:t>, World Development, 2013</w:t>
      </w:r>
    </w:p>
    <w:p w14:paraId="06834AB8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F84D75">
        <w:rPr>
          <w:rFonts w:asciiTheme="majorHAnsi" w:hAnsiTheme="majorHAnsi"/>
          <w:bCs/>
          <w:iCs/>
          <w:noProof w:val="0"/>
          <w:sz w:val="22"/>
          <w:szCs w:val="22"/>
        </w:rPr>
        <w:t>Sunderlin</w:t>
      </w:r>
      <w:proofErr w:type="spellEnd"/>
      <w:r w:rsidRPr="00F84D75">
        <w:rPr>
          <w:rFonts w:asciiTheme="majorHAnsi" w:hAnsiTheme="majorHAnsi"/>
          <w:bCs/>
          <w:iCs/>
          <w:noProof w:val="0"/>
          <w:sz w:val="22"/>
          <w:szCs w:val="22"/>
        </w:rPr>
        <w:t xml:space="preserve">, W. D. et al., </w:t>
      </w:r>
      <w:r w:rsidRPr="00F84D75">
        <w:rPr>
          <w:rFonts w:asciiTheme="majorHAnsi" w:hAnsiTheme="majorHAnsi"/>
          <w:bCs/>
          <w:i/>
          <w:iCs/>
          <w:noProof w:val="0"/>
          <w:sz w:val="22"/>
          <w:szCs w:val="22"/>
        </w:rPr>
        <w:t>“How are REDD+ Proponents Addressing Tenure Problems? Evidence from Brazil, Cameroon, Tanzania, Indonesia, and Vietnam”</w:t>
      </w:r>
      <w:r w:rsidRPr="00F84D75">
        <w:rPr>
          <w:rFonts w:asciiTheme="majorHAnsi" w:hAnsiTheme="majorHAnsi"/>
          <w:bCs/>
          <w:iCs/>
          <w:noProof w:val="0"/>
          <w:sz w:val="22"/>
          <w:szCs w:val="22"/>
        </w:rPr>
        <w:t>, World Development, 2013</w:t>
      </w:r>
    </w:p>
    <w:p w14:paraId="75D63880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>The Gold Standard: Land-Use &amp; Forests Framework (draft), 2013</w:t>
      </w:r>
    </w:p>
    <w:p w14:paraId="36428787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  <w:lang w:val="en-US"/>
        </w:rPr>
      </w:pPr>
      <w:r w:rsidRPr="00F84D75">
        <w:rPr>
          <w:rFonts w:asciiTheme="majorHAnsi" w:hAnsiTheme="majorHAnsi"/>
          <w:bCs/>
          <w:iCs/>
          <w:sz w:val="22"/>
          <w:szCs w:val="22"/>
          <w:lang w:val="en-US"/>
        </w:rPr>
        <w:t xml:space="preserve">UN-REDD </w:t>
      </w:r>
      <w:r w:rsidRPr="00F84D75">
        <w:rPr>
          <w:rFonts w:asciiTheme="majorHAnsi" w:hAnsiTheme="majorHAnsi"/>
          <w:bCs/>
          <w:i/>
          <w:iCs/>
          <w:sz w:val="22"/>
          <w:szCs w:val="22"/>
          <w:lang w:val="en-US"/>
        </w:rPr>
        <w:t>‘Legal Companion to the UN-REDD Programme Guidelines on Free, Prior and Informed Consent (FPIC) International Law and Jurisprudence Affirming the Requirement of FPIC’</w:t>
      </w:r>
      <w:r w:rsidRPr="00F84D75">
        <w:rPr>
          <w:rFonts w:asciiTheme="majorHAnsi" w:hAnsiTheme="majorHAnsi"/>
          <w:bCs/>
          <w:iCs/>
          <w:sz w:val="22"/>
          <w:szCs w:val="22"/>
          <w:lang w:val="en-US"/>
        </w:rPr>
        <w:t>, January 2013</w:t>
      </w:r>
    </w:p>
    <w:p w14:paraId="315617CA" w14:textId="7175BBC2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bCs/>
          <w:iCs/>
          <w:sz w:val="22"/>
          <w:szCs w:val="22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 xml:space="preserve">UN-REDD </w:t>
      </w:r>
      <w:r w:rsidRPr="003F1DE2">
        <w:rPr>
          <w:rFonts w:asciiTheme="majorHAnsi" w:hAnsiTheme="majorHAnsi"/>
          <w:i/>
          <w:sz w:val="22"/>
          <w:szCs w:val="22"/>
          <w:lang w:val="en-US"/>
        </w:rPr>
        <w:t>Guidelines on Free, Prior and Informed Consent</w:t>
      </w:r>
      <w:r w:rsidRPr="00F84D75">
        <w:rPr>
          <w:rFonts w:asciiTheme="majorHAnsi" w:hAnsiTheme="majorHAnsi"/>
          <w:sz w:val="22"/>
          <w:szCs w:val="22"/>
          <w:lang w:val="en-US"/>
        </w:rPr>
        <w:t xml:space="preserve">, UNDP/UN-REDD Programme,  ‘Working Final’ version, </w:t>
      </w:r>
      <w:r w:rsidR="003F1DE2">
        <w:rPr>
          <w:rFonts w:asciiTheme="majorHAnsi" w:hAnsiTheme="majorHAnsi"/>
          <w:sz w:val="22"/>
          <w:szCs w:val="22"/>
          <w:lang w:val="en-US"/>
        </w:rPr>
        <w:t>Switzerland, January 2013</w:t>
      </w:r>
    </w:p>
    <w:p w14:paraId="4EDB80BD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15BC1">
        <w:rPr>
          <w:rFonts w:asciiTheme="majorHAnsi" w:hAnsiTheme="majorHAnsi"/>
          <w:sz w:val="22"/>
          <w:szCs w:val="22"/>
        </w:rPr>
        <w:t>UN-REDD Programme, National Programm Document- Paraguay, Washington D.C., USA, 4-5 November 2010</w:t>
      </w:r>
    </w:p>
    <w:p w14:paraId="55E6C320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UN-REDD Programme, National Programme Document Draft- Panama, 2009</w:t>
      </w:r>
    </w:p>
    <w:p w14:paraId="10D8951E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>UN-REDD Programme, National Programme Document- Bolivia, 17-19 March 2010</w:t>
      </w:r>
    </w:p>
    <w:p w14:paraId="5FDD685A" w14:textId="77777777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UN-REDD Programme, National Programme Document- Ecuador, 21-22 March 2010</w:t>
      </w:r>
    </w:p>
    <w:p w14:paraId="4BF93756" w14:textId="77777777" w:rsidR="00F15BC1" w:rsidRPr="00F15BC1" w:rsidRDefault="00F15BC1" w:rsidP="00F15BC1">
      <w:pPr>
        <w:pStyle w:val="Listenabsatz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15BC1">
        <w:rPr>
          <w:rFonts w:asciiTheme="majorHAnsi" w:hAnsiTheme="majorHAnsi"/>
          <w:sz w:val="22"/>
          <w:szCs w:val="22"/>
          <w:lang w:val="en-US"/>
        </w:rPr>
        <w:t>UN-REDD Programme, National Programme Document- Nigeria, 13-14 October 2011</w:t>
      </w:r>
    </w:p>
    <w:p w14:paraId="32CCB4A3" w14:textId="77777777" w:rsidR="00F15BC1" w:rsidRPr="00F84D75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F84D75">
        <w:rPr>
          <w:rFonts w:asciiTheme="majorHAnsi" w:hAnsiTheme="majorHAnsi"/>
          <w:sz w:val="22"/>
          <w:szCs w:val="22"/>
          <w:lang w:val="en-US"/>
        </w:rPr>
        <w:t>United Nations Declaration on the Rights of Indigenous Peoples adopted by General Assembly Resolution 61/295 on 13 September 2007</w:t>
      </w:r>
    </w:p>
    <w:p w14:paraId="723A953F" w14:textId="335B2276" w:rsidR="00F15BC1" w:rsidRPr="00D022FA" w:rsidRDefault="00F15BC1" w:rsidP="00F15BC1">
      <w:pPr>
        <w:pStyle w:val="Funotentext"/>
        <w:numPr>
          <w:ilvl w:val="0"/>
          <w:numId w:val="1"/>
        </w:numPr>
        <w:rPr>
          <w:rFonts w:asciiTheme="majorHAnsi" w:hAnsiTheme="majorHAnsi"/>
          <w:sz w:val="22"/>
          <w:szCs w:val="22"/>
          <w:lang w:val="en-US"/>
        </w:rPr>
      </w:pPr>
      <w:r w:rsidRPr="00D022FA">
        <w:rPr>
          <w:rFonts w:asciiTheme="majorHAnsi" w:hAnsiTheme="majorHAnsi"/>
          <w:sz w:val="22"/>
          <w:szCs w:val="22"/>
          <w:lang w:val="en-US"/>
        </w:rPr>
        <w:t>Voluntary Guidelines on the Responsible Governance of Tenure of Land, Fisheries and Forests in the Context of National Food Securirty, Committe</w:t>
      </w:r>
      <w:r w:rsidR="003F1DE2">
        <w:rPr>
          <w:rFonts w:asciiTheme="majorHAnsi" w:hAnsiTheme="majorHAnsi"/>
          <w:sz w:val="22"/>
          <w:szCs w:val="22"/>
          <w:lang w:val="en-US"/>
        </w:rPr>
        <w:t>e on World Food Security (CFS)</w:t>
      </w:r>
      <w:r w:rsidRPr="00D022FA">
        <w:rPr>
          <w:rFonts w:asciiTheme="majorHAnsi" w:hAnsiTheme="majorHAnsi"/>
          <w:sz w:val="22"/>
          <w:szCs w:val="22"/>
          <w:lang w:val="en-US"/>
        </w:rPr>
        <w:t>, 2012</w:t>
      </w:r>
      <w:r w:rsidR="003F1DE2">
        <w:rPr>
          <w:rFonts w:asciiTheme="majorHAnsi" w:hAnsiTheme="majorHAnsi"/>
          <w:sz w:val="22"/>
          <w:szCs w:val="22"/>
          <w:lang w:val="en-US"/>
        </w:rPr>
        <w:t xml:space="preserve"> - </w:t>
      </w:r>
      <w:r w:rsidR="003F1DE2" w:rsidRPr="003F1DE2">
        <w:rPr>
          <w:rFonts w:asciiTheme="majorHAnsi" w:hAnsiTheme="majorHAnsi"/>
          <w:sz w:val="22"/>
          <w:szCs w:val="22"/>
          <w:lang w:val="en-US"/>
        </w:rPr>
        <w:t>http://www.fao.org/nr/tenure/voluntary-guidelines/en/</w:t>
      </w:r>
    </w:p>
    <w:sectPr w:rsidR="00F15BC1" w:rsidRPr="00D022FA" w:rsidSect="00780A2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yriadPro-Regular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6195"/>
    <w:multiLevelType w:val="hybridMultilevel"/>
    <w:tmpl w:val="97843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FA"/>
    <w:rsid w:val="0014552D"/>
    <w:rsid w:val="001B3B9F"/>
    <w:rsid w:val="0022251F"/>
    <w:rsid w:val="002B2FB2"/>
    <w:rsid w:val="003F1DE2"/>
    <w:rsid w:val="00780A28"/>
    <w:rsid w:val="007A120F"/>
    <w:rsid w:val="007F2822"/>
    <w:rsid w:val="009032BE"/>
    <w:rsid w:val="00AA7713"/>
    <w:rsid w:val="00D022FA"/>
    <w:rsid w:val="00D071B5"/>
    <w:rsid w:val="00DD2C80"/>
    <w:rsid w:val="00F15BC1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7E3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22FA"/>
    <w:rPr>
      <w:noProof/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F28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unhideWhenUsed/>
    <w:rsid w:val="00D022FA"/>
  </w:style>
  <w:style w:type="character" w:customStyle="1" w:styleId="FunotentextZeichen">
    <w:name w:val="Fußnotentext Zeichen"/>
    <w:basedOn w:val="Absatzstandardschriftart"/>
    <w:link w:val="Funotentext"/>
    <w:uiPriority w:val="99"/>
    <w:rsid w:val="00D022FA"/>
    <w:rPr>
      <w:noProof/>
      <w:lang w:val="en-GB"/>
    </w:rPr>
  </w:style>
  <w:style w:type="character" w:styleId="Funotenzeichen">
    <w:name w:val="footnote reference"/>
    <w:basedOn w:val="Absatzstandardschriftart"/>
    <w:uiPriority w:val="99"/>
    <w:unhideWhenUsed/>
    <w:rsid w:val="00D022FA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D022FA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F2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F282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F2822"/>
    <w:rPr>
      <w:rFonts w:ascii="Lucida Grande" w:hAnsi="Lucida Grande" w:cs="Lucida Grande"/>
      <w:noProof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F15BC1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B3B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22FA"/>
    <w:rPr>
      <w:noProof/>
      <w:lang w:val="en-GB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F28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eichen"/>
    <w:uiPriority w:val="99"/>
    <w:unhideWhenUsed/>
    <w:rsid w:val="00D022FA"/>
  </w:style>
  <w:style w:type="character" w:customStyle="1" w:styleId="FunotentextZeichen">
    <w:name w:val="Fußnotentext Zeichen"/>
    <w:basedOn w:val="Absatzstandardschriftart"/>
    <w:link w:val="Funotentext"/>
    <w:uiPriority w:val="99"/>
    <w:rsid w:val="00D022FA"/>
    <w:rPr>
      <w:noProof/>
      <w:lang w:val="en-GB"/>
    </w:rPr>
  </w:style>
  <w:style w:type="character" w:styleId="Funotenzeichen">
    <w:name w:val="footnote reference"/>
    <w:basedOn w:val="Absatzstandardschriftart"/>
    <w:uiPriority w:val="99"/>
    <w:unhideWhenUsed/>
    <w:rsid w:val="00D022FA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D022FA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F2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F282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F2822"/>
    <w:rPr>
      <w:rFonts w:ascii="Lucida Grande" w:hAnsi="Lucida Grande" w:cs="Lucida Grande"/>
      <w:noProof/>
      <w:sz w:val="18"/>
      <w:szCs w:val="18"/>
      <w:lang w:val="en-GB"/>
    </w:rPr>
  </w:style>
  <w:style w:type="paragraph" w:styleId="Listenabsatz">
    <w:name w:val="List Paragraph"/>
    <w:basedOn w:val="Standard"/>
    <w:uiPriority w:val="34"/>
    <w:qFormat/>
    <w:rsid w:val="00F15BC1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1B3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nredd.net/governance" TargetMode="External"/><Relationship Id="rId7" Type="http://schemas.openxmlformats.org/officeDocument/2006/relationships/hyperlink" Target="ftp://ftp.fao.org/docrep/fao/012/ak546e/ak546e00.pdf" TargetMode="External"/><Relationship Id="rId8" Type="http://schemas.openxmlformats.org/officeDocument/2006/relationships/hyperlink" Target="http://www.euflegt.efi.int" TargetMode="External"/><Relationship Id="rId9" Type="http://schemas.openxmlformats.org/officeDocument/2006/relationships/hyperlink" Target="http://www.euflegt.efi.int" TargetMode="External"/><Relationship Id="rId10" Type="http://schemas.openxmlformats.org/officeDocument/2006/relationships/hyperlink" Target="http://www.mappingforrights.org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9664</Characters>
  <Application>Microsoft Macintosh Word</Application>
  <DocSecurity>0</DocSecurity>
  <Lines>80</Lines>
  <Paragraphs>22</Paragraphs>
  <ScaleCrop>false</ScaleCrop>
  <Company>dr christian mersmann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mersmann</dc:creator>
  <cp:keywords/>
  <dc:description/>
  <cp:lastModifiedBy>christian mersmann</cp:lastModifiedBy>
  <cp:revision>2</cp:revision>
  <dcterms:created xsi:type="dcterms:W3CDTF">2013-07-09T10:30:00Z</dcterms:created>
  <dcterms:modified xsi:type="dcterms:W3CDTF">2013-07-09T10:30:00Z</dcterms:modified>
</cp:coreProperties>
</file>