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880"/>
        <w:gridCol w:w="360"/>
        <w:gridCol w:w="5130"/>
        <w:gridCol w:w="270"/>
        <w:gridCol w:w="1839"/>
      </w:tblGrid>
      <w:tr w:rsidR="009A5041" w:rsidRPr="00BC510F" w:rsidTr="0017219F">
        <w:trPr>
          <w:trHeight w:val="774"/>
        </w:trPr>
        <w:tc>
          <w:tcPr>
            <w:tcW w:w="83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17219F">
            <w:pPr>
              <w:pStyle w:val="Heading1"/>
              <w:spacing w:before="0"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17219F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17219F">
              <w:rPr>
                <w:rFonts w:ascii="Times New Roman" w:hAnsi="Times New Roman"/>
                <w:bCs/>
                <w:sz w:val="21"/>
                <w:szCs w:val="21"/>
              </w:rPr>
              <w:t>25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July 2012</w:t>
            </w:r>
          </w:p>
        </w:tc>
        <w:tc>
          <w:tcPr>
            <w:tcW w:w="2109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17219F">
        <w:trPr>
          <w:cantSplit/>
          <w:trHeight w:hRule="exact" w:val="396"/>
        </w:trPr>
        <w:tc>
          <w:tcPr>
            <w:tcW w:w="3240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17219F">
              <w:rPr>
                <w:sz w:val="21"/>
                <w:szCs w:val="21"/>
              </w:rPr>
              <w:t xml:space="preserve">: </w:t>
            </w:r>
            <w:r w:rsidR="0017219F" w:rsidRPr="0017219F">
              <w:rPr>
                <w:b w:val="0"/>
                <w:sz w:val="21"/>
                <w:szCs w:val="21"/>
              </w:rPr>
              <w:t>Tim Boyle, UN-REDD</w:t>
            </w:r>
          </w:p>
          <w:p w:rsidR="009A5041" w:rsidRPr="008276F5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30" w:type="dxa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17219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17219F" w:rsidRPr="0017219F">
              <w:rPr>
                <w:rFonts w:ascii="Times New Roman" w:hAnsi="Times New Roman"/>
                <w:bCs/>
                <w:sz w:val="21"/>
                <w:szCs w:val="21"/>
              </w:rPr>
              <w:t>+66819005402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val="450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17219F" w:rsidRDefault="00D46585" w:rsidP="000F3938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</w:rPr>
            </w:pPr>
            <w:r w:rsidRPr="0017219F">
              <w:rPr>
                <w:rFonts w:asciiTheme="minorHAnsi" w:hAnsiTheme="minorHAnsi" w:cstheme="minorHAnsi"/>
                <w:bCs/>
                <w:sz w:val="20"/>
              </w:rPr>
              <w:t>BKK-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Phnom Penh</w:t>
            </w:r>
            <w:r w:rsidR="0017219F" w:rsidRPr="0017219F">
              <w:rPr>
                <w:rFonts w:asciiTheme="minorHAnsi" w:hAnsiTheme="minorHAnsi" w:cstheme="minorHAnsi"/>
                <w:bCs/>
                <w:sz w:val="20"/>
              </w:rPr>
              <w:t>-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>Hanoi -</w:t>
            </w:r>
            <w:r w:rsidRPr="0017219F">
              <w:rPr>
                <w:rFonts w:asciiTheme="minorHAnsi" w:hAnsiTheme="minorHAnsi" w:cstheme="minorHAnsi"/>
                <w:bCs/>
                <w:sz w:val="20"/>
              </w:rPr>
              <w:t>BKK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17219F">
        <w:trPr>
          <w:trHeight w:hRule="exact" w:val="303"/>
        </w:trPr>
        <w:tc>
          <w:tcPr>
            <w:tcW w:w="324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0F3938">
        <w:trPr>
          <w:trHeight w:val="837"/>
        </w:trPr>
        <w:tc>
          <w:tcPr>
            <w:tcW w:w="2880" w:type="dxa"/>
            <w:tcBorders>
              <w:left w:val="double" w:sz="6" w:space="0" w:color="auto"/>
            </w:tcBorders>
          </w:tcPr>
          <w:p w:rsidR="00CC09A4" w:rsidRDefault="007B1C56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2-5 Oct</w:t>
            </w:r>
            <w:r w:rsidR="000F3938">
              <w:rPr>
                <w:rFonts w:ascii="Times New Roman" w:hAnsi="Times New Roman"/>
                <w:sz w:val="21"/>
                <w:szCs w:val="21"/>
              </w:rPr>
              <w:t>.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2012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39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17219F" w:rsidRPr="00170496" w:rsidRDefault="007B1C56" w:rsidP="00F725C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150" w:hanging="18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CMB: </w:t>
            </w:r>
            <w:r w:rsidR="00D95AA5" w:rsidRPr="00170496">
              <w:rPr>
                <w:rFonts w:asciiTheme="minorHAnsi" w:hAnsiTheme="minorHAnsi" w:cstheme="minorHAnsi"/>
                <w:bCs/>
                <w:sz w:val="20"/>
              </w:rPr>
              <w:t>UNDP</w:t>
            </w:r>
            <w:r w:rsidR="0017219F" w:rsidRPr="00170496">
              <w:rPr>
                <w:rFonts w:asciiTheme="minorHAnsi" w:hAnsiTheme="minorHAnsi" w:cstheme="minorHAnsi"/>
                <w:bCs/>
                <w:sz w:val="20"/>
              </w:rPr>
              <w:t xml:space="preserve"> CO (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Elena Tischenko, 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Lay Khim, Sovanny Chhum, Giacomo Fedele</w:t>
            </w:r>
            <w:r w:rsidR="00170496" w:rsidRPr="0017049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:rsidR="00170496" w:rsidRPr="00170496" w:rsidRDefault="007B1C5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CMB: </w:t>
            </w:r>
            <w:r w:rsidR="00170496" w:rsidRPr="00170496">
              <w:rPr>
                <w:rFonts w:asciiTheme="minorHAnsi" w:hAnsiTheme="minorHAnsi" w:cstheme="minorHAnsi"/>
                <w:sz w:val="20"/>
              </w:rPr>
              <w:t xml:space="preserve">REDD+ </w:t>
            </w:r>
            <w:r w:rsidR="000F3938">
              <w:rPr>
                <w:rFonts w:asciiTheme="minorHAnsi" w:hAnsiTheme="minorHAnsi" w:cstheme="minorHAnsi"/>
                <w:sz w:val="20"/>
              </w:rPr>
              <w:t>Task Force Secretariat (Chea Sam Ang, Vathana Khun, Monyrak Meng)</w:t>
            </w:r>
          </w:p>
          <w:p w:rsidR="00CF3B35" w:rsidRDefault="007B1C5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CMB: </w:t>
            </w:r>
            <w:r w:rsidR="000F3938">
              <w:rPr>
                <w:rFonts w:asciiTheme="minorHAnsi" w:hAnsiTheme="minorHAnsi" w:cstheme="minorHAnsi"/>
                <w:sz w:val="20"/>
              </w:rPr>
              <w:t>Secretariat staff (Kimhy Lun, Heang</w:t>
            </w:r>
            <w:r w:rsidR="00170496" w:rsidRPr="0017049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F3938">
              <w:rPr>
                <w:rFonts w:asciiTheme="minorHAnsi" w:hAnsiTheme="minorHAnsi" w:cstheme="minorHAnsi"/>
                <w:sz w:val="20"/>
              </w:rPr>
              <w:t>Thy)</w:t>
            </w:r>
          </w:p>
          <w:p w:rsidR="007B1C56" w:rsidRDefault="007B1C5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VN: UNDP CO (Louise Chamberlain, Tore Langhelle)</w:t>
            </w:r>
          </w:p>
          <w:p w:rsidR="007B1C56" w:rsidRPr="000F3938" w:rsidRDefault="007B1C5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VN: UN-REDD staff (Pham Minh Thoa, Pham Manh Cuong)</w:t>
            </w:r>
          </w:p>
        </w:tc>
      </w:tr>
      <w:tr w:rsidR="00CC09A4" w:rsidRPr="00BC510F" w:rsidTr="0017219F">
        <w:trPr>
          <w:trHeight w:val="516"/>
        </w:trPr>
        <w:tc>
          <w:tcPr>
            <w:tcW w:w="10479" w:type="dxa"/>
            <w:gridSpan w:val="5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1559EB" w:rsidRDefault="00D95AA5" w:rsidP="007B1C5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502105">
              <w:rPr>
                <w:rFonts w:asciiTheme="minorHAnsi" w:hAnsiTheme="minorHAnsi" w:cstheme="minorHAnsi"/>
                <w:bCs/>
                <w:sz w:val="20"/>
              </w:rPr>
              <w:t xml:space="preserve">To 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>attend 2</w:t>
            </w:r>
            <w:r w:rsidR="007B1C56" w:rsidRPr="007B1C5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nd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 PEB of the 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UN-REDD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>/Cambodia programme and to assist in overcoming barriers to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 xml:space="preserve"> implementation</w:t>
            </w:r>
            <w:r w:rsidR="0017219F" w:rsidRPr="0050210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7B1C56" w:rsidRPr="00502105" w:rsidRDefault="007B1C56" w:rsidP="007B1C5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To attend the closing workshop of the UN-REDD/Viet Nam programme and finalize Phase 2 proposal</w:t>
            </w:r>
          </w:p>
        </w:tc>
      </w:tr>
      <w:tr w:rsidR="00CC09A4" w:rsidRPr="00C1798E" w:rsidTr="00502105">
        <w:trPr>
          <w:trHeight w:val="1259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Default="000F3938" w:rsidP="0034189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Cambodia 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>has been implementing its national UN-REDD Programme for a year, but progress has been slow due to the complexity of forest governance in the country, involving three agencies which have mandates for different parts of the forest estate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  <w:r w:rsidR="00341898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The development of workable procedures for management of the programme has taken time, and staff for the PMU only recently recruited.  The first PEB meeting was held in August.</w:t>
            </w:r>
          </w:p>
          <w:p w:rsidR="00341898" w:rsidRPr="0017219F" w:rsidRDefault="00341898" w:rsidP="0034189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The national UN-REDD Programme in Viet Nam has been under implementation for 3 years and was operationally closed in June 2012.  A proposal for a Phase 2 is under development.</w:t>
            </w:r>
          </w:p>
        </w:tc>
      </w:tr>
      <w:tr w:rsidR="001559EB" w:rsidRPr="00C1798E" w:rsidTr="001559EB">
        <w:trPr>
          <w:trHeight w:val="380"/>
        </w:trPr>
        <w:tc>
          <w:tcPr>
            <w:tcW w:w="10479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F23276" w:rsidRDefault="001559EB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Summary of Mission Activities/ Findings</w:t>
            </w:r>
          </w:p>
          <w:p w:rsidR="00341898" w:rsidRDefault="00341898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 m</w:t>
            </w:r>
            <w:r w:rsidR="00E875DA">
              <w:rPr>
                <w:rFonts w:asciiTheme="minorHAnsi" w:hAnsiTheme="minorHAnsi" w:cstheme="minorHAnsi"/>
                <w:sz w:val="20"/>
              </w:rPr>
              <w:t>eeting</w:t>
            </w:r>
            <w:r>
              <w:rPr>
                <w:rFonts w:asciiTheme="minorHAnsi" w:hAnsiTheme="minorHAnsi" w:cstheme="minorHAnsi"/>
                <w:sz w:val="20"/>
              </w:rPr>
              <w:t xml:space="preserve"> wa</w:t>
            </w:r>
            <w:r w:rsidR="00E875DA">
              <w:rPr>
                <w:rFonts w:asciiTheme="minorHAnsi" w:hAnsiTheme="minorHAnsi" w:cstheme="minorHAnsi"/>
                <w:sz w:val="20"/>
              </w:rPr>
              <w:t>s held with staff of the Taskforce Secretariat: Vathana Khun (FA)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="00E875DA">
              <w:rPr>
                <w:rFonts w:asciiTheme="minorHAnsi" w:hAnsiTheme="minorHAnsi" w:cstheme="minorHAnsi"/>
                <w:sz w:val="20"/>
              </w:rPr>
              <w:t xml:space="preserve"> Kimhy Lun (Coordinator)</w:t>
            </w:r>
            <w:r>
              <w:rPr>
                <w:rFonts w:asciiTheme="minorHAnsi" w:hAnsiTheme="minorHAnsi" w:cstheme="minorHAnsi"/>
                <w:sz w:val="20"/>
              </w:rPr>
              <w:t>,</w:t>
            </w:r>
            <w:r w:rsidR="00E875DA">
              <w:rPr>
                <w:rFonts w:asciiTheme="minorHAnsi" w:hAnsiTheme="minorHAnsi" w:cstheme="minorHAnsi"/>
                <w:sz w:val="20"/>
              </w:rPr>
              <w:t xml:space="preserve"> Heang Thy (Communications)</w:t>
            </w:r>
            <w:r>
              <w:rPr>
                <w:rFonts w:asciiTheme="minorHAnsi" w:hAnsiTheme="minorHAnsi" w:cstheme="minorHAnsi"/>
                <w:sz w:val="20"/>
              </w:rPr>
              <w:t xml:space="preserve"> and Thida Pan (Finance and Procurement) in order to identify on-going barriers to implementation and to identify solutions.  Since the arrival of Secretariat staff recruited with UN-REDD funds, progress in terms of financial delivery has dramatically improved:</w:t>
            </w:r>
          </w:p>
          <w:p w:rsidR="00341898" w:rsidRDefault="00341898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341898" w:rsidRDefault="00A037A4" w:rsidP="00341898">
            <w:pPr>
              <w:contextualSpacing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.3pt;margin-top:45.95pt;width:88.95pt;height:40.15pt;z-index:251660288;mso-height-percent:200;mso-height-percent:200;mso-width-relative:margin;mso-height-relative:margin" stroked="f">
                  <v:textbox style="mso-next-textbox:#_x0000_s1026;mso-fit-shape-to-text:t">
                    <w:txbxContent>
                      <w:p w:rsidR="004C09CF" w:rsidRPr="00341898" w:rsidRDefault="004C09CF">
                        <w:pPr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</w:pPr>
                        <w:r w:rsidRPr="00341898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Three-monthly rolling averages of delivery in US$</w:t>
                        </w:r>
                      </w:p>
                    </w:txbxContent>
                  </v:textbox>
                </v:shape>
              </w:pict>
            </w:r>
            <w:r w:rsidR="00341898" w:rsidRPr="00341898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>
                  <wp:extent cx="3527149" cy="1940943"/>
                  <wp:effectExtent l="19050" t="0" r="16151" b="2157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341898" w:rsidRDefault="00341898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502105" w:rsidRDefault="00341898" w:rsidP="00341898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Looking beyond purely financial measures, t</w:t>
            </w:r>
            <w:r w:rsidR="00E875DA">
              <w:rPr>
                <w:rFonts w:asciiTheme="minorHAnsi" w:hAnsiTheme="minorHAnsi" w:cstheme="minorHAnsi"/>
                <w:sz w:val="20"/>
              </w:rPr>
              <w:t xml:space="preserve">he </w:t>
            </w:r>
            <w:r>
              <w:rPr>
                <w:rFonts w:asciiTheme="minorHAnsi" w:hAnsiTheme="minorHAnsi" w:cstheme="minorHAnsi"/>
                <w:sz w:val="20"/>
              </w:rPr>
              <w:t xml:space="preserve">National REDD+ </w:t>
            </w:r>
            <w:r w:rsidR="00E875DA">
              <w:rPr>
                <w:rFonts w:asciiTheme="minorHAnsi" w:hAnsiTheme="minorHAnsi" w:cstheme="minorHAnsi"/>
                <w:sz w:val="20"/>
              </w:rPr>
              <w:t xml:space="preserve">Taskforce has </w:t>
            </w:r>
            <w:r>
              <w:rPr>
                <w:rFonts w:asciiTheme="minorHAnsi" w:hAnsiTheme="minorHAnsi" w:cstheme="minorHAnsi"/>
                <w:sz w:val="20"/>
              </w:rPr>
              <w:t>held</w:t>
            </w:r>
            <w:r w:rsidR="00E875DA">
              <w:rPr>
                <w:rFonts w:asciiTheme="minorHAnsi" w:hAnsiTheme="minorHAnsi" w:cstheme="minorHAnsi"/>
                <w:sz w:val="20"/>
              </w:rPr>
              <w:t xml:space="preserve"> its </w:t>
            </w:r>
            <w:r w:rsidR="00E875DA" w:rsidRPr="00E875DA">
              <w:rPr>
                <w:rFonts w:asciiTheme="minorHAnsi" w:hAnsiTheme="minorHAnsi" w:cstheme="minorHAnsi"/>
                <w:sz w:val="20"/>
                <w:u w:val="single"/>
              </w:rPr>
              <w:t>first meeting on Sept. 28</w:t>
            </w:r>
            <w:r w:rsidR="00E875DA" w:rsidRPr="00E875DA">
              <w:rPr>
                <w:rFonts w:asciiTheme="minorHAnsi" w:hAnsiTheme="minorHAnsi" w:cstheme="minorHAnsi"/>
                <w:sz w:val="20"/>
                <w:u w:val="single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; and </w:t>
            </w:r>
            <w:r w:rsidR="00E875DA" w:rsidRPr="00E875DA">
              <w:rPr>
                <w:rFonts w:asciiTheme="minorHAnsi" w:hAnsiTheme="minorHAnsi" w:cstheme="minorHAnsi"/>
                <w:sz w:val="20"/>
                <w:u w:val="single"/>
              </w:rPr>
              <w:t xml:space="preserve">CSO and IP workshops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>were</w:t>
            </w:r>
            <w:r w:rsidR="00E875DA" w:rsidRPr="00E875DA">
              <w:rPr>
                <w:rFonts w:asciiTheme="minorHAnsi" w:hAnsiTheme="minorHAnsi" w:cstheme="minorHAnsi"/>
                <w:sz w:val="20"/>
                <w:u w:val="single"/>
              </w:rPr>
              <w:t xml:space="preserve"> held Sept. 25-27 to select </w:t>
            </w:r>
            <w:r>
              <w:rPr>
                <w:rFonts w:asciiTheme="minorHAnsi" w:hAnsiTheme="minorHAnsi" w:cstheme="minorHAnsi"/>
                <w:sz w:val="20"/>
                <w:u w:val="single"/>
              </w:rPr>
              <w:t xml:space="preserve">interim </w:t>
            </w:r>
            <w:r w:rsidR="00E875DA" w:rsidRPr="00E875DA">
              <w:rPr>
                <w:rFonts w:asciiTheme="minorHAnsi" w:hAnsiTheme="minorHAnsi" w:cstheme="minorHAnsi"/>
                <w:sz w:val="20"/>
                <w:u w:val="single"/>
              </w:rPr>
              <w:t>representatives for the PEB</w:t>
            </w:r>
            <w:r w:rsidR="00E875DA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 This process, which is considered best practice, is the subject of UN-REDD/Cambodia’s first knowledge products (see separate report).</w:t>
            </w:r>
          </w:p>
          <w:p w:rsidR="00E875DA" w:rsidRDefault="00E875DA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1D6B93" w:rsidRDefault="00341898" w:rsidP="00341898">
            <w:pPr>
              <w:contextualSpacing/>
              <w:rPr>
                <w:rFonts w:asciiTheme="minorHAnsi" w:hAnsiTheme="minorHAnsi" w:cstheme="minorHAnsi"/>
                <w:sz w:val="20"/>
              </w:rPr>
            </w:pPr>
            <w:r w:rsidRPr="00341898">
              <w:rPr>
                <w:rFonts w:asciiTheme="minorHAnsi" w:hAnsiTheme="minorHAnsi" w:cstheme="minorHAnsi"/>
                <w:sz w:val="20"/>
              </w:rPr>
              <w:t>Meetings</w:t>
            </w:r>
            <w:r>
              <w:rPr>
                <w:rFonts w:asciiTheme="minorHAnsi" w:hAnsiTheme="minorHAnsi" w:cstheme="minorHAnsi"/>
                <w:sz w:val="20"/>
              </w:rPr>
              <w:t xml:space="preserve"> were also held with the UNRC</w:t>
            </w:r>
            <w:r w:rsidR="004C09CF">
              <w:rPr>
                <w:rFonts w:asciiTheme="minorHAnsi" w:hAnsiTheme="minorHAnsi" w:cstheme="minorHAnsi"/>
                <w:sz w:val="20"/>
              </w:rPr>
              <w:t>, UNDP CD and staff of the CO Environment team.  These meetings focused on:</w:t>
            </w:r>
          </w:p>
          <w:p w:rsidR="004C09CF" w:rsidRDefault="004C09CF" w:rsidP="00341898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4C09CF" w:rsidRPr="004C09CF" w:rsidRDefault="004C09CF" w:rsidP="004C09CF">
            <w:pPr>
              <w:pStyle w:val="ListParagraph"/>
              <w:numPr>
                <w:ilvl w:val="0"/>
                <w:numId w:val="6"/>
              </w:numPr>
              <w:ind w:left="240" w:hanging="180"/>
              <w:contextualSpacing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>Recruitment of a Technical Advisor – the top-ranked candidate had effectively withdrawn on the morning of Oct. 3</w:t>
            </w:r>
            <w:r w:rsidRPr="004C09CF">
              <w:rPr>
                <w:rFonts w:asciiTheme="minorHAnsi" w:hAnsiTheme="minorHAnsi" w:cstheme="minorHAnsi"/>
                <w:sz w:val="20"/>
                <w:vertAlign w:val="superscript"/>
              </w:rPr>
              <w:t>rd</w:t>
            </w:r>
            <w:r w:rsidRPr="004C09CF">
              <w:rPr>
                <w:rFonts w:asciiTheme="minorHAnsi" w:hAnsiTheme="minorHAnsi" w:cstheme="minorHAnsi"/>
                <w:sz w:val="20"/>
              </w:rPr>
              <w:t>, and the 2</w:t>
            </w:r>
            <w:r w:rsidRPr="004C09CF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 w:rsidRPr="004C09CF">
              <w:rPr>
                <w:rFonts w:asciiTheme="minorHAnsi" w:hAnsiTheme="minorHAnsi" w:cstheme="minorHAnsi"/>
                <w:sz w:val="20"/>
              </w:rPr>
              <w:t>-ranked candidate was subsequently found to be no longer available.  It seems that a new round of recruitment will be necessary, and that short-term solutions will need to be found – hiring a short-term consultant or seeking a greater role from the RTA, or both</w:t>
            </w:r>
          </w:p>
          <w:p w:rsidR="004C09CF" w:rsidRPr="004C09CF" w:rsidRDefault="004C09CF" w:rsidP="004C09CF">
            <w:pPr>
              <w:pStyle w:val="ListParagraph"/>
              <w:numPr>
                <w:ilvl w:val="0"/>
                <w:numId w:val="6"/>
              </w:numPr>
              <w:ind w:left="240" w:hanging="180"/>
              <w:contextualSpacing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>Interaction with the NGO-led demonstration projects, especially Oddar Meanchey.  The issue of conflict resolution has emerged as a risk to progress.  The possibility of initiating a process with the UN-REDD/FCPF grievance mechanism consultant was discussed.</w:t>
            </w:r>
          </w:p>
          <w:p w:rsidR="001D6B93" w:rsidRDefault="001D6B93" w:rsidP="00E875DA">
            <w:pPr>
              <w:contextualSpacing/>
              <w:rPr>
                <w:rFonts w:asciiTheme="minorHAnsi" w:hAnsiTheme="minorHAnsi" w:cstheme="minorHAnsi"/>
                <w:sz w:val="20"/>
              </w:rPr>
            </w:pPr>
          </w:p>
          <w:p w:rsidR="007C00E7" w:rsidRPr="004C09CF" w:rsidRDefault="004C09CF" w:rsidP="004C09CF">
            <w:pPr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>A meeting of the Forest Administration (FA) Committee on CC and REDD+ was attended.  Presentations were made on UN-REDD, Cam-REDD, FCPF, LEAF, and ITTO’s work on REDD+</w:t>
            </w:r>
            <w:r w:rsidR="001D6B93" w:rsidRPr="004C09CF">
              <w:rPr>
                <w:rFonts w:asciiTheme="minorHAnsi" w:hAnsiTheme="minorHAnsi" w:cstheme="minorHAnsi"/>
                <w:sz w:val="20"/>
              </w:rPr>
              <w:t>.</w:t>
            </w:r>
            <w:r w:rsidRPr="004C09CF">
              <w:rPr>
                <w:rFonts w:asciiTheme="minorHAnsi" w:hAnsiTheme="minorHAnsi" w:cstheme="minorHAnsi"/>
                <w:sz w:val="20"/>
              </w:rPr>
              <w:t xml:space="preserve">  Before and after the Committee meeting, discussions were held with the JICA-funded policy advisor to the FA</w:t>
            </w:r>
            <w:r w:rsidR="0017219F" w:rsidRPr="004C09CF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C09CF">
              <w:rPr>
                <w:rFonts w:asciiTheme="minorHAnsi" w:hAnsiTheme="minorHAnsi" w:cstheme="minorHAnsi"/>
                <w:sz w:val="20"/>
              </w:rPr>
              <w:t xml:space="preserve">and visiting JICA officials from Japan, including the Deputy DG for Forest and Nature </w:t>
            </w:r>
            <w:r w:rsidR="00BE2EEE" w:rsidRPr="004C09CF">
              <w:rPr>
                <w:rFonts w:asciiTheme="minorHAnsi" w:hAnsiTheme="minorHAnsi" w:cstheme="minorHAnsi"/>
                <w:sz w:val="20"/>
              </w:rPr>
              <w:t>Administration</w:t>
            </w:r>
            <w:r w:rsidRPr="004C09CF">
              <w:rPr>
                <w:rFonts w:asciiTheme="minorHAnsi" w:hAnsiTheme="minorHAnsi" w:cstheme="minorHAnsi"/>
                <w:sz w:val="20"/>
              </w:rPr>
              <w:t xml:space="preserve">, concerning integration of work programmes and evaluation plans for UN-REDD, Cam-REDD and the </w:t>
            </w:r>
            <w:r w:rsidRPr="004C09CF">
              <w:rPr>
                <w:rFonts w:asciiTheme="minorHAnsi" w:hAnsiTheme="minorHAnsi" w:cstheme="minorHAnsi"/>
                <w:sz w:val="20"/>
              </w:rPr>
              <w:lastRenderedPageBreak/>
              <w:t>FCPF.</w:t>
            </w:r>
          </w:p>
          <w:p w:rsidR="004C09CF" w:rsidRDefault="004C09CF" w:rsidP="004C09CF">
            <w:pPr>
              <w:rPr>
                <w:rFonts w:asciiTheme="minorHAnsi" w:hAnsiTheme="minorHAnsi" w:cstheme="minorHAnsi"/>
                <w:sz w:val="20"/>
              </w:rPr>
            </w:pPr>
          </w:p>
          <w:p w:rsidR="004C09CF" w:rsidRPr="004C09CF" w:rsidRDefault="004C09CF" w:rsidP="004C09C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2</w:t>
            </w:r>
            <w:r w:rsidRPr="004C09CF">
              <w:rPr>
                <w:rFonts w:asciiTheme="minorHAnsi" w:hAnsiTheme="minorHAnsi" w:cstheme="minorHAnsi"/>
                <w:sz w:val="20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0"/>
              </w:rPr>
              <w:t xml:space="preserve"> PEB was attended.  Key points:</w:t>
            </w:r>
          </w:p>
          <w:p w:rsidR="004C09CF" w:rsidRPr="004C09CF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>CSO rep requested materials for PEB in advance of the meeting, so that he can discuss with other members and consolidate their inputs.</w:t>
            </w:r>
          </w:p>
          <w:p w:rsidR="004C09CF" w:rsidRPr="00BE2EEE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4C09CF">
              <w:rPr>
                <w:rFonts w:asciiTheme="minorHAnsi" w:hAnsiTheme="minorHAnsi" w:cstheme="minorHAnsi"/>
                <w:sz w:val="20"/>
              </w:rPr>
              <w:t xml:space="preserve">Extension of the programme was mentioned (by </w:t>
            </w:r>
            <w:r>
              <w:rPr>
                <w:rFonts w:asciiTheme="minorHAnsi" w:hAnsiTheme="minorHAnsi" w:cstheme="minorHAnsi"/>
                <w:sz w:val="20"/>
              </w:rPr>
              <w:t>UNRC and UNDP CD</w:t>
            </w:r>
            <w:r w:rsidRPr="004C09CF">
              <w:rPr>
                <w:rFonts w:asciiTheme="minorHAnsi" w:hAnsiTheme="minorHAnsi" w:cstheme="minorHAnsi"/>
                <w:sz w:val="20"/>
              </w:rPr>
              <w:t xml:space="preserve">) and a need to request an extension probably in the next </w:t>
            </w:r>
            <w:r w:rsidRPr="00BE2EEE">
              <w:rPr>
                <w:rFonts w:asciiTheme="minorHAnsi" w:hAnsiTheme="minorHAnsi" w:cstheme="minorHAnsi"/>
                <w:sz w:val="20"/>
              </w:rPr>
              <w:t>meeting in December.</w:t>
            </w:r>
          </w:p>
          <w:p w:rsidR="004C09CF" w:rsidRPr="00BE2EEE" w:rsidRDefault="004C09CF" w:rsidP="004C09CF">
            <w:pPr>
              <w:pStyle w:val="ListParagraph"/>
              <w:numPr>
                <w:ilvl w:val="0"/>
                <w:numId w:val="7"/>
              </w:numPr>
              <w:ind w:left="150" w:hanging="180"/>
              <w:rPr>
                <w:rFonts w:asciiTheme="minorHAnsi" w:hAnsiTheme="minorHAnsi" w:cstheme="minorHAnsi"/>
                <w:sz w:val="20"/>
              </w:rPr>
            </w:pPr>
            <w:r w:rsidRPr="00BE2EEE">
              <w:rPr>
                <w:rFonts w:asciiTheme="minorHAnsi" w:hAnsiTheme="minorHAnsi" w:cstheme="minorHAnsi"/>
                <w:sz w:val="20"/>
              </w:rPr>
              <w:t>The next PEB meeting is scheduled to be on Dec 13</w:t>
            </w:r>
            <w:r w:rsidRPr="00BE2EEE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BE2EEE">
              <w:rPr>
                <w:rFonts w:asciiTheme="minorHAnsi" w:hAnsiTheme="minorHAnsi" w:cstheme="minorHAnsi"/>
                <w:sz w:val="20"/>
              </w:rPr>
              <w:t>.</w:t>
            </w:r>
          </w:p>
          <w:p w:rsidR="004C09CF" w:rsidRPr="00BE2EEE" w:rsidRDefault="004C09CF" w:rsidP="004C09CF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:rsidR="004C09CF" w:rsidRDefault="004C09CF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2E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Closing Workshop of UN-REDD/Viet Nam was attended in Hanoi. Presentations were made on </w:t>
            </w:r>
            <w:r w:rsidR="00BE2EEE" w:rsidRPr="00BE2EEE">
              <w:rPr>
                <w:rFonts w:asciiTheme="minorHAnsi" w:hAnsiTheme="minorHAnsi" w:cstheme="minorHAnsi"/>
                <w:bCs/>
                <w:sz w:val="20"/>
                <w:szCs w:val="20"/>
              </w:rPr>
              <w:t>Programme Achievements and Lessons Learned.  Participants were invited to comment on the programme, including identifying weaknesses and proposals for future work.</w:t>
            </w:r>
            <w:r w:rsidR="00AA7ED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Key achievements: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National REDD Network, REDD+ Office, REDD+ Website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Technical working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groups and six sub-technical working groups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National REDD+ Action Programme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BDS with 17 principles recommendation 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MRV Framework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Study report of ecological stratification for REL development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Communication strategy, communication materials on FPIC, P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CM, BDS...</w:t>
            </w:r>
          </w:p>
          <w:p w:rsidR="00AA7ED3" w:rsidRDefault="00AA7ED3" w:rsidP="00AA7ED3">
            <w:pPr>
              <w:pStyle w:val="Default"/>
              <w:numPr>
                <w:ilvl w:val="0"/>
                <w:numId w:val="8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  <w:szCs w:val="20"/>
              </w:rPr>
              <w:t>Allometric equations.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9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Establishment of REDD+ working group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>; a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wareness raising on REDD+ to stakeholders through FPIC, PCM, BDS/R-factor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 xml:space="preserve">; and </w:t>
            </w:r>
            <w:r w:rsidR="00AA7ED3">
              <w:rPr>
                <w:rFonts w:asciiTheme="minorHAnsi" w:hAnsiTheme="minorHAnsi" w:cstheme="minorHAnsi"/>
                <w:bCs/>
                <w:sz w:val="20"/>
              </w:rPr>
              <w:t>planning for REDD+ at the provincial level.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Organization of regional workshops, dialogues, and trainings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0"/>
              </w:numPr>
              <w:tabs>
                <w:tab w:val="clear" w:pos="720"/>
                <w:tab w:val="num" w:pos="330"/>
              </w:tabs>
              <w:ind w:left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Policy dialogue with ot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her sectors towards </w:t>
            </w:r>
            <w:r w:rsidR="00AA7ED3" w:rsidRPr="00AA7ED3">
              <w:rPr>
                <w:rFonts w:asciiTheme="minorHAnsi" w:hAnsiTheme="minorHAnsi" w:cstheme="minorHAnsi"/>
                <w:bCs/>
                <w:sz w:val="20"/>
              </w:rPr>
              <w:t>a j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oint work plan on REDD+ &amp; FLEGT.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AA7ED3" w:rsidRDefault="00AA7ED3" w:rsidP="00AA7ED3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Lessons learned: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000000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FPIC process facilitates programme planning</w:t>
            </w:r>
          </w:p>
          <w:p w:rsidR="00000000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Awareness raising has often been confusing rather than informative. It should begin as early as possible.</w:t>
            </w:r>
          </w:p>
          <w:p w:rsidR="00000000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FPIC for REDD+ is an ongoing process, rather than a single event</w:t>
            </w:r>
          </w:p>
          <w:p w:rsidR="00000000" w:rsidRPr="00AA7ED3" w:rsidRDefault="00F91FDD" w:rsidP="00AA7ED3">
            <w:pPr>
              <w:pStyle w:val="Default"/>
              <w:numPr>
                <w:ilvl w:val="1"/>
                <w:numId w:val="11"/>
              </w:numPr>
              <w:tabs>
                <w:tab w:val="clear" w:pos="1440"/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FPIC must be adapted to the national and cultural context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Local consultations on BDS must be linked to awareness raising for FPIC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BDS must be adapted to local context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BDS should build o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n existing programmes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2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  <w:lang w:val="en-GB"/>
              </w:rPr>
              <w:t>A poorly-designed BDS risks reinforcing existing inequity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Focus on Participatory Monitoring (PM), rather than Participatory Carbon Monitoring (PCM)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Participatory Monitoring is a key part of awareness raising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3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Participatory Monito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ring </w:t>
            </w:r>
            <w:r w:rsidRPr="00AA7ED3">
              <w:rPr>
                <w:rFonts w:asciiTheme="minorHAnsi" w:hAnsiTheme="minorHAnsi" w:cstheme="minorHAnsi"/>
                <w:bCs/>
                <w:sz w:val="20"/>
                <w:lang w:val="en-GB"/>
              </w:rPr>
              <w:t>can be used to encourage discussions on forest governance between local people, foresters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 and other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government officials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The REDD Network and Sub-Technical Working Groups (STWGs) have been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quite effective and non-government co-chairs have contributed to success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REDD Network should be a forum for all REDD+ initiatives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The REDD Network must be separate from, but linked to, the FSSP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4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STWGs need clear mandates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and objectives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Inconsistenc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>y of forest data undermines confidence in a country’s ability to manage a REDD+ programme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REDD+ is an opportunity to secure finance for improved data generation and management</w:t>
            </w:r>
          </w:p>
          <w:p w:rsidR="00000000" w:rsidRPr="00AA7ED3" w:rsidRDefault="00F91FDD" w:rsidP="00AA7ED3">
            <w:pPr>
              <w:pStyle w:val="Default"/>
              <w:numPr>
                <w:ilvl w:val="0"/>
                <w:numId w:val="15"/>
              </w:numPr>
              <w:tabs>
                <w:tab w:val="num" w:pos="330"/>
              </w:tabs>
              <w:ind w:left="330" w:hanging="330"/>
              <w:rPr>
                <w:rFonts w:asciiTheme="minorHAnsi" w:hAnsiTheme="minorHAnsi" w:cstheme="minorHAnsi"/>
                <w:bCs/>
                <w:sz w:val="20"/>
              </w:rPr>
            </w:pPr>
            <w:r w:rsidRPr="00AA7ED3">
              <w:rPr>
                <w:rFonts w:asciiTheme="minorHAnsi" w:hAnsiTheme="minorHAnsi" w:cstheme="minorHAnsi"/>
                <w:bCs/>
                <w:sz w:val="20"/>
              </w:rPr>
              <w:t>National endorsement of forest certification systems may promote greater trans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t xml:space="preserve">parency and </w:t>
            </w:r>
            <w:r w:rsidRPr="00AA7ED3">
              <w:rPr>
                <w:rFonts w:asciiTheme="minorHAnsi" w:hAnsiTheme="minorHAnsi" w:cstheme="minorHAnsi"/>
                <w:bCs/>
                <w:sz w:val="20"/>
              </w:rPr>
              <w:br/>
              <w:t>quality of the information</w:t>
            </w:r>
          </w:p>
          <w:p w:rsidR="00AA7ED3" w:rsidRDefault="00AA7ED3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Default="00BE2EEE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 conference call was held with Norwegian agencies, the UN-REDD Secretariat and UNDP HQ on the Phase 2 proposal, focusing on short-comings and identifying actions to be taken to allow signature of key documents in November.</w:t>
            </w:r>
          </w:p>
          <w:p w:rsidR="00BE2EEE" w:rsidRDefault="00BE2EEE" w:rsidP="004C09CF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BE2EEE" w:rsidRPr="00BE2EEE" w:rsidRDefault="00BE2EEE" w:rsidP="004C09CF">
            <w:pPr>
              <w:pStyle w:val="Default"/>
              <w:rPr>
                <w:rFonts w:asciiTheme="minorHAnsi" w:hAnsiTheme="minorHAnsi" w:cstheme="minorHAnsi"/>
                <w:sz w:val="4"/>
                <w:szCs w:val="4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Meetings were held with the UNRC and UNDP CD to discuss implementation arrangements for UNDP under Phase 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440"/>
              <w:gridCol w:w="4440"/>
            </w:tblGrid>
            <w:tr w:rsidR="004C09CF" w:rsidRPr="00BE2EEE" w:rsidTr="00BE2EEE">
              <w:trPr>
                <w:trHeight w:val="74"/>
              </w:trPr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  <w:tr w:rsidR="004C09CF" w:rsidRPr="00BE2EEE" w:rsidTr="00BE2EEE">
              <w:trPr>
                <w:trHeight w:val="74"/>
              </w:trPr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4440" w:type="dxa"/>
                </w:tcPr>
                <w:p w:rsidR="004C09CF" w:rsidRPr="00BE2EEE" w:rsidRDefault="004C09CF">
                  <w:pPr>
                    <w:pStyle w:val="Default"/>
                    <w:rPr>
                      <w:rFonts w:asciiTheme="minorHAnsi" w:hAnsiTheme="minorHAnsi" w:cstheme="minorHAnsi"/>
                      <w:sz w:val="4"/>
                      <w:szCs w:val="4"/>
                    </w:rPr>
                  </w:pPr>
                </w:p>
              </w:tc>
            </w:tr>
          </w:tbl>
          <w:p w:rsidR="004C09CF" w:rsidRPr="007C00E7" w:rsidRDefault="004C09CF" w:rsidP="004C09CF">
            <w:pPr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09A4" w:rsidRPr="00A62CBB" w:rsidTr="0017219F">
        <w:trPr>
          <w:trHeight w:val="1862"/>
        </w:trPr>
        <w:tc>
          <w:tcPr>
            <w:tcW w:w="8640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Investigate opportunities to initiate grievance/conflict resolution activities in relation to Oddar Meanchey</w:t>
            </w:r>
          </w:p>
          <w:p w:rsidR="001D6B93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Identify short-term solutions to provide technical advice to UN-REDD/Cambodia</w:t>
            </w:r>
          </w:p>
          <w:p w:rsidR="00502105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Investigate opportunities for integration of UN-REDD, Cam-REDD and FCPF work plans and evaluations</w:t>
            </w:r>
          </w:p>
          <w:p w:rsidR="004F508A" w:rsidRPr="00502105" w:rsidRDefault="00BE2EEE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</w:rPr>
              <w:t>Contribute to further development of UN-REDD Phase 2 documents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BE2EEE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17219F" w:rsidRDefault="00A62CBB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  <w:lang w:val="fr-FR"/>
              </w:rPr>
              <w:t>Tim Clairs, UN-REDD UNDP PTA</w:t>
            </w:r>
          </w:p>
          <w:p w:rsidR="00A62CBB" w:rsidRDefault="00A62CBB" w:rsidP="00BE2EEE">
            <w:p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  <w:p w:rsidR="00A62CBB" w:rsidRPr="00A62CBB" w:rsidRDefault="0017219F" w:rsidP="00BE2EEE">
            <w:pPr>
              <w:tabs>
                <w:tab w:val="left" w:pos="-1440"/>
                <w:tab w:val="left" w:pos="-720"/>
                <w:tab w:val="left" w:pos="386"/>
              </w:tabs>
              <w:suppressAutoHyphens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Cc</w:t>
            </w:r>
          </w:p>
          <w:p w:rsidR="00502105" w:rsidRPr="00502105" w:rsidRDefault="00E875DA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</w:rPr>
              <w:t>Thomas Enters</w:t>
            </w:r>
          </w:p>
          <w:p w:rsidR="00854CBC" w:rsidRPr="0017219F" w:rsidRDefault="0017219F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</w:tabs>
              <w:suppressAutoHyphens/>
              <w:ind w:left="150" w:hanging="150"/>
              <w:rPr>
                <w:rFonts w:asciiTheme="minorHAnsi" w:hAnsiTheme="minorHAnsi" w:cstheme="minorHAnsi"/>
                <w:sz w:val="20"/>
                <w:lang w:val="fr-FR"/>
              </w:rPr>
            </w:pPr>
            <w:r w:rsidRPr="0017219F">
              <w:rPr>
                <w:rFonts w:asciiTheme="minorHAnsi" w:hAnsiTheme="minorHAnsi" w:cstheme="minorHAnsi"/>
                <w:sz w:val="20"/>
              </w:rPr>
              <w:t>Aki Kono</w:t>
            </w:r>
            <w:r w:rsidR="00A62CBB" w:rsidRPr="0017219F">
              <w:rPr>
                <w:rFonts w:asciiTheme="minorHAnsi" w:hAnsiTheme="minorHAnsi" w:cstheme="minorHAnsi"/>
                <w:sz w:val="20"/>
                <w:lang w:val="fr-FR"/>
              </w:rPr>
              <w:t xml:space="preserve">  </w:t>
            </w:r>
          </w:p>
        </w:tc>
      </w:tr>
    </w:tbl>
    <w:p w:rsidR="001D6B93" w:rsidRDefault="001D6B93">
      <w:pPr>
        <w:rPr>
          <w:szCs w:val="40"/>
          <w:lang w:val="fr-FR"/>
        </w:rPr>
      </w:pPr>
    </w:p>
    <w:tbl>
      <w:tblPr>
        <w:tblW w:w="0" w:type="auto"/>
        <w:tblInd w:w="108" w:type="dxa"/>
        <w:tblLook w:val="04A0"/>
      </w:tblPr>
      <w:tblGrid>
        <w:gridCol w:w="2510"/>
        <w:gridCol w:w="2971"/>
        <w:gridCol w:w="2933"/>
      </w:tblGrid>
      <w:tr w:rsidR="001D6B93" w:rsidTr="00341898">
        <w:trPr>
          <w:trHeight w:val="1432"/>
        </w:trPr>
        <w:tc>
          <w:tcPr>
            <w:tcW w:w="2821" w:type="dxa"/>
          </w:tcPr>
          <w:p w:rsidR="001D6B93" w:rsidRPr="00C3082D" w:rsidRDefault="001D6B93" w:rsidP="00341898">
            <w:pPr>
              <w:rPr>
                <w:b/>
                <w:bCs/>
              </w:rPr>
            </w:pPr>
          </w:p>
        </w:tc>
        <w:tc>
          <w:tcPr>
            <w:tcW w:w="3344" w:type="dxa"/>
          </w:tcPr>
          <w:p w:rsidR="001D6B93" w:rsidRPr="000C3505" w:rsidRDefault="001D6B93" w:rsidP="00341898">
            <w:pPr>
              <w:jc w:val="center"/>
              <w:rPr>
                <w:rFonts w:ascii="Myriad Pro" w:hAnsi="Myriad Pro" w:hint="eastAsia"/>
                <w:b/>
                <w:bCs/>
              </w:rPr>
            </w:pPr>
          </w:p>
        </w:tc>
        <w:tc>
          <w:tcPr>
            <w:tcW w:w="3301" w:type="dxa"/>
          </w:tcPr>
          <w:p w:rsidR="001D6B93" w:rsidRPr="00C3082D" w:rsidRDefault="001D6B93" w:rsidP="00341898">
            <w:pPr>
              <w:jc w:val="right"/>
              <w:rPr>
                <w:b/>
                <w:bCs/>
              </w:rPr>
            </w:pPr>
          </w:p>
        </w:tc>
      </w:tr>
    </w:tbl>
    <w:p w:rsidR="001D6B93" w:rsidRDefault="001D6B93" w:rsidP="00BE2EEE">
      <w:pPr>
        <w:rPr>
          <w:rFonts w:ascii="Calibri" w:hAnsi="Calibri"/>
          <w:b/>
          <w:sz w:val="24"/>
          <w:u w:val="single"/>
        </w:rPr>
      </w:pPr>
    </w:p>
    <w:sectPr w:rsidR="001D6B93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DD" w:rsidRDefault="00F91FDD" w:rsidP="005D765E">
      <w:r>
        <w:separator/>
      </w:r>
    </w:p>
  </w:endnote>
  <w:endnote w:type="continuationSeparator" w:id="0">
    <w:p w:rsidR="00F91FDD" w:rsidRDefault="00F91FDD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C09CF" w:rsidRPr="00534110" w:rsidRDefault="00A037A4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="004C09CF"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AA7ED3">
          <w:rPr>
            <w:rFonts w:ascii="Times New Roman" w:hAnsi="Times New Roman"/>
            <w:noProof/>
            <w:sz w:val="20"/>
          </w:rPr>
          <w:t>3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4C09CF" w:rsidRDefault="004C09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DD" w:rsidRDefault="00F91FDD" w:rsidP="005D765E">
      <w:r>
        <w:separator/>
      </w:r>
    </w:p>
  </w:footnote>
  <w:footnote w:type="continuationSeparator" w:id="0">
    <w:p w:rsidR="00F91FDD" w:rsidRDefault="00F91FDD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9C49E7"/>
    <w:multiLevelType w:val="hybridMultilevel"/>
    <w:tmpl w:val="C6761D90"/>
    <w:lvl w:ilvl="0" w:tplc="99A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E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26A5"/>
    <w:multiLevelType w:val="hybridMultilevel"/>
    <w:tmpl w:val="9B44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361C6"/>
    <w:multiLevelType w:val="hybridMultilevel"/>
    <w:tmpl w:val="8676BF0A"/>
    <w:lvl w:ilvl="0" w:tplc="734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2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9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81784"/>
    <w:multiLevelType w:val="hybridMultilevel"/>
    <w:tmpl w:val="9E743220"/>
    <w:lvl w:ilvl="0" w:tplc="8482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E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E7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4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8E32E8D"/>
    <w:multiLevelType w:val="hybridMultilevel"/>
    <w:tmpl w:val="43964EB2"/>
    <w:lvl w:ilvl="0" w:tplc="7E38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3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C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B9E4DF5"/>
    <w:multiLevelType w:val="hybridMultilevel"/>
    <w:tmpl w:val="EAB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8207B7"/>
    <w:multiLevelType w:val="hybridMultilevel"/>
    <w:tmpl w:val="69B24D64"/>
    <w:lvl w:ilvl="0" w:tplc="5F6C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0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25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E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1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76F3535"/>
    <w:multiLevelType w:val="hybridMultilevel"/>
    <w:tmpl w:val="CADCF736"/>
    <w:lvl w:ilvl="0" w:tplc="2BA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0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9818BB"/>
    <w:multiLevelType w:val="hybridMultilevel"/>
    <w:tmpl w:val="E8E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177D6"/>
    <w:multiLevelType w:val="hybridMultilevel"/>
    <w:tmpl w:val="411C63A8"/>
    <w:lvl w:ilvl="0" w:tplc="847A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C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0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4954E00"/>
    <w:multiLevelType w:val="hybridMultilevel"/>
    <w:tmpl w:val="1D662DE2"/>
    <w:lvl w:ilvl="0" w:tplc="7D4A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7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6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2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14"/>
  </w:num>
  <w:num w:numId="12">
    <w:abstractNumId w:val="13"/>
  </w:num>
  <w:num w:numId="13">
    <w:abstractNumId w:val="1"/>
  </w:num>
  <w:num w:numId="14">
    <w:abstractNumId w:val="6"/>
  </w:num>
  <w:num w:numId="1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1898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09CF"/>
    <w:rsid w:val="004C3A46"/>
    <w:rsid w:val="004C6629"/>
    <w:rsid w:val="004C6E4C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A0A6E"/>
    <w:rsid w:val="007A7174"/>
    <w:rsid w:val="007B02C4"/>
    <w:rsid w:val="007B1C56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7A4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A7ED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2EEE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107C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75"/>
    <w:rsid w:val="00F462F7"/>
    <w:rsid w:val="00F5152C"/>
    <w:rsid w:val="00F51900"/>
    <w:rsid w:val="00F527E1"/>
    <w:rsid w:val="00F54D97"/>
    <w:rsid w:val="00F55096"/>
    <w:rsid w:val="00F70822"/>
    <w:rsid w:val="00F725C3"/>
    <w:rsid w:val="00F7447D"/>
    <w:rsid w:val="00F777D5"/>
    <w:rsid w:val="00F858C7"/>
    <w:rsid w:val="00F91FDD"/>
    <w:rsid w:val="00F922CA"/>
    <w:rsid w:val="00F95B0D"/>
    <w:rsid w:val="00F95B6F"/>
    <w:rsid w:val="00FB0B5E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0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8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8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71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3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01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5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5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7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21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imothy.boyle\Documents\UN%20REDD\Countries\Cambodia\Delive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Sheet1!$A$2:$A$10</c:f>
              <c:strCache>
                <c:ptCount val="9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</c:strCache>
            </c:strRef>
          </c:cat>
          <c:val>
            <c:numRef>
              <c:f>Sheet1!$C$2:$C$10</c:f>
              <c:numCache>
                <c:formatCode>#,##0.00</c:formatCode>
                <c:ptCount val="9"/>
                <c:pt idx="0">
                  <c:v>1060</c:v>
                </c:pt>
                <c:pt idx="1">
                  <c:v>15689.5</c:v>
                </c:pt>
                <c:pt idx="2">
                  <c:v>11349.443333333335</c:v>
                </c:pt>
                <c:pt idx="3">
                  <c:v>12029.03</c:v>
                </c:pt>
                <c:pt idx="4">
                  <c:v>2472.7466666666637</c:v>
                </c:pt>
                <c:pt idx="5">
                  <c:v>2019.7233333333324</c:v>
                </c:pt>
                <c:pt idx="6">
                  <c:v>52999</c:v>
                </c:pt>
                <c:pt idx="7">
                  <c:v>58678.566666666651</c:v>
                </c:pt>
                <c:pt idx="8">
                  <c:v>58679.786666666674</c:v>
                </c:pt>
              </c:numCache>
            </c:numRef>
          </c:val>
        </c:ser>
        <c:marker val="1"/>
        <c:axId val="121598336"/>
        <c:axId val="121601024"/>
      </c:lineChart>
      <c:catAx>
        <c:axId val="121598336"/>
        <c:scaling>
          <c:orientation val="minMax"/>
        </c:scaling>
        <c:axPos val="b"/>
        <c:tickLblPos val="nextTo"/>
        <c:crossAx val="121601024"/>
        <c:crosses val="autoZero"/>
        <c:auto val="1"/>
        <c:lblAlgn val="ctr"/>
        <c:lblOffset val="100"/>
      </c:catAx>
      <c:valAx>
        <c:axId val="121601024"/>
        <c:scaling>
          <c:orientation val="minMax"/>
          <c:max val="60000"/>
        </c:scaling>
        <c:axPos val="l"/>
        <c:majorGridlines/>
        <c:numFmt formatCode="#,##0.00" sourceLinked="1"/>
        <c:tickLblPos val="nextTo"/>
        <c:crossAx val="1215983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94373-2A7C-444A-A54B-E4AF3956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timothy.boyle</cp:lastModifiedBy>
  <cp:revision>3</cp:revision>
  <cp:lastPrinted>2005-04-08T22:30:00Z</cp:lastPrinted>
  <dcterms:created xsi:type="dcterms:W3CDTF">2012-10-09T08:10:00Z</dcterms:created>
  <dcterms:modified xsi:type="dcterms:W3CDTF">2012-10-19T07:55:00Z</dcterms:modified>
</cp:coreProperties>
</file>