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5130"/>
        <w:gridCol w:w="270"/>
        <w:gridCol w:w="1839"/>
      </w:tblGrid>
      <w:tr w:rsidR="009A5041" w:rsidRPr="00BC510F" w:rsidTr="0017219F">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5F0BBA">
            <w:pPr>
              <w:jc w:val="center"/>
              <w:rPr>
                <w:rFonts w:ascii="Times New Roman" w:hAnsi="Times New Roman"/>
                <w:bCs/>
                <w:sz w:val="21"/>
                <w:szCs w:val="21"/>
              </w:rPr>
            </w:pPr>
            <w:r w:rsidRPr="00BC510F">
              <w:rPr>
                <w:rFonts w:ascii="Times New Roman" w:hAnsi="Times New Roman"/>
                <w:bCs/>
                <w:sz w:val="21"/>
                <w:szCs w:val="21"/>
              </w:rPr>
              <w:t xml:space="preserve">Date:  </w:t>
            </w:r>
            <w:r w:rsidR="0017219F">
              <w:rPr>
                <w:rFonts w:ascii="Times New Roman" w:hAnsi="Times New Roman"/>
                <w:bCs/>
                <w:sz w:val="21"/>
                <w:szCs w:val="21"/>
              </w:rPr>
              <w:t>2</w:t>
            </w:r>
            <w:r w:rsidR="005F0BBA">
              <w:rPr>
                <w:rFonts w:ascii="Times New Roman" w:hAnsi="Times New Roman"/>
                <w:bCs/>
                <w:sz w:val="21"/>
                <w:szCs w:val="21"/>
              </w:rPr>
              <w:t>9</w:t>
            </w:r>
            <w:r w:rsidR="00D46585">
              <w:rPr>
                <w:rFonts w:ascii="Times New Roman" w:hAnsi="Times New Roman"/>
                <w:bCs/>
                <w:sz w:val="21"/>
                <w:szCs w:val="21"/>
              </w:rPr>
              <w:t xml:space="preserve"> </w:t>
            </w:r>
            <w:r w:rsidR="005F0BBA">
              <w:rPr>
                <w:rFonts w:ascii="Times New Roman" w:hAnsi="Times New Roman"/>
                <w:bCs/>
                <w:sz w:val="21"/>
                <w:szCs w:val="21"/>
              </w:rPr>
              <w:t>March</w:t>
            </w:r>
            <w:r w:rsidR="00D46585">
              <w:rPr>
                <w:rFonts w:ascii="Times New Roman" w:hAnsi="Times New Roman"/>
                <w:bCs/>
                <w:sz w:val="21"/>
                <w:szCs w:val="21"/>
              </w:rPr>
              <w:t xml:space="preserve"> 201</w:t>
            </w:r>
            <w:r w:rsidR="005F0BBA">
              <w:rPr>
                <w:rFonts w:ascii="Times New Roman" w:hAnsi="Times New Roman"/>
                <w:bCs/>
                <w:sz w:val="21"/>
                <w:szCs w:val="21"/>
              </w:rPr>
              <w:t>3</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14:anchorId="31806948" wp14:editId="2653BD02">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7973B6">
            <w:pPr>
              <w:tabs>
                <w:tab w:val="left" w:pos="-1440"/>
                <w:tab w:val="left" w:pos="-720"/>
              </w:tabs>
              <w:suppressAutoHyphens/>
              <w:rPr>
                <w:rFonts w:asciiTheme="minorHAnsi" w:hAnsiTheme="minorHAnsi" w:cstheme="minorHAnsi"/>
                <w:bCs/>
                <w:sz w:val="20"/>
              </w:rPr>
            </w:pPr>
            <w:r w:rsidRPr="0017219F">
              <w:rPr>
                <w:rFonts w:asciiTheme="minorHAnsi" w:hAnsiTheme="minorHAnsi" w:cstheme="minorHAnsi"/>
                <w:bCs/>
                <w:sz w:val="20"/>
              </w:rPr>
              <w:t>BKK-</w:t>
            </w:r>
            <w:r w:rsidR="000F3938">
              <w:rPr>
                <w:rFonts w:asciiTheme="minorHAnsi" w:hAnsiTheme="minorHAnsi" w:cstheme="minorHAnsi"/>
                <w:bCs/>
                <w:sz w:val="20"/>
              </w:rPr>
              <w:t>Phnom Penh</w:t>
            </w:r>
            <w:r w:rsidR="007B1C56">
              <w:rPr>
                <w:rFonts w:asciiTheme="minorHAnsi" w:hAnsiTheme="minorHAnsi" w:cstheme="minorHAnsi"/>
                <w:bCs/>
                <w:sz w:val="20"/>
              </w:rPr>
              <w:t xml:space="preserve">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Default="007973B6"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26-29 March</w:t>
            </w:r>
            <w:r w:rsidR="000F3938">
              <w:rPr>
                <w:rFonts w:ascii="Times New Roman" w:hAnsi="Times New Roman"/>
                <w:sz w:val="21"/>
                <w:szCs w:val="21"/>
              </w:rPr>
              <w:t>.</w:t>
            </w:r>
            <w:r w:rsidR="00991513">
              <w:rPr>
                <w:rFonts w:ascii="Times New Roman" w:hAnsi="Times New Roman"/>
                <w:sz w:val="21"/>
                <w:szCs w:val="21"/>
              </w:rPr>
              <w:t xml:space="preserve"> 201</w:t>
            </w:r>
            <w:r>
              <w:rPr>
                <w:rFonts w:ascii="Times New Roman" w:hAnsi="Times New Roman"/>
                <w:sz w:val="21"/>
                <w:szCs w:val="21"/>
              </w:rPr>
              <w:t>3</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17219F" w:rsidRPr="00170496" w:rsidRDefault="007B1C56" w:rsidP="00F725C3">
            <w:pPr>
              <w:pStyle w:val="ListParagraph"/>
              <w:numPr>
                <w:ilvl w:val="0"/>
                <w:numId w:val="2"/>
              </w:numPr>
              <w:tabs>
                <w:tab w:val="left" w:pos="-1440"/>
                <w:tab w:val="left" w:pos="-720"/>
              </w:tabs>
              <w:suppressAutoHyphens/>
              <w:ind w:left="150" w:hanging="180"/>
              <w:rPr>
                <w:rFonts w:asciiTheme="minorHAnsi" w:hAnsiTheme="minorHAnsi" w:cstheme="minorHAnsi"/>
                <w:bCs/>
                <w:sz w:val="20"/>
              </w:rPr>
            </w:pPr>
            <w:r>
              <w:rPr>
                <w:rFonts w:asciiTheme="minorHAnsi" w:hAnsiTheme="minorHAnsi" w:cstheme="minorHAnsi"/>
                <w:bCs/>
                <w:sz w:val="20"/>
              </w:rPr>
              <w:t xml:space="preserve">CMB: </w:t>
            </w:r>
            <w:r w:rsidR="00D95AA5" w:rsidRPr="00170496">
              <w:rPr>
                <w:rFonts w:asciiTheme="minorHAnsi" w:hAnsiTheme="minorHAnsi" w:cstheme="minorHAnsi"/>
                <w:bCs/>
                <w:sz w:val="20"/>
              </w:rPr>
              <w:t>UNDP</w:t>
            </w:r>
            <w:r w:rsidR="0017219F" w:rsidRPr="00170496">
              <w:rPr>
                <w:rFonts w:asciiTheme="minorHAnsi" w:hAnsiTheme="minorHAnsi" w:cstheme="minorHAnsi"/>
                <w:bCs/>
                <w:sz w:val="20"/>
              </w:rPr>
              <w:t xml:space="preserve"> CO (</w:t>
            </w:r>
            <w:r w:rsidR="007973B6">
              <w:rPr>
                <w:rFonts w:asciiTheme="minorHAnsi" w:hAnsiTheme="minorHAnsi" w:cstheme="minorHAnsi"/>
                <w:bCs/>
                <w:sz w:val="20"/>
              </w:rPr>
              <w:t>Setsuko Yamazaki, Napoleon Navarro</w:t>
            </w:r>
            <w:r w:rsidR="000F3938">
              <w:rPr>
                <w:rFonts w:asciiTheme="minorHAnsi" w:hAnsiTheme="minorHAnsi" w:cstheme="minorHAnsi"/>
                <w:bCs/>
                <w:sz w:val="20"/>
              </w:rPr>
              <w:t>, Sovanny Chhum</w:t>
            </w:r>
            <w:r w:rsidR="00170496" w:rsidRPr="00170496">
              <w:rPr>
                <w:rFonts w:asciiTheme="minorHAnsi" w:hAnsiTheme="minorHAnsi" w:cstheme="minorHAnsi"/>
                <w:bCs/>
                <w:sz w:val="20"/>
              </w:rPr>
              <w:t>)</w:t>
            </w:r>
          </w:p>
          <w:p w:rsidR="00170496" w:rsidRPr="00170496" w:rsidRDefault="007B1C56" w:rsidP="00F725C3">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CMB: </w:t>
            </w:r>
            <w:r w:rsidR="00170496" w:rsidRPr="00170496">
              <w:rPr>
                <w:rFonts w:asciiTheme="minorHAnsi" w:hAnsiTheme="minorHAnsi" w:cstheme="minorHAnsi"/>
                <w:sz w:val="20"/>
              </w:rPr>
              <w:t xml:space="preserve">REDD+ </w:t>
            </w:r>
            <w:r w:rsidR="000F3938">
              <w:rPr>
                <w:rFonts w:asciiTheme="minorHAnsi" w:hAnsiTheme="minorHAnsi" w:cstheme="minorHAnsi"/>
                <w:sz w:val="20"/>
              </w:rPr>
              <w:t>Task Force Secretariat (Chea Sam Ang, Vathana Khun)</w:t>
            </w:r>
          </w:p>
          <w:p w:rsidR="007B1C56" w:rsidRPr="007973B6" w:rsidRDefault="007B1C56" w:rsidP="007973B6">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CMB: </w:t>
            </w:r>
            <w:r w:rsidR="000F3938">
              <w:rPr>
                <w:rFonts w:asciiTheme="minorHAnsi" w:hAnsiTheme="minorHAnsi" w:cstheme="minorHAnsi"/>
                <w:sz w:val="20"/>
              </w:rPr>
              <w:t>Secretariat staff (Kimhy Lun, Heang</w:t>
            </w:r>
            <w:r w:rsidR="00170496" w:rsidRPr="00170496">
              <w:rPr>
                <w:rFonts w:asciiTheme="minorHAnsi" w:hAnsiTheme="minorHAnsi" w:cstheme="minorHAnsi"/>
                <w:sz w:val="20"/>
              </w:rPr>
              <w:t xml:space="preserve"> </w:t>
            </w:r>
            <w:r w:rsidR="000F3938">
              <w:rPr>
                <w:rFonts w:asciiTheme="minorHAnsi" w:hAnsiTheme="minorHAnsi" w:cstheme="minorHAnsi"/>
                <w:sz w:val="20"/>
              </w:rPr>
              <w:t>Thy</w:t>
            </w:r>
            <w:r w:rsidR="007973B6">
              <w:rPr>
                <w:rFonts w:asciiTheme="minorHAnsi" w:hAnsiTheme="minorHAnsi" w:cstheme="minorHAnsi"/>
                <w:sz w:val="20"/>
              </w:rPr>
              <w:t>, Thida Pan</w:t>
            </w:r>
            <w:r w:rsidR="000F3938">
              <w:rPr>
                <w:rFonts w:asciiTheme="minorHAnsi" w:hAnsiTheme="minorHAnsi" w:cstheme="minorHAnsi"/>
                <w:sz w:val="20"/>
              </w:rPr>
              <w:t>)</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7B1C56" w:rsidRDefault="00D95AA5" w:rsidP="007973B6">
            <w:pPr>
              <w:tabs>
                <w:tab w:val="left" w:pos="-1440"/>
                <w:tab w:val="left" w:pos="-720"/>
              </w:tabs>
              <w:suppressAutoHyphens/>
              <w:ind w:left="-30"/>
              <w:jc w:val="both"/>
              <w:rPr>
                <w:rFonts w:asciiTheme="minorHAnsi" w:hAnsiTheme="minorHAnsi" w:cstheme="minorHAnsi"/>
                <w:bCs/>
                <w:sz w:val="20"/>
              </w:rPr>
            </w:pPr>
            <w:r w:rsidRPr="00502105">
              <w:rPr>
                <w:rFonts w:asciiTheme="minorHAnsi" w:hAnsiTheme="minorHAnsi" w:cstheme="minorHAnsi"/>
                <w:bCs/>
                <w:sz w:val="20"/>
              </w:rPr>
              <w:t xml:space="preserve">To </w:t>
            </w:r>
            <w:r w:rsidR="007B1C56">
              <w:rPr>
                <w:rFonts w:asciiTheme="minorHAnsi" w:hAnsiTheme="minorHAnsi" w:cstheme="minorHAnsi"/>
                <w:bCs/>
                <w:sz w:val="20"/>
              </w:rPr>
              <w:t xml:space="preserve">attend </w:t>
            </w:r>
            <w:r w:rsidR="007973B6">
              <w:rPr>
                <w:rFonts w:asciiTheme="minorHAnsi" w:hAnsiTheme="minorHAnsi" w:cstheme="minorHAnsi"/>
                <w:bCs/>
                <w:sz w:val="20"/>
              </w:rPr>
              <w:t>4th</w:t>
            </w:r>
            <w:r w:rsidR="007B1C56">
              <w:rPr>
                <w:rFonts w:asciiTheme="minorHAnsi" w:hAnsiTheme="minorHAnsi" w:cstheme="minorHAnsi"/>
                <w:bCs/>
                <w:sz w:val="20"/>
              </w:rPr>
              <w:t xml:space="preserve"> PEB of the </w:t>
            </w:r>
            <w:r w:rsidR="000F3938">
              <w:rPr>
                <w:rFonts w:asciiTheme="minorHAnsi" w:hAnsiTheme="minorHAnsi" w:cstheme="minorHAnsi"/>
                <w:bCs/>
                <w:sz w:val="20"/>
              </w:rPr>
              <w:t>UN-REDD</w:t>
            </w:r>
            <w:r w:rsidR="007B1C56">
              <w:rPr>
                <w:rFonts w:asciiTheme="minorHAnsi" w:hAnsiTheme="minorHAnsi" w:cstheme="minorHAnsi"/>
                <w:bCs/>
                <w:sz w:val="20"/>
              </w:rPr>
              <w:t>/Cambodia programme and to assist in overcoming barriers to</w:t>
            </w:r>
            <w:r w:rsidR="000F3938">
              <w:rPr>
                <w:rFonts w:asciiTheme="minorHAnsi" w:hAnsiTheme="minorHAnsi" w:cstheme="minorHAnsi"/>
                <w:bCs/>
                <w:sz w:val="20"/>
              </w:rPr>
              <w:t xml:space="preserve"> implementation</w:t>
            </w:r>
            <w:r w:rsidR="0017219F" w:rsidRPr="00502105">
              <w:rPr>
                <w:rFonts w:asciiTheme="minorHAnsi" w:hAnsiTheme="minorHAnsi" w:cstheme="minorHAnsi"/>
                <w:bCs/>
                <w:sz w:val="20"/>
              </w:rPr>
              <w:t xml:space="preserve"> </w:t>
            </w:r>
          </w:p>
          <w:p w:rsidR="007973B6" w:rsidRPr="00502105" w:rsidRDefault="007973B6" w:rsidP="007973B6">
            <w:pPr>
              <w:tabs>
                <w:tab w:val="left" w:pos="-1440"/>
                <w:tab w:val="left" w:pos="-720"/>
              </w:tabs>
              <w:suppressAutoHyphens/>
              <w:ind w:left="-30"/>
              <w:jc w:val="both"/>
              <w:rPr>
                <w:rFonts w:asciiTheme="minorHAnsi" w:hAnsiTheme="minorHAnsi" w:cstheme="minorHAnsi"/>
                <w:bCs/>
                <w:sz w:val="20"/>
              </w:rPr>
            </w:pP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1559EB" w:rsidRDefault="000F3938" w:rsidP="00341898">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Cambodia </w:t>
            </w:r>
            <w:r w:rsidR="00341898">
              <w:rPr>
                <w:rFonts w:asciiTheme="minorHAnsi" w:hAnsiTheme="minorHAnsi" w:cstheme="minorHAnsi"/>
                <w:color w:val="000000" w:themeColor="text1"/>
                <w:sz w:val="20"/>
              </w:rPr>
              <w:t xml:space="preserve">has been implementing its national UN-REDD Programme for </w:t>
            </w:r>
            <w:proofErr w:type="gramStart"/>
            <w:r w:rsidR="00341898">
              <w:rPr>
                <w:rFonts w:asciiTheme="minorHAnsi" w:hAnsiTheme="minorHAnsi" w:cstheme="minorHAnsi"/>
                <w:color w:val="000000" w:themeColor="text1"/>
                <w:sz w:val="20"/>
              </w:rPr>
              <w:t>a</w:t>
            </w:r>
            <w:proofErr w:type="gramEnd"/>
            <w:r w:rsidR="00341898">
              <w:rPr>
                <w:rFonts w:asciiTheme="minorHAnsi" w:hAnsiTheme="minorHAnsi" w:cstheme="minorHAnsi"/>
                <w:color w:val="000000" w:themeColor="text1"/>
                <w:sz w:val="20"/>
              </w:rPr>
              <w:t xml:space="preserve"> </w:t>
            </w:r>
            <w:r w:rsidR="00C562AE">
              <w:rPr>
                <w:rFonts w:asciiTheme="minorHAnsi" w:hAnsiTheme="minorHAnsi" w:cstheme="minorHAnsi"/>
                <w:color w:val="000000" w:themeColor="text1"/>
                <w:sz w:val="20"/>
              </w:rPr>
              <w:t>18 months</w:t>
            </w:r>
            <w:r w:rsidR="00341898">
              <w:rPr>
                <w:rFonts w:asciiTheme="minorHAnsi" w:hAnsiTheme="minorHAnsi" w:cstheme="minorHAnsi"/>
                <w:color w:val="000000" w:themeColor="text1"/>
                <w:sz w:val="20"/>
              </w:rPr>
              <w:t>, but progress has been slow due to the complexity of forest governance in the country, involving three agencies which have mandates for different parts of the forest estate</w:t>
            </w:r>
            <w:r>
              <w:rPr>
                <w:rFonts w:asciiTheme="minorHAnsi" w:hAnsiTheme="minorHAnsi" w:cstheme="minorHAnsi"/>
                <w:color w:val="000000" w:themeColor="text1"/>
                <w:sz w:val="20"/>
              </w:rPr>
              <w:t>.</w:t>
            </w:r>
            <w:r w:rsidR="00341898">
              <w:rPr>
                <w:rFonts w:asciiTheme="minorHAnsi" w:hAnsiTheme="minorHAnsi" w:cstheme="minorHAnsi"/>
                <w:color w:val="000000" w:themeColor="text1"/>
                <w:sz w:val="20"/>
              </w:rPr>
              <w:t xml:space="preserve">  </w:t>
            </w:r>
            <w:r w:rsidR="00AF460B">
              <w:rPr>
                <w:rFonts w:asciiTheme="minorHAnsi" w:hAnsiTheme="minorHAnsi" w:cstheme="minorHAnsi"/>
                <w:color w:val="000000" w:themeColor="text1"/>
                <w:sz w:val="20"/>
              </w:rPr>
              <w:t>The management arrangements being used by the three UN Agencies are not currently harmonized, and this is leading to delays in implementation and a building sense of frustration in the government</w:t>
            </w:r>
            <w:r w:rsidR="00341898">
              <w:rPr>
                <w:rFonts w:asciiTheme="minorHAnsi" w:hAnsiTheme="minorHAnsi" w:cstheme="minorHAnsi"/>
                <w:color w:val="000000" w:themeColor="text1"/>
                <w:sz w:val="20"/>
              </w:rPr>
              <w:t>.</w:t>
            </w:r>
          </w:p>
          <w:p w:rsidR="00341898" w:rsidRPr="0017219F" w:rsidRDefault="00341898" w:rsidP="00341898">
            <w:pPr>
              <w:jc w:val="both"/>
              <w:rPr>
                <w:rFonts w:asciiTheme="minorHAnsi" w:hAnsiTheme="minorHAnsi" w:cstheme="minorHAnsi"/>
                <w:b/>
                <w:color w:val="000000" w:themeColor="text1"/>
                <w:sz w:val="20"/>
              </w:rPr>
            </w:pP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2F23CF" w:rsidRDefault="001559EB" w:rsidP="00E27370">
            <w:pPr>
              <w:jc w:val="both"/>
              <w:rPr>
                <w:rFonts w:asciiTheme="minorHAnsi" w:hAnsiTheme="minorHAnsi" w:cstheme="minorHAnsi"/>
                <w:b/>
                <w:bCs/>
                <w:sz w:val="20"/>
                <w:u w:val="single"/>
              </w:rPr>
            </w:pPr>
            <w:r w:rsidRPr="002F23CF">
              <w:rPr>
                <w:rFonts w:asciiTheme="minorHAnsi" w:hAnsiTheme="minorHAnsi" w:cstheme="minorHAnsi"/>
                <w:b/>
                <w:bCs/>
                <w:sz w:val="20"/>
                <w:u w:val="single"/>
              </w:rPr>
              <w:t>Summary of Mission Activities/ Findings</w:t>
            </w:r>
          </w:p>
          <w:p w:rsidR="004C09CF" w:rsidRPr="002F23CF" w:rsidRDefault="00AF460B" w:rsidP="00AF460B">
            <w:pPr>
              <w:ind w:left="60"/>
              <w:contextualSpacing/>
              <w:rPr>
                <w:rFonts w:asciiTheme="minorHAnsi" w:hAnsiTheme="minorHAnsi" w:cstheme="minorHAnsi"/>
                <w:sz w:val="20"/>
              </w:rPr>
            </w:pPr>
            <w:r w:rsidRPr="002F23CF">
              <w:rPr>
                <w:rFonts w:asciiTheme="minorHAnsi" w:hAnsiTheme="minorHAnsi" w:cstheme="minorHAnsi"/>
                <w:sz w:val="20"/>
              </w:rPr>
              <w:t>On Wednesday morning, regional advisors from FAO, UNDP and UNEP assisted the Secretariat staff in planning for the PEB meeting the following day, including strategizing on issue to be raised and decisions sought.</w:t>
            </w:r>
          </w:p>
          <w:p w:rsidR="001D6B93" w:rsidRPr="002F23CF" w:rsidRDefault="001D6B93" w:rsidP="00E875DA">
            <w:pPr>
              <w:contextualSpacing/>
              <w:rPr>
                <w:rFonts w:asciiTheme="minorHAnsi" w:hAnsiTheme="minorHAnsi" w:cstheme="minorHAnsi"/>
                <w:sz w:val="20"/>
              </w:rPr>
            </w:pPr>
          </w:p>
          <w:p w:rsidR="002F23CF" w:rsidRPr="002F23CF" w:rsidRDefault="00AF460B" w:rsidP="002F23CF">
            <w:pPr>
              <w:pStyle w:val="Default"/>
              <w:jc w:val="both"/>
              <w:rPr>
                <w:rFonts w:asciiTheme="minorHAnsi" w:hAnsiTheme="minorHAnsi" w:cstheme="minorHAnsi"/>
                <w:sz w:val="20"/>
                <w:szCs w:val="20"/>
              </w:rPr>
            </w:pPr>
            <w:r w:rsidRPr="002F23CF">
              <w:rPr>
                <w:rFonts w:asciiTheme="minorHAnsi" w:hAnsiTheme="minorHAnsi" w:cstheme="minorHAnsi"/>
                <w:sz w:val="20"/>
                <w:szCs w:val="20"/>
              </w:rPr>
              <w:t>On Wednesday afternoon, the three regional advisors met first with the UNDP CO and subsequently with the FAO CO to discuss how harmonization can be improved</w:t>
            </w:r>
            <w:r w:rsidR="004C09CF" w:rsidRPr="002F23CF">
              <w:rPr>
                <w:rFonts w:asciiTheme="minorHAnsi" w:hAnsiTheme="minorHAnsi" w:cstheme="minorHAnsi"/>
                <w:sz w:val="20"/>
                <w:szCs w:val="20"/>
              </w:rPr>
              <w:t>.</w:t>
            </w:r>
            <w:r w:rsidR="002F23CF" w:rsidRPr="002F23CF">
              <w:rPr>
                <w:rFonts w:asciiTheme="minorHAnsi" w:hAnsiTheme="minorHAnsi" w:cstheme="minorHAnsi"/>
                <w:sz w:val="20"/>
                <w:szCs w:val="20"/>
              </w:rPr>
              <w:t xml:space="preserve">  </w:t>
            </w:r>
            <w:r w:rsidR="002F23CF" w:rsidRPr="002F23CF">
              <w:rPr>
                <w:rFonts w:asciiTheme="minorHAnsi" w:hAnsiTheme="minorHAnsi" w:cstheme="minorHAnsi"/>
                <w:sz w:val="20"/>
                <w:szCs w:val="20"/>
              </w:rPr>
              <w:t>The following issues were discussed:</w:t>
            </w:r>
          </w:p>
          <w:p w:rsidR="002F23CF" w:rsidRPr="002F23CF" w:rsidRDefault="002F23CF" w:rsidP="002F23CF">
            <w:pPr>
              <w:pStyle w:val="Default"/>
              <w:jc w:val="both"/>
              <w:rPr>
                <w:rFonts w:asciiTheme="minorHAnsi" w:hAnsiTheme="minorHAnsi" w:cstheme="minorHAnsi"/>
                <w:sz w:val="20"/>
                <w:szCs w:val="20"/>
              </w:rPr>
            </w:pPr>
          </w:p>
          <w:p w:rsidR="002F23CF" w:rsidRPr="002F23CF" w:rsidRDefault="002F23CF" w:rsidP="002F23CF">
            <w:pPr>
              <w:pStyle w:val="Default"/>
              <w:numPr>
                <w:ilvl w:val="0"/>
                <w:numId w:val="16"/>
              </w:numPr>
              <w:jc w:val="both"/>
              <w:rPr>
                <w:rFonts w:asciiTheme="minorHAnsi" w:hAnsiTheme="minorHAnsi" w:cstheme="minorHAnsi"/>
                <w:sz w:val="20"/>
                <w:szCs w:val="20"/>
              </w:rPr>
            </w:pPr>
            <w:r w:rsidRPr="002F23CF">
              <w:rPr>
                <w:rFonts w:asciiTheme="minorHAnsi" w:hAnsiTheme="minorHAnsi" w:cstheme="minorHAnsi"/>
                <w:sz w:val="20"/>
                <w:szCs w:val="20"/>
              </w:rPr>
              <w:t>Procurement, including recruitment</w:t>
            </w:r>
          </w:p>
          <w:p w:rsidR="002F23CF" w:rsidRPr="002F23CF" w:rsidRDefault="002F23CF" w:rsidP="002F23CF">
            <w:pPr>
              <w:pStyle w:val="Default"/>
              <w:numPr>
                <w:ilvl w:val="0"/>
                <w:numId w:val="16"/>
              </w:numPr>
              <w:jc w:val="both"/>
              <w:rPr>
                <w:rFonts w:asciiTheme="minorHAnsi" w:hAnsiTheme="minorHAnsi" w:cstheme="minorHAnsi"/>
                <w:sz w:val="20"/>
                <w:szCs w:val="20"/>
              </w:rPr>
            </w:pPr>
            <w:r w:rsidRPr="002F23CF">
              <w:rPr>
                <w:rFonts w:asciiTheme="minorHAnsi" w:hAnsiTheme="minorHAnsi" w:cstheme="minorHAnsi"/>
                <w:sz w:val="20"/>
                <w:szCs w:val="20"/>
              </w:rPr>
              <w:t>Financial management</w:t>
            </w:r>
          </w:p>
          <w:p w:rsidR="002F23CF" w:rsidRPr="002F23CF" w:rsidRDefault="002F23CF" w:rsidP="002F23CF">
            <w:pPr>
              <w:pStyle w:val="Default"/>
              <w:numPr>
                <w:ilvl w:val="0"/>
                <w:numId w:val="16"/>
              </w:numPr>
              <w:jc w:val="both"/>
              <w:rPr>
                <w:rFonts w:asciiTheme="minorHAnsi" w:hAnsiTheme="minorHAnsi" w:cstheme="minorHAnsi"/>
                <w:sz w:val="20"/>
                <w:szCs w:val="20"/>
              </w:rPr>
            </w:pPr>
            <w:r w:rsidRPr="002F23CF">
              <w:rPr>
                <w:rFonts w:asciiTheme="minorHAnsi" w:hAnsiTheme="minorHAnsi" w:cstheme="minorHAnsi"/>
                <w:sz w:val="20"/>
                <w:szCs w:val="20"/>
              </w:rPr>
              <w:t>DSA payments to government and non-governmental participants in UN-REDD events</w:t>
            </w:r>
          </w:p>
          <w:p w:rsidR="002F23CF" w:rsidRPr="002F23CF" w:rsidRDefault="002F23CF" w:rsidP="002F23CF">
            <w:pPr>
              <w:pStyle w:val="Default"/>
              <w:numPr>
                <w:ilvl w:val="0"/>
                <w:numId w:val="16"/>
              </w:numPr>
              <w:jc w:val="both"/>
              <w:rPr>
                <w:rFonts w:asciiTheme="minorHAnsi" w:hAnsiTheme="minorHAnsi" w:cstheme="minorHAnsi"/>
                <w:sz w:val="20"/>
                <w:szCs w:val="20"/>
              </w:rPr>
            </w:pPr>
            <w:r w:rsidRPr="002F23CF">
              <w:rPr>
                <w:rFonts w:asciiTheme="minorHAnsi" w:hAnsiTheme="minorHAnsi" w:cstheme="minorHAnsi"/>
                <w:sz w:val="20"/>
                <w:szCs w:val="20"/>
              </w:rPr>
              <w:t>Other issues (reporting)</w:t>
            </w:r>
          </w:p>
          <w:p w:rsidR="007C00E7" w:rsidRPr="002F23CF" w:rsidRDefault="007C00E7" w:rsidP="004C09CF">
            <w:pPr>
              <w:rPr>
                <w:rFonts w:asciiTheme="minorHAnsi" w:hAnsiTheme="minorHAnsi" w:cstheme="minorHAnsi"/>
                <w:sz w:val="20"/>
              </w:rPr>
            </w:pPr>
          </w:p>
          <w:p w:rsidR="002F23CF" w:rsidRPr="002F23CF" w:rsidRDefault="002F23CF" w:rsidP="004C09CF">
            <w:pPr>
              <w:rPr>
                <w:rFonts w:asciiTheme="minorHAnsi" w:hAnsiTheme="minorHAnsi" w:cstheme="minorHAnsi"/>
                <w:sz w:val="20"/>
              </w:rPr>
            </w:pPr>
            <w:r w:rsidRPr="002F23CF">
              <w:rPr>
                <w:rFonts w:asciiTheme="minorHAnsi" w:hAnsiTheme="minorHAnsi" w:cstheme="minorHAnsi"/>
                <w:sz w:val="20"/>
              </w:rPr>
              <w:t>A summary of the discussions and proposals for improvement is being prepared.</w:t>
            </w:r>
          </w:p>
          <w:p w:rsidR="004C09CF" w:rsidRPr="002F23CF" w:rsidRDefault="004C09CF" w:rsidP="004C09CF">
            <w:pPr>
              <w:rPr>
                <w:rFonts w:asciiTheme="minorHAnsi" w:hAnsiTheme="minorHAnsi" w:cstheme="minorHAnsi"/>
                <w:sz w:val="20"/>
              </w:rPr>
            </w:pPr>
          </w:p>
          <w:p w:rsidR="004C09CF" w:rsidRPr="002F23CF" w:rsidRDefault="004C09CF" w:rsidP="004C09CF">
            <w:pPr>
              <w:rPr>
                <w:rFonts w:asciiTheme="minorHAnsi" w:hAnsiTheme="minorHAnsi" w:cstheme="minorHAnsi"/>
                <w:sz w:val="20"/>
              </w:rPr>
            </w:pPr>
            <w:r w:rsidRPr="002F23CF">
              <w:rPr>
                <w:rFonts w:asciiTheme="minorHAnsi" w:hAnsiTheme="minorHAnsi" w:cstheme="minorHAnsi"/>
                <w:sz w:val="20"/>
              </w:rPr>
              <w:t xml:space="preserve">The </w:t>
            </w:r>
            <w:r w:rsidR="00951C2B" w:rsidRPr="002F23CF">
              <w:rPr>
                <w:rFonts w:asciiTheme="minorHAnsi" w:hAnsiTheme="minorHAnsi" w:cstheme="minorHAnsi"/>
                <w:sz w:val="20"/>
              </w:rPr>
              <w:t>4</w:t>
            </w:r>
            <w:r w:rsidR="00951C2B" w:rsidRPr="002F23CF">
              <w:rPr>
                <w:rFonts w:asciiTheme="minorHAnsi" w:hAnsiTheme="minorHAnsi" w:cstheme="minorHAnsi"/>
                <w:sz w:val="20"/>
                <w:vertAlign w:val="superscript"/>
              </w:rPr>
              <w:t>th</w:t>
            </w:r>
            <w:r w:rsidR="00951C2B" w:rsidRPr="002F23CF">
              <w:rPr>
                <w:rFonts w:asciiTheme="minorHAnsi" w:hAnsiTheme="minorHAnsi" w:cstheme="minorHAnsi"/>
                <w:sz w:val="20"/>
              </w:rPr>
              <w:t xml:space="preserve"> </w:t>
            </w:r>
            <w:r w:rsidRPr="002F23CF">
              <w:rPr>
                <w:rFonts w:asciiTheme="minorHAnsi" w:hAnsiTheme="minorHAnsi" w:cstheme="minorHAnsi"/>
                <w:sz w:val="20"/>
              </w:rPr>
              <w:t xml:space="preserve">PEB was attended.  Key </w:t>
            </w:r>
            <w:r w:rsidR="002F23CF">
              <w:rPr>
                <w:rFonts w:asciiTheme="minorHAnsi" w:hAnsiTheme="minorHAnsi" w:cstheme="minorHAnsi"/>
                <w:sz w:val="20"/>
              </w:rPr>
              <w:t>decision</w:t>
            </w:r>
            <w:r w:rsidRPr="002F23CF">
              <w:rPr>
                <w:rFonts w:asciiTheme="minorHAnsi" w:hAnsiTheme="minorHAnsi" w:cstheme="minorHAnsi"/>
                <w:sz w:val="20"/>
              </w:rPr>
              <w:t>s:</w:t>
            </w:r>
          </w:p>
          <w:p w:rsidR="002F23CF" w:rsidRPr="002F23CF" w:rsidRDefault="002F23CF" w:rsidP="002F23CF">
            <w:pPr>
              <w:pStyle w:val="ListParagraph"/>
              <w:numPr>
                <w:ilvl w:val="0"/>
                <w:numId w:val="17"/>
              </w:numPr>
              <w:spacing w:after="160" w:line="259" w:lineRule="auto"/>
              <w:ind w:left="150" w:hanging="180"/>
              <w:contextualSpacing/>
              <w:jc w:val="both"/>
              <w:rPr>
                <w:rFonts w:asciiTheme="minorHAnsi" w:hAnsiTheme="minorHAnsi" w:cstheme="minorHAnsi"/>
                <w:sz w:val="20"/>
              </w:rPr>
            </w:pPr>
            <w:r w:rsidRPr="002F23CF">
              <w:rPr>
                <w:rFonts w:asciiTheme="minorHAnsi" w:hAnsiTheme="minorHAnsi" w:cstheme="minorHAnsi"/>
                <w:i/>
                <w:sz w:val="20"/>
              </w:rPr>
              <w:t>The PEB decided</w:t>
            </w:r>
            <w:r w:rsidRPr="002F23CF">
              <w:rPr>
                <w:rFonts w:asciiTheme="minorHAnsi" w:hAnsiTheme="minorHAnsi" w:cstheme="minorHAnsi"/>
                <w:sz w:val="20"/>
              </w:rPr>
              <w:t xml:space="preserve"> that the 5</w:t>
            </w:r>
            <w:r w:rsidRPr="002F23CF">
              <w:rPr>
                <w:rFonts w:asciiTheme="minorHAnsi" w:hAnsiTheme="minorHAnsi" w:cstheme="minorHAnsi"/>
                <w:sz w:val="20"/>
                <w:vertAlign w:val="superscript"/>
              </w:rPr>
              <w:t>th</w:t>
            </w:r>
            <w:r w:rsidRPr="002F23CF">
              <w:rPr>
                <w:rFonts w:asciiTheme="minorHAnsi" w:hAnsiTheme="minorHAnsi" w:cstheme="minorHAnsi"/>
                <w:sz w:val="20"/>
              </w:rPr>
              <w:t xml:space="preserve"> PEB meeting will be held on the 08 August 2013.</w:t>
            </w:r>
          </w:p>
          <w:p w:rsidR="002F23CF" w:rsidRPr="002F23CF" w:rsidRDefault="002F23CF" w:rsidP="002F23CF">
            <w:pPr>
              <w:pStyle w:val="ListParagraph"/>
              <w:numPr>
                <w:ilvl w:val="0"/>
                <w:numId w:val="17"/>
              </w:numPr>
              <w:spacing w:before="120" w:after="120"/>
              <w:ind w:left="150" w:hanging="180"/>
              <w:contextualSpacing/>
              <w:rPr>
                <w:rFonts w:asciiTheme="minorHAnsi" w:hAnsiTheme="minorHAnsi" w:cstheme="minorHAnsi"/>
                <w:bCs/>
                <w:sz w:val="20"/>
              </w:rPr>
            </w:pPr>
            <w:r w:rsidRPr="002F23CF">
              <w:rPr>
                <w:rFonts w:asciiTheme="minorHAnsi" w:hAnsiTheme="minorHAnsi" w:cstheme="minorHAnsi"/>
                <w:i/>
                <w:sz w:val="20"/>
              </w:rPr>
              <w:t>The PEB requested</w:t>
            </w:r>
            <w:r w:rsidRPr="002F23CF">
              <w:rPr>
                <w:rFonts w:asciiTheme="minorHAnsi" w:hAnsiTheme="minorHAnsi" w:cstheme="minorHAnsi"/>
                <w:sz w:val="20"/>
              </w:rPr>
              <w:t xml:space="preserve"> that videos for use in awareness </w:t>
            </w:r>
            <w:proofErr w:type="gramStart"/>
            <w:r w:rsidRPr="002F23CF">
              <w:rPr>
                <w:rFonts w:asciiTheme="minorHAnsi" w:hAnsiTheme="minorHAnsi" w:cstheme="minorHAnsi"/>
                <w:sz w:val="20"/>
              </w:rPr>
              <w:t>raising</w:t>
            </w:r>
            <w:proofErr w:type="gramEnd"/>
            <w:r w:rsidRPr="002F23CF">
              <w:rPr>
                <w:rFonts w:asciiTheme="minorHAnsi" w:hAnsiTheme="minorHAnsi" w:cstheme="minorHAnsi"/>
                <w:sz w:val="20"/>
              </w:rPr>
              <w:t xml:space="preserve"> on REDD+ should include the uses of forests and the alternative uses; and the causes deforestation and forest degradation.</w:t>
            </w:r>
          </w:p>
          <w:p w:rsidR="002F23CF" w:rsidRPr="002F23CF" w:rsidRDefault="002F23CF" w:rsidP="002F23CF">
            <w:pPr>
              <w:pStyle w:val="ListParagraph"/>
              <w:numPr>
                <w:ilvl w:val="0"/>
                <w:numId w:val="17"/>
              </w:numPr>
              <w:spacing w:before="120" w:after="120"/>
              <w:ind w:left="150" w:hanging="180"/>
              <w:contextualSpacing/>
              <w:rPr>
                <w:rFonts w:asciiTheme="minorHAnsi" w:hAnsiTheme="minorHAnsi" w:cstheme="minorHAnsi"/>
                <w:bCs/>
                <w:sz w:val="20"/>
              </w:rPr>
            </w:pPr>
            <w:r w:rsidRPr="002F23CF">
              <w:rPr>
                <w:rFonts w:asciiTheme="minorHAnsi" w:hAnsiTheme="minorHAnsi" w:cstheme="minorHAnsi"/>
                <w:bCs/>
                <w:i/>
                <w:sz w:val="20"/>
              </w:rPr>
              <w:t>The PEB requested the RTS</w:t>
            </w:r>
            <w:r w:rsidRPr="002F23CF">
              <w:rPr>
                <w:rFonts w:asciiTheme="minorHAnsi" w:hAnsiTheme="minorHAnsi" w:cstheme="minorHAnsi"/>
                <w:bCs/>
                <w:sz w:val="20"/>
              </w:rPr>
              <w:t xml:space="preserve"> to review progress against indicators specified in the monitoring framework.</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The PEB decided</w:t>
            </w:r>
            <w:r w:rsidRPr="002F23CF">
              <w:rPr>
                <w:rFonts w:asciiTheme="minorHAnsi" w:hAnsiTheme="minorHAnsi" w:cstheme="minorHAnsi"/>
                <w:sz w:val="20"/>
              </w:rPr>
              <w:t xml:space="preserve"> that there shall be a mid-term review and assessment against the results-framework.</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The PEB requested the NPD</w:t>
            </w:r>
            <w:r w:rsidRPr="002F23CF">
              <w:rPr>
                <w:rFonts w:asciiTheme="minorHAnsi" w:hAnsiTheme="minorHAnsi" w:cstheme="minorHAnsi"/>
                <w:sz w:val="20"/>
              </w:rPr>
              <w:t xml:space="preserve"> to ensure that REDD+ taskforce consider whether they would agree that UN-REDD lead the development of a national REDD+ communication strategy.  </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 xml:space="preserve">The PEB requested the RTS </w:t>
            </w:r>
            <w:r w:rsidRPr="002F23CF">
              <w:rPr>
                <w:rFonts w:asciiTheme="minorHAnsi" w:hAnsiTheme="minorHAnsi" w:cstheme="minorHAnsi"/>
                <w:sz w:val="20"/>
              </w:rPr>
              <w:t>to consult with other partners on the feasibility a common national communication strategy, while awaiting a decision from the National REDD+ Task Force.</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 xml:space="preserve">The PEB requested the RTS </w:t>
            </w:r>
            <w:r w:rsidRPr="002F23CF">
              <w:rPr>
                <w:rFonts w:asciiTheme="minorHAnsi" w:hAnsiTheme="minorHAnsi" w:cstheme="minorHAnsi"/>
                <w:sz w:val="20"/>
              </w:rPr>
              <w:t>to consider where the website should be hosted in order to ensure sustainability after the completion of the UN-REDD Programme.</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The PEB requested</w:t>
            </w:r>
            <w:r w:rsidRPr="002F23CF">
              <w:rPr>
                <w:rFonts w:asciiTheme="minorHAnsi" w:hAnsiTheme="minorHAnsi" w:cstheme="minorHAnsi"/>
                <w:sz w:val="20"/>
              </w:rPr>
              <w:t xml:space="preserve"> that the Cambodia REDD+ web-site should be operational by the end of April, 2013.</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The PEB decided</w:t>
            </w:r>
            <w:r w:rsidRPr="002F23CF">
              <w:rPr>
                <w:rFonts w:asciiTheme="minorHAnsi" w:hAnsiTheme="minorHAnsi" w:cstheme="minorHAnsi"/>
                <w:sz w:val="20"/>
              </w:rPr>
              <w:t xml:space="preserve"> to allow PEB members an additional three weeks to send comments on the SOP to the RTS.  </w:t>
            </w:r>
            <w:r w:rsidRPr="002F23CF">
              <w:rPr>
                <w:rFonts w:asciiTheme="minorHAnsi" w:hAnsiTheme="minorHAnsi" w:cstheme="minorHAnsi"/>
                <w:i/>
                <w:sz w:val="20"/>
              </w:rPr>
              <w:t xml:space="preserve">The PEB also requested the RTS </w:t>
            </w:r>
            <w:r w:rsidRPr="002F23CF">
              <w:rPr>
                <w:rFonts w:asciiTheme="minorHAnsi" w:hAnsiTheme="minorHAnsi" w:cstheme="minorHAnsi"/>
                <w:sz w:val="20"/>
              </w:rPr>
              <w:t>to compile all comments, make any amendments to the SOP indicated by those comments, and to circulate a compilation of all comments and the revised SOP to PEB members for a one-week, no-objection approval.</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The PEB requested the RTS</w:t>
            </w:r>
            <w:r w:rsidRPr="002F23CF">
              <w:rPr>
                <w:rFonts w:asciiTheme="minorHAnsi" w:hAnsiTheme="minorHAnsi" w:cstheme="minorHAnsi"/>
                <w:sz w:val="20"/>
              </w:rPr>
              <w:t xml:space="preserve"> to maintain a record of compliance with the SOP and to present a report on compliance to the 5</w:t>
            </w:r>
            <w:r w:rsidRPr="002F23CF">
              <w:rPr>
                <w:rFonts w:asciiTheme="minorHAnsi" w:hAnsiTheme="minorHAnsi" w:cstheme="minorHAnsi"/>
                <w:sz w:val="20"/>
                <w:vertAlign w:val="superscript"/>
              </w:rPr>
              <w:t>th</w:t>
            </w:r>
            <w:r w:rsidRPr="002F23CF">
              <w:rPr>
                <w:rFonts w:asciiTheme="minorHAnsi" w:hAnsiTheme="minorHAnsi" w:cstheme="minorHAnsi"/>
                <w:sz w:val="20"/>
              </w:rPr>
              <w:t xml:space="preserve"> PEB meeting.</w:t>
            </w:r>
          </w:p>
          <w:p w:rsidR="002F23CF" w:rsidRPr="002F23CF" w:rsidRDefault="002F23CF" w:rsidP="002F23CF">
            <w:pPr>
              <w:pStyle w:val="ListParagraph"/>
              <w:numPr>
                <w:ilvl w:val="0"/>
                <w:numId w:val="17"/>
              </w:numPr>
              <w:spacing w:after="160" w:line="259" w:lineRule="auto"/>
              <w:ind w:left="150" w:hanging="180"/>
              <w:contextualSpacing/>
              <w:rPr>
                <w:rFonts w:asciiTheme="minorHAnsi" w:hAnsiTheme="minorHAnsi" w:cstheme="minorHAnsi"/>
                <w:sz w:val="20"/>
              </w:rPr>
            </w:pPr>
            <w:r w:rsidRPr="002F23CF">
              <w:rPr>
                <w:rFonts w:asciiTheme="minorHAnsi" w:hAnsiTheme="minorHAnsi" w:cstheme="minorHAnsi"/>
                <w:i/>
                <w:sz w:val="20"/>
              </w:rPr>
              <w:t>The PEB requested the RTS</w:t>
            </w:r>
            <w:r w:rsidRPr="002F23CF">
              <w:rPr>
                <w:rFonts w:asciiTheme="minorHAnsi" w:hAnsiTheme="minorHAnsi" w:cstheme="minorHAnsi"/>
                <w:sz w:val="20"/>
              </w:rPr>
              <w:t xml:space="preserve"> to once again consider prioritization of activities and to consider dropping activities for which there is inadequate funding; and to report again to the next meeting of the PEB.</w:t>
            </w:r>
          </w:p>
          <w:p w:rsidR="004C09CF" w:rsidRPr="005F0BBA" w:rsidRDefault="002F23CF" w:rsidP="002F23CF">
            <w:pPr>
              <w:pStyle w:val="ListParagraph"/>
              <w:numPr>
                <w:ilvl w:val="0"/>
                <w:numId w:val="17"/>
              </w:numPr>
              <w:ind w:left="150" w:hanging="180"/>
              <w:rPr>
                <w:rFonts w:asciiTheme="minorHAnsi" w:hAnsiTheme="minorHAnsi" w:cstheme="minorHAnsi"/>
                <w:b/>
                <w:bCs/>
                <w:sz w:val="20"/>
              </w:rPr>
            </w:pPr>
            <w:r w:rsidRPr="002F23CF">
              <w:rPr>
                <w:rFonts w:asciiTheme="minorHAnsi" w:hAnsiTheme="minorHAnsi" w:cstheme="minorHAnsi"/>
                <w:i/>
                <w:sz w:val="20"/>
              </w:rPr>
              <w:t xml:space="preserve">The IPs Representative suggested </w:t>
            </w:r>
            <w:r w:rsidRPr="002F23CF">
              <w:rPr>
                <w:rFonts w:asciiTheme="minorHAnsi" w:hAnsiTheme="minorHAnsi" w:cstheme="minorHAnsi"/>
                <w:sz w:val="20"/>
              </w:rPr>
              <w:t xml:space="preserve">that the REDD+ SES safeguard system be used in </w:t>
            </w:r>
            <w:proofErr w:type="gramStart"/>
            <w:r w:rsidRPr="002F23CF">
              <w:rPr>
                <w:rFonts w:asciiTheme="minorHAnsi" w:hAnsiTheme="minorHAnsi" w:cstheme="minorHAnsi"/>
                <w:sz w:val="20"/>
              </w:rPr>
              <w:t>Cambodia, that</w:t>
            </w:r>
            <w:proofErr w:type="gramEnd"/>
            <w:r w:rsidRPr="002F23CF">
              <w:rPr>
                <w:rFonts w:asciiTheme="minorHAnsi" w:hAnsiTheme="minorHAnsi" w:cstheme="minorHAnsi"/>
                <w:sz w:val="20"/>
              </w:rPr>
              <w:t xml:space="preserve"> REDD+ in Cambodia recognize IP rights, involvement, and different types of IP land, and also asked for capacity building for local communities.</w:t>
            </w:r>
          </w:p>
          <w:p w:rsidR="005F0BBA" w:rsidRDefault="005F0BBA" w:rsidP="005F0BBA">
            <w:pPr>
              <w:rPr>
                <w:rFonts w:asciiTheme="minorHAnsi" w:hAnsiTheme="minorHAnsi" w:cstheme="minorHAnsi"/>
                <w:b/>
                <w:bCs/>
                <w:sz w:val="20"/>
              </w:rPr>
            </w:pPr>
          </w:p>
          <w:p w:rsidR="005F0BBA" w:rsidRPr="005F0BBA" w:rsidRDefault="005F0BBA" w:rsidP="005F0BBA">
            <w:pPr>
              <w:rPr>
                <w:rFonts w:asciiTheme="minorHAnsi" w:hAnsiTheme="minorHAnsi" w:cstheme="minorHAnsi"/>
                <w:bCs/>
                <w:sz w:val="20"/>
              </w:rPr>
            </w:pPr>
            <w:r w:rsidRPr="005F0BBA">
              <w:rPr>
                <w:rFonts w:asciiTheme="minorHAnsi" w:hAnsiTheme="minorHAnsi" w:cstheme="minorHAnsi"/>
                <w:bCs/>
                <w:sz w:val="20"/>
              </w:rPr>
              <w:t>On Friday, 29</w:t>
            </w:r>
            <w:r w:rsidRPr="005F0BBA">
              <w:rPr>
                <w:rFonts w:asciiTheme="minorHAnsi" w:hAnsiTheme="minorHAnsi" w:cstheme="minorHAnsi"/>
                <w:bCs/>
                <w:sz w:val="20"/>
                <w:vertAlign w:val="superscript"/>
              </w:rPr>
              <w:t>th</w:t>
            </w:r>
            <w:r w:rsidRPr="005F0BBA">
              <w:rPr>
                <w:rFonts w:asciiTheme="minorHAnsi" w:hAnsiTheme="minorHAnsi" w:cstheme="minorHAnsi"/>
                <w:bCs/>
                <w:sz w:val="20"/>
              </w:rPr>
              <w:t xml:space="preserve"> March, meetings were held within FA on the R-PP Results Framework.  </w:t>
            </w:r>
            <w:r>
              <w:rPr>
                <w:rFonts w:asciiTheme="minorHAnsi" w:hAnsiTheme="minorHAnsi" w:cstheme="minorHAnsi"/>
                <w:bCs/>
                <w:sz w:val="20"/>
              </w:rPr>
              <w:t xml:space="preserve">Discussion focused on a draft framework produced before the meeting; the UN-REDD RTA was asked to take account of the discussions in preparing a </w:t>
            </w:r>
            <w:r>
              <w:rPr>
                <w:rFonts w:asciiTheme="minorHAnsi" w:hAnsiTheme="minorHAnsi" w:cstheme="minorHAnsi"/>
                <w:bCs/>
                <w:sz w:val="20"/>
              </w:rPr>
              <w:lastRenderedPageBreak/>
              <w:t>revised framework for further consultation.</w:t>
            </w:r>
            <w:bookmarkStart w:id="0" w:name="_GoBack"/>
            <w:bookmarkEnd w:id="0"/>
          </w:p>
        </w:tc>
      </w:tr>
      <w:tr w:rsidR="00CC09A4" w:rsidRPr="00A62CBB" w:rsidTr="0017219F">
        <w:trPr>
          <w:trHeight w:val="1862"/>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502105" w:rsidRDefault="005F0BBA"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Summarize proposals for improved implementation arrangements and hold further discussions to secure agreement on measures to be adopted</w:t>
            </w:r>
          </w:p>
          <w:p w:rsidR="001D6B93" w:rsidRPr="00502105" w:rsidRDefault="005F0BBA"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 xml:space="preserve">Ensure work planning proceeds according to schedule in future, in particular that </w:t>
            </w:r>
            <w:proofErr w:type="spellStart"/>
            <w:r>
              <w:rPr>
                <w:rFonts w:asciiTheme="minorHAnsi" w:hAnsiTheme="minorHAnsi" w:cstheme="minorHAnsi"/>
                <w:sz w:val="20"/>
              </w:rPr>
              <w:t>ToR</w:t>
            </w:r>
            <w:proofErr w:type="spellEnd"/>
            <w:r>
              <w:rPr>
                <w:rFonts w:asciiTheme="minorHAnsi" w:hAnsiTheme="minorHAnsi" w:cstheme="minorHAnsi"/>
                <w:sz w:val="20"/>
              </w:rPr>
              <w:t xml:space="preserve"> are attached to QWPs</w:t>
            </w:r>
          </w:p>
          <w:p w:rsidR="00502105" w:rsidRPr="00502105" w:rsidRDefault="005F0BBA"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Finalize arrangements for implementation of the R-PP</w:t>
            </w:r>
          </w:p>
          <w:p w:rsidR="004F508A" w:rsidRPr="00502105" w:rsidRDefault="005F0BBA" w:rsidP="00F725C3">
            <w:pPr>
              <w:pStyle w:val="ListParagraph"/>
              <w:numPr>
                <w:ilvl w:val="0"/>
                <w:numId w:val="3"/>
              </w:numPr>
              <w:ind w:left="150" w:hanging="180"/>
              <w:contextualSpacing/>
              <w:rPr>
                <w:rFonts w:ascii="Times New Roman" w:hAnsi="Times New Roman"/>
              </w:rPr>
            </w:pPr>
            <w:r>
              <w:rPr>
                <w:rFonts w:asciiTheme="minorHAnsi" w:hAnsiTheme="minorHAnsi" w:cstheme="minorHAnsi"/>
                <w:sz w:val="20"/>
              </w:rPr>
              <w:t>Support application of the SOP</w:t>
            </w:r>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A62CBB" w:rsidRDefault="00A62CBB" w:rsidP="00BE2EEE">
            <w:pPr>
              <w:tabs>
                <w:tab w:val="left" w:pos="-1440"/>
                <w:tab w:val="left" w:pos="-720"/>
                <w:tab w:val="left" w:pos="386"/>
              </w:tabs>
              <w:suppressAutoHyphens/>
              <w:rPr>
                <w:rFonts w:ascii="Times New Roman" w:hAnsi="Times New Roman"/>
                <w:sz w:val="21"/>
                <w:szCs w:val="21"/>
              </w:rPr>
            </w:pPr>
          </w:p>
          <w:p w:rsidR="00A62CBB" w:rsidRPr="00A62CBB" w:rsidRDefault="0017219F" w:rsidP="00BE2EEE">
            <w:pPr>
              <w:tabs>
                <w:tab w:val="left" w:pos="-1440"/>
                <w:tab w:val="left" w:pos="-720"/>
                <w:tab w:val="left" w:pos="386"/>
              </w:tabs>
              <w:suppressAutoHyphens/>
              <w:rPr>
                <w:rFonts w:ascii="Times New Roman" w:hAnsi="Times New Roman"/>
                <w:b/>
                <w:sz w:val="21"/>
                <w:szCs w:val="21"/>
              </w:rPr>
            </w:pPr>
            <w:r>
              <w:rPr>
                <w:rFonts w:ascii="Times New Roman" w:hAnsi="Times New Roman"/>
                <w:b/>
                <w:sz w:val="21"/>
                <w:szCs w:val="21"/>
              </w:rPr>
              <w:t>Cc</w:t>
            </w:r>
          </w:p>
          <w:p w:rsidR="00502105" w:rsidRPr="00502105" w:rsidRDefault="00E875DA"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Pr>
                <w:rFonts w:asciiTheme="minorHAnsi" w:hAnsiTheme="minorHAnsi" w:cstheme="minorHAnsi"/>
                <w:sz w:val="20"/>
              </w:rPr>
              <w:t>Thomas Enters</w:t>
            </w:r>
          </w:p>
          <w:p w:rsidR="00854CBC" w:rsidRPr="0017219F" w:rsidRDefault="0017219F"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rPr>
              <w:t>Aki Kono</w:t>
            </w:r>
            <w:r w:rsidR="00A62CBB" w:rsidRPr="0017219F">
              <w:rPr>
                <w:rFonts w:asciiTheme="minorHAnsi" w:hAnsiTheme="minorHAnsi" w:cstheme="minorHAnsi"/>
                <w:sz w:val="20"/>
                <w:lang w:val="fr-FR"/>
              </w:rPr>
              <w:t xml:space="preserve">  </w:t>
            </w:r>
          </w:p>
        </w:tc>
      </w:tr>
    </w:tbl>
    <w:p w:rsidR="001D6B93" w:rsidRDefault="001D6B93">
      <w:pPr>
        <w:rPr>
          <w:szCs w:val="40"/>
          <w:lang w:val="fr-FR"/>
        </w:rPr>
      </w:pPr>
    </w:p>
    <w:tbl>
      <w:tblPr>
        <w:tblW w:w="0" w:type="auto"/>
        <w:tblInd w:w="108" w:type="dxa"/>
        <w:tblLook w:val="04A0" w:firstRow="1" w:lastRow="0" w:firstColumn="1" w:lastColumn="0" w:noHBand="0" w:noVBand="1"/>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536" w:rsidRDefault="00C46536" w:rsidP="005D765E">
      <w:r>
        <w:separator/>
      </w:r>
    </w:p>
  </w:endnote>
  <w:endnote w:type="continuationSeparator" w:id="0">
    <w:p w:rsidR="00C46536" w:rsidRDefault="00C46536"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4C09CF" w:rsidRPr="00534110" w:rsidRDefault="00FE34A7"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5F0BBA">
          <w:rPr>
            <w:rFonts w:ascii="Times New Roman" w:hAnsi="Times New Roman"/>
            <w:noProof/>
            <w:sz w:val="20"/>
          </w:rPr>
          <w:t>1</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536" w:rsidRDefault="00C46536" w:rsidP="005D765E">
      <w:r>
        <w:separator/>
      </w:r>
    </w:p>
  </w:footnote>
  <w:footnote w:type="continuationSeparator" w:id="0">
    <w:p w:rsidR="00C46536" w:rsidRDefault="00C46536"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C3F7A"/>
    <w:multiLevelType w:val="hybridMultilevel"/>
    <w:tmpl w:val="CA88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5">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82C23E4"/>
    <w:multiLevelType w:val="hybridMultilevel"/>
    <w:tmpl w:val="E61EB30A"/>
    <w:lvl w:ilvl="0" w:tplc="A1EA19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9">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11">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2">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6">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2"/>
  </w:num>
  <w:num w:numId="4">
    <w:abstractNumId w:val="5"/>
  </w:num>
  <w:num w:numId="5">
    <w:abstractNumId w:val="14"/>
  </w:num>
  <w:num w:numId="6">
    <w:abstractNumId w:val="13"/>
  </w:num>
  <w:num w:numId="7">
    <w:abstractNumId w:val="9"/>
  </w:num>
  <w:num w:numId="8">
    <w:abstractNumId w:val="11"/>
  </w:num>
  <w:num w:numId="9">
    <w:abstractNumId w:val="4"/>
  </w:num>
  <w:num w:numId="10">
    <w:abstractNumId w:val="6"/>
  </w:num>
  <w:num w:numId="11">
    <w:abstractNumId w:val="16"/>
  </w:num>
  <w:num w:numId="12">
    <w:abstractNumId w:val="15"/>
  </w:num>
  <w:num w:numId="13">
    <w:abstractNumId w:val="1"/>
  </w:num>
  <w:num w:numId="14">
    <w:abstractNumId w:val="8"/>
  </w:num>
  <w:num w:numId="15">
    <w:abstractNumId w:val="10"/>
  </w:num>
  <w:num w:numId="16">
    <w:abstractNumId w:val="3"/>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23CF"/>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0BBA"/>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973B6"/>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1C2B"/>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3F9F"/>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60B"/>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6536"/>
    <w:rsid w:val="00C47B9A"/>
    <w:rsid w:val="00C51886"/>
    <w:rsid w:val="00C531E2"/>
    <w:rsid w:val="00C53EF1"/>
    <w:rsid w:val="00C5517D"/>
    <w:rsid w:val="00C562AE"/>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E34A7"/>
    <w:rsid w:val="00FF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AA66-8CC2-448C-969E-B181E7AE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3840</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2</cp:revision>
  <cp:lastPrinted>2005-04-08T22:30:00Z</cp:lastPrinted>
  <dcterms:created xsi:type="dcterms:W3CDTF">2013-04-26T04:22:00Z</dcterms:created>
  <dcterms:modified xsi:type="dcterms:W3CDTF">2013-04-26T04:22:00Z</dcterms:modified>
</cp:coreProperties>
</file>