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360"/>
        <w:gridCol w:w="5130"/>
        <w:gridCol w:w="270"/>
        <w:gridCol w:w="1839"/>
      </w:tblGrid>
      <w:tr w:rsidR="009A5041" w:rsidRPr="00BC510F" w:rsidTr="0017219F">
        <w:trPr>
          <w:trHeight w:val="774"/>
        </w:trPr>
        <w:tc>
          <w:tcPr>
            <w:tcW w:w="83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17219F">
            <w:pPr>
              <w:pStyle w:val="Heading1"/>
              <w:spacing w:before="0"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17219F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17219F">
              <w:rPr>
                <w:rFonts w:ascii="Times New Roman" w:hAnsi="Times New Roman"/>
                <w:bCs/>
                <w:sz w:val="21"/>
                <w:szCs w:val="21"/>
              </w:rPr>
              <w:t>25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21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17219F">
        <w:trPr>
          <w:cantSplit/>
          <w:trHeight w:hRule="exact" w:val="396"/>
        </w:trPr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17219F">
              <w:rPr>
                <w:sz w:val="21"/>
                <w:szCs w:val="21"/>
              </w:rPr>
              <w:t xml:space="preserve">: </w:t>
            </w:r>
            <w:r w:rsidR="0017219F" w:rsidRPr="0017219F">
              <w:rPr>
                <w:b w:val="0"/>
                <w:sz w:val="21"/>
                <w:szCs w:val="21"/>
              </w:rPr>
              <w:t>Tim Boyle, UN-REDD</w:t>
            </w:r>
          </w:p>
          <w:p w:rsidR="009A5041" w:rsidRPr="008276F5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17219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17219F" w:rsidRPr="0017219F">
              <w:rPr>
                <w:rFonts w:ascii="Times New Roman" w:hAnsi="Times New Roman"/>
                <w:bCs/>
                <w:sz w:val="21"/>
                <w:szCs w:val="21"/>
              </w:rPr>
              <w:t>+66819005402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val="450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17219F" w:rsidRDefault="00D46585" w:rsidP="007973B6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</w:rPr>
            </w:pPr>
            <w:r w:rsidRPr="0017219F">
              <w:rPr>
                <w:rFonts w:asciiTheme="minorHAnsi" w:hAnsiTheme="minorHAnsi" w:cstheme="minorHAnsi"/>
                <w:bCs/>
                <w:sz w:val="20"/>
              </w:rPr>
              <w:t>BKK-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Phnom Penh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 -</w:t>
            </w:r>
            <w:r w:rsidRPr="0017219F">
              <w:rPr>
                <w:rFonts w:asciiTheme="minorHAnsi" w:hAnsiTheme="minorHAnsi" w:cstheme="minorHAnsi"/>
                <w:bCs/>
                <w:sz w:val="20"/>
              </w:rPr>
              <w:t>BKK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hRule="exact" w:val="303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0F3938">
        <w:trPr>
          <w:trHeight w:val="837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Default="007973B6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26-29 March</w:t>
            </w:r>
            <w:r w:rsidR="000F3938">
              <w:rPr>
                <w:rFonts w:ascii="Times New Roman" w:hAnsi="Times New Roman"/>
                <w:sz w:val="21"/>
                <w:szCs w:val="21"/>
              </w:rPr>
              <w:t>.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201</w:t>
            </w: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3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17219F" w:rsidRPr="00170496" w:rsidRDefault="007B1C56" w:rsidP="00F725C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150" w:hanging="18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CMB: </w:t>
            </w:r>
            <w:r w:rsidR="00D95AA5" w:rsidRPr="00170496">
              <w:rPr>
                <w:rFonts w:asciiTheme="minorHAnsi" w:hAnsiTheme="minorHAnsi" w:cstheme="minorHAnsi"/>
                <w:bCs/>
                <w:sz w:val="20"/>
              </w:rPr>
              <w:t>UNDP</w:t>
            </w:r>
            <w:r w:rsidR="0017219F" w:rsidRPr="00170496">
              <w:rPr>
                <w:rFonts w:asciiTheme="minorHAnsi" w:hAnsiTheme="minorHAnsi" w:cstheme="minorHAnsi"/>
                <w:bCs/>
                <w:sz w:val="20"/>
              </w:rPr>
              <w:t xml:space="preserve"> CO (</w:t>
            </w:r>
            <w:r w:rsidR="007973B6">
              <w:rPr>
                <w:rFonts w:asciiTheme="minorHAnsi" w:hAnsiTheme="minorHAnsi" w:cstheme="minorHAnsi"/>
                <w:bCs/>
                <w:sz w:val="20"/>
              </w:rPr>
              <w:t>Setsuko Yamazaki, Napoleon Navarro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, Sovanny Chhum</w:t>
            </w:r>
            <w:r w:rsidR="00170496" w:rsidRPr="0017049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:rsidR="00170496" w:rsidRPr="00170496" w:rsidRDefault="007B1C5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CMB: </w:t>
            </w:r>
            <w:r w:rsidR="00170496" w:rsidRPr="00170496">
              <w:rPr>
                <w:rFonts w:asciiTheme="minorHAnsi" w:hAnsiTheme="minorHAnsi" w:cstheme="minorHAnsi"/>
                <w:sz w:val="20"/>
              </w:rPr>
              <w:t xml:space="preserve">REDD+ </w:t>
            </w:r>
            <w:r w:rsidR="000F3938">
              <w:rPr>
                <w:rFonts w:asciiTheme="minorHAnsi" w:hAnsiTheme="minorHAnsi" w:cstheme="minorHAnsi"/>
                <w:sz w:val="20"/>
              </w:rPr>
              <w:t>Task Force Secretariat (Chea Sam Ang, Vathana Khun)</w:t>
            </w:r>
          </w:p>
          <w:p w:rsidR="007B1C56" w:rsidRPr="007973B6" w:rsidRDefault="007B1C56" w:rsidP="007973B6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CMB: </w:t>
            </w:r>
            <w:r w:rsidR="000F3938">
              <w:rPr>
                <w:rFonts w:asciiTheme="minorHAnsi" w:hAnsiTheme="minorHAnsi" w:cstheme="minorHAnsi"/>
                <w:sz w:val="20"/>
              </w:rPr>
              <w:t>Secretariat staff (Kimhy Lun, Heang</w:t>
            </w:r>
            <w:r w:rsidR="00170496" w:rsidRPr="0017049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3938">
              <w:rPr>
                <w:rFonts w:asciiTheme="minorHAnsi" w:hAnsiTheme="minorHAnsi" w:cstheme="minorHAnsi"/>
                <w:sz w:val="20"/>
              </w:rPr>
              <w:t>Thy</w:t>
            </w:r>
            <w:r w:rsidR="007973B6">
              <w:rPr>
                <w:rFonts w:asciiTheme="minorHAnsi" w:hAnsiTheme="minorHAnsi" w:cstheme="minorHAnsi"/>
                <w:sz w:val="20"/>
              </w:rPr>
              <w:t>, Thida Pan</w:t>
            </w:r>
            <w:r w:rsidR="000F3938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C09A4" w:rsidRPr="00BC510F" w:rsidTr="0017219F">
        <w:trPr>
          <w:trHeight w:val="516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7B1C56" w:rsidRDefault="00D95AA5" w:rsidP="007973B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502105">
              <w:rPr>
                <w:rFonts w:asciiTheme="minorHAnsi" w:hAnsiTheme="minorHAnsi" w:cstheme="minorHAnsi"/>
                <w:bCs/>
                <w:sz w:val="20"/>
              </w:rPr>
              <w:t xml:space="preserve">To 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attend </w:t>
            </w:r>
            <w:r w:rsidR="007973B6">
              <w:rPr>
                <w:rFonts w:asciiTheme="minorHAnsi" w:hAnsiTheme="minorHAnsi" w:cstheme="minorHAnsi"/>
                <w:bCs/>
                <w:sz w:val="20"/>
              </w:rPr>
              <w:t>4th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 PEB of the 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UN-REDD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>/Cambodia programme and to assist in overcoming barriers to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 xml:space="preserve"> implementation</w:t>
            </w:r>
            <w:r w:rsidR="0017219F" w:rsidRPr="0050210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7973B6" w:rsidRPr="00502105" w:rsidRDefault="007973B6" w:rsidP="007973B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C09A4" w:rsidRPr="00C1798E" w:rsidTr="00502105">
        <w:trPr>
          <w:trHeight w:val="125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Default="000F3938" w:rsidP="0034189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Cambodia 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has been implementing its national UN-REDD Programme for </w:t>
            </w:r>
            <w:proofErr w:type="gramStart"/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>a</w:t>
            </w:r>
            <w:proofErr w:type="gramEnd"/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C562AE">
              <w:rPr>
                <w:rFonts w:asciiTheme="minorHAnsi" w:hAnsiTheme="minorHAnsi" w:cstheme="minorHAnsi"/>
                <w:color w:val="000000" w:themeColor="text1"/>
                <w:sz w:val="20"/>
              </w:rPr>
              <w:t>18 months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>, but progress has been slow due to the complexity of forest governance in the country, involving three agencies which have mandates for different parts of the forest estate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</w:t>
            </w:r>
            <w:r w:rsidR="00AF460B">
              <w:rPr>
                <w:rFonts w:asciiTheme="minorHAnsi" w:hAnsiTheme="minorHAnsi" w:cstheme="minorHAnsi"/>
                <w:color w:val="000000" w:themeColor="text1"/>
                <w:sz w:val="20"/>
              </w:rPr>
              <w:t>The management arrangements being used by the three UN Agencies are not currently harmonized, and this is leading to delays in implementation and a building sense of frustration in the government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:rsidR="00341898" w:rsidRPr="0017219F" w:rsidRDefault="00341898" w:rsidP="0034189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1559EB" w:rsidRPr="00C1798E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F23276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4C09CF" w:rsidRPr="00AF460B" w:rsidRDefault="00AF460B" w:rsidP="00AF460B">
            <w:pPr>
              <w:ind w:left="60"/>
              <w:contextualSpacing/>
              <w:rPr>
                <w:rFonts w:asciiTheme="minorHAnsi" w:hAnsiTheme="minorHAnsi" w:cstheme="minorHAnsi"/>
                <w:sz w:val="20"/>
              </w:rPr>
            </w:pPr>
            <w:r w:rsidRPr="00AF460B">
              <w:rPr>
                <w:rFonts w:asciiTheme="minorHAnsi" w:hAnsiTheme="minorHAnsi" w:cstheme="minorHAnsi"/>
                <w:sz w:val="20"/>
              </w:rPr>
              <w:t>On Wednesday morning, regional advisors from FAO, UNDP and UNEP</w:t>
            </w:r>
            <w:r>
              <w:rPr>
                <w:rFonts w:asciiTheme="minorHAnsi" w:hAnsiTheme="minorHAnsi" w:cstheme="minorHAnsi"/>
                <w:sz w:val="20"/>
              </w:rPr>
              <w:t xml:space="preserve"> assisted the Secretariat staff in planning for the PEB meeting the following day, including strategizing on issue to be raised and decisions sought.</w:t>
            </w: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7C00E7" w:rsidRPr="004C09CF" w:rsidRDefault="00AF460B" w:rsidP="004C09C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 Wednesday afternoon, the three regional advisors met first with the UNDP CO and subsequently with the FAO CO to discuss how harmonization can be improved</w:t>
            </w:r>
            <w:r w:rsidR="004C09CF" w:rsidRPr="004C09CF">
              <w:rPr>
                <w:rFonts w:asciiTheme="minorHAnsi" w:hAnsiTheme="minorHAnsi" w:cstheme="minorHAnsi"/>
                <w:sz w:val="20"/>
              </w:rPr>
              <w:t>.</w:t>
            </w:r>
          </w:p>
          <w:p w:rsidR="004C09CF" w:rsidRDefault="004C09CF" w:rsidP="004C09CF">
            <w:pPr>
              <w:rPr>
                <w:rFonts w:asciiTheme="minorHAnsi" w:hAnsiTheme="minorHAnsi" w:cstheme="minorHAnsi"/>
                <w:sz w:val="20"/>
              </w:rPr>
            </w:pPr>
          </w:p>
          <w:p w:rsidR="004C09CF" w:rsidRPr="004C09CF" w:rsidRDefault="004C09CF" w:rsidP="004C09C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951C2B">
              <w:rPr>
                <w:rFonts w:asciiTheme="minorHAnsi" w:hAnsiTheme="minorHAnsi" w:cstheme="minorHAnsi"/>
                <w:sz w:val="20"/>
              </w:rPr>
              <w:t>4</w:t>
            </w:r>
            <w:r w:rsidR="00951C2B" w:rsidRPr="00951C2B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951C2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PEB was attended.  Key points:</w:t>
            </w:r>
          </w:p>
          <w:p w:rsidR="004C09CF" w:rsidRPr="004C09CF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>CSO rep requested materials for PEB in advance of the meeting, so that he can discuss with other members and consolidate their inputs.</w:t>
            </w:r>
          </w:p>
          <w:p w:rsidR="004C09CF" w:rsidRPr="00BE2EEE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 xml:space="preserve">Extension of the programme was mentioned (by </w:t>
            </w:r>
            <w:r>
              <w:rPr>
                <w:rFonts w:asciiTheme="minorHAnsi" w:hAnsiTheme="minorHAnsi" w:cstheme="minorHAnsi"/>
                <w:sz w:val="20"/>
              </w:rPr>
              <w:t>UNRC and UNDP CD</w:t>
            </w:r>
            <w:r w:rsidRPr="004C09CF">
              <w:rPr>
                <w:rFonts w:asciiTheme="minorHAnsi" w:hAnsiTheme="minorHAnsi" w:cstheme="minorHAnsi"/>
                <w:sz w:val="20"/>
              </w:rPr>
              <w:t xml:space="preserve">) and a need to request an extension probably in the next </w:t>
            </w:r>
            <w:r w:rsidRPr="00BE2EEE">
              <w:rPr>
                <w:rFonts w:asciiTheme="minorHAnsi" w:hAnsiTheme="minorHAnsi" w:cstheme="minorHAnsi"/>
                <w:sz w:val="20"/>
              </w:rPr>
              <w:t>meeting in December.</w:t>
            </w:r>
          </w:p>
          <w:p w:rsidR="004C09CF" w:rsidRPr="00BE2EEE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BE2EEE">
              <w:rPr>
                <w:rFonts w:asciiTheme="minorHAnsi" w:hAnsiTheme="minorHAnsi" w:cstheme="minorHAnsi"/>
                <w:sz w:val="20"/>
              </w:rPr>
              <w:t>The next PEB meeting is scheduled to be on Dec 13</w:t>
            </w:r>
            <w:r w:rsidRPr="00BE2EEE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BE2EEE">
              <w:rPr>
                <w:rFonts w:asciiTheme="minorHAnsi" w:hAnsiTheme="minorHAnsi" w:cstheme="minorHAnsi"/>
                <w:sz w:val="20"/>
              </w:rPr>
              <w:t>.</w:t>
            </w:r>
          </w:p>
          <w:p w:rsidR="004C09CF" w:rsidRPr="00BE2EEE" w:rsidRDefault="004C09CF" w:rsidP="004C09CF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:rsidR="004C09CF" w:rsidRDefault="004C09CF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2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Closing Workshop of UN-REDD/Viet Nam was attended in Hanoi. Presentations were made on </w:t>
            </w:r>
            <w:r w:rsidR="00BE2EEE" w:rsidRPr="00BE2EEE">
              <w:rPr>
                <w:rFonts w:asciiTheme="minorHAnsi" w:hAnsiTheme="minorHAnsi" w:cstheme="minorHAnsi"/>
                <w:bCs/>
                <w:sz w:val="20"/>
                <w:szCs w:val="20"/>
              </w:rPr>
              <w:t>Programme Achievements and Lessons Learned.  Participants were invited to comment on the programme, including identifying weaknesses and proposals for future work.</w:t>
            </w:r>
            <w:r w:rsidR="00AA7E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Key achievements: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National REDD Network, REDD+ Office, REDD+ Website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Technical working groups and six sub-technical working groups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National REDD+ Action Programme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BDS with 17 principles recommendation 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MRV Framework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Study report of ecological stratification for REL development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Communication strategy, communication materials on FPIC, PCM, BDS...</w:t>
            </w:r>
          </w:p>
          <w:p w:rsidR="00AA7ED3" w:rsidRDefault="00AA7ED3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A7ED3">
              <w:rPr>
                <w:rFonts w:asciiTheme="minorHAnsi" w:hAnsiTheme="minorHAnsi" w:cstheme="minorHAnsi"/>
                <w:bCs/>
                <w:sz w:val="20"/>
                <w:szCs w:val="20"/>
              </w:rPr>
              <w:t>Allometric</w:t>
            </w:r>
            <w:proofErr w:type="spellEnd"/>
            <w:r w:rsidRPr="00AA7E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equations.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Establishment of REDD+ working group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>; a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wareness raising on REDD+ to stakeholders through FPIC, PCM, BDS/R-factor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 xml:space="preserve">; and </w:t>
            </w:r>
            <w:r w:rsidR="00AA7ED3">
              <w:rPr>
                <w:rFonts w:asciiTheme="minorHAnsi" w:hAnsiTheme="minorHAnsi" w:cstheme="minorHAnsi"/>
                <w:bCs/>
                <w:sz w:val="20"/>
              </w:rPr>
              <w:t>planning for REDD+ at the provincial level.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Organization of regional workshops, dialogues, and trainings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Policy dialogue with other sectors towards 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>a j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oint work plan on REDD+ &amp; FLEGT. </w:t>
            </w:r>
          </w:p>
          <w:p w:rsidR="00AA7ED3" w:rsidRDefault="00AA7ED3" w:rsidP="00AA7ED3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Lessons learned: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E34A7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FPIC process facilitates programme planning</w:t>
            </w:r>
          </w:p>
          <w:p w:rsidR="00FE34A7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Awareness </w:t>
            </w:r>
            <w:proofErr w:type="gramStart"/>
            <w:r w:rsidRPr="00AA7ED3">
              <w:rPr>
                <w:rFonts w:asciiTheme="minorHAnsi" w:hAnsiTheme="minorHAnsi" w:cstheme="minorHAnsi"/>
                <w:bCs/>
                <w:sz w:val="20"/>
              </w:rPr>
              <w:t>raising</w:t>
            </w:r>
            <w:proofErr w:type="gramEnd"/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has often been confusing rather than informative. It should begin as early as possible.</w:t>
            </w:r>
          </w:p>
          <w:p w:rsidR="00FE34A7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FPIC for REDD+ is an ongoing process, rather than a single event</w:t>
            </w:r>
          </w:p>
          <w:p w:rsidR="00FE34A7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FPIC must be adapted to the national and cultural context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Local consultations on BDS must be linked to awareness raising for FPIC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BDS must be adapted to local context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BDS should build on existing </w:t>
            </w:r>
            <w:proofErr w:type="spellStart"/>
            <w:r w:rsidRPr="00AA7ED3">
              <w:rPr>
                <w:rFonts w:asciiTheme="minorHAnsi" w:hAnsiTheme="minorHAnsi" w:cstheme="minorHAnsi"/>
                <w:bCs/>
                <w:sz w:val="20"/>
              </w:rPr>
              <w:t>programmes</w:t>
            </w:r>
            <w:proofErr w:type="spellEnd"/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  <w:lang w:val="en-GB"/>
              </w:rPr>
              <w:lastRenderedPageBreak/>
              <w:t>A poorly-designed BDS risks reinforcing existing inequity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Focus on Participatory Monitoring (PM), rather than Participatory Carbon Monitoring (PCM)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Participatory Monitoring is a key part of awareness raising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Participatory Monitoring </w:t>
            </w:r>
            <w:r w:rsidRPr="00AA7ED3">
              <w:rPr>
                <w:rFonts w:asciiTheme="minorHAnsi" w:hAnsiTheme="minorHAnsi" w:cstheme="minorHAnsi"/>
                <w:bCs/>
                <w:sz w:val="20"/>
                <w:lang w:val="en-GB"/>
              </w:rPr>
              <w:t>can be used to encourage discussions on forest governance between local people, foresters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and other government officials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REDD Network and Sub-Technical Working Groups (STWGs) have been quite effective and non-government co-chairs have contributed to success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REDD Network should be a forum for all REDD+ initiatives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REDD Network must be separate from, but linked to, the FSSP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STWGs need clear mandates and objectives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Inconsistency of forest data undermines confidence in a country’s ability to manage a REDD+ programme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REDD+ is an opportunity to secure finance for improved data generation and management</w:t>
            </w:r>
          </w:p>
          <w:p w:rsidR="00FE34A7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National endorsement of forest certification systems may promote greater transparency and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br/>
              <w:t>quality of the information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Default="00BE2EEE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 conference call was held with Norwegian agencies, the UN-REDD Secretariat and UNDP HQ on the Phase 2 proposal, focusing on short-comings and identifying actions to be taken to allow signature of key documents in November.</w:t>
            </w:r>
          </w:p>
          <w:p w:rsidR="00BE2EEE" w:rsidRDefault="00BE2EEE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Pr="00BE2EEE" w:rsidRDefault="00BE2EEE" w:rsidP="004C09CF">
            <w:pPr>
              <w:pStyle w:val="Default"/>
              <w:rPr>
                <w:rFonts w:asciiTheme="minorHAnsi" w:hAnsiTheme="minorHAnsi" w:cstheme="minorHAnsi"/>
                <w:sz w:val="4"/>
                <w:szCs w:val="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Meetings were held with the UNRC and UNDP CD to discuss implementation arrangements for UNDP under Phase 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40"/>
              <w:gridCol w:w="4440"/>
            </w:tblGrid>
            <w:tr w:rsidR="004C09CF" w:rsidRPr="00BE2EEE" w:rsidTr="00BE2EEE">
              <w:trPr>
                <w:trHeight w:val="74"/>
              </w:trPr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  <w:tr w:rsidR="004C09CF" w:rsidRPr="00BE2EEE" w:rsidTr="00BE2EEE">
              <w:trPr>
                <w:trHeight w:val="74"/>
              </w:trPr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:rsidR="004C09CF" w:rsidRPr="007C00E7" w:rsidRDefault="004C09CF" w:rsidP="004C09CF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09A4" w:rsidRPr="00A62CBB" w:rsidTr="0017219F">
        <w:trPr>
          <w:trHeight w:val="1862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Investigate opportunities to initiate grievance/conflict resolution activities in relation to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Oddar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Meanchey</w:t>
            </w:r>
            <w:proofErr w:type="spellEnd"/>
          </w:p>
          <w:p w:rsidR="001D6B93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Identify short-term solutions to provide technical advice to UN-REDD/Cambodia</w:t>
            </w:r>
          </w:p>
          <w:p w:rsidR="00502105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Investigate opportunities for integration of UN-REDD, Cam-REDD and FCPF work plans and evaluations</w:t>
            </w:r>
          </w:p>
          <w:p w:rsidR="004F508A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</w:rPr>
              <w:t>Contribute to further development of UN-REDD Phase 2 documents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BE2EEE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17219F" w:rsidRDefault="00A62CBB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  <w:lang w:val="fr-FR"/>
              </w:rPr>
              <w:t>Tim Clairs, UN-REDD UNDP PTA</w:t>
            </w:r>
          </w:p>
          <w:p w:rsidR="00A62CBB" w:rsidRDefault="00A62CBB" w:rsidP="00BE2EEE">
            <w:p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  <w:p w:rsidR="00A62CBB" w:rsidRPr="00A62CBB" w:rsidRDefault="0017219F" w:rsidP="00BE2EEE">
            <w:p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Cc</w:t>
            </w:r>
          </w:p>
          <w:p w:rsidR="00502105" w:rsidRPr="00502105" w:rsidRDefault="00E875DA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</w:rPr>
              <w:t>Thomas Enters</w:t>
            </w:r>
          </w:p>
          <w:p w:rsidR="00854CBC" w:rsidRPr="0017219F" w:rsidRDefault="0017219F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</w:rPr>
              <w:t>Aki Kono</w:t>
            </w:r>
            <w:r w:rsidR="00A62CBB" w:rsidRPr="0017219F">
              <w:rPr>
                <w:rFonts w:asciiTheme="minorHAnsi" w:hAnsiTheme="minorHAnsi" w:cstheme="minorHAnsi"/>
                <w:sz w:val="20"/>
                <w:lang w:val="fr-FR"/>
              </w:rPr>
              <w:t xml:space="preserve">  </w:t>
            </w:r>
          </w:p>
        </w:tc>
      </w:tr>
    </w:tbl>
    <w:p w:rsidR="001D6B93" w:rsidRDefault="001D6B93">
      <w:pPr>
        <w:rPr>
          <w:szCs w:val="40"/>
          <w:lang w:val="fr-FR"/>
        </w:rPr>
      </w:pPr>
    </w:p>
    <w:tbl>
      <w:tblPr>
        <w:tblW w:w="0" w:type="auto"/>
        <w:tblInd w:w="108" w:type="dxa"/>
        <w:tblLook w:val="04A0"/>
      </w:tblPr>
      <w:tblGrid>
        <w:gridCol w:w="2510"/>
        <w:gridCol w:w="2971"/>
        <w:gridCol w:w="2933"/>
      </w:tblGrid>
      <w:tr w:rsidR="001D6B93" w:rsidTr="00341898">
        <w:trPr>
          <w:trHeight w:val="1432"/>
        </w:trPr>
        <w:tc>
          <w:tcPr>
            <w:tcW w:w="2821" w:type="dxa"/>
          </w:tcPr>
          <w:p w:rsidR="001D6B93" w:rsidRPr="00C3082D" w:rsidRDefault="001D6B93" w:rsidP="00341898">
            <w:pPr>
              <w:rPr>
                <w:b/>
                <w:bCs/>
              </w:rPr>
            </w:pPr>
          </w:p>
        </w:tc>
        <w:tc>
          <w:tcPr>
            <w:tcW w:w="3344" w:type="dxa"/>
          </w:tcPr>
          <w:p w:rsidR="001D6B93" w:rsidRPr="000C3505" w:rsidRDefault="001D6B93" w:rsidP="00341898">
            <w:pPr>
              <w:jc w:val="center"/>
              <w:rPr>
                <w:rFonts w:ascii="Myriad Pro" w:hAnsi="Myriad Pro" w:hint="eastAsia"/>
                <w:b/>
                <w:bCs/>
              </w:rPr>
            </w:pPr>
          </w:p>
        </w:tc>
        <w:tc>
          <w:tcPr>
            <w:tcW w:w="3301" w:type="dxa"/>
          </w:tcPr>
          <w:p w:rsidR="001D6B93" w:rsidRPr="00C3082D" w:rsidRDefault="001D6B93" w:rsidP="00341898">
            <w:pPr>
              <w:jc w:val="right"/>
              <w:rPr>
                <w:b/>
                <w:bCs/>
              </w:rPr>
            </w:pPr>
          </w:p>
        </w:tc>
      </w:tr>
    </w:tbl>
    <w:p w:rsidR="001D6B93" w:rsidRDefault="001D6B93" w:rsidP="00BE2EEE">
      <w:pPr>
        <w:rPr>
          <w:rFonts w:ascii="Calibri" w:hAnsi="Calibri"/>
          <w:b/>
          <w:sz w:val="24"/>
          <w:u w:val="single"/>
        </w:rPr>
      </w:pPr>
    </w:p>
    <w:sectPr w:rsidR="001D6B93" w:rsidSect="00B3001F">
      <w:footerReference w:type="default" r:id="rId9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F9F" w:rsidRDefault="00AB3F9F" w:rsidP="005D765E">
      <w:r>
        <w:separator/>
      </w:r>
    </w:p>
  </w:endnote>
  <w:endnote w:type="continuationSeparator" w:id="0">
    <w:p w:rsidR="00AB3F9F" w:rsidRDefault="00AB3F9F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C09CF" w:rsidRPr="00534110" w:rsidRDefault="00FE34A7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="004C09CF"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951C2B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4C09CF" w:rsidRDefault="004C0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F9F" w:rsidRDefault="00AB3F9F" w:rsidP="005D765E">
      <w:r>
        <w:separator/>
      </w:r>
    </w:p>
  </w:footnote>
  <w:footnote w:type="continuationSeparator" w:id="0">
    <w:p w:rsidR="00AB3F9F" w:rsidRDefault="00AB3F9F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9C49E7"/>
    <w:multiLevelType w:val="hybridMultilevel"/>
    <w:tmpl w:val="C6761D90"/>
    <w:lvl w:ilvl="0" w:tplc="99A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E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26A5"/>
    <w:multiLevelType w:val="hybridMultilevel"/>
    <w:tmpl w:val="9B44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1C6"/>
    <w:multiLevelType w:val="hybridMultilevel"/>
    <w:tmpl w:val="8676BF0A"/>
    <w:lvl w:ilvl="0" w:tplc="734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2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9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81784"/>
    <w:multiLevelType w:val="hybridMultilevel"/>
    <w:tmpl w:val="9E743220"/>
    <w:lvl w:ilvl="0" w:tplc="8482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E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E7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4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E32E8D"/>
    <w:multiLevelType w:val="hybridMultilevel"/>
    <w:tmpl w:val="43964EB2"/>
    <w:lvl w:ilvl="0" w:tplc="7E38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3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C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9E4DF5"/>
    <w:multiLevelType w:val="hybridMultilevel"/>
    <w:tmpl w:val="EAB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207B7"/>
    <w:multiLevelType w:val="hybridMultilevel"/>
    <w:tmpl w:val="69B24D64"/>
    <w:lvl w:ilvl="0" w:tplc="5F6C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0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25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E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1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6F3535"/>
    <w:multiLevelType w:val="hybridMultilevel"/>
    <w:tmpl w:val="CADCF736"/>
    <w:lvl w:ilvl="0" w:tplc="2BA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0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9818BB"/>
    <w:multiLevelType w:val="hybridMultilevel"/>
    <w:tmpl w:val="E8E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177D6"/>
    <w:multiLevelType w:val="hybridMultilevel"/>
    <w:tmpl w:val="411C63A8"/>
    <w:lvl w:ilvl="0" w:tplc="847A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C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0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954E00"/>
    <w:multiLevelType w:val="hybridMultilevel"/>
    <w:tmpl w:val="1D662DE2"/>
    <w:lvl w:ilvl="0" w:tplc="7D4A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7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6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2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1898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09CF"/>
    <w:rsid w:val="004C3A46"/>
    <w:rsid w:val="004C6629"/>
    <w:rsid w:val="004C6E4C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973B6"/>
    <w:rsid w:val="007A0A6E"/>
    <w:rsid w:val="007A7174"/>
    <w:rsid w:val="007B02C4"/>
    <w:rsid w:val="007B1C56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1C2B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7A4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A7ED3"/>
    <w:rsid w:val="00AB3F9F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60B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2EEE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2AE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107C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75"/>
    <w:rsid w:val="00F462F7"/>
    <w:rsid w:val="00F5152C"/>
    <w:rsid w:val="00F51900"/>
    <w:rsid w:val="00F527E1"/>
    <w:rsid w:val="00F54D97"/>
    <w:rsid w:val="00F55096"/>
    <w:rsid w:val="00F70822"/>
    <w:rsid w:val="00F725C3"/>
    <w:rsid w:val="00F7447D"/>
    <w:rsid w:val="00F777D5"/>
    <w:rsid w:val="00F858C7"/>
    <w:rsid w:val="00F91FDD"/>
    <w:rsid w:val="00F922CA"/>
    <w:rsid w:val="00F95B0D"/>
    <w:rsid w:val="00F95B6F"/>
    <w:rsid w:val="00FB0B5E"/>
    <w:rsid w:val="00FB29F4"/>
    <w:rsid w:val="00FC091A"/>
    <w:rsid w:val="00FD344A"/>
    <w:rsid w:val="00FD44C5"/>
    <w:rsid w:val="00FE34A7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0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8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8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71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3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01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5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5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7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21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9D7E-B8D8-4F40-8A58-9EB4F53E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timothy.boyle</cp:lastModifiedBy>
  <cp:revision>4</cp:revision>
  <cp:lastPrinted>2005-04-08T22:30:00Z</cp:lastPrinted>
  <dcterms:created xsi:type="dcterms:W3CDTF">2013-04-08T00:10:00Z</dcterms:created>
  <dcterms:modified xsi:type="dcterms:W3CDTF">2013-04-08T02:20:00Z</dcterms:modified>
</cp:coreProperties>
</file>