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4680"/>
        <w:gridCol w:w="540"/>
        <w:gridCol w:w="2109"/>
      </w:tblGrid>
      <w:tr w:rsidR="009A5041" w:rsidRPr="00BC510F" w:rsidTr="001559EB">
        <w:trPr>
          <w:trHeight w:val="1125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D95AA5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D95AA5"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 wp14:anchorId="2BD08A18" wp14:editId="7A4E8246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1559EB">
        <w:trPr>
          <w:cantSplit/>
          <w:trHeight w:hRule="exact" w:val="585"/>
        </w:trPr>
        <w:tc>
          <w:tcPr>
            <w:tcW w:w="315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</w:p>
          <w:p w:rsidR="009A5041" w:rsidRPr="008276F5" w:rsidRDefault="00D46585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Aki Kono, UN-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EBD</w:t>
            </w:r>
            <w:proofErr w:type="spellEnd"/>
          </w:p>
        </w:tc>
        <w:tc>
          <w:tcPr>
            <w:tcW w:w="5220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559EB">
        <w:trPr>
          <w:trHeight w:val="450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874C23" w:rsidRDefault="001559EB" w:rsidP="00874C2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      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D46585">
              <w:rPr>
                <w:rFonts w:ascii="Times New Roman" w:hAnsi="Times New Roman"/>
                <w:bCs/>
                <w:sz w:val="21"/>
                <w:szCs w:val="21"/>
              </w:rPr>
              <w:t>BKK</w:t>
            </w:r>
            <w:proofErr w:type="spellEnd"/>
            <w:r w:rsidR="00D46585">
              <w:rPr>
                <w:rFonts w:ascii="Times New Roman" w:hAnsi="Times New Roman"/>
                <w:bCs/>
                <w:sz w:val="21"/>
                <w:szCs w:val="21"/>
              </w:rPr>
              <w:t>-KL-TW-KL-</w:t>
            </w:r>
            <w:proofErr w:type="spellStart"/>
            <w:r w:rsidR="00D46585">
              <w:rPr>
                <w:rFonts w:ascii="Times New Roman" w:hAnsi="Times New Roman"/>
                <w:bCs/>
                <w:sz w:val="21"/>
                <w:szCs w:val="21"/>
              </w:rPr>
              <w:t>BKK</w:t>
            </w:r>
            <w:proofErr w:type="spellEnd"/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D46585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Presentation on Carbon Benefit Tools (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UNEP-GEF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projects)</w:t>
            </w:r>
          </w:p>
        </w:tc>
      </w:tr>
      <w:tr w:rsidR="005C634E" w:rsidRPr="00BC510F" w:rsidTr="00991513">
        <w:trPr>
          <w:trHeight w:hRule="exact" w:val="303"/>
        </w:trPr>
        <w:tc>
          <w:tcPr>
            <w:tcW w:w="315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32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991513">
        <w:trPr>
          <w:trHeight w:val="558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Default="00991513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 June – 7 July 2012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2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CF3B35" w:rsidRPr="00CF3B35" w:rsidRDefault="00CF3B35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  <w:lang w:val="fr-FR"/>
              </w:rPr>
            </w:pPr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 xml:space="preserve">Location: </w:t>
            </w:r>
            <w:proofErr w:type="spellStart"/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>Maliau</w:t>
            </w:r>
            <w:proofErr w:type="spellEnd"/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 xml:space="preserve"> Basin </w:t>
            </w:r>
            <w:proofErr w:type="spellStart"/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>Studies</w:t>
            </w:r>
            <w:proofErr w:type="spellEnd"/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 xml:space="preserve"> Centre, Sabah, </w:t>
            </w:r>
            <w:proofErr w:type="spellStart"/>
            <w:r w:rsidRPr="00CF3B35">
              <w:rPr>
                <w:rFonts w:ascii="Times New Roman" w:hAnsi="Times New Roman"/>
                <w:bCs/>
                <w:sz w:val="20"/>
                <w:lang w:val="fr-FR"/>
              </w:rPr>
              <w:t>Malyaisa</w:t>
            </w:r>
            <w:proofErr w:type="spellEnd"/>
          </w:p>
          <w:p w:rsidR="00CF3B35" w:rsidRPr="00CF3B35" w:rsidRDefault="00CF3B35" w:rsidP="00CF3B3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0"/>
                <w:lang w:val="fr-FR"/>
              </w:rPr>
            </w:pPr>
          </w:p>
          <w:p w:rsidR="00991513" w:rsidRDefault="00D95AA5" w:rsidP="00C565C3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ind w:left="240" w:hanging="270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Ecosystems and Biodiversity PTA and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RTAs</w:t>
            </w:r>
            <w:proofErr w:type="spellEnd"/>
          </w:p>
          <w:p w:rsidR="00D95AA5" w:rsidRDefault="00D95AA5" w:rsidP="00C565C3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ind w:left="240" w:hanging="27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Adriana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Dinu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Deputy Executive Coordinator</w:t>
            </w:r>
          </w:p>
          <w:p w:rsidR="00D95AA5" w:rsidRDefault="00D95AA5" w:rsidP="00C565C3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ind w:left="240" w:hanging="27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Gemma Shepard,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UNEP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DEWA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Officer</w:t>
            </w:r>
          </w:p>
          <w:p w:rsidR="00D95AA5" w:rsidRDefault="00D95AA5" w:rsidP="00C565C3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ind w:left="240" w:hanging="27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Keith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Paustian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, Colorado State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Uni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– Carbon Benefit Tools developer</w:t>
            </w:r>
          </w:p>
          <w:p w:rsidR="00CF3B35" w:rsidRPr="00CF3B35" w:rsidRDefault="00D95AA5" w:rsidP="00CF3B35">
            <w:pPr>
              <w:pStyle w:val="ListParagraph"/>
              <w:numPr>
                <w:ilvl w:val="0"/>
                <w:numId w:val="29"/>
              </w:numPr>
              <w:tabs>
                <w:tab w:val="left" w:pos="-1440"/>
                <w:tab w:val="left" w:pos="-720"/>
              </w:tabs>
              <w:suppressAutoHyphens/>
              <w:ind w:left="240" w:hanging="27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Mike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Smalligan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Michigan State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Uni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– Carbon Benefit Tools developer</w:t>
            </w:r>
          </w:p>
        </w:tc>
      </w:tr>
      <w:tr w:rsidR="00CC09A4" w:rsidRPr="00BC510F" w:rsidTr="001559EB">
        <w:trPr>
          <w:trHeight w:val="750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C565C3" w:rsidRDefault="00D95AA5" w:rsidP="00314D91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To be trained on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UNEP-GEF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Carbon Benefits Tools</w:t>
            </w:r>
            <w:r w:rsidR="000D5CD5">
              <w:rPr>
                <w:rFonts w:ascii="Times New Roman" w:hAnsi="Times New Roman"/>
                <w:bCs/>
                <w:sz w:val="21"/>
                <w:szCs w:val="21"/>
              </w:rPr>
              <w:t xml:space="preserve"> (2 – 3 July) </w:t>
            </w:r>
          </w:p>
          <w:p w:rsidR="001559EB" w:rsidRPr="001559EB" w:rsidRDefault="00D95AA5" w:rsidP="001559EB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Retreat- biodiversity strategy and business planning </w:t>
            </w:r>
            <w:r w:rsidR="000D5CD5">
              <w:rPr>
                <w:rFonts w:ascii="Times New Roman" w:hAnsi="Times New Roman"/>
                <w:bCs/>
                <w:sz w:val="21"/>
                <w:szCs w:val="21"/>
              </w:rPr>
              <w:t xml:space="preserve">(4 </w:t>
            </w:r>
            <w:r w:rsidR="00B94FC7">
              <w:rPr>
                <w:rFonts w:ascii="Times New Roman" w:hAnsi="Times New Roman"/>
                <w:bCs/>
                <w:sz w:val="21"/>
                <w:szCs w:val="21"/>
              </w:rPr>
              <w:t>–</w:t>
            </w:r>
            <w:r w:rsidR="000D5CD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94FC7">
              <w:rPr>
                <w:rFonts w:ascii="Times New Roman" w:hAnsi="Times New Roman"/>
                <w:bCs/>
                <w:sz w:val="21"/>
                <w:szCs w:val="21"/>
              </w:rPr>
              <w:t xml:space="preserve">6 </w:t>
            </w:r>
            <w:r w:rsidR="001559EB">
              <w:rPr>
                <w:rFonts w:ascii="Times New Roman" w:hAnsi="Times New Roman"/>
                <w:bCs/>
                <w:sz w:val="21"/>
                <w:szCs w:val="21"/>
              </w:rPr>
              <w:t>July)</w:t>
            </w:r>
          </w:p>
        </w:tc>
      </w:tr>
      <w:tr w:rsidR="00CC09A4" w:rsidRPr="00C1798E" w:rsidTr="001559EB">
        <w:trPr>
          <w:trHeight w:val="8595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0D5CD5" w:rsidRPr="000E3686" w:rsidRDefault="00F4201E" w:rsidP="00E27370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E3686">
              <w:rPr>
                <w:rFonts w:ascii="Times New Roman" w:hAnsi="Times New Roman"/>
                <w:b/>
                <w:bCs/>
                <w:sz w:val="21"/>
                <w:szCs w:val="21"/>
              </w:rPr>
              <w:t>Introduction to Carbon Benefits Tools</w:t>
            </w: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 (</w:t>
            </w:r>
            <w:hyperlink r:id="rId10" w:history="1">
              <w:r w:rsidRPr="000E3686">
                <w:rPr>
                  <w:rStyle w:val="Hyperlink"/>
                  <w:rFonts w:ascii="Times New Roman" w:hAnsi="Times New Roman"/>
                  <w:bCs/>
                  <w:color w:val="auto"/>
                  <w:sz w:val="21"/>
                  <w:szCs w:val="21"/>
                </w:rPr>
                <w:t>http://</w:t>
              </w:r>
              <w:proofErr w:type="spellStart"/>
              <w:r w:rsidRPr="000E3686">
                <w:rPr>
                  <w:rStyle w:val="Hyperlink"/>
                  <w:rFonts w:ascii="Times New Roman" w:hAnsi="Times New Roman"/>
                  <w:bCs/>
                  <w:color w:val="auto"/>
                  <w:sz w:val="21"/>
                  <w:szCs w:val="21"/>
                </w:rPr>
                <w:t>www.unep.org</w:t>
              </w:r>
              <w:proofErr w:type="spellEnd"/>
              <w:r w:rsidRPr="000E3686">
                <w:rPr>
                  <w:rStyle w:val="Hyperlink"/>
                  <w:rFonts w:ascii="Times New Roman" w:hAnsi="Times New Roman"/>
                  <w:bCs/>
                  <w:color w:val="auto"/>
                  <w:sz w:val="21"/>
                  <w:szCs w:val="21"/>
                </w:rPr>
                <w:t>/</w:t>
              </w:r>
              <w:proofErr w:type="spellStart"/>
              <w:r w:rsidRPr="000E3686">
                <w:rPr>
                  <w:rStyle w:val="Hyperlink"/>
                  <w:rFonts w:ascii="Times New Roman" w:hAnsi="Times New Roman"/>
                  <w:bCs/>
                  <w:color w:val="auto"/>
                  <w:sz w:val="21"/>
                  <w:szCs w:val="21"/>
                </w:rPr>
                <w:t>climatechange</w:t>
              </w:r>
              <w:proofErr w:type="spellEnd"/>
              <w:r w:rsidRPr="000E3686">
                <w:rPr>
                  <w:rStyle w:val="Hyperlink"/>
                  <w:rFonts w:ascii="Times New Roman" w:hAnsi="Times New Roman"/>
                  <w:bCs/>
                  <w:color w:val="auto"/>
                  <w:sz w:val="21"/>
                  <w:szCs w:val="21"/>
                </w:rPr>
                <w:t>/carbon-benefits/</w:t>
              </w:r>
            </w:hyperlink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:rsidR="00DE3EC2" w:rsidRPr="000E3686" w:rsidRDefault="00DE3EC2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DE3EC2" w:rsidRPr="000E3686" w:rsidRDefault="001E4D2F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“Carbon Benefits Project”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funded by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and implemented by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UNEP</w:t>
            </w:r>
            <w:proofErr w:type="spellEnd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with an aim to develop scientifically rigorous, cost-effective tools to establish carbon benefits of </w:t>
            </w:r>
            <w:r w:rsidR="00DE3EC2" w:rsidRPr="00E27370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sustainable land management</w:t>
            </w:r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(</w:t>
            </w:r>
            <w:proofErr w:type="spellStart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>SLM</w:t>
            </w:r>
            <w:proofErr w:type="spellEnd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>) interventions in terms of protected or enhanced carbon stocks and reduced greenhouse-gas (</w:t>
            </w:r>
            <w:proofErr w:type="spellStart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>GHG</w:t>
            </w:r>
            <w:proofErr w:type="spellEnd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) emissions, has developed a modular, web-based system that allows the user to collate, store, analyze, report and project carbon and total </w:t>
            </w:r>
            <w:proofErr w:type="spellStart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>GHG</w:t>
            </w:r>
            <w:proofErr w:type="spellEnd"/>
            <w:r w:rsidR="00DE3EC2"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benefits in a standard and comprehensive manner.</w:t>
            </w:r>
          </w:p>
          <w:p w:rsidR="00DE3EC2" w:rsidRPr="000E3686" w:rsidRDefault="00DE3EC2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This system intends to estimate and model carbon stocks and flows and 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GHG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emissions under present and alternative management, and to measure and monitors carbon changes under specified land use and management.</w:t>
            </w:r>
          </w:p>
          <w:p w:rsidR="00DE3EC2" w:rsidRPr="000E3686" w:rsidRDefault="00DE3EC2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A standard protocol has been developed that is applicable to all projects involving interventions in natural resources management, such as forestry , agroforestry, agriculture and pasture management in all climate zones, soils types and land uses. The suite of tools, with full instructions on how to use them, is available from this website.</w:t>
            </w:r>
          </w:p>
          <w:p w:rsidR="00DE3EC2" w:rsidRPr="000E3686" w:rsidRDefault="00DE3EC2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The project is being implemented by 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UNEP’s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Division of Global Environment Facility Coordination (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DGEF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) and executed by 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UNEP’s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Division of Early Warning and Assessment (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DEWA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) in association with two scientific consortiums, one led by Colorado State University (CSU) and the other by WWF.</w:t>
            </w:r>
          </w:p>
          <w:p w:rsidR="00DE3EC2" w:rsidRPr="000E3686" w:rsidRDefault="00DE3EC2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The standardized C benefits protocol allows the comparison of different 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SLM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projects by the </w:t>
            </w:r>
            <w:proofErr w:type="spellStart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</w:p>
          <w:p w:rsidR="00DE3EC2" w:rsidRDefault="001E4D2F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 w:rsidR="000E3686" w:rsidRPr="000E3686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0E3686" w:rsidRPr="000E3686">
              <w:rPr>
                <w:rFonts w:ascii="Times New Roman" w:hAnsi="Times New Roman"/>
                <w:bCs/>
                <w:sz w:val="21"/>
                <w:szCs w:val="21"/>
              </w:rPr>
              <w:t xml:space="preserve"> Land Degradation Task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Force (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LDTF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) and </w:t>
            </w:r>
            <w:r w:rsidRPr="001E4D2F">
              <w:rPr>
                <w:rFonts w:ascii="Times New Roman" w:hAnsi="Times New Roman"/>
                <w:bCs/>
                <w:sz w:val="21"/>
                <w:szCs w:val="21"/>
              </w:rPr>
              <w:t>Scientific and Technical Advisory Panel (</w:t>
            </w:r>
            <w:proofErr w:type="spellStart"/>
            <w:r w:rsidRPr="001E4D2F">
              <w:rPr>
                <w:rFonts w:ascii="Times New Roman" w:hAnsi="Times New Roman"/>
                <w:bCs/>
                <w:sz w:val="21"/>
                <w:szCs w:val="21"/>
              </w:rPr>
              <w:t>STAP</w:t>
            </w:r>
            <w:proofErr w:type="spellEnd"/>
            <w:r w:rsidRPr="001E4D2F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will be meeting later this year to determine how these tools will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 adopted by </w:t>
            </w:r>
            <w:proofErr w:type="spellStart"/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be rolled out</w:t>
            </w:r>
            <w:r w:rsidR="00224E9F">
              <w:rPr>
                <w:rFonts w:ascii="Times New Roman" w:hAnsi="Times New Roman"/>
                <w:bCs/>
                <w:sz w:val="21"/>
                <w:szCs w:val="21"/>
              </w:rPr>
              <w:t xml:space="preserve"> into the </w:t>
            </w:r>
            <w:proofErr w:type="spellStart"/>
            <w:r w:rsidR="00224E9F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224E9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programming cycle.</w:t>
            </w:r>
          </w:p>
          <w:p w:rsidR="001E4D2F" w:rsidRDefault="001E4D2F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In light of this,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UNEP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has provided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two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-day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introduction/initial training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for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RTAs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to start incorporating the application of tools into the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project design and to receive feedba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ck on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further improvement and when to apply different tools during project design, implementation and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M&amp;E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CF3B35" w:rsidRDefault="00CF3B35" w:rsidP="00E27370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CF3B35" w:rsidRDefault="00CF3B35" w:rsidP="00E27370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CF3B35">
              <w:rPr>
                <w:rFonts w:ascii="Times New Roman" w:hAnsi="Times New Roman"/>
                <w:b/>
                <w:bCs/>
                <w:sz w:val="21"/>
                <w:szCs w:val="21"/>
              </w:rPr>
              <w:t>UNDP-GEF</w:t>
            </w:r>
            <w:proofErr w:type="spellEnd"/>
            <w:r w:rsidRPr="00CF3B35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Ecosystems and Biodiversity (</w:t>
            </w:r>
            <w:proofErr w:type="spellStart"/>
            <w:r w:rsidRPr="00CF3B35">
              <w:rPr>
                <w:rFonts w:ascii="Times New Roman" w:hAnsi="Times New Roman"/>
                <w:b/>
                <w:bCs/>
                <w:sz w:val="21"/>
                <w:szCs w:val="21"/>
              </w:rPr>
              <w:t>EBD</w:t>
            </w:r>
            <w:proofErr w:type="spellEnd"/>
            <w:r w:rsidRPr="00CF3B35">
              <w:rPr>
                <w:rFonts w:ascii="Times New Roman" w:hAnsi="Times New Roman"/>
                <w:b/>
                <w:bCs/>
                <w:sz w:val="21"/>
                <w:szCs w:val="21"/>
              </w:rPr>
              <w:t>) Team Retreat</w:t>
            </w:r>
          </w:p>
          <w:p w:rsidR="00CF3B35" w:rsidRPr="00CF3B35" w:rsidRDefault="00CF3B35" w:rsidP="00E27370">
            <w:pPr>
              <w:ind w:left="36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This is a biennial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event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of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team to discuss business planning and for knowledge sharing and team building.</w:t>
            </w:r>
          </w:p>
          <w:p w:rsidR="00CF3B35" w:rsidRDefault="00CF3B35" w:rsidP="00E273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Key topics of this retreat included:</w:t>
            </w:r>
          </w:p>
          <w:p w:rsidR="00CF3B35" w:rsidRDefault="00CF3B35" w:rsidP="00E2737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Strategy: new programming opp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ortunities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, strategic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 results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indicators, etc.</w:t>
            </w:r>
          </w:p>
          <w:p w:rsidR="00107804" w:rsidRDefault="00CA4AE9" w:rsidP="00E2737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- 6 and 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implications of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the re-branding</w:t>
            </w:r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process within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UNDP</w:t>
            </w:r>
            <w:proofErr w:type="spellEnd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 xml:space="preserve"> on </w:t>
            </w:r>
            <w:proofErr w:type="spellStart"/>
            <w:r w:rsidR="00107804"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</w:p>
          <w:p w:rsidR="00CF3B35" w:rsidRDefault="00107804" w:rsidP="00E2737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Emerging areas: Access and Benefit Sharing (ABS), resilience and ecosystem-based adaptation, </w:t>
            </w:r>
            <w:r w:rsidR="001559EB">
              <w:rPr>
                <w:rFonts w:ascii="Times New Roman" w:hAnsi="Times New Roman"/>
                <w:bCs/>
                <w:sz w:val="21"/>
                <w:szCs w:val="21"/>
              </w:rPr>
              <w:t xml:space="preserve">BD financing, social and environmental safeguards including </w:t>
            </w:r>
            <w:proofErr w:type="spellStart"/>
            <w:r w:rsidR="001559EB">
              <w:rPr>
                <w:rFonts w:ascii="Times New Roman" w:hAnsi="Times New Roman"/>
                <w:bCs/>
                <w:sz w:val="21"/>
                <w:szCs w:val="21"/>
              </w:rPr>
              <w:t>FPIC</w:t>
            </w:r>
            <w:proofErr w:type="spellEnd"/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, grievance &amp; </w:t>
            </w:r>
            <w:proofErr w:type="spellStart"/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accoutnablity</w:t>
            </w:r>
            <w:proofErr w:type="spellEnd"/>
            <w:r w:rsidR="001559EB">
              <w:rPr>
                <w:rFonts w:ascii="Times New Roman" w:hAnsi="Times New Roman"/>
                <w:bCs/>
                <w:sz w:val="21"/>
                <w:szCs w:val="21"/>
              </w:rPr>
              <w:t>, etc.</w:t>
            </w:r>
          </w:p>
          <w:p w:rsidR="001559EB" w:rsidRPr="00F23276" w:rsidRDefault="001559EB" w:rsidP="00E27370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Operational issues – Project Implementation Review (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PIR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), tracking tools, evaluation, etc.</w:t>
            </w:r>
          </w:p>
        </w:tc>
      </w:tr>
      <w:tr w:rsidR="001559EB" w:rsidRPr="00C1798E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F23276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1559EB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C00E7" w:rsidRPr="008D017C" w:rsidRDefault="001559EB" w:rsidP="00E2737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59EB">
              <w:rPr>
                <w:rFonts w:ascii="Times New Roman" w:hAnsi="Times New Roman"/>
                <w:b/>
                <w:bCs/>
                <w:sz w:val="21"/>
                <w:szCs w:val="21"/>
              </w:rPr>
              <w:t>Introduction to Carbon Benefits Tools</w:t>
            </w:r>
            <w:r w:rsidRPr="001559EB">
              <w:rPr>
                <w:rFonts w:ascii="Times New Roman" w:hAnsi="Times New Roman"/>
                <w:bCs/>
                <w:sz w:val="21"/>
                <w:szCs w:val="21"/>
              </w:rPr>
              <w:t xml:space="preserve">  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>(</w:t>
            </w:r>
            <w:r w:rsidRPr="008D017C">
              <w:rPr>
                <w:rFonts w:ascii="Times New Roman" w:hAnsi="Times New Roman"/>
                <w:bCs/>
                <w:sz w:val="21"/>
                <w:szCs w:val="21"/>
              </w:rPr>
              <w:t>Please see the attached presentations from the training session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>s)</w:t>
            </w:r>
          </w:p>
          <w:p w:rsidR="00F23276" w:rsidRPr="003D2D2F" w:rsidRDefault="00F23276" w:rsidP="00E27370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>There are three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sets of tools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 – modeling tools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, soc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>i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o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-economic tools, and measurement tools, and each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>set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 can be </w:t>
            </w:r>
            <w:r w:rsidR="00480927"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independently 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>used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but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is rather</w:t>
            </w:r>
            <w:r w:rsidRPr="00F23276">
              <w:rPr>
                <w:rFonts w:ascii="Times New Roman" w:hAnsi="Times New Roman"/>
                <w:bCs/>
                <w:sz w:val="21"/>
                <w:szCs w:val="21"/>
              </w:rPr>
              <w:t xml:space="preserve"> designed to supplement each other as a part of the 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integrated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web-based syste</w:t>
            </w:r>
            <w:r w:rsidR="00E27370">
              <w:rPr>
                <w:rFonts w:ascii="Times New Roman" w:hAnsi="Times New Roman"/>
                <w:bCs/>
                <w:sz w:val="21"/>
                <w:szCs w:val="21"/>
              </w:rPr>
              <w:t>m</w:t>
            </w:r>
            <w:r w:rsidR="003D2D2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3D2D2F" w:rsidRPr="003D2D2F" w:rsidRDefault="00A85D06" w:rsidP="00E27370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The assessment tools contain </w:t>
            </w:r>
            <w:r w:rsidR="00E27370">
              <w:rPr>
                <w:rFonts w:ascii="Times New Roman" w:hAnsi="Times New Roman"/>
                <w:bCs/>
                <w:sz w:val="21"/>
                <w:szCs w:val="21"/>
              </w:rPr>
              <w:t>three levels</w:t>
            </w:r>
            <w:r w:rsidR="00CA4AE9">
              <w:rPr>
                <w:rFonts w:ascii="Times New Roman" w:hAnsi="Times New Roman"/>
                <w:bCs/>
                <w:sz w:val="21"/>
                <w:szCs w:val="21"/>
              </w:rPr>
              <w:t xml:space="preserve"> of assessment</w:t>
            </w:r>
            <w:r w:rsidR="00E27370">
              <w:rPr>
                <w:rFonts w:ascii="Times New Roman" w:hAnsi="Times New Roman"/>
                <w:bCs/>
                <w:sz w:val="21"/>
                <w:szCs w:val="21"/>
              </w:rPr>
              <w:t xml:space="preserve"> – simple, detailed and dynamic – which correspond to the </w:t>
            </w:r>
            <w:proofErr w:type="spellStart"/>
            <w:r w:rsidR="00E27370">
              <w:rPr>
                <w:rFonts w:ascii="Times New Roman" w:hAnsi="Times New Roman"/>
                <w:bCs/>
                <w:sz w:val="21"/>
                <w:szCs w:val="21"/>
              </w:rPr>
              <w:t>IPCC</w:t>
            </w:r>
            <w:proofErr w:type="spellEnd"/>
            <w:r w:rsidR="00E2737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27370">
              <w:rPr>
                <w:rFonts w:ascii="Times New Roman" w:hAnsi="Times New Roman"/>
                <w:bCs/>
                <w:sz w:val="21"/>
                <w:szCs w:val="21"/>
              </w:rPr>
              <w:t>GPG</w:t>
            </w:r>
            <w:proofErr w:type="spellEnd"/>
            <w:r w:rsidR="00E27370">
              <w:rPr>
                <w:rFonts w:ascii="Times New Roman" w:hAnsi="Times New Roman"/>
                <w:bCs/>
                <w:sz w:val="21"/>
                <w:szCs w:val="21"/>
              </w:rPr>
              <w:t xml:space="preserve"> Tier 1, 2 and 3 methodologies respectively</w:t>
            </w:r>
            <w:r w:rsidR="003D2D2F">
              <w:rPr>
                <w:rFonts w:ascii="Times New Roman" w:hAnsi="Times New Roman"/>
                <w:bCs/>
                <w:sz w:val="21"/>
                <w:szCs w:val="21"/>
              </w:rPr>
              <w:t xml:space="preserve"> to estimate carbon benefits</w:t>
            </w:r>
            <w:r w:rsidR="00224E9F">
              <w:rPr>
                <w:rFonts w:ascii="Times New Roman" w:hAnsi="Times New Roman"/>
                <w:bCs/>
                <w:sz w:val="21"/>
                <w:szCs w:val="21"/>
              </w:rPr>
              <w:t xml:space="preserve"> including major </w:t>
            </w:r>
            <w:proofErr w:type="spellStart"/>
            <w:r w:rsidR="00224E9F">
              <w:rPr>
                <w:rFonts w:ascii="Times New Roman" w:hAnsi="Times New Roman"/>
                <w:bCs/>
                <w:sz w:val="21"/>
                <w:szCs w:val="21"/>
              </w:rPr>
              <w:t>GHGs</w:t>
            </w:r>
            <w:proofErr w:type="spellEnd"/>
            <w:r w:rsidR="003D2D2F">
              <w:rPr>
                <w:rFonts w:ascii="Times New Roman" w:hAnsi="Times New Roman"/>
                <w:bCs/>
                <w:sz w:val="21"/>
                <w:szCs w:val="21"/>
              </w:rPr>
              <w:t xml:space="preserve"> from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>forest and agricultural landscapes</w:t>
            </w:r>
            <w:r w:rsidR="003D2D2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224E9F" w:rsidRPr="004B17E0" w:rsidRDefault="00224E9F" w:rsidP="00224E9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The simple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(Tier 1)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assessment uses the growth-loss method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IPCC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definition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of forest. All three levels of assessment produce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report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using a table by emission factors prepared by </w:t>
            </w:r>
            <w:proofErr w:type="spellStart"/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UNFCCC</w:t>
            </w:r>
            <w:proofErr w:type="spellEnd"/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as a result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4B17E0">
              <w:rPr>
                <w:rFonts w:ascii="Times New Roman" w:hAnsi="Times New Roman"/>
                <w:bCs/>
                <w:sz w:val="21"/>
                <w:szCs w:val="21"/>
              </w:rPr>
              <w:t xml:space="preserve">As 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more detailed and site specific information</w:t>
            </w:r>
            <w:r w:rsidR="004B17E0">
              <w:rPr>
                <w:rFonts w:ascii="Times New Roman" w:hAnsi="Times New Roman"/>
                <w:bCs/>
                <w:sz w:val="21"/>
                <w:szCs w:val="21"/>
              </w:rPr>
              <w:t xml:space="preserve"> become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="004B17E0">
              <w:rPr>
                <w:rFonts w:ascii="Times New Roman" w:hAnsi="Times New Roman"/>
                <w:bCs/>
                <w:sz w:val="21"/>
                <w:szCs w:val="21"/>
              </w:rPr>
              <w:t xml:space="preserve"> available (</w:t>
            </w:r>
            <w:proofErr w:type="spellStart"/>
            <w:r w:rsidR="004B17E0">
              <w:rPr>
                <w:rFonts w:ascii="Times New Roman" w:hAnsi="Times New Roman"/>
                <w:bCs/>
                <w:sz w:val="21"/>
                <w:szCs w:val="21"/>
              </w:rPr>
              <w:t>e.g</w:t>
            </w:r>
            <w:proofErr w:type="spellEnd"/>
            <w:r w:rsidR="004B17E0">
              <w:rPr>
                <w:rFonts w:ascii="Times New Roman" w:hAnsi="Times New Roman"/>
                <w:bCs/>
                <w:sz w:val="21"/>
                <w:szCs w:val="21"/>
              </w:rPr>
              <w:t>, species, carbon density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data</w:t>
            </w:r>
            <w:r w:rsidR="004B17E0">
              <w:rPr>
                <w:rFonts w:ascii="Times New Roman" w:hAnsi="Times New Roman"/>
                <w:bCs/>
                <w:sz w:val="21"/>
                <w:szCs w:val="21"/>
              </w:rPr>
              <w:t>, cropping cycles, etc.), a user can move up the assessment level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to generate more accurate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and precise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results</w:t>
            </w:r>
            <w:r w:rsidR="004B17E0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</w:p>
          <w:p w:rsidR="004B17E0" w:rsidRPr="00804577" w:rsidRDefault="004B17E0" w:rsidP="00224E9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easurement tools include 19 tools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including tools on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sample plot measurement, project planning, CO</w:t>
            </w:r>
            <w:r>
              <w:rPr>
                <w:rFonts w:ascii="Times New Roman" w:hAnsi="Times New Roman"/>
                <w:bCs/>
                <w:sz w:val="20"/>
                <w:szCs w:val="21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and non- CO</w:t>
            </w:r>
            <w:r>
              <w:rPr>
                <w:rFonts w:ascii="Times New Roman" w:hAnsi="Times New Roman"/>
                <w:bCs/>
                <w:sz w:val="20"/>
                <w:szCs w:val="21"/>
                <w:vertAlign w:val="subscript"/>
              </w:rPr>
              <w:t xml:space="preserve">2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measurement and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participatory measurement,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and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guidelines to meet different carbon stand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>ard and</w:t>
            </w:r>
            <w:r w:rsidR="00804577">
              <w:rPr>
                <w:rFonts w:ascii="Times New Roman" w:hAnsi="Times New Roman"/>
                <w:bCs/>
                <w:sz w:val="21"/>
                <w:szCs w:val="21"/>
              </w:rPr>
              <w:t xml:space="preserve"> on developing algometric equations, etc.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 (optional tools ) </w:t>
            </w:r>
          </w:p>
          <w:p w:rsidR="00804577" w:rsidRPr="00214B7E" w:rsidRDefault="00804577" w:rsidP="00224E9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ocio-economic tools support cost-benefit analysis/estimation of opportunity costs based on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the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Driver-Impact-Response Analysis to 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assist a decision making process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 (optional tools)</w:t>
            </w:r>
          </w:p>
          <w:p w:rsidR="00214B7E" w:rsidRPr="009D4E0B" w:rsidRDefault="00214B7E" w:rsidP="00224E9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The assessment tools use a non-spatially explicit 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map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based on the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>Google-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map as it is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purely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used for a location identification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purpose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while the measurement tools can incorporate different geographical data resolution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and types (Landsat,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LIDAR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etc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to carry out different spatial analyses.</w:t>
            </w:r>
          </w:p>
          <w:p w:rsidR="009D4E0B" w:rsidRPr="00CA4AE9" w:rsidRDefault="009D4E0B" w:rsidP="00224E9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As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all of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these tools are intended to be applied at a site specific level and not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explicitly </w:t>
            </w:r>
            <w:proofErr w:type="spellStart"/>
            <w:r w:rsidR="00480927">
              <w:rPr>
                <w:rFonts w:ascii="Times New Roman" w:hAnsi="Times New Roman"/>
                <w:bCs/>
                <w:sz w:val="21"/>
                <w:szCs w:val="21"/>
              </w:rPr>
              <w:t>desgined</w:t>
            </w:r>
            <w:proofErr w:type="spellEnd"/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 to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meet any carbon standards, the determination of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BAU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or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REL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RL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is not rigorous and is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mainly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based on what is observed at the time of</w:t>
            </w:r>
            <w:r w:rsidR="00480927">
              <w:rPr>
                <w:rFonts w:ascii="Times New Roman" w:hAnsi="Times New Roman"/>
                <w:bCs/>
                <w:sz w:val="21"/>
                <w:szCs w:val="21"/>
              </w:rPr>
              <w:t xml:space="preserve"> the </w:t>
            </w:r>
            <w:r w:rsidR="00635A30">
              <w:rPr>
                <w:rFonts w:ascii="Times New Roman" w:hAnsi="Times New Roman"/>
                <w:bCs/>
                <w:sz w:val="21"/>
                <w:szCs w:val="21"/>
              </w:rPr>
              <w:t xml:space="preserve">tool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application in terms of activity data and emission factors.</w:t>
            </w:r>
          </w:p>
          <w:p w:rsidR="00804577" w:rsidRDefault="00804577" w:rsidP="00804577">
            <w:pPr>
              <w:ind w:left="39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0D2B9B" w:rsidRPr="00804577" w:rsidRDefault="000D2B9B" w:rsidP="000D2B9B">
            <w:pPr>
              <w:ind w:left="39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Key points:</w:t>
            </w:r>
          </w:p>
          <w:p w:rsidR="003D2D2F" w:rsidRPr="000D2B9B" w:rsidRDefault="008D32AE" w:rsidP="003D2D2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So far,</w:t>
            </w:r>
            <w:r w:rsidR="000D2B9B"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se</w:t>
            </w:r>
            <w:r w:rsidR="000D2B9B">
              <w:rPr>
                <w:rFonts w:ascii="Times New Roman" w:hAnsi="Times New Roman"/>
                <w:bCs/>
                <w:sz w:val="21"/>
                <w:szCs w:val="21"/>
              </w:rPr>
              <w:t xml:space="preserve"> tools are only designed to support </w:t>
            </w:r>
            <w:proofErr w:type="spellStart"/>
            <w:r w:rsidR="000D2B9B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0D2B9B">
              <w:rPr>
                <w:rFonts w:ascii="Times New Roman" w:hAnsi="Times New Roman"/>
                <w:bCs/>
                <w:sz w:val="21"/>
                <w:szCs w:val="21"/>
              </w:rPr>
              <w:t xml:space="preserve"> project design and implementation in the area of sustainable land management </w:t>
            </w:r>
            <w:r w:rsidR="000D2B9B" w:rsidRPr="00000789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at a site level</w:t>
            </w:r>
            <w:r w:rsidR="000D2B9B">
              <w:rPr>
                <w:rFonts w:ascii="Times New Roman" w:hAnsi="Times New Roman"/>
                <w:bCs/>
                <w:sz w:val="21"/>
                <w:szCs w:val="21"/>
              </w:rPr>
              <w:t xml:space="preserve">, and mainly to focus on carbon as a co-benefit, not 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>a</w:t>
            </w:r>
            <w:r w:rsidR="000D2B9B">
              <w:rPr>
                <w:rFonts w:ascii="Times New Roman" w:hAnsi="Times New Roman"/>
                <w:bCs/>
                <w:sz w:val="21"/>
                <w:szCs w:val="21"/>
              </w:rPr>
              <w:t xml:space="preserve"> primary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 xml:space="preserve"> benefit</w:t>
            </w:r>
            <w:r w:rsidR="00430ECB">
              <w:rPr>
                <w:rFonts w:ascii="Times New Roman" w:hAnsi="Times New Roman"/>
                <w:bCs/>
                <w:sz w:val="21"/>
                <w:szCs w:val="21"/>
              </w:rPr>
              <w:t xml:space="preserve"> of the project</w:t>
            </w:r>
            <w:r w:rsidR="000D2B9B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1B708F" w:rsidRPr="00B95F90" w:rsidRDefault="000D2B9B" w:rsidP="00B95F90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Alignment with national 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(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>sector-based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B95F90">
              <w:rPr>
                <w:rFonts w:ascii="Times New Roman" w:hAnsi="Times New Roman"/>
                <w:bCs/>
                <w:sz w:val="21"/>
                <w:szCs w:val="21"/>
              </w:rPr>
              <w:t>emission target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(</w:t>
            </w:r>
            <w:r w:rsidRPr="00B95F90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  <w:r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and </w:t>
            </w:r>
            <w:proofErr w:type="spellStart"/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>+ processes</w:t>
            </w:r>
            <w:r w:rsidR="00000789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(e.g., linking up with a national </w:t>
            </w:r>
            <w:proofErr w:type="spellStart"/>
            <w:r w:rsidR="00000789" w:rsidRPr="00B95F90">
              <w:rPr>
                <w:rFonts w:ascii="Times New Roman" w:hAnsi="Times New Roman"/>
                <w:bCs/>
                <w:sz w:val="21"/>
                <w:szCs w:val="21"/>
              </w:rPr>
              <w:t>GHG</w:t>
            </w:r>
            <w:proofErr w:type="spellEnd"/>
            <w:r w:rsidR="00000789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inventory, 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a </w:t>
            </w:r>
            <w:r w:rsidR="00000789" w:rsidRPr="00B95F90">
              <w:rPr>
                <w:rFonts w:ascii="Times New Roman" w:hAnsi="Times New Roman"/>
                <w:bCs/>
                <w:sz w:val="21"/>
                <w:szCs w:val="21"/>
              </w:rPr>
              <w:t>nested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MRV</w:t>
            </w:r>
            <w:proofErr w:type="spellEnd"/>
            <w:r w:rsidR="00000789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approach</w:t>
            </w:r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where exist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to ensure the coherence and relevance </w:t>
            </w:r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of the </w:t>
            </w:r>
            <w:proofErr w:type="spellStart"/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>SFM</w:t>
            </w:r>
            <w:proofErr w:type="spellEnd"/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projects designed </w:t>
            </w:r>
            <w:r w:rsidR="00F40818" w:rsidRPr="00B95F90">
              <w:rPr>
                <w:rFonts w:ascii="Times New Roman" w:hAnsi="Times New Roman"/>
                <w:bCs/>
                <w:sz w:val="21"/>
                <w:szCs w:val="21"/>
              </w:rPr>
              <w:t>with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these tools remains to be a challenge.  At the same time, </w:t>
            </w:r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such projects present opportunities to generate useful 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lessons </w:t>
            </w:r>
            <w:r w:rsidR="001B708F" w:rsidRPr="00B95F90">
              <w:rPr>
                <w:rFonts w:ascii="Times New Roman" w:hAnsi="Times New Roman"/>
                <w:bCs/>
                <w:sz w:val="21"/>
                <w:szCs w:val="21"/>
              </w:rPr>
              <w:t>to inform</w:t>
            </w:r>
            <w:r w:rsidR="00BC52D5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a national level process.</w:t>
            </w:r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Therefore, increased coordination between </w:t>
            </w:r>
            <w:proofErr w:type="spellStart"/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and UN-</w:t>
            </w:r>
            <w:proofErr w:type="spellStart"/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B95F90" w:rsidRPr="00B95F90">
              <w:rPr>
                <w:rFonts w:ascii="Times New Roman" w:hAnsi="Times New Roman"/>
                <w:bCs/>
                <w:sz w:val="21"/>
                <w:szCs w:val="21"/>
              </w:rPr>
              <w:t xml:space="preserve"> team will be critical – Adriana agrees that this will be an important point.  </w:t>
            </w:r>
            <w:proofErr w:type="spellStart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>Nik</w:t>
            </w:r>
            <w:proofErr w:type="spellEnd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 also agrees that </w:t>
            </w:r>
            <w:proofErr w:type="spellStart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>SFM</w:t>
            </w:r>
            <w:proofErr w:type="spellEnd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 projects should take on demonstration activities for </w:t>
            </w:r>
            <w:proofErr w:type="spellStart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 w:rsidR="00B95F90">
              <w:rPr>
                <w:rFonts w:ascii="Times New Roman" w:hAnsi="Times New Roman"/>
                <w:bCs/>
                <w:sz w:val="21"/>
                <w:szCs w:val="21"/>
              </w:rPr>
              <w:t>+ where makes sense.</w:t>
            </w:r>
          </w:p>
          <w:p w:rsidR="00000789" w:rsidRPr="001B708F" w:rsidRDefault="00000789" w:rsidP="003D2D2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1B708F"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plans to apply the simple assessment (Tier 1) at the project design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phase</w:t>
            </w:r>
            <w:r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and hopes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to move up to the</w:t>
            </w:r>
            <w:r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detailed assessment (Tier 2) during </w:t>
            </w:r>
            <w:proofErr w:type="spellStart"/>
            <w:r w:rsidRPr="001B708F">
              <w:rPr>
                <w:rFonts w:ascii="Times New Roman" w:hAnsi="Times New Roman"/>
                <w:bCs/>
                <w:sz w:val="21"/>
                <w:szCs w:val="21"/>
              </w:rPr>
              <w:t>M&amp;E</w:t>
            </w:r>
            <w:proofErr w:type="spellEnd"/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; however,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data collection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and access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will likely be a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main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challenge financially and technically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It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will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largely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depend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on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the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available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of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data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at the project site,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therefore, it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would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be important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for these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p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roject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s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to establish s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trong linkages 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 xml:space="preserve">with national/local institutions and other relevant </w:t>
            </w:r>
            <w:r w:rsidR="00F40818" w:rsidRPr="001B708F">
              <w:rPr>
                <w:rFonts w:ascii="Times New Roman" w:hAnsi="Times New Roman"/>
                <w:bCs/>
                <w:sz w:val="21"/>
                <w:szCs w:val="21"/>
              </w:rPr>
              <w:t>initiatives to cost-effectively attain and generate necessary data at Tier 2 level</w:t>
            </w:r>
            <w:r w:rsidR="00824A1A" w:rsidRPr="001B708F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BC52D5" w:rsidRPr="00BC52D5" w:rsidRDefault="005F4A1B" w:rsidP="003D2D2F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In using these tools to design a project, a clear objective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as to why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identifying carbon benefits should be defined 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>from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 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 xml:space="preserve">outset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in order 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 xml:space="preserve">to determine 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whether a project 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>will be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a carbon project or</w:t>
            </w:r>
            <w:r w:rsidR="00F40818">
              <w:rPr>
                <w:rFonts w:ascii="Times New Roman" w:hAnsi="Times New Roman"/>
                <w:bCs/>
                <w:sz w:val="21"/>
                <w:szCs w:val="21"/>
              </w:rPr>
              <w:t xml:space="preserve"> is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simply after carbon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as a 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>co-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benefit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and that would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help establish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the level of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quality assurance and 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complexity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the project requires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– addressing leakage, additionally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, permanence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issues and compliance with standards, etc. 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In this regards, </w:t>
            </w:r>
            <w:proofErr w:type="spellStart"/>
            <w:r w:rsidR="00000789">
              <w:rPr>
                <w:rFonts w:ascii="Times New Roman" w:hAnsi="Times New Roman"/>
                <w:bCs/>
                <w:sz w:val="21"/>
                <w:szCs w:val="21"/>
              </w:rPr>
              <w:t>UNDP</w:t>
            </w:r>
            <w:proofErr w:type="spellEnd"/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000789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seems not so interested in developing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a carbon project but rather to generate carbon co-benefits.</w:t>
            </w:r>
            <w:r w:rsidR="0000078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  <w:p w:rsidR="00214B7E" w:rsidRPr="00CA4AE9" w:rsidRDefault="00824A1A" w:rsidP="00CA4AE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As these tools are currently being rolled out, the present focus is very much on project design.  Therefore, the main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target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users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at the moment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are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RTAs</w:t>
            </w:r>
            <w:proofErr w:type="spellEnd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and consultants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but making these tools accessible by national institutions, providing them with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necessary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training and 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asking for feedback as well as establishing linkages between these tools and national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ly available data and systems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(</w:t>
            </w:r>
            <w:proofErr w:type="spellStart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GHG</w:t>
            </w:r>
            <w:proofErr w:type="spellEnd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and forest inventories, </w:t>
            </w:r>
            <w:proofErr w:type="spellStart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MRV</w:t>
            </w:r>
            <w:proofErr w:type="spellEnd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proofErr w:type="spellStart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NFI</w:t>
            </w:r>
            <w:proofErr w:type="spellEnd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systems, socio-economic data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base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will ensure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greater impacts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 in a long run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in terms of capacity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transfer, 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national ownership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 xml:space="preserve"> and </w:t>
            </w:r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capacity to monitor </w:t>
            </w:r>
            <w:r w:rsidR="001B708F">
              <w:rPr>
                <w:rFonts w:ascii="Times New Roman" w:hAnsi="Times New Roman"/>
                <w:bCs/>
                <w:sz w:val="21"/>
                <w:szCs w:val="21"/>
              </w:rPr>
              <w:t>mitigation</w:t>
            </w:r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 actions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 </w:t>
            </w:r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This may happen later once these tools are fully rolled out into the </w:t>
            </w:r>
            <w:proofErr w:type="spellStart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214B7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programming cycle. </w:t>
            </w:r>
          </w:p>
          <w:p w:rsidR="00F23276" w:rsidRPr="009D4E0B" w:rsidRDefault="00F23276" w:rsidP="009D4E0B">
            <w:pPr>
              <w:pStyle w:val="ListParagraph"/>
              <w:ind w:left="750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C00E7" w:rsidRDefault="007C00E7" w:rsidP="00E2737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7C00E7">
              <w:rPr>
                <w:rFonts w:ascii="Times New Roman" w:hAnsi="Times New Roman"/>
                <w:b/>
                <w:bCs/>
                <w:sz w:val="21"/>
                <w:szCs w:val="21"/>
              </w:rPr>
              <w:t>UNDP-GEF</w:t>
            </w:r>
            <w:proofErr w:type="spellEnd"/>
            <w:r w:rsidRPr="007C00E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EBD</w:t>
            </w:r>
            <w:proofErr w:type="spellEnd"/>
            <w:r w:rsidRPr="007C00E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Team Retreat</w:t>
            </w:r>
          </w:p>
          <w:p w:rsidR="005355F1" w:rsidRDefault="005355F1" w:rsidP="00E27370">
            <w:pPr>
              <w:pStyle w:val="ListParagraph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C00E7" w:rsidRPr="007C00E7" w:rsidRDefault="007C00E7" w:rsidP="00E2737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Due to time constraints, the presentation on the UN-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was canceled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; however, the issues of coordination and collaboration between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UNDP-GEF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(i.e.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SFM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programming) and UN-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were strongly emphasized where and when appropriate throughout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the week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</w:p>
          <w:p w:rsidR="007C00E7" w:rsidRPr="007C00E7" w:rsidRDefault="007C00E7" w:rsidP="00E2737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Some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RTAs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particularly those who have worked with the UN-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95F90">
              <w:rPr>
                <w:rFonts w:ascii="Times New Roman" w:hAnsi="Times New Roman"/>
                <w:bCs/>
                <w:sz w:val="21"/>
                <w:szCs w:val="21"/>
              </w:rPr>
              <w:t xml:space="preserve">previously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ha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ve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also indicated the need to work closer with the UN-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to carry out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joint programming at the national level (i.e.,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 ensuring a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programmatic approach and 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>system-wide coherence at the national scale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) and knowledge sharing</w:t>
            </w:r>
            <w:r w:rsidR="00261FB3">
              <w:rPr>
                <w:rFonts w:ascii="Times New Roman" w:hAnsi="Times New Roman"/>
                <w:bCs/>
                <w:sz w:val="21"/>
                <w:szCs w:val="21"/>
              </w:rPr>
              <w:t xml:space="preserve"> and mainstreaming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in specific areas (e.g.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FPIC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safeguards,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etc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>).</w:t>
            </w:r>
          </w:p>
          <w:p w:rsidR="005355F1" w:rsidRPr="005355F1" w:rsidRDefault="007C00E7" w:rsidP="00E2737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UNDP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Strategy covers</w:t>
            </w:r>
            <w:r w:rsidR="00F16A9C">
              <w:rPr>
                <w:rFonts w:ascii="Times New Roman" w:hAnsi="Times New Roman"/>
                <w:bCs/>
                <w:sz w:val="21"/>
                <w:szCs w:val="21"/>
              </w:rPr>
              <w:t xml:space="preserve"> three key areas of work: 1) biodiversity mainstreaming; 2) protected areas; and 3) ecosystem-based adaptation and mitigation.  </w:t>
            </w:r>
            <w:r w:rsidR="005355F1">
              <w:rPr>
                <w:rFonts w:ascii="Times New Roman" w:hAnsi="Times New Roman"/>
                <w:bCs/>
                <w:sz w:val="21"/>
                <w:szCs w:val="21"/>
              </w:rPr>
              <w:t>Based on the discussions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 xml:space="preserve"> we had </w:t>
            </w:r>
            <w:r w:rsidR="005355F1">
              <w:rPr>
                <w:rFonts w:ascii="Times New Roman" w:hAnsi="Times New Roman"/>
                <w:bCs/>
                <w:sz w:val="21"/>
                <w:szCs w:val="21"/>
              </w:rPr>
              <w:t>during the retreat, the Strategy may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 xml:space="preserve"> seem </w:t>
            </w:r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to include</w:t>
            </w:r>
            <w:r w:rsidR="005355F1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the work of PEI, UN-</w:t>
            </w:r>
            <w:proofErr w:type="spellStart"/>
            <w:r w:rsidR="005355F1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REDD</w:t>
            </w:r>
            <w:proofErr w:type="spellEnd"/>
            <w:r w:rsidR="005355F1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and </w:t>
            </w:r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some </w:t>
            </w:r>
            <w:r w:rsidR="005355F1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others </w:t>
            </w:r>
            <w:r w:rsidR="00B95F90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not directly covered by the</w:t>
            </w:r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>EBD</w:t>
            </w:r>
            <w:proofErr w:type="spellEnd"/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team, particularly in the strategic</w:t>
            </w:r>
            <w:r w:rsidR="00B95F90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results</w:t>
            </w:r>
            <w:r w:rsidR="008D017C" w:rsidRPr="004F508A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indicators.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 xml:space="preserve">  Therefore, better coordination with other related teams regarding roles and responsibilities might be necessary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>.</w:t>
            </w:r>
            <w:r w:rsidR="008D017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  <w:p w:rsidR="007C00E7" w:rsidRPr="007C00E7" w:rsidRDefault="007C00E7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A62CBB" w:rsidTr="001559EB">
        <w:trPr>
          <w:trHeight w:val="1862"/>
        </w:trPr>
        <w:tc>
          <w:tcPr>
            <w:tcW w:w="783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CC09A4" w:rsidRPr="001512E1" w:rsidRDefault="00CC09A4" w:rsidP="00E27370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5D6F41" w:rsidRDefault="005D6F41" w:rsidP="00B95F90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4F508A" w:rsidRPr="004F508A" w:rsidRDefault="00B95F90" w:rsidP="004F508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Follow up with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team from the HQ level 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>to promote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better coordination and collaboration between the two teams to deliver most coherent and relevant support actions at the national level. </w:t>
            </w:r>
          </w:p>
          <w:p w:rsidR="00B95F90" w:rsidRDefault="00B95F90" w:rsidP="001B708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Follow up on the Carbon Benefits Tools finalization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 xml:space="preserve"> and roll-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>out process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>es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with the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EBD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team 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>to provide technical inputs – as this tool might be used effectively to build national capacity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>,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 xml:space="preserve"> not just the capacity of the </w:t>
            </w:r>
            <w:proofErr w:type="spellStart"/>
            <w:r w:rsidR="009C1B7E">
              <w:rPr>
                <w:rFonts w:ascii="Times New Roman" w:hAnsi="Times New Roman"/>
                <w:bCs/>
                <w:sz w:val="21"/>
                <w:szCs w:val="21"/>
              </w:rPr>
              <w:t>GEF</w:t>
            </w:r>
            <w:proofErr w:type="spellEnd"/>
            <w:r w:rsidR="009C1B7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="004F508A">
              <w:rPr>
                <w:rFonts w:ascii="Times New Roman" w:hAnsi="Times New Roman"/>
                <w:bCs/>
                <w:sz w:val="21"/>
                <w:szCs w:val="21"/>
              </w:rPr>
              <w:t>Agencies,</w:t>
            </w:r>
            <w:proofErr w:type="gramEnd"/>
            <w:r w:rsidR="009C1B7E">
              <w:rPr>
                <w:rFonts w:ascii="Times New Roman" w:hAnsi="Times New Roman"/>
                <w:bCs/>
                <w:sz w:val="21"/>
                <w:szCs w:val="21"/>
              </w:rPr>
              <w:t xml:space="preserve"> and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 xml:space="preserve"> for</w:t>
            </w:r>
            <w:r w:rsidR="009C1B7E">
              <w:rPr>
                <w:rFonts w:ascii="Times New Roman" w:hAnsi="Times New Roman"/>
                <w:bCs/>
                <w:sz w:val="21"/>
                <w:szCs w:val="21"/>
              </w:rPr>
              <w:t xml:space="preserve"> effective use of locally </w:t>
            </w:r>
            <w:r w:rsidR="004F508A">
              <w:rPr>
                <w:rFonts w:ascii="Times New Roman" w:hAnsi="Times New Roman"/>
                <w:bCs/>
                <w:sz w:val="21"/>
                <w:szCs w:val="21"/>
              </w:rPr>
              <w:t xml:space="preserve">available information and capacity. </w:t>
            </w:r>
          </w:p>
          <w:p w:rsidR="004F508A" w:rsidRPr="004F508A" w:rsidRDefault="004F508A" w:rsidP="004F508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Promote integrated planning of activities at the regional and country office levels to promote effective and strategic use of international financing to achieve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+ Readiness cost-effectively. </w:t>
            </w:r>
            <w:bookmarkStart w:id="0" w:name="_GoBack"/>
            <w:bookmarkEnd w:id="0"/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1512E1" w:rsidRDefault="00A62CBB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A62CBB" w:rsidRPr="00A62CBB" w:rsidRDefault="00A62CBB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>Tim Clairs, UN-</w:t>
            </w:r>
            <w:proofErr w:type="spellStart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>REDD</w:t>
            </w:r>
            <w:proofErr w:type="spellEnd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>UNDP</w:t>
            </w:r>
            <w:proofErr w:type="spellEnd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PTA</w:t>
            </w:r>
          </w:p>
          <w:p w:rsidR="00A62CBB" w:rsidRDefault="00A62CBB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Kimberly Todd, UN-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REDD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UNDP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MRV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Specialist </w:t>
            </w:r>
          </w:p>
          <w:p w:rsidR="00A62CBB" w:rsidRDefault="00A62CBB" w:rsidP="00E27370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62CBB" w:rsidRPr="00A62CBB" w:rsidRDefault="00A62CBB" w:rsidP="00E27370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A62CBB">
              <w:rPr>
                <w:rFonts w:ascii="Times New Roman" w:hAnsi="Times New Roman"/>
                <w:b/>
                <w:sz w:val="21"/>
                <w:szCs w:val="21"/>
              </w:rPr>
              <w:t>UN-</w:t>
            </w:r>
            <w:proofErr w:type="spellStart"/>
            <w:r w:rsidRPr="00A62CBB">
              <w:rPr>
                <w:rFonts w:ascii="Times New Roman" w:hAnsi="Times New Roman"/>
                <w:b/>
                <w:sz w:val="21"/>
                <w:szCs w:val="21"/>
              </w:rPr>
              <w:t>REDD</w:t>
            </w:r>
            <w:proofErr w:type="spellEnd"/>
            <w:r w:rsidRPr="00A62CB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62CBB">
              <w:rPr>
                <w:rFonts w:ascii="Times New Roman" w:hAnsi="Times New Roman"/>
                <w:b/>
                <w:sz w:val="21"/>
                <w:szCs w:val="21"/>
              </w:rPr>
              <w:t>UNDP</w:t>
            </w:r>
            <w:proofErr w:type="spellEnd"/>
            <w:r w:rsidRPr="00A62CB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A62CBB">
              <w:rPr>
                <w:rFonts w:ascii="Times New Roman" w:hAnsi="Times New Roman"/>
                <w:b/>
                <w:sz w:val="21"/>
                <w:szCs w:val="21"/>
              </w:rPr>
              <w:t>RTAs</w:t>
            </w:r>
            <w:proofErr w:type="spellEnd"/>
          </w:p>
          <w:p w:rsidR="00A62CBB" w:rsidRPr="00A62CBB" w:rsidRDefault="00A62CBB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Tim Boyle</w:t>
            </w:r>
          </w:p>
          <w:p w:rsidR="00A62CBB" w:rsidRPr="00A62CBB" w:rsidRDefault="00A62CBB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Josep Gari </w:t>
            </w:r>
            <w:r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 </w:t>
            </w:r>
          </w:p>
          <w:p w:rsidR="00854CBC" w:rsidRPr="00A62CBB" w:rsidRDefault="00A62CBB" w:rsidP="00E27370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  <w:lang w:val="fr-FR"/>
              </w:rPr>
            </w:pPr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Pierre-Yves </w:t>
            </w:r>
            <w:proofErr w:type="spellStart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>GUEDEZ</w:t>
            </w:r>
            <w:proofErr w:type="spellEnd"/>
            <w:r w:rsidRPr="00A62CBB"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fr-FR"/>
              </w:rPr>
              <w:t xml:space="preserve"> </w:t>
            </w:r>
          </w:p>
        </w:tc>
      </w:tr>
    </w:tbl>
    <w:p w:rsidR="006E37B8" w:rsidRPr="00A62CBB" w:rsidRDefault="006E37B8" w:rsidP="005C634E">
      <w:pPr>
        <w:rPr>
          <w:szCs w:val="40"/>
          <w:lang w:val="fr-FR"/>
        </w:rPr>
      </w:pPr>
    </w:p>
    <w:p w:rsidR="006E37B8" w:rsidRPr="00A62CBB" w:rsidRDefault="006E37B8">
      <w:pPr>
        <w:rPr>
          <w:szCs w:val="40"/>
          <w:lang w:val="fr-FR"/>
        </w:rPr>
      </w:pPr>
    </w:p>
    <w:sectPr w:rsidR="006E37B8" w:rsidRPr="00A62CBB" w:rsidSect="00B3001F">
      <w:footerReference w:type="default" r:id="rId11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B9" w:rsidRDefault="00344EB9" w:rsidP="005D765E">
      <w:r>
        <w:separator/>
      </w:r>
    </w:p>
  </w:endnote>
  <w:endnote w:type="continuationSeparator" w:id="0">
    <w:p w:rsidR="00344EB9" w:rsidRDefault="00344EB9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B708F" w:rsidRPr="00534110" w:rsidRDefault="001B708F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4F508A">
          <w:rPr>
            <w:rFonts w:ascii="Times New Roman" w:hAnsi="Times New Roman"/>
            <w:noProof/>
            <w:sz w:val="20"/>
          </w:rPr>
          <w:t>3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1B708F" w:rsidRDefault="001B7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B9" w:rsidRDefault="00344EB9" w:rsidP="005D765E">
      <w:r>
        <w:separator/>
      </w:r>
    </w:p>
  </w:footnote>
  <w:footnote w:type="continuationSeparator" w:id="0">
    <w:p w:rsidR="00344EB9" w:rsidRDefault="00344EB9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4E4"/>
    <w:multiLevelType w:val="hybridMultilevel"/>
    <w:tmpl w:val="EA6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2334"/>
    <w:multiLevelType w:val="hybridMultilevel"/>
    <w:tmpl w:val="9572B6A0"/>
    <w:lvl w:ilvl="0" w:tplc="D6DAF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1E95"/>
    <w:multiLevelType w:val="hybridMultilevel"/>
    <w:tmpl w:val="CACA5E2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8CD5027"/>
    <w:multiLevelType w:val="hybridMultilevel"/>
    <w:tmpl w:val="0BBA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95EF9"/>
    <w:multiLevelType w:val="hybridMultilevel"/>
    <w:tmpl w:val="7B165A8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15CD0451"/>
    <w:multiLevelType w:val="hybridMultilevel"/>
    <w:tmpl w:val="8104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F74154"/>
    <w:multiLevelType w:val="hybridMultilevel"/>
    <w:tmpl w:val="E8721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3D79C2"/>
    <w:multiLevelType w:val="hybridMultilevel"/>
    <w:tmpl w:val="B2E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36A5D"/>
    <w:multiLevelType w:val="hybridMultilevel"/>
    <w:tmpl w:val="73C4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9A2"/>
    <w:multiLevelType w:val="hybridMultilevel"/>
    <w:tmpl w:val="07E65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B184E"/>
    <w:multiLevelType w:val="multilevel"/>
    <w:tmpl w:val="173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C6A47"/>
    <w:multiLevelType w:val="hybridMultilevel"/>
    <w:tmpl w:val="ED86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645C5"/>
    <w:multiLevelType w:val="hybridMultilevel"/>
    <w:tmpl w:val="B4C811BA"/>
    <w:lvl w:ilvl="0" w:tplc="24DC89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D47776"/>
    <w:multiLevelType w:val="hybridMultilevel"/>
    <w:tmpl w:val="ED22F012"/>
    <w:lvl w:ilvl="0" w:tplc="885234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C642E"/>
    <w:multiLevelType w:val="hybridMultilevel"/>
    <w:tmpl w:val="93047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01DA6"/>
    <w:multiLevelType w:val="hybridMultilevel"/>
    <w:tmpl w:val="D97AE110"/>
    <w:lvl w:ilvl="0" w:tplc="52B4362E">
      <w:start w:val="1"/>
      <w:numFmt w:val="bullet"/>
      <w:lvlText w:val="–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8F5271"/>
    <w:multiLevelType w:val="hybridMultilevel"/>
    <w:tmpl w:val="F3780898"/>
    <w:lvl w:ilvl="0" w:tplc="8852344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8519CE"/>
    <w:multiLevelType w:val="hybridMultilevel"/>
    <w:tmpl w:val="4B60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C02F6"/>
    <w:multiLevelType w:val="hybridMultilevel"/>
    <w:tmpl w:val="AE9066FE"/>
    <w:lvl w:ilvl="0" w:tplc="0BA63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F42A0"/>
    <w:multiLevelType w:val="hybridMultilevel"/>
    <w:tmpl w:val="5D58704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3D6B77BB"/>
    <w:multiLevelType w:val="hybridMultilevel"/>
    <w:tmpl w:val="8BB2B590"/>
    <w:lvl w:ilvl="0" w:tplc="049E7F00">
      <w:start w:val="1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310537"/>
    <w:multiLevelType w:val="hybridMultilevel"/>
    <w:tmpl w:val="9D7E8E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FD77A0"/>
    <w:multiLevelType w:val="hybridMultilevel"/>
    <w:tmpl w:val="C922DB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5075431"/>
    <w:multiLevelType w:val="hybridMultilevel"/>
    <w:tmpl w:val="28CC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91D53"/>
    <w:multiLevelType w:val="hybridMultilevel"/>
    <w:tmpl w:val="3FC03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533E11"/>
    <w:multiLevelType w:val="hybridMultilevel"/>
    <w:tmpl w:val="8286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E3FC6"/>
    <w:multiLevelType w:val="hybridMultilevel"/>
    <w:tmpl w:val="C62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61CC2"/>
    <w:multiLevelType w:val="hybridMultilevel"/>
    <w:tmpl w:val="81B459B4"/>
    <w:lvl w:ilvl="0" w:tplc="4E8EF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B53DE"/>
    <w:multiLevelType w:val="hybridMultilevel"/>
    <w:tmpl w:val="74B6C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3E0DAC"/>
    <w:multiLevelType w:val="hybridMultilevel"/>
    <w:tmpl w:val="512210A6"/>
    <w:lvl w:ilvl="0" w:tplc="662E4B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A039A3"/>
    <w:multiLevelType w:val="hybridMultilevel"/>
    <w:tmpl w:val="B3D6978E"/>
    <w:lvl w:ilvl="0" w:tplc="88523442"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265061B"/>
    <w:multiLevelType w:val="hybridMultilevel"/>
    <w:tmpl w:val="EA0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92336"/>
    <w:multiLevelType w:val="hybridMultilevel"/>
    <w:tmpl w:val="022479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64084F2A"/>
    <w:multiLevelType w:val="hybridMultilevel"/>
    <w:tmpl w:val="AB2C4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43E6D"/>
    <w:multiLevelType w:val="hybridMultilevel"/>
    <w:tmpl w:val="928C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84639F"/>
    <w:multiLevelType w:val="hybridMultilevel"/>
    <w:tmpl w:val="BD9A4978"/>
    <w:lvl w:ilvl="0" w:tplc="1152F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91AA9"/>
    <w:multiLevelType w:val="hybridMultilevel"/>
    <w:tmpl w:val="648EF894"/>
    <w:lvl w:ilvl="0" w:tplc="0409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A57B8"/>
    <w:multiLevelType w:val="hybridMultilevel"/>
    <w:tmpl w:val="54AA6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F07F1"/>
    <w:multiLevelType w:val="hybridMultilevel"/>
    <w:tmpl w:val="B59EF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2EC2646"/>
    <w:multiLevelType w:val="hybridMultilevel"/>
    <w:tmpl w:val="E0B4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120BFC"/>
    <w:multiLevelType w:val="hybridMultilevel"/>
    <w:tmpl w:val="98740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83D44"/>
    <w:multiLevelType w:val="hybridMultilevel"/>
    <w:tmpl w:val="C18CB06E"/>
    <w:lvl w:ilvl="0" w:tplc="1FF21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1"/>
  </w:num>
  <w:num w:numId="4">
    <w:abstractNumId w:val="34"/>
  </w:num>
  <w:num w:numId="5">
    <w:abstractNumId w:val="40"/>
  </w:num>
  <w:num w:numId="6">
    <w:abstractNumId w:val="22"/>
  </w:num>
  <w:num w:numId="7">
    <w:abstractNumId w:val="6"/>
  </w:num>
  <w:num w:numId="8">
    <w:abstractNumId w:val="8"/>
  </w:num>
  <w:num w:numId="9">
    <w:abstractNumId w:val="11"/>
  </w:num>
  <w:num w:numId="10">
    <w:abstractNumId w:val="39"/>
  </w:num>
  <w:num w:numId="11">
    <w:abstractNumId w:val="5"/>
  </w:num>
  <w:num w:numId="12">
    <w:abstractNumId w:val="35"/>
  </w:num>
  <w:num w:numId="13">
    <w:abstractNumId w:val="29"/>
  </w:num>
  <w:num w:numId="14">
    <w:abstractNumId w:val="28"/>
  </w:num>
  <w:num w:numId="15">
    <w:abstractNumId w:val="41"/>
  </w:num>
  <w:num w:numId="16">
    <w:abstractNumId w:val="23"/>
  </w:num>
  <w:num w:numId="17">
    <w:abstractNumId w:val="33"/>
  </w:num>
  <w:num w:numId="18">
    <w:abstractNumId w:val="15"/>
  </w:num>
  <w:num w:numId="19">
    <w:abstractNumId w:val="25"/>
  </w:num>
  <w:num w:numId="20">
    <w:abstractNumId w:val="3"/>
  </w:num>
  <w:num w:numId="21">
    <w:abstractNumId w:val="1"/>
  </w:num>
  <w:num w:numId="22">
    <w:abstractNumId w:val="42"/>
  </w:num>
  <w:num w:numId="23">
    <w:abstractNumId w:val="26"/>
  </w:num>
  <w:num w:numId="24">
    <w:abstractNumId w:val="13"/>
  </w:num>
  <w:num w:numId="25">
    <w:abstractNumId w:val="16"/>
  </w:num>
  <w:num w:numId="26">
    <w:abstractNumId w:val="38"/>
  </w:num>
  <w:num w:numId="27">
    <w:abstractNumId w:val="18"/>
  </w:num>
  <w:num w:numId="28">
    <w:abstractNumId w:val="0"/>
  </w:num>
  <w:num w:numId="29">
    <w:abstractNumId w:val="2"/>
  </w:num>
  <w:num w:numId="30">
    <w:abstractNumId w:val="27"/>
  </w:num>
  <w:num w:numId="31">
    <w:abstractNumId w:val="12"/>
  </w:num>
  <w:num w:numId="32">
    <w:abstractNumId w:val="7"/>
  </w:num>
  <w:num w:numId="33">
    <w:abstractNumId w:val="4"/>
  </w:num>
  <w:num w:numId="34">
    <w:abstractNumId w:val="21"/>
  </w:num>
  <w:num w:numId="35">
    <w:abstractNumId w:val="17"/>
  </w:num>
  <w:num w:numId="36">
    <w:abstractNumId w:val="10"/>
  </w:num>
  <w:num w:numId="37">
    <w:abstractNumId w:val="36"/>
  </w:num>
  <w:num w:numId="38">
    <w:abstractNumId w:val="14"/>
  </w:num>
  <w:num w:numId="39">
    <w:abstractNumId w:val="30"/>
  </w:num>
  <w:num w:numId="40">
    <w:abstractNumId w:val="9"/>
  </w:num>
  <w:num w:numId="41">
    <w:abstractNumId w:val="19"/>
  </w:num>
  <w:num w:numId="42">
    <w:abstractNumId w:val="37"/>
  </w:num>
  <w:num w:numId="4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1241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5FB7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3A46"/>
    <w:rsid w:val="004C6629"/>
    <w:rsid w:val="004C6E4C"/>
    <w:rsid w:val="004D6AAD"/>
    <w:rsid w:val="004E52C5"/>
    <w:rsid w:val="004E6449"/>
    <w:rsid w:val="004F27C5"/>
    <w:rsid w:val="004F4156"/>
    <w:rsid w:val="004F508A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7174"/>
    <w:rsid w:val="007B02C4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858C7"/>
    <w:rsid w:val="00F922CA"/>
    <w:rsid w:val="00F95B0D"/>
    <w:rsid w:val="00F95B6F"/>
    <w:rsid w:val="00FB0B5E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ep.org/climatechange/carbon-benefi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3C33-3761-4D77-85C6-DC2C2EB0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1563</Words>
  <Characters>8911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Akihito Kono</cp:lastModifiedBy>
  <cp:revision>61</cp:revision>
  <cp:lastPrinted>2005-04-08T22:30:00Z</cp:lastPrinted>
  <dcterms:created xsi:type="dcterms:W3CDTF">2012-07-03T09:41:00Z</dcterms:created>
  <dcterms:modified xsi:type="dcterms:W3CDTF">2012-07-13T12:10:00Z</dcterms:modified>
</cp:coreProperties>
</file>