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27" w:rsidRPr="00DB5422" w:rsidRDefault="001E0D27" w:rsidP="007D79B3">
      <w:pPr>
        <w:jc w:val="both"/>
        <w:rPr>
          <w:rFonts w:ascii="Book Antiqua" w:hAnsi="Book Antiqua"/>
          <w:b/>
          <w:szCs w:val="22"/>
          <w:lang w:val="en-GB"/>
        </w:rPr>
      </w:pPr>
      <w:r w:rsidRPr="00DB5422">
        <w:rPr>
          <w:rFonts w:ascii="Book Antiqua" w:hAnsi="Book Antiqua"/>
          <w:b/>
          <w:szCs w:val="22"/>
          <w:lang w:val="en-GB"/>
        </w:rPr>
        <w:t xml:space="preserve">Lead Technical Advisor, </w:t>
      </w:r>
      <w:r w:rsidR="0093674D" w:rsidRPr="00DB5422">
        <w:rPr>
          <w:rFonts w:ascii="Book Antiqua" w:hAnsi="Book Antiqua"/>
          <w:b/>
          <w:szCs w:val="22"/>
          <w:lang w:val="en-GB"/>
        </w:rPr>
        <w:t>Bangladesh</w:t>
      </w:r>
      <w:r w:rsidRPr="00DB5422">
        <w:rPr>
          <w:rFonts w:ascii="Book Antiqua" w:hAnsi="Book Antiqua"/>
          <w:b/>
          <w:szCs w:val="22"/>
          <w:lang w:val="en-GB"/>
        </w:rPr>
        <w:t xml:space="preserve"> National REDD</w:t>
      </w:r>
      <w:r w:rsidR="0093674D" w:rsidRPr="00DB5422">
        <w:rPr>
          <w:rFonts w:ascii="Book Antiqua" w:hAnsi="Book Antiqua"/>
          <w:b/>
          <w:szCs w:val="22"/>
          <w:lang w:val="en-GB"/>
        </w:rPr>
        <w:t>+ Readiness</w:t>
      </w:r>
      <w:r w:rsidRPr="00DB5422">
        <w:rPr>
          <w:rFonts w:ascii="Book Antiqua" w:hAnsi="Book Antiqua"/>
          <w:b/>
          <w:szCs w:val="22"/>
          <w:lang w:val="en-GB"/>
        </w:rPr>
        <w:t xml:space="preserve"> Roadmap</w:t>
      </w:r>
    </w:p>
    <w:p w:rsidR="007D79B3" w:rsidRPr="00DB5422" w:rsidRDefault="007D79B3" w:rsidP="00DB5422">
      <w:pPr>
        <w:spacing w:after="0"/>
        <w:jc w:val="both"/>
        <w:rPr>
          <w:rFonts w:ascii="Book Antiqua" w:hAnsi="Book Antiqua"/>
          <w:b/>
          <w:i/>
          <w:sz w:val="22"/>
          <w:szCs w:val="22"/>
          <w:lang w:val="en-GB"/>
        </w:rPr>
      </w:pPr>
      <w:r w:rsidRPr="00DB5422">
        <w:rPr>
          <w:rFonts w:ascii="Book Antiqua" w:hAnsi="Book Antiqua"/>
          <w:b/>
          <w:i/>
          <w:sz w:val="22"/>
          <w:szCs w:val="22"/>
          <w:lang w:val="en-GB"/>
        </w:rPr>
        <w:t>Background</w:t>
      </w:r>
    </w:p>
    <w:p w:rsidR="00DB5422" w:rsidRDefault="00DB5422" w:rsidP="00DB5422">
      <w:pPr>
        <w:spacing w:after="0"/>
        <w:jc w:val="both"/>
        <w:rPr>
          <w:rFonts w:ascii="Book Antiqua" w:hAnsi="Book Antiqua"/>
          <w:sz w:val="22"/>
          <w:szCs w:val="22"/>
        </w:rPr>
      </w:pPr>
    </w:p>
    <w:p w:rsidR="00DB5422" w:rsidRPr="00DB5422" w:rsidRDefault="007D79B3" w:rsidP="00DB5422">
      <w:pPr>
        <w:spacing w:after="0"/>
        <w:jc w:val="both"/>
        <w:rPr>
          <w:rFonts w:ascii="Book Antiqua" w:hAnsi="Book Antiqua"/>
          <w:sz w:val="22"/>
          <w:szCs w:val="22"/>
        </w:rPr>
      </w:pPr>
      <w:r w:rsidRPr="00DB5422">
        <w:rPr>
          <w:rFonts w:ascii="Book Antiqua" w:hAnsi="Book Antiqua"/>
          <w:sz w:val="22"/>
          <w:szCs w:val="22"/>
        </w:rPr>
        <w:t xml:space="preserve">Over the past two years the Government of </w:t>
      </w:r>
      <w:r w:rsidR="0093674D" w:rsidRPr="00DB5422">
        <w:rPr>
          <w:rFonts w:ascii="Book Antiqua" w:hAnsi="Book Antiqua"/>
          <w:sz w:val="22"/>
          <w:szCs w:val="22"/>
        </w:rPr>
        <w:t>Bangladesh</w:t>
      </w:r>
      <w:r w:rsidRPr="00DB5422">
        <w:rPr>
          <w:rFonts w:ascii="Book Antiqua" w:hAnsi="Book Antiqua"/>
          <w:sz w:val="22"/>
          <w:szCs w:val="22"/>
        </w:rPr>
        <w:t xml:space="preserve"> (</w:t>
      </w:r>
      <w:proofErr w:type="spellStart"/>
      <w:r w:rsidR="0093674D" w:rsidRPr="00DB5422">
        <w:rPr>
          <w:rFonts w:ascii="Book Antiqua" w:hAnsi="Book Antiqua"/>
          <w:sz w:val="22"/>
          <w:szCs w:val="22"/>
        </w:rPr>
        <w:t>GoB</w:t>
      </w:r>
      <w:proofErr w:type="spellEnd"/>
      <w:r w:rsidRPr="00DB5422">
        <w:rPr>
          <w:rFonts w:ascii="Book Antiqua" w:hAnsi="Book Antiqua"/>
          <w:sz w:val="22"/>
          <w:szCs w:val="22"/>
        </w:rPr>
        <w:t xml:space="preserve">) has made significant steps towards </w:t>
      </w:r>
      <w:r w:rsidR="00DB5422">
        <w:rPr>
          <w:rFonts w:ascii="Book Antiqua" w:hAnsi="Book Antiqua"/>
          <w:sz w:val="22"/>
          <w:szCs w:val="22"/>
        </w:rPr>
        <w:t>preparation for implementation of REDD+</w:t>
      </w:r>
      <w:r w:rsidRPr="00DB5422">
        <w:rPr>
          <w:rFonts w:ascii="Book Antiqua" w:hAnsi="Book Antiqua"/>
          <w:sz w:val="22"/>
          <w:szCs w:val="22"/>
        </w:rPr>
        <w:t xml:space="preserve">. These steps include </w:t>
      </w:r>
      <w:r w:rsidR="00DB5422" w:rsidRPr="00DB5422">
        <w:rPr>
          <w:rFonts w:ascii="Book Antiqua" w:hAnsi="Book Antiqua"/>
          <w:sz w:val="22"/>
          <w:szCs w:val="22"/>
        </w:rPr>
        <w:t>the establishment of three committees, namely:</w:t>
      </w:r>
    </w:p>
    <w:p w:rsidR="00DB5422" w:rsidRPr="00DB5422" w:rsidRDefault="00DB5422" w:rsidP="00DB5422">
      <w:pPr>
        <w:spacing w:after="0"/>
        <w:jc w:val="both"/>
        <w:rPr>
          <w:rFonts w:ascii="Book Antiqua" w:hAnsi="Book Antiqua"/>
          <w:sz w:val="22"/>
          <w:szCs w:val="22"/>
        </w:rPr>
      </w:pPr>
    </w:p>
    <w:p w:rsidR="00DB5422" w:rsidRPr="00DB5422" w:rsidRDefault="00DB5422" w:rsidP="00DB5422">
      <w:pPr>
        <w:numPr>
          <w:ilvl w:val="0"/>
          <w:numId w:val="22"/>
        </w:numPr>
        <w:spacing w:after="0"/>
        <w:jc w:val="both"/>
        <w:rPr>
          <w:rFonts w:ascii="Book Antiqua" w:hAnsi="Book Antiqua"/>
          <w:sz w:val="22"/>
          <w:szCs w:val="22"/>
        </w:rPr>
      </w:pPr>
      <w:r w:rsidRPr="00DB5422">
        <w:rPr>
          <w:rFonts w:ascii="Book Antiqua" w:hAnsi="Book Antiqua"/>
          <w:sz w:val="22"/>
          <w:szCs w:val="22"/>
        </w:rPr>
        <w:t>A National REDD+ Steering Committee</w:t>
      </w:r>
    </w:p>
    <w:p w:rsidR="00DB5422" w:rsidRPr="00DB5422" w:rsidRDefault="00DB5422" w:rsidP="00DB5422">
      <w:pPr>
        <w:numPr>
          <w:ilvl w:val="0"/>
          <w:numId w:val="22"/>
        </w:numPr>
        <w:spacing w:after="0"/>
        <w:jc w:val="both"/>
        <w:rPr>
          <w:rFonts w:ascii="Book Antiqua" w:hAnsi="Book Antiqua"/>
          <w:sz w:val="22"/>
          <w:szCs w:val="22"/>
        </w:rPr>
      </w:pPr>
      <w:r w:rsidRPr="00DB5422">
        <w:rPr>
          <w:rFonts w:ascii="Book Antiqua" w:hAnsi="Book Antiqua"/>
          <w:sz w:val="22"/>
          <w:szCs w:val="22"/>
        </w:rPr>
        <w:t>A REDD+ Technical Working Committee</w:t>
      </w:r>
    </w:p>
    <w:p w:rsidR="00DB5422" w:rsidRPr="00DB5422" w:rsidRDefault="00DB5422" w:rsidP="00DB5422">
      <w:pPr>
        <w:numPr>
          <w:ilvl w:val="0"/>
          <w:numId w:val="22"/>
        </w:numPr>
        <w:spacing w:after="0"/>
        <w:jc w:val="both"/>
        <w:rPr>
          <w:rFonts w:ascii="Book Antiqua" w:hAnsi="Book Antiqua"/>
          <w:sz w:val="22"/>
          <w:szCs w:val="22"/>
        </w:rPr>
      </w:pPr>
      <w:r w:rsidRPr="00DB5422">
        <w:rPr>
          <w:rFonts w:ascii="Book Antiqua" w:hAnsi="Book Antiqua"/>
          <w:sz w:val="22"/>
          <w:szCs w:val="22"/>
        </w:rPr>
        <w:t>A REDD+ Strategy Drafting Committee</w:t>
      </w:r>
    </w:p>
    <w:p w:rsidR="00DB5422" w:rsidRPr="00DB5422" w:rsidRDefault="00DB5422" w:rsidP="00DB5422">
      <w:pPr>
        <w:spacing w:after="0"/>
        <w:jc w:val="both"/>
        <w:rPr>
          <w:rFonts w:ascii="Book Antiqua" w:hAnsi="Book Antiqua"/>
          <w:sz w:val="22"/>
          <w:szCs w:val="22"/>
        </w:rPr>
      </w:pPr>
    </w:p>
    <w:p w:rsidR="00DB5422" w:rsidRPr="00DB5422" w:rsidRDefault="00DB5422" w:rsidP="00DB5422">
      <w:pPr>
        <w:spacing w:after="0"/>
        <w:jc w:val="both"/>
        <w:rPr>
          <w:rFonts w:ascii="Book Antiqua" w:hAnsi="Book Antiqua"/>
          <w:sz w:val="22"/>
          <w:szCs w:val="22"/>
          <w:lang w:val="en-GB"/>
        </w:rPr>
      </w:pPr>
      <w:r>
        <w:rPr>
          <w:rFonts w:ascii="Book Antiqua" w:hAnsi="Book Antiqua"/>
          <w:sz w:val="22"/>
          <w:szCs w:val="22"/>
        </w:rPr>
        <w:t xml:space="preserve">Also, </w:t>
      </w:r>
      <w:r w:rsidRPr="00DB5422">
        <w:rPr>
          <w:rFonts w:ascii="Book Antiqua" w:hAnsi="Book Antiqua"/>
          <w:sz w:val="22"/>
          <w:szCs w:val="22"/>
        </w:rPr>
        <w:t xml:space="preserve">REDD+ pilot proposals are being prepared for </w:t>
      </w:r>
      <w:r>
        <w:rPr>
          <w:rFonts w:ascii="Book Antiqua" w:hAnsi="Book Antiqua"/>
          <w:sz w:val="22"/>
          <w:szCs w:val="22"/>
        </w:rPr>
        <w:t xml:space="preserve">(1) </w:t>
      </w:r>
      <w:r w:rsidRPr="00DB5422">
        <w:rPr>
          <w:rFonts w:ascii="Book Antiqua" w:hAnsi="Book Antiqua"/>
          <w:sz w:val="22"/>
          <w:szCs w:val="22"/>
        </w:rPr>
        <w:t xml:space="preserve">the </w:t>
      </w:r>
      <w:proofErr w:type="spellStart"/>
      <w:r w:rsidRPr="00DB5422">
        <w:rPr>
          <w:rFonts w:ascii="Book Antiqua" w:hAnsi="Book Antiqua"/>
          <w:sz w:val="22"/>
          <w:szCs w:val="22"/>
        </w:rPr>
        <w:t>Sundarbans</w:t>
      </w:r>
      <w:proofErr w:type="spellEnd"/>
      <w:r w:rsidRPr="00DB5422">
        <w:rPr>
          <w:rFonts w:ascii="Book Antiqua" w:hAnsi="Book Antiqua"/>
          <w:sz w:val="22"/>
          <w:szCs w:val="22"/>
        </w:rPr>
        <w:t xml:space="preserve">, supported by the USAID-funded IPAC project, with a request submitted to the World Bank Bio-carbon Fund for carbon financing; and </w:t>
      </w:r>
      <w:r>
        <w:rPr>
          <w:rFonts w:ascii="Book Antiqua" w:hAnsi="Book Antiqua"/>
          <w:sz w:val="22"/>
          <w:szCs w:val="22"/>
        </w:rPr>
        <w:t>(2)</w:t>
      </w:r>
      <w:r w:rsidRPr="00DB5422">
        <w:rPr>
          <w:rFonts w:ascii="Book Antiqua" w:hAnsi="Book Antiqua"/>
          <w:sz w:val="22"/>
          <w:szCs w:val="22"/>
        </w:rPr>
        <w:t xml:space="preserve"> </w:t>
      </w:r>
      <w:proofErr w:type="spellStart"/>
      <w:r w:rsidRPr="00DB5422">
        <w:rPr>
          <w:rFonts w:ascii="Book Antiqua" w:hAnsi="Book Antiqua"/>
          <w:sz w:val="22"/>
          <w:szCs w:val="22"/>
        </w:rPr>
        <w:t>Chunati</w:t>
      </w:r>
      <w:proofErr w:type="spellEnd"/>
      <w:r w:rsidRPr="00DB5422">
        <w:rPr>
          <w:rFonts w:ascii="Book Antiqua" w:hAnsi="Book Antiqua"/>
          <w:sz w:val="22"/>
          <w:szCs w:val="22"/>
        </w:rPr>
        <w:t xml:space="preserve"> Wildlife Sanctuary, with funding support from GIZ.  </w:t>
      </w:r>
    </w:p>
    <w:p w:rsidR="00DB5422" w:rsidRPr="00DB5422" w:rsidRDefault="00DB5422" w:rsidP="00DB5422">
      <w:pPr>
        <w:spacing w:after="0"/>
        <w:jc w:val="both"/>
        <w:rPr>
          <w:rFonts w:ascii="Book Antiqua" w:hAnsi="Book Antiqua"/>
          <w:sz w:val="22"/>
          <w:szCs w:val="22"/>
        </w:rPr>
      </w:pPr>
    </w:p>
    <w:p w:rsidR="00DB5422" w:rsidRPr="00DB5422" w:rsidRDefault="00DB5422" w:rsidP="00DB5422">
      <w:pPr>
        <w:spacing w:after="0"/>
        <w:jc w:val="both"/>
        <w:rPr>
          <w:rFonts w:ascii="Book Antiqua" w:hAnsi="Book Antiqua"/>
          <w:sz w:val="22"/>
          <w:szCs w:val="22"/>
        </w:rPr>
      </w:pPr>
      <w:r w:rsidRPr="00DB5422">
        <w:rPr>
          <w:rFonts w:ascii="Book Antiqua" w:hAnsi="Book Antiqua"/>
          <w:sz w:val="22"/>
          <w:szCs w:val="22"/>
          <w:lang w:val="en-GB"/>
        </w:rPr>
        <w:t>Bangladesh joined</w:t>
      </w:r>
      <w:r w:rsidR="007D79B3" w:rsidRPr="00DB5422">
        <w:rPr>
          <w:rFonts w:ascii="Book Antiqua" w:hAnsi="Book Antiqua"/>
          <w:sz w:val="22"/>
          <w:szCs w:val="22"/>
          <w:lang w:val="en-GB"/>
        </w:rPr>
        <w:t xml:space="preserve"> the UN</w:t>
      </w:r>
      <w:r w:rsidR="007D79B3" w:rsidRPr="00DB5422">
        <w:rPr>
          <w:rFonts w:ascii="Book Antiqua" w:hAnsi="Book Antiqua" w:cs="Lucida Grande"/>
          <w:sz w:val="22"/>
          <w:szCs w:val="22"/>
          <w:lang w:val="en-GB"/>
        </w:rPr>
        <w:t xml:space="preserve"> </w:t>
      </w:r>
      <w:r w:rsidR="007D79B3" w:rsidRPr="00DB5422">
        <w:rPr>
          <w:rFonts w:ascii="Book Antiqua" w:hAnsi="Book Antiqua"/>
          <w:sz w:val="22"/>
          <w:szCs w:val="22"/>
          <w:lang w:val="en-GB"/>
        </w:rPr>
        <w:t>REDD Programme</w:t>
      </w:r>
      <w:r w:rsidR="0093674D" w:rsidRPr="00DB5422">
        <w:rPr>
          <w:rFonts w:ascii="Book Antiqua" w:hAnsi="Book Antiqua"/>
          <w:sz w:val="22"/>
          <w:szCs w:val="22"/>
          <w:lang w:val="en-GB"/>
        </w:rPr>
        <w:t xml:space="preserve">, </w:t>
      </w:r>
      <w:r w:rsidRPr="00DB5422">
        <w:rPr>
          <w:rFonts w:ascii="Book Antiqua" w:hAnsi="Book Antiqua"/>
          <w:sz w:val="22"/>
          <w:szCs w:val="22"/>
          <w:lang w:val="en-GB"/>
        </w:rPr>
        <w:t xml:space="preserve">the application </w:t>
      </w:r>
      <w:r w:rsidR="0093674D" w:rsidRPr="00DB5422">
        <w:rPr>
          <w:rFonts w:ascii="Book Antiqua" w:hAnsi="Book Antiqua"/>
          <w:sz w:val="22"/>
          <w:szCs w:val="22"/>
          <w:lang w:val="en-GB"/>
        </w:rPr>
        <w:t>approved</w:t>
      </w:r>
      <w:r w:rsidR="007D79B3" w:rsidRPr="00DB5422">
        <w:rPr>
          <w:rFonts w:ascii="Book Antiqua" w:hAnsi="Book Antiqua"/>
          <w:sz w:val="22"/>
          <w:szCs w:val="22"/>
          <w:lang w:val="en-GB"/>
        </w:rPr>
        <w:t xml:space="preserve"> </w:t>
      </w:r>
      <w:r w:rsidR="00077871" w:rsidRPr="00DB5422">
        <w:rPr>
          <w:rFonts w:ascii="Book Antiqua" w:hAnsi="Book Antiqua"/>
          <w:sz w:val="22"/>
          <w:szCs w:val="22"/>
          <w:lang w:val="en-GB"/>
        </w:rPr>
        <w:t>by an inter-</w:t>
      </w:r>
      <w:proofErr w:type="spellStart"/>
      <w:r w:rsidR="00077871" w:rsidRPr="00DB5422">
        <w:rPr>
          <w:rFonts w:ascii="Book Antiqua" w:hAnsi="Book Antiqua"/>
          <w:sz w:val="22"/>
          <w:szCs w:val="22"/>
          <w:lang w:val="en-GB"/>
        </w:rPr>
        <w:t>sessional</w:t>
      </w:r>
      <w:proofErr w:type="spellEnd"/>
      <w:r w:rsidR="00077871" w:rsidRPr="00DB5422">
        <w:rPr>
          <w:rFonts w:ascii="Book Antiqua" w:hAnsi="Book Antiqua"/>
          <w:sz w:val="22"/>
          <w:szCs w:val="22"/>
          <w:lang w:val="en-GB"/>
        </w:rPr>
        <w:t xml:space="preserve"> decision of the UN-REDD Policy Board, in August, 2010</w:t>
      </w:r>
      <w:r w:rsidR="007D79B3" w:rsidRPr="00DB5422">
        <w:rPr>
          <w:rFonts w:ascii="Book Antiqua" w:hAnsi="Book Antiqua"/>
          <w:sz w:val="22"/>
          <w:szCs w:val="22"/>
          <w:lang w:val="en-GB"/>
        </w:rPr>
        <w:t xml:space="preserve">. This led to </w:t>
      </w:r>
      <w:r w:rsidR="00077871" w:rsidRPr="00DB5422">
        <w:rPr>
          <w:rFonts w:ascii="Book Antiqua" w:hAnsi="Book Antiqua"/>
          <w:sz w:val="22"/>
          <w:szCs w:val="22"/>
          <w:lang w:val="en-GB"/>
        </w:rPr>
        <w:t>UNDP</w:t>
      </w:r>
      <w:r w:rsidR="007D79B3" w:rsidRPr="00DB5422">
        <w:rPr>
          <w:rFonts w:ascii="Book Antiqua" w:hAnsi="Book Antiqua"/>
          <w:sz w:val="22"/>
          <w:szCs w:val="22"/>
          <w:lang w:val="en-GB"/>
        </w:rPr>
        <w:t xml:space="preserve"> committing to support the Royal Government of Cambodia with an initial REDD</w:t>
      </w:r>
      <w:r w:rsidR="00077871" w:rsidRPr="00DB5422">
        <w:rPr>
          <w:rFonts w:ascii="Book Antiqua" w:hAnsi="Book Antiqua"/>
          <w:sz w:val="22"/>
          <w:szCs w:val="22"/>
          <w:lang w:val="en-GB"/>
        </w:rPr>
        <w:t>+</w:t>
      </w:r>
      <w:r w:rsidR="007D79B3" w:rsidRPr="00DB5422">
        <w:rPr>
          <w:rFonts w:ascii="Book Antiqua" w:hAnsi="Book Antiqua"/>
          <w:sz w:val="22"/>
          <w:szCs w:val="22"/>
          <w:lang w:val="en-GB"/>
        </w:rPr>
        <w:t xml:space="preserve"> Readiness process independent of the UN REDD Programme</w:t>
      </w:r>
      <w:r w:rsidR="00077871" w:rsidRPr="00DB5422">
        <w:rPr>
          <w:rFonts w:ascii="Book Antiqua" w:hAnsi="Book Antiqua"/>
          <w:sz w:val="22"/>
          <w:szCs w:val="22"/>
          <w:lang w:val="en-GB"/>
        </w:rPr>
        <w:t>,</w:t>
      </w:r>
      <w:r w:rsidR="007D79B3" w:rsidRPr="00DB5422">
        <w:rPr>
          <w:rFonts w:ascii="Book Antiqua" w:hAnsi="Book Antiqua"/>
          <w:sz w:val="22"/>
          <w:szCs w:val="22"/>
          <w:lang w:val="en-GB"/>
        </w:rPr>
        <w:t xml:space="preserve"> but </w:t>
      </w:r>
      <w:r w:rsidR="00077871" w:rsidRPr="00DB5422">
        <w:rPr>
          <w:rFonts w:ascii="Book Antiqua" w:hAnsi="Book Antiqua"/>
          <w:sz w:val="22"/>
          <w:szCs w:val="22"/>
          <w:lang w:val="en-GB"/>
        </w:rPr>
        <w:t>serving as a preparatory phase for a future UN-REDD Country Programme</w:t>
      </w:r>
      <w:r w:rsidR="007D79B3" w:rsidRPr="00DB5422">
        <w:rPr>
          <w:rFonts w:ascii="Book Antiqua" w:hAnsi="Book Antiqua"/>
          <w:sz w:val="22"/>
          <w:szCs w:val="22"/>
          <w:lang w:val="en-GB"/>
        </w:rPr>
        <w:t>.</w:t>
      </w:r>
      <w:r w:rsidR="007D79B3" w:rsidRPr="00DB5422">
        <w:rPr>
          <w:rFonts w:ascii="Book Antiqua" w:hAnsi="Book Antiqua"/>
          <w:sz w:val="22"/>
          <w:szCs w:val="22"/>
        </w:rPr>
        <w:t xml:space="preserve"> </w:t>
      </w:r>
    </w:p>
    <w:p w:rsidR="00DB5422" w:rsidRPr="00DB5422" w:rsidRDefault="00DB5422" w:rsidP="00DB5422">
      <w:pPr>
        <w:spacing w:after="0"/>
        <w:jc w:val="both"/>
        <w:rPr>
          <w:rFonts w:ascii="Book Antiqua" w:hAnsi="Book Antiqua"/>
          <w:sz w:val="22"/>
          <w:szCs w:val="22"/>
        </w:rPr>
      </w:pPr>
    </w:p>
    <w:p w:rsidR="007D79B3" w:rsidRPr="00DB5422" w:rsidRDefault="00DB5422" w:rsidP="00DB5422">
      <w:pPr>
        <w:spacing w:after="0"/>
        <w:jc w:val="both"/>
        <w:rPr>
          <w:rFonts w:ascii="Book Antiqua" w:hAnsi="Book Antiqua"/>
          <w:sz w:val="22"/>
          <w:szCs w:val="22"/>
          <w:lang w:val="en-GB"/>
        </w:rPr>
      </w:pPr>
      <w:r w:rsidRPr="00DB5422">
        <w:rPr>
          <w:rFonts w:ascii="Book Antiqua" w:hAnsi="Book Antiqua"/>
          <w:sz w:val="22"/>
          <w:szCs w:val="22"/>
        </w:rPr>
        <w:t xml:space="preserve">Although there have been several initiatives in support of REDD+ readiness, as illustrated above, overall progress remains patchy and uncoordinated.  </w:t>
      </w:r>
      <w:r w:rsidRPr="00DB5422">
        <w:rPr>
          <w:rFonts w:ascii="Book Antiqua" w:hAnsi="Book Antiqua"/>
          <w:sz w:val="22"/>
          <w:szCs w:val="22"/>
          <w:lang w:val="en-GB"/>
        </w:rPr>
        <w:t>Therefore the initial financial support from UNDP will be used to prepare a</w:t>
      </w:r>
      <w:r w:rsidR="007D79B3" w:rsidRPr="00DB5422">
        <w:rPr>
          <w:rFonts w:ascii="Book Antiqua" w:hAnsi="Book Antiqua"/>
          <w:sz w:val="22"/>
          <w:szCs w:val="22"/>
          <w:lang w:val="en-GB"/>
        </w:rPr>
        <w:t xml:space="preserve"> REDD</w:t>
      </w:r>
      <w:r w:rsidRPr="00DB5422">
        <w:rPr>
          <w:rFonts w:ascii="Book Antiqua" w:hAnsi="Book Antiqua"/>
          <w:sz w:val="22"/>
          <w:szCs w:val="22"/>
          <w:lang w:val="en-GB"/>
        </w:rPr>
        <w:t>+</w:t>
      </w:r>
      <w:r w:rsidR="007D79B3" w:rsidRPr="00DB5422">
        <w:rPr>
          <w:rFonts w:ascii="Book Antiqua" w:hAnsi="Book Antiqua"/>
          <w:sz w:val="22"/>
          <w:szCs w:val="22"/>
          <w:lang w:val="en-GB"/>
        </w:rPr>
        <w:t xml:space="preserve"> Readiness Roadmap for </w:t>
      </w:r>
      <w:r w:rsidRPr="00DB5422">
        <w:rPr>
          <w:rFonts w:ascii="Book Antiqua" w:hAnsi="Book Antiqua"/>
          <w:sz w:val="22"/>
          <w:szCs w:val="22"/>
          <w:lang w:val="en-GB"/>
        </w:rPr>
        <w:t>Bangladesh</w:t>
      </w:r>
      <w:r w:rsidR="007D79B3" w:rsidRPr="00DB5422">
        <w:rPr>
          <w:rFonts w:ascii="Book Antiqua" w:hAnsi="Book Antiqua"/>
          <w:sz w:val="22"/>
          <w:szCs w:val="22"/>
          <w:lang w:val="en-GB"/>
        </w:rPr>
        <w:t xml:space="preserve">. </w:t>
      </w:r>
      <w:r w:rsidRPr="00DB5422">
        <w:rPr>
          <w:rFonts w:ascii="Book Antiqua" w:hAnsi="Book Antiqua"/>
          <w:sz w:val="22"/>
          <w:szCs w:val="22"/>
          <w:lang w:val="en-GB"/>
        </w:rPr>
        <w:t>UNDP funding will enable the recruitment of an international team leader, who will work with a number of national experts, to be assigned by the Forest Department and other agencies</w:t>
      </w:r>
      <w:r w:rsidR="007D79B3" w:rsidRPr="00DB5422">
        <w:rPr>
          <w:rFonts w:ascii="Book Antiqua" w:hAnsi="Book Antiqua"/>
          <w:sz w:val="22"/>
          <w:szCs w:val="22"/>
          <w:lang w:val="en-GB"/>
        </w:rPr>
        <w:t>.</w:t>
      </w:r>
    </w:p>
    <w:p w:rsidR="00DB5422" w:rsidRPr="00DB5422" w:rsidRDefault="00DB5422" w:rsidP="00DB5422">
      <w:pPr>
        <w:spacing w:after="0"/>
        <w:jc w:val="both"/>
        <w:rPr>
          <w:rFonts w:ascii="Book Antiqua" w:hAnsi="Book Antiqua"/>
          <w:b/>
          <w:bCs/>
          <w:i/>
          <w:sz w:val="22"/>
          <w:szCs w:val="22"/>
        </w:rPr>
      </w:pPr>
    </w:p>
    <w:p w:rsidR="007D79B3" w:rsidRPr="00DB5422" w:rsidRDefault="007D79B3" w:rsidP="00DB5422">
      <w:pPr>
        <w:spacing w:after="0"/>
        <w:jc w:val="both"/>
        <w:rPr>
          <w:rFonts w:ascii="Book Antiqua" w:hAnsi="Book Antiqua"/>
          <w:b/>
          <w:bCs/>
          <w:i/>
          <w:sz w:val="22"/>
          <w:szCs w:val="22"/>
        </w:rPr>
      </w:pPr>
      <w:r w:rsidRPr="00DB5422">
        <w:rPr>
          <w:rFonts w:ascii="Book Antiqua" w:hAnsi="Book Antiqua"/>
          <w:b/>
          <w:bCs/>
          <w:i/>
          <w:sz w:val="22"/>
          <w:szCs w:val="22"/>
        </w:rPr>
        <w:t>Responsibilities</w:t>
      </w:r>
    </w:p>
    <w:p w:rsidR="00823BAB" w:rsidRDefault="00823BAB" w:rsidP="00DB5422">
      <w:pPr>
        <w:spacing w:after="0"/>
        <w:jc w:val="both"/>
        <w:rPr>
          <w:rFonts w:ascii="Book Antiqua" w:hAnsi="Book Antiqua"/>
          <w:bCs/>
          <w:sz w:val="22"/>
          <w:szCs w:val="22"/>
        </w:rPr>
      </w:pPr>
    </w:p>
    <w:p w:rsidR="007D79B3" w:rsidRDefault="0093674D" w:rsidP="00DB5422">
      <w:pPr>
        <w:spacing w:after="0"/>
        <w:jc w:val="both"/>
        <w:rPr>
          <w:rFonts w:ascii="Book Antiqua" w:hAnsi="Book Antiqua"/>
          <w:bCs/>
          <w:sz w:val="22"/>
          <w:szCs w:val="22"/>
        </w:rPr>
      </w:pPr>
      <w:r w:rsidRPr="00DB5422">
        <w:rPr>
          <w:rFonts w:ascii="Book Antiqua" w:hAnsi="Book Antiqua"/>
          <w:bCs/>
          <w:sz w:val="22"/>
          <w:szCs w:val="22"/>
        </w:rPr>
        <w:t>The Team Leader w</w:t>
      </w:r>
      <w:r w:rsidR="007D79B3" w:rsidRPr="00DB5422">
        <w:rPr>
          <w:rFonts w:ascii="Book Antiqua" w:hAnsi="Book Antiqua"/>
          <w:bCs/>
          <w:sz w:val="22"/>
          <w:szCs w:val="22"/>
        </w:rPr>
        <w:t xml:space="preserve">ill provide technical </w:t>
      </w:r>
      <w:r w:rsidRPr="00DB5422">
        <w:rPr>
          <w:rFonts w:ascii="Book Antiqua" w:hAnsi="Book Antiqua"/>
          <w:bCs/>
          <w:sz w:val="22"/>
          <w:szCs w:val="22"/>
        </w:rPr>
        <w:t xml:space="preserve">leadership for a team of experts and </w:t>
      </w:r>
      <w:r w:rsidR="00823BAB">
        <w:rPr>
          <w:rFonts w:ascii="Book Antiqua" w:hAnsi="Book Antiqua"/>
          <w:bCs/>
          <w:sz w:val="22"/>
          <w:szCs w:val="22"/>
        </w:rPr>
        <w:t xml:space="preserve">provide </w:t>
      </w:r>
      <w:r w:rsidR="007D79B3" w:rsidRPr="00DB5422">
        <w:rPr>
          <w:rFonts w:ascii="Book Antiqua" w:hAnsi="Book Antiqua"/>
          <w:bCs/>
          <w:sz w:val="22"/>
          <w:szCs w:val="22"/>
        </w:rPr>
        <w:t xml:space="preserve">advice to the </w:t>
      </w:r>
      <w:proofErr w:type="spellStart"/>
      <w:r w:rsidRPr="00DB5422">
        <w:rPr>
          <w:rFonts w:ascii="Book Antiqua" w:hAnsi="Book Antiqua"/>
          <w:bCs/>
          <w:sz w:val="22"/>
          <w:szCs w:val="22"/>
        </w:rPr>
        <w:t>GoB</w:t>
      </w:r>
      <w:proofErr w:type="spellEnd"/>
      <w:r w:rsidR="007D79B3" w:rsidRPr="00DB5422">
        <w:rPr>
          <w:rFonts w:ascii="Book Antiqua" w:hAnsi="Book Antiqua"/>
          <w:bCs/>
          <w:sz w:val="22"/>
          <w:szCs w:val="22"/>
        </w:rPr>
        <w:t xml:space="preserve"> in </w:t>
      </w:r>
      <w:r w:rsidR="00823BAB">
        <w:rPr>
          <w:rFonts w:ascii="Book Antiqua" w:hAnsi="Book Antiqua"/>
          <w:bCs/>
          <w:sz w:val="22"/>
          <w:szCs w:val="22"/>
        </w:rPr>
        <w:t>relation to</w:t>
      </w:r>
      <w:r w:rsidR="007D79B3" w:rsidRPr="00DB5422">
        <w:rPr>
          <w:rFonts w:ascii="Book Antiqua" w:hAnsi="Book Antiqua"/>
          <w:bCs/>
          <w:sz w:val="22"/>
          <w:szCs w:val="22"/>
        </w:rPr>
        <w:t xml:space="preserve"> the following outputs:</w:t>
      </w:r>
    </w:p>
    <w:p w:rsidR="00823BAB" w:rsidRPr="00DB5422" w:rsidRDefault="00823BAB" w:rsidP="00DB5422">
      <w:pPr>
        <w:spacing w:after="0"/>
        <w:jc w:val="both"/>
        <w:rPr>
          <w:rFonts w:ascii="Book Antiqua" w:hAnsi="Book Antiqua"/>
          <w:bCs/>
          <w:sz w:val="22"/>
          <w:szCs w:val="22"/>
        </w:rPr>
      </w:pPr>
    </w:p>
    <w:p w:rsidR="007D79B3" w:rsidRPr="00DB5422" w:rsidRDefault="007D79B3" w:rsidP="00DB5422">
      <w:pPr>
        <w:pStyle w:val="NoSpacing"/>
        <w:numPr>
          <w:ilvl w:val="0"/>
          <w:numId w:val="3"/>
        </w:numPr>
        <w:jc w:val="both"/>
        <w:rPr>
          <w:rFonts w:ascii="Book Antiqua" w:hAnsi="Book Antiqua"/>
        </w:rPr>
      </w:pPr>
      <w:r w:rsidRPr="00DB5422">
        <w:rPr>
          <w:rFonts w:ascii="Book Antiqua" w:hAnsi="Book Antiqua"/>
        </w:rPr>
        <w:t xml:space="preserve">The </w:t>
      </w:r>
      <w:r w:rsidR="00823BAB">
        <w:rPr>
          <w:rFonts w:ascii="Book Antiqua" w:hAnsi="Book Antiqua"/>
        </w:rPr>
        <w:t>completion of a “REDD+ Readiness Roadmap” for Bangladesh, which will describe all the capacities required for the country to the ready for REDD+, the current initiatives of the government and development partners that are contributing to this process, and the capacity gaps that remain to be addressed</w:t>
      </w:r>
      <w:r w:rsidRPr="00DB5422">
        <w:rPr>
          <w:rFonts w:ascii="Book Antiqua" w:hAnsi="Book Antiqua"/>
        </w:rPr>
        <w:t>;</w:t>
      </w:r>
    </w:p>
    <w:p w:rsidR="007D79B3" w:rsidRDefault="00823BAB" w:rsidP="00823BAB">
      <w:pPr>
        <w:pStyle w:val="NoSpacing"/>
        <w:numPr>
          <w:ilvl w:val="0"/>
          <w:numId w:val="3"/>
        </w:numPr>
        <w:jc w:val="both"/>
        <w:rPr>
          <w:rFonts w:ascii="Book Antiqua" w:hAnsi="Book Antiqua"/>
        </w:rPr>
      </w:pPr>
      <w:r>
        <w:rPr>
          <w:rFonts w:ascii="Book Antiqua" w:hAnsi="Book Antiqua"/>
        </w:rPr>
        <w:t>Proposals for the scope of a future UN-REDD Country Programme, the main objective of which should be to address capacity gaps identified by the REDD+ Readiness Roadmap;</w:t>
      </w:r>
    </w:p>
    <w:p w:rsidR="00823BAB" w:rsidRPr="00823BAB" w:rsidRDefault="00823BAB" w:rsidP="00823BAB">
      <w:pPr>
        <w:pStyle w:val="NoSpacing"/>
        <w:numPr>
          <w:ilvl w:val="0"/>
          <w:numId w:val="3"/>
        </w:numPr>
        <w:jc w:val="both"/>
        <w:rPr>
          <w:rFonts w:ascii="Book Antiqua" w:hAnsi="Book Antiqua"/>
        </w:rPr>
      </w:pPr>
      <w:r>
        <w:rPr>
          <w:rFonts w:ascii="Book Antiqua" w:hAnsi="Book Antiqua"/>
        </w:rPr>
        <w:t>A proposal for a “Phase 2” (</w:t>
      </w:r>
      <w:proofErr w:type="spellStart"/>
      <w:r w:rsidRPr="00823BAB">
        <w:rPr>
          <w:rFonts w:ascii="Book Antiqua" w:hAnsi="Book Antiqua"/>
          <w:i/>
        </w:rPr>
        <w:t>sensu</w:t>
      </w:r>
      <w:proofErr w:type="spellEnd"/>
      <w:r>
        <w:rPr>
          <w:rFonts w:ascii="Book Antiqua" w:hAnsi="Book Antiqua"/>
        </w:rPr>
        <w:t xml:space="preserve"> UNFCCC Decision CP.16/1; paragraph 73) REDD+ initiative for Bangladesh, with UNDP support and engaging a broad range of development partners and government agencies.</w:t>
      </w:r>
    </w:p>
    <w:p w:rsidR="007D79B3" w:rsidRPr="00823BAB" w:rsidRDefault="007D79B3" w:rsidP="00823BAB">
      <w:pPr>
        <w:pStyle w:val="NoSpacing"/>
        <w:jc w:val="both"/>
        <w:rPr>
          <w:rFonts w:ascii="Book Antiqua" w:hAnsi="Book Antiqua"/>
        </w:rPr>
      </w:pPr>
    </w:p>
    <w:p w:rsidR="007D79B3" w:rsidRPr="00823BAB" w:rsidRDefault="00823BAB" w:rsidP="00823BAB">
      <w:pPr>
        <w:spacing w:after="0"/>
        <w:jc w:val="both"/>
        <w:rPr>
          <w:rFonts w:ascii="Book Antiqua" w:hAnsi="Book Antiqua"/>
          <w:b/>
          <w:i/>
          <w:sz w:val="22"/>
          <w:szCs w:val="22"/>
        </w:rPr>
      </w:pPr>
      <w:r>
        <w:rPr>
          <w:rFonts w:ascii="Book Antiqua" w:hAnsi="Book Antiqua"/>
          <w:b/>
          <w:i/>
          <w:sz w:val="22"/>
          <w:szCs w:val="22"/>
        </w:rPr>
        <w:t xml:space="preserve">Outputs and </w:t>
      </w:r>
      <w:r w:rsidR="007D79B3" w:rsidRPr="00823BAB">
        <w:rPr>
          <w:rFonts w:ascii="Book Antiqua" w:hAnsi="Book Antiqua"/>
          <w:b/>
          <w:i/>
          <w:sz w:val="22"/>
          <w:szCs w:val="22"/>
        </w:rPr>
        <w:t>Activities</w:t>
      </w:r>
    </w:p>
    <w:p w:rsidR="00823BAB" w:rsidRDefault="00823BAB" w:rsidP="00823BAB">
      <w:pPr>
        <w:pStyle w:val="NoSpacing"/>
        <w:jc w:val="both"/>
        <w:rPr>
          <w:rFonts w:ascii="Book Antiqua" w:hAnsi="Book Antiqua"/>
        </w:rPr>
      </w:pPr>
    </w:p>
    <w:p w:rsidR="007D79B3" w:rsidRPr="009219ED" w:rsidRDefault="007D79B3" w:rsidP="00823BAB">
      <w:pPr>
        <w:pStyle w:val="NoSpacing"/>
        <w:numPr>
          <w:ilvl w:val="0"/>
          <w:numId w:val="23"/>
        </w:numPr>
        <w:ind w:left="360"/>
        <w:jc w:val="both"/>
        <w:rPr>
          <w:rFonts w:ascii="Book Antiqua" w:hAnsi="Book Antiqua"/>
          <w:u w:val="single"/>
        </w:rPr>
      </w:pPr>
      <w:r w:rsidRPr="009219ED">
        <w:rPr>
          <w:rFonts w:ascii="Book Antiqua" w:hAnsi="Book Antiqua"/>
          <w:u w:val="single"/>
        </w:rPr>
        <w:t>REDD</w:t>
      </w:r>
      <w:r w:rsidR="00823BAB" w:rsidRPr="009219ED">
        <w:rPr>
          <w:rFonts w:ascii="Book Antiqua" w:hAnsi="Book Antiqua"/>
          <w:u w:val="single"/>
        </w:rPr>
        <w:t>+ Readiness</w:t>
      </w:r>
      <w:r w:rsidRPr="009219ED">
        <w:rPr>
          <w:rFonts w:ascii="Book Antiqua" w:hAnsi="Book Antiqua"/>
          <w:u w:val="single"/>
        </w:rPr>
        <w:t xml:space="preserve"> Roadmap </w:t>
      </w:r>
    </w:p>
    <w:p w:rsidR="007D79B3" w:rsidRDefault="007D79B3" w:rsidP="00823BAB">
      <w:pPr>
        <w:pStyle w:val="NoSpacing"/>
        <w:jc w:val="both"/>
        <w:rPr>
          <w:rFonts w:ascii="Book Antiqua" w:hAnsi="Book Antiqua"/>
        </w:rPr>
      </w:pPr>
    </w:p>
    <w:p w:rsidR="00823BAB" w:rsidRDefault="00823BAB" w:rsidP="00823BAB">
      <w:pPr>
        <w:pStyle w:val="NoSpacing"/>
        <w:jc w:val="both"/>
        <w:rPr>
          <w:rFonts w:ascii="Book Antiqua" w:hAnsi="Book Antiqua"/>
        </w:rPr>
      </w:pPr>
      <w:r>
        <w:rPr>
          <w:rFonts w:ascii="Book Antiqua" w:hAnsi="Book Antiqua"/>
        </w:rPr>
        <w:lastRenderedPageBreak/>
        <w:t>The preparation of the REDD+ Readiness Roadmap will involve the following indicative activities (but may also require additional activities, to be determined)</w:t>
      </w:r>
      <w:r w:rsidR="009219ED">
        <w:rPr>
          <w:rFonts w:ascii="Book Antiqua" w:hAnsi="Book Antiqua"/>
        </w:rPr>
        <w:t>:</w:t>
      </w:r>
    </w:p>
    <w:p w:rsidR="00823BAB" w:rsidRPr="00823BAB" w:rsidRDefault="00823BAB" w:rsidP="00823BAB">
      <w:pPr>
        <w:pStyle w:val="NoSpacing"/>
        <w:jc w:val="both"/>
        <w:rPr>
          <w:rFonts w:ascii="Book Antiqua" w:hAnsi="Book Antiqua"/>
        </w:rPr>
      </w:pPr>
    </w:p>
    <w:p w:rsidR="00823BAB" w:rsidRPr="009219ED" w:rsidRDefault="00823BAB" w:rsidP="009219ED">
      <w:pPr>
        <w:pStyle w:val="NoSpacing"/>
        <w:numPr>
          <w:ilvl w:val="0"/>
          <w:numId w:val="24"/>
        </w:numPr>
        <w:ind w:left="360"/>
        <w:jc w:val="both"/>
        <w:rPr>
          <w:rFonts w:ascii="Book Antiqua" w:hAnsi="Book Antiqua"/>
        </w:rPr>
      </w:pPr>
      <w:r w:rsidRPr="009219ED">
        <w:rPr>
          <w:rFonts w:ascii="Book Antiqua" w:hAnsi="Book Antiqua"/>
        </w:rPr>
        <w:t xml:space="preserve">Analysis of the current legal and policy framework in support of REDD+ in Bangladesh, including all relevant </w:t>
      </w:r>
      <w:proofErr w:type="spellStart"/>
      <w:r w:rsidRPr="009219ED">
        <w:rPr>
          <w:rFonts w:ascii="Book Antiqua" w:hAnsi="Book Antiqua"/>
        </w:rPr>
        <w:t>sectoral</w:t>
      </w:r>
      <w:proofErr w:type="spellEnd"/>
      <w:r w:rsidRPr="009219ED">
        <w:rPr>
          <w:rFonts w:ascii="Book Antiqua" w:hAnsi="Book Antiqua"/>
        </w:rPr>
        <w:t xml:space="preserve"> policies</w:t>
      </w:r>
      <w:r w:rsidR="009219ED" w:rsidRPr="009219ED">
        <w:rPr>
          <w:rFonts w:ascii="Book Antiqua" w:hAnsi="Book Antiqua"/>
        </w:rPr>
        <w:t>;</w:t>
      </w:r>
    </w:p>
    <w:p w:rsidR="009219ED" w:rsidRPr="009219ED" w:rsidRDefault="009219ED" w:rsidP="009219ED">
      <w:pPr>
        <w:pStyle w:val="NoSpacing"/>
        <w:numPr>
          <w:ilvl w:val="0"/>
          <w:numId w:val="24"/>
        </w:numPr>
        <w:ind w:left="360"/>
        <w:jc w:val="both"/>
        <w:rPr>
          <w:rFonts w:ascii="Book Antiqua" w:hAnsi="Book Antiqua"/>
        </w:rPr>
      </w:pPr>
      <w:r w:rsidRPr="009219ED">
        <w:rPr>
          <w:rFonts w:ascii="Book Antiqua" w:hAnsi="Book Antiqua"/>
        </w:rPr>
        <w:t>Analysis of drivers of deforestation and forest degradation, and of constraints to sustainability of past and current efforts on reforestation, conservation, and sustainable forest management;</w:t>
      </w:r>
    </w:p>
    <w:p w:rsidR="009219ED" w:rsidRPr="009219ED" w:rsidRDefault="00823BAB" w:rsidP="009219ED">
      <w:pPr>
        <w:pStyle w:val="NoSpacing"/>
        <w:numPr>
          <w:ilvl w:val="0"/>
          <w:numId w:val="24"/>
        </w:numPr>
        <w:ind w:left="360"/>
        <w:jc w:val="both"/>
        <w:rPr>
          <w:rFonts w:ascii="Book Antiqua" w:hAnsi="Book Antiqua"/>
        </w:rPr>
      </w:pPr>
      <w:r w:rsidRPr="009219ED">
        <w:rPr>
          <w:rFonts w:ascii="Book Antiqua" w:hAnsi="Book Antiqua"/>
        </w:rPr>
        <w:t xml:space="preserve">Analysis of </w:t>
      </w:r>
      <w:r w:rsidR="009219ED" w:rsidRPr="009219ED">
        <w:rPr>
          <w:rFonts w:ascii="Book Antiqua" w:hAnsi="Book Antiqua"/>
        </w:rPr>
        <w:t>required capacities for REDD+ implementation;</w:t>
      </w:r>
    </w:p>
    <w:p w:rsidR="009219ED" w:rsidRDefault="009219ED" w:rsidP="009219ED">
      <w:pPr>
        <w:pStyle w:val="NoSpacing"/>
        <w:numPr>
          <w:ilvl w:val="0"/>
          <w:numId w:val="24"/>
        </w:numPr>
        <w:ind w:left="360"/>
        <w:jc w:val="both"/>
        <w:rPr>
          <w:rFonts w:ascii="Book Antiqua" w:hAnsi="Book Antiqua"/>
        </w:rPr>
      </w:pPr>
      <w:r>
        <w:rPr>
          <w:rFonts w:ascii="Book Antiqua" w:hAnsi="Book Antiqua"/>
        </w:rPr>
        <w:t xml:space="preserve">Mapping of existing initiatives supported by the </w:t>
      </w:r>
      <w:proofErr w:type="spellStart"/>
      <w:r>
        <w:rPr>
          <w:rFonts w:ascii="Book Antiqua" w:hAnsi="Book Antiqua"/>
        </w:rPr>
        <w:t>GoB</w:t>
      </w:r>
      <w:proofErr w:type="spellEnd"/>
      <w:r>
        <w:rPr>
          <w:rFonts w:ascii="Book Antiqua" w:hAnsi="Book Antiqua"/>
        </w:rPr>
        <w:t xml:space="preserve"> and development partners contributing to the establishment of required capacities;</w:t>
      </w:r>
    </w:p>
    <w:p w:rsidR="007D79B3" w:rsidRDefault="009219ED" w:rsidP="009219ED">
      <w:pPr>
        <w:pStyle w:val="NoSpacing"/>
        <w:numPr>
          <w:ilvl w:val="0"/>
          <w:numId w:val="24"/>
        </w:numPr>
        <w:ind w:left="360"/>
        <w:jc w:val="both"/>
        <w:rPr>
          <w:rFonts w:ascii="Book Antiqua" w:hAnsi="Book Antiqua"/>
        </w:rPr>
      </w:pPr>
      <w:r>
        <w:rPr>
          <w:rFonts w:ascii="Book Antiqua" w:hAnsi="Book Antiqua"/>
        </w:rPr>
        <w:t xml:space="preserve">Identification of the resulting capacity gaps, and formulation of a </w:t>
      </w:r>
      <w:proofErr w:type="spellStart"/>
      <w:r>
        <w:rPr>
          <w:rFonts w:ascii="Book Antiqua" w:hAnsi="Book Antiqua"/>
        </w:rPr>
        <w:t>workplan</w:t>
      </w:r>
      <w:proofErr w:type="spellEnd"/>
      <w:r>
        <w:rPr>
          <w:rFonts w:ascii="Book Antiqua" w:hAnsi="Book Antiqua"/>
        </w:rPr>
        <w:t xml:space="preserve"> to address those gaps</w:t>
      </w:r>
    </w:p>
    <w:p w:rsidR="009219ED" w:rsidRPr="009219ED" w:rsidRDefault="009219ED" w:rsidP="009219ED">
      <w:pPr>
        <w:pStyle w:val="NoSpacing"/>
        <w:numPr>
          <w:ilvl w:val="0"/>
          <w:numId w:val="24"/>
        </w:numPr>
        <w:ind w:left="360"/>
        <w:jc w:val="both"/>
        <w:rPr>
          <w:rFonts w:ascii="Book Antiqua" w:hAnsi="Book Antiqua"/>
        </w:rPr>
      </w:pPr>
      <w:r>
        <w:rPr>
          <w:rFonts w:ascii="Book Antiqua" w:hAnsi="Book Antiqua"/>
        </w:rPr>
        <w:t>Estimation a required budget to address capacity gaps</w:t>
      </w:r>
    </w:p>
    <w:p w:rsidR="007D79B3" w:rsidRDefault="007D79B3" w:rsidP="00823BAB">
      <w:pPr>
        <w:pStyle w:val="NoSpacing"/>
        <w:jc w:val="both"/>
        <w:rPr>
          <w:rFonts w:ascii="Book Antiqua" w:hAnsi="Book Antiqua"/>
        </w:rPr>
      </w:pPr>
    </w:p>
    <w:p w:rsidR="009219ED" w:rsidRDefault="009219ED" w:rsidP="00823BAB">
      <w:pPr>
        <w:pStyle w:val="NoSpacing"/>
        <w:jc w:val="both"/>
        <w:rPr>
          <w:rFonts w:ascii="Book Antiqua" w:hAnsi="Book Antiqua"/>
        </w:rPr>
      </w:pPr>
      <w:r>
        <w:rPr>
          <w:rFonts w:ascii="Book Antiqua" w:hAnsi="Book Antiqua"/>
        </w:rPr>
        <w:t xml:space="preserve">The REDD+ Readiness Roadmap will be formulated in broad consultation with all main stakeholder groups, and the final document will be subject to endorsement through consultative workshops at the </w:t>
      </w:r>
      <w:proofErr w:type="gramStart"/>
      <w:r>
        <w:rPr>
          <w:rFonts w:ascii="Book Antiqua" w:hAnsi="Book Antiqua"/>
        </w:rPr>
        <w:t>national,</w:t>
      </w:r>
      <w:proofErr w:type="gramEnd"/>
      <w:r>
        <w:rPr>
          <w:rFonts w:ascii="Book Antiqua" w:hAnsi="Book Antiqua"/>
        </w:rPr>
        <w:t xml:space="preserve"> and sub-national levels.</w:t>
      </w:r>
    </w:p>
    <w:p w:rsidR="009219ED" w:rsidRDefault="009219ED" w:rsidP="00823BAB">
      <w:pPr>
        <w:pStyle w:val="NoSpacing"/>
        <w:jc w:val="both"/>
        <w:rPr>
          <w:rFonts w:ascii="Book Antiqua" w:hAnsi="Book Antiqua"/>
        </w:rPr>
      </w:pPr>
    </w:p>
    <w:p w:rsidR="009219ED" w:rsidRDefault="009219ED" w:rsidP="00823BAB">
      <w:pPr>
        <w:pStyle w:val="NoSpacing"/>
        <w:jc w:val="both"/>
        <w:rPr>
          <w:rFonts w:ascii="Book Antiqua" w:hAnsi="Book Antiqua"/>
        </w:rPr>
      </w:pPr>
      <w:r>
        <w:rPr>
          <w:rFonts w:ascii="Book Antiqua" w:hAnsi="Book Antiqua"/>
        </w:rPr>
        <w:t>The REDD+ Readiness Roadmap should b</w:t>
      </w:r>
      <w:r w:rsidR="00E92266">
        <w:rPr>
          <w:rFonts w:ascii="Book Antiqua" w:hAnsi="Book Antiqua"/>
        </w:rPr>
        <w:t>e completed by the end of 2011, and it is anticipated that implementation of the Roadmap should cover a period of 2 years (subject to analysis of opportunities and gaps).</w:t>
      </w:r>
    </w:p>
    <w:p w:rsidR="009219ED" w:rsidRPr="00823BAB" w:rsidRDefault="009219ED" w:rsidP="00823BAB">
      <w:pPr>
        <w:pStyle w:val="NoSpacing"/>
        <w:jc w:val="both"/>
        <w:rPr>
          <w:rFonts w:ascii="Book Antiqua" w:hAnsi="Book Antiqua"/>
        </w:rPr>
      </w:pPr>
    </w:p>
    <w:p w:rsidR="007D79B3" w:rsidRDefault="009219ED" w:rsidP="00E92266">
      <w:pPr>
        <w:pStyle w:val="NoSpacing"/>
        <w:numPr>
          <w:ilvl w:val="0"/>
          <w:numId w:val="23"/>
        </w:numPr>
        <w:ind w:left="360"/>
        <w:jc w:val="both"/>
        <w:rPr>
          <w:rFonts w:ascii="Book Antiqua" w:hAnsi="Book Antiqua"/>
          <w:u w:val="single"/>
        </w:rPr>
      </w:pPr>
      <w:r w:rsidRPr="009219ED">
        <w:rPr>
          <w:rFonts w:ascii="Book Antiqua" w:hAnsi="Book Antiqua"/>
          <w:u w:val="single"/>
        </w:rPr>
        <w:t>Preliminary UN-REDD Programme Document</w:t>
      </w:r>
    </w:p>
    <w:p w:rsidR="00E92266" w:rsidRPr="009219ED" w:rsidRDefault="00E92266" w:rsidP="00E92266">
      <w:pPr>
        <w:pStyle w:val="NoSpacing"/>
        <w:ind w:left="360"/>
        <w:jc w:val="both"/>
        <w:rPr>
          <w:rFonts w:ascii="Book Antiqua" w:hAnsi="Book Antiqua"/>
          <w:u w:val="single"/>
        </w:rPr>
      </w:pPr>
    </w:p>
    <w:p w:rsidR="009D4911" w:rsidRDefault="009219ED" w:rsidP="00823BAB">
      <w:pPr>
        <w:pStyle w:val="NoSpacing"/>
        <w:jc w:val="both"/>
        <w:rPr>
          <w:rFonts w:ascii="Book Antiqua" w:hAnsi="Book Antiqua"/>
        </w:rPr>
      </w:pPr>
      <w:r>
        <w:rPr>
          <w:rFonts w:ascii="Book Antiqua" w:hAnsi="Book Antiqua"/>
        </w:rPr>
        <w:t xml:space="preserve">Based on the results of the REDD+ Readiness Roadmap, a preliminary UN-REDD Programme Document will be prepared in anticipation of future UN-REDD funding (Note: there is no guarantee of future funding or of the timing of such funding).  The UN-REDD Programme Document should address as many as possible of the capacity gaps identified in the Roadmap.  The UN-REDD Programme Document should incorporate all UN-REDD guidance concerning REDD+ readiness (for example, regarding stakeholder engagement, application of environmental and social safeguards, etc.).  Where appropriate, the document should also identify opportunities for regional cooperation on REDD+ readiness.  </w:t>
      </w:r>
    </w:p>
    <w:p w:rsidR="009D4911" w:rsidRDefault="009D4911" w:rsidP="00823BAB">
      <w:pPr>
        <w:pStyle w:val="NoSpacing"/>
        <w:jc w:val="both"/>
        <w:rPr>
          <w:rFonts w:ascii="Book Antiqua" w:hAnsi="Book Antiqua"/>
        </w:rPr>
      </w:pPr>
    </w:p>
    <w:p w:rsidR="007D79B3" w:rsidRDefault="009219ED" w:rsidP="00823BAB">
      <w:pPr>
        <w:pStyle w:val="NoSpacing"/>
        <w:jc w:val="both"/>
        <w:rPr>
          <w:rFonts w:ascii="Book Antiqua" w:hAnsi="Book Antiqua"/>
        </w:rPr>
      </w:pPr>
      <w:r>
        <w:rPr>
          <w:rFonts w:ascii="Book Antiqua" w:hAnsi="Book Antiqua"/>
        </w:rPr>
        <w:t>A draft should be prepared by the end of January, 2012</w:t>
      </w:r>
      <w:r w:rsidR="00E92266">
        <w:rPr>
          <w:rFonts w:ascii="Book Antiqua" w:hAnsi="Book Antiqua"/>
        </w:rPr>
        <w:t>, anticipating a UN-REDD Country Programme to be implemented over a period of 2-3 years</w:t>
      </w:r>
      <w:r>
        <w:rPr>
          <w:rFonts w:ascii="Book Antiqua" w:hAnsi="Book Antiqua"/>
        </w:rPr>
        <w:t>.</w:t>
      </w:r>
      <w:r w:rsidR="009D4911">
        <w:rPr>
          <w:rFonts w:ascii="Book Antiqua" w:hAnsi="Book Antiqua"/>
        </w:rPr>
        <w:t xml:space="preserve">  It is expected that the UN-REDD Country Programme will contribute to several key elements of REDD+ “architecture”, including a National REDD+ Strategy, a REDD+ compliant </w:t>
      </w:r>
      <w:proofErr w:type="spellStart"/>
      <w:r w:rsidR="009D4911">
        <w:rPr>
          <w:rFonts w:ascii="Book Antiqua" w:hAnsi="Book Antiqua"/>
        </w:rPr>
        <w:t>Benedfit</w:t>
      </w:r>
      <w:proofErr w:type="spellEnd"/>
      <w:r w:rsidR="009D4911">
        <w:rPr>
          <w:rFonts w:ascii="Book Antiqua" w:hAnsi="Book Antiqua"/>
        </w:rPr>
        <w:t xml:space="preserve"> Distribution System, a national MRV (possibly based on regional cooperation), and a system of social and environmental safeguards.</w:t>
      </w:r>
    </w:p>
    <w:p w:rsidR="00E92266" w:rsidRDefault="00E92266" w:rsidP="00823BAB">
      <w:pPr>
        <w:pStyle w:val="NoSpacing"/>
        <w:jc w:val="both"/>
        <w:rPr>
          <w:rFonts w:ascii="Book Antiqua" w:hAnsi="Book Antiqua"/>
        </w:rPr>
      </w:pPr>
    </w:p>
    <w:p w:rsidR="00E92266" w:rsidRPr="00E92266" w:rsidRDefault="00E92266" w:rsidP="00E92266">
      <w:pPr>
        <w:pStyle w:val="NoSpacing"/>
        <w:numPr>
          <w:ilvl w:val="0"/>
          <w:numId w:val="23"/>
        </w:numPr>
        <w:ind w:left="360"/>
        <w:jc w:val="both"/>
        <w:rPr>
          <w:rFonts w:ascii="Book Antiqua" w:hAnsi="Book Antiqua"/>
          <w:u w:val="single"/>
        </w:rPr>
      </w:pPr>
      <w:r w:rsidRPr="00E92266">
        <w:rPr>
          <w:rFonts w:ascii="Book Antiqua" w:hAnsi="Book Antiqua"/>
          <w:u w:val="single"/>
        </w:rPr>
        <w:t>Phase 2 Proposal</w:t>
      </w:r>
    </w:p>
    <w:p w:rsidR="00E92266" w:rsidRPr="00823BAB" w:rsidRDefault="00E92266" w:rsidP="00E92266">
      <w:pPr>
        <w:pStyle w:val="NoSpacing"/>
        <w:jc w:val="both"/>
        <w:rPr>
          <w:rFonts w:ascii="Book Antiqua" w:hAnsi="Book Antiqua"/>
        </w:rPr>
      </w:pPr>
    </w:p>
    <w:p w:rsidR="007D79B3" w:rsidRPr="00E92266" w:rsidRDefault="00E92266" w:rsidP="00E92266">
      <w:pPr>
        <w:pStyle w:val="Default"/>
        <w:jc w:val="both"/>
        <w:rPr>
          <w:rFonts w:ascii="Book Antiqua" w:hAnsi="Book Antiqua"/>
          <w:sz w:val="22"/>
          <w:szCs w:val="22"/>
        </w:rPr>
      </w:pPr>
      <w:r>
        <w:rPr>
          <w:rFonts w:ascii="Book Antiqua" w:hAnsi="Book Antiqua"/>
        </w:rPr>
        <w:t xml:space="preserve">A proposal for a Phase 2 initiative, probably focusing </w:t>
      </w:r>
      <w:r w:rsidRPr="00E92266">
        <w:rPr>
          <w:rFonts w:ascii="Book Antiqua" w:hAnsi="Book Antiqua"/>
          <w:sz w:val="22"/>
          <w:szCs w:val="22"/>
        </w:rPr>
        <w:t>on the Chittagong Hill Tracts, should build on a previous UNDP concept paper entitled “</w:t>
      </w:r>
      <w:proofErr w:type="spellStart"/>
      <w:r w:rsidRPr="00E92266">
        <w:rPr>
          <w:rFonts w:ascii="Book Antiqua" w:hAnsi="Book Antiqua"/>
          <w:bCs/>
          <w:i/>
          <w:sz w:val="22"/>
          <w:szCs w:val="22"/>
        </w:rPr>
        <w:t>Shamol</w:t>
      </w:r>
      <w:proofErr w:type="spellEnd"/>
      <w:r w:rsidRPr="00E92266">
        <w:rPr>
          <w:rFonts w:ascii="Book Antiqua" w:hAnsi="Book Antiqua"/>
          <w:bCs/>
          <w:i/>
          <w:sz w:val="22"/>
          <w:szCs w:val="22"/>
        </w:rPr>
        <w:t xml:space="preserve"> Bangladesh: Greening Initiative for Sustainable Livelihood of Rural Poor and Biodiversity Conservation</w:t>
      </w:r>
      <w:r>
        <w:rPr>
          <w:rFonts w:ascii="Book Antiqua" w:hAnsi="Book Antiqua"/>
          <w:sz w:val="22"/>
          <w:szCs w:val="22"/>
        </w:rPr>
        <w:t xml:space="preserve">”.  The Phase 2 initiative should seek to reduce emissions and enhance removals at a significant scale in one of the main forested regions of the country (nominally, the Chittagong Hill Tracts).  It should thus include provision for results-based payments, </w:t>
      </w:r>
      <w:r>
        <w:rPr>
          <w:rFonts w:ascii="Book Antiqua" w:hAnsi="Book Antiqua"/>
          <w:sz w:val="22"/>
          <w:szCs w:val="22"/>
        </w:rPr>
        <w:lastRenderedPageBreak/>
        <w:t>which will require a broad partnership of development partners, and mobilization of substantial financial resources to cover both technical assistance and payments.  UNDP Country Programme funds are anticipated to provide some of the technical assistance costs, but contributions from other partners will also be required.  The Bangladesh Climate Change Trust Fund, the Bangladesh Climate Resilience Fund, and the Chittagong Hill Tracts Development Facility are all potential sources of funding for results-based payments.  The Phase 2 initiative should be implemented over a period of 4-5 years, and pave the way for Bangladesh to move to REDD+ Phase 3</w:t>
      </w:r>
      <w:r w:rsidR="009D4911">
        <w:rPr>
          <w:rFonts w:ascii="Book Antiqua" w:hAnsi="Book Antiqua"/>
          <w:sz w:val="22"/>
          <w:szCs w:val="22"/>
        </w:rPr>
        <w:t xml:space="preserve"> </w:t>
      </w:r>
      <w:r w:rsidR="009D4911">
        <w:rPr>
          <w:rFonts w:ascii="Book Antiqua" w:hAnsi="Book Antiqua"/>
        </w:rPr>
        <w:t>(</w:t>
      </w:r>
      <w:proofErr w:type="spellStart"/>
      <w:r w:rsidR="009D4911" w:rsidRPr="00823BAB">
        <w:rPr>
          <w:rFonts w:ascii="Book Antiqua" w:hAnsi="Book Antiqua"/>
          <w:i/>
        </w:rPr>
        <w:t>sensu</w:t>
      </w:r>
      <w:proofErr w:type="spellEnd"/>
      <w:r w:rsidR="009D4911">
        <w:rPr>
          <w:rFonts w:ascii="Book Antiqua" w:hAnsi="Book Antiqua"/>
        </w:rPr>
        <w:t xml:space="preserve"> UNFCCC Decision CP.16/1; paragraph 73), through generating lessons that will be used in improving the various elements of REDD+ architecture developed under the UN-REDD Country Programme and other initiatives.</w:t>
      </w:r>
    </w:p>
    <w:sectPr w:rsidR="007D79B3" w:rsidRPr="00E92266" w:rsidSect="007D79B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2D81"/>
    <w:multiLevelType w:val="hybridMultilevel"/>
    <w:tmpl w:val="01568704"/>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DD1333"/>
    <w:multiLevelType w:val="hybridMultilevel"/>
    <w:tmpl w:val="708405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Lucida Grande"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Lucida Grande"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Lucida Grande" w:hint="default"/>
      </w:rPr>
    </w:lvl>
    <w:lvl w:ilvl="8" w:tplc="08090005" w:tentative="1">
      <w:start w:val="1"/>
      <w:numFmt w:val="bullet"/>
      <w:lvlText w:val=""/>
      <w:lvlJc w:val="left"/>
      <w:pPr>
        <w:ind w:left="6510" w:hanging="360"/>
      </w:pPr>
      <w:rPr>
        <w:rFonts w:ascii="Wingdings" w:hAnsi="Wingdings" w:hint="default"/>
      </w:rPr>
    </w:lvl>
  </w:abstractNum>
  <w:abstractNum w:abstractNumId="2">
    <w:nsid w:val="0F9567D2"/>
    <w:multiLevelType w:val="hybridMultilevel"/>
    <w:tmpl w:val="51AC841E"/>
    <w:lvl w:ilvl="0" w:tplc="F7F631D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nsid w:val="26F77E3C"/>
    <w:multiLevelType w:val="hybridMultilevel"/>
    <w:tmpl w:val="2D9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B00C1"/>
    <w:multiLevelType w:val="hybridMultilevel"/>
    <w:tmpl w:val="51AC841E"/>
    <w:lvl w:ilvl="0" w:tplc="F7F631D6">
      <w:start w:val="1"/>
      <w:numFmt w:val="decimal"/>
      <w:lvlText w:val="%1."/>
      <w:lvlJc w:val="left"/>
      <w:pPr>
        <w:tabs>
          <w:tab w:val="num" w:pos="-666"/>
        </w:tabs>
        <w:ind w:left="-666"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774" w:hanging="180"/>
      </w:pPr>
    </w:lvl>
    <w:lvl w:ilvl="3" w:tplc="0809000F" w:tentative="1">
      <w:start w:val="1"/>
      <w:numFmt w:val="decimal"/>
      <w:lvlText w:val="%4."/>
      <w:lvlJc w:val="left"/>
      <w:pPr>
        <w:ind w:left="1494" w:hanging="360"/>
      </w:pPr>
    </w:lvl>
    <w:lvl w:ilvl="4" w:tplc="08090019" w:tentative="1">
      <w:start w:val="1"/>
      <w:numFmt w:val="lowerLetter"/>
      <w:lvlText w:val="%5."/>
      <w:lvlJc w:val="left"/>
      <w:pPr>
        <w:ind w:left="2214" w:hanging="360"/>
      </w:pPr>
    </w:lvl>
    <w:lvl w:ilvl="5" w:tplc="0809001B" w:tentative="1">
      <w:start w:val="1"/>
      <w:numFmt w:val="lowerRoman"/>
      <w:lvlText w:val="%6."/>
      <w:lvlJc w:val="right"/>
      <w:pPr>
        <w:ind w:left="2934" w:hanging="180"/>
      </w:pPr>
    </w:lvl>
    <w:lvl w:ilvl="6" w:tplc="0809000F" w:tentative="1">
      <w:start w:val="1"/>
      <w:numFmt w:val="decimal"/>
      <w:lvlText w:val="%7."/>
      <w:lvlJc w:val="left"/>
      <w:pPr>
        <w:ind w:left="3654" w:hanging="360"/>
      </w:pPr>
    </w:lvl>
    <w:lvl w:ilvl="7" w:tplc="08090019" w:tentative="1">
      <w:start w:val="1"/>
      <w:numFmt w:val="lowerLetter"/>
      <w:lvlText w:val="%8."/>
      <w:lvlJc w:val="left"/>
      <w:pPr>
        <w:ind w:left="4374" w:hanging="360"/>
      </w:pPr>
    </w:lvl>
    <w:lvl w:ilvl="8" w:tplc="0809001B" w:tentative="1">
      <w:start w:val="1"/>
      <w:numFmt w:val="lowerRoman"/>
      <w:lvlText w:val="%9."/>
      <w:lvlJc w:val="right"/>
      <w:pPr>
        <w:ind w:left="5094" w:hanging="180"/>
      </w:pPr>
    </w:lvl>
  </w:abstractNum>
  <w:abstractNum w:abstractNumId="5">
    <w:nsid w:val="2F162C4D"/>
    <w:multiLevelType w:val="hybridMultilevel"/>
    <w:tmpl w:val="776A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A63D2"/>
    <w:multiLevelType w:val="hybridMultilevel"/>
    <w:tmpl w:val="726AAD56"/>
    <w:lvl w:ilvl="0" w:tplc="7974C3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83331"/>
    <w:multiLevelType w:val="hybridMultilevel"/>
    <w:tmpl w:val="4D74A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0B34B55"/>
    <w:multiLevelType w:val="hybridMultilevel"/>
    <w:tmpl w:val="258C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D23A7"/>
    <w:multiLevelType w:val="hybridMultilevel"/>
    <w:tmpl w:val="D324B26E"/>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774" w:hanging="180"/>
      </w:pPr>
    </w:lvl>
    <w:lvl w:ilvl="3" w:tplc="0809000F" w:tentative="1">
      <w:start w:val="1"/>
      <w:numFmt w:val="decimal"/>
      <w:lvlText w:val="%4."/>
      <w:lvlJc w:val="left"/>
      <w:pPr>
        <w:ind w:left="1494" w:hanging="360"/>
      </w:pPr>
    </w:lvl>
    <w:lvl w:ilvl="4" w:tplc="08090019" w:tentative="1">
      <w:start w:val="1"/>
      <w:numFmt w:val="lowerLetter"/>
      <w:lvlText w:val="%5."/>
      <w:lvlJc w:val="left"/>
      <w:pPr>
        <w:ind w:left="2214" w:hanging="360"/>
      </w:pPr>
    </w:lvl>
    <w:lvl w:ilvl="5" w:tplc="0809001B" w:tentative="1">
      <w:start w:val="1"/>
      <w:numFmt w:val="lowerRoman"/>
      <w:lvlText w:val="%6."/>
      <w:lvlJc w:val="right"/>
      <w:pPr>
        <w:ind w:left="2934" w:hanging="180"/>
      </w:pPr>
    </w:lvl>
    <w:lvl w:ilvl="6" w:tplc="0809000F" w:tentative="1">
      <w:start w:val="1"/>
      <w:numFmt w:val="decimal"/>
      <w:lvlText w:val="%7."/>
      <w:lvlJc w:val="left"/>
      <w:pPr>
        <w:ind w:left="3654" w:hanging="360"/>
      </w:pPr>
    </w:lvl>
    <w:lvl w:ilvl="7" w:tplc="08090019" w:tentative="1">
      <w:start w:val="1"/>
      <w:numFmt w:val="lowerLetter"/>
      <w:lvlText w:val="%8."/>
      <w:lvlJc w:val="left"/>
      <w:pPr>
        <w:ind w:left="4374" w:hanging="360"/>
      </w:pPr>
    </w:lvl>
    <w:lvl w:ilvl="8" w:tplc="0809001B" w:tentative="1">
      <w:start w:val="1"/>
      <w:numFmt w:val="lowerRoman"/>
      <w:lvlText w:val="%9."/>
      <w:lvlJc w:val="right"/>
      <w:pPr>
        <w:ind w:left="5094" w:hanging="180"/>
      </w:pPr>
    </w:lvl>
  </w:abstractNum>
  <w:abstractNum w:abstractNumId="10">
    <w:nsid w:val="46167AF4"/>
    <w:multiLevelType w:val="hybridMultilevel"/>
    <w:tmpl w:val="51AC841E"/>
    <w:lvl w:ilvl="0" w:tplc="F7F631D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nsid w:val="4D736CB3"/>
    <w:multiLevelType w:val="hybridMultilevel"/>
    <w:tmpl w:val="C198593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Lucida Grande"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Lucida Grande"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Lucida Grande"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4E334BED"/>
    <w:multiLevelType w:val="multilevel"/>
    <w:tmpl w:val="4D74A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EEB48E0"/>
    <w:multiLevelType w:val="hybridMultilevel"/>
    <w:tmpl w:val="DB3C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70335F"/>
    <w:multiLevelType w:val="hybridMultilevel"/>
    <w:tmpl w:val="F7809316"/>
    <w:lvl w:ilvl="0" w:tplc="F188A49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80240A"/>
    <w:multiLevelType w:val="hybridMultilevel"/>
    <w:tmpl w:val="5C162804"/>
    <w:lvl w:ilvl="0" w:tplc="06F897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FA2E7F"/>
    <w:multiLevelType w:val="hybridMultilevel"/>
    <w:tmpl w:val="D3F4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D979FA"/>
    <w:multiLevelType w:val="hybridMultilevel"/>
    <w:tmpl w:val="8F36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330871"/>
    <w:multiLevelType w:val="hybridMultilevel"/>
    <w:tmpl w:val="F31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F1A8B"/>
    <w:multiLevelType w:val="hybridMultilevel"/>
    <w:tmpl w:val="1ED6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61137"/>
    <w:multiLevelType w:val="hybridMultilevel"/>
    <w:tmpl w:val="4D4244F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Lucida Grande"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Lucida Grande"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Lucida Grande" w:hint="default"/>
      </w:rPr>
    </w:lvl>
    <w:lvl w:ilvl="8" w:tplc="08090005" w:tentative="1">
      <w:start w:val="1"/>
      <w:numFmt w:val="bullet"/>
      <w:lvlText w:val=""/>
      <w:lvlJc w:val="left"/>
      <w:pPr>
        <w:ind w:left="6510" w:hanging="360"/>
      </w:pPr>
      <w:rPr>
        <w:rFonts w:ascii="Wingdings" w:hAnsi="Wingdings" w:hint="default"/>
      </w:rPr>
    </w:lvl>
  </w:abstractNum>
  <w:abstractNum w:abstractNumId="21">
    <w:nsid w:val="7A3A4DD6"/>
    <w:multiLevelType w:val="hybridMultilevel"/>
    <w:tmpl w:val="51AC841E"/>
    <w:lvl w:ilvl="0" w:tplc="F7F631D6">
      <w:start w:val="1"/>
      <w:numFmt w:val="decimal"/>
      <w:lvlText w:val="%1."/>
      <w:lvlJc w:val="left"/>
      <w:pPr>
        <w:tabs>
          <w:tab w:val="num" w:pos="5760"/>
        </w:tabs>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2">
    <w:nsid w:val="7BCC1AB9"/>
    <w:multiLevelType w:val="hybridMultilevel"/>
    <w:tmpl w:val="8398EDB4"/>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984F9B"/>
    <w:multiLevelType w:val="multilevel"/>
    <w:tmpl w:val="51AC841E"/>
    <w:lvl w:ilvl="0">
      <w:start w:val="1"/>
      <w:numFmt w:val="decimal"/>
      <w:lvlText w:val="%1."/>
      <w:lvlJc w:val="left"/>
      <w:pPr>
        <w:tabs>
          <w:tab w:val="num" w:pos="-666"/>
        </w:tabs>
        <w:ind w:left="-666" w:hanging="360"/>
      </w:pPr>
      <w:rPr>
        <w:rFonts w:hint="default"/>
      </w:rPr>
    </w:lvl>
    <w:lvl w:ilvl="1">
      <w:start w:val="1"/>
      <w:numFmt w:val="lowerLetter"/>
      <w:lvlText w:val="%2."/>
      <w:lvlJc w:val="left"/>
      <w:pPr>
        <w:ind w:left="54" w:hanging="360"/>
      </w:pPr>
    </w:lvl>
    <w:lvl w:ilvl="2">
      <w:start w:val="1"/>
      <w:numFmt w:val="lowerRoman"/>
      <w:lvlText w:val="%3."/>
      <w:lvlJc w:val="right"/>
      <w:pPr>
        <w:ind w:left="774" w:hanging="180"/>
      </w:pPr>
    </w:lvl>
    <w:lvl w:ilvl="3">
      <w:start w:val="1"/>
      <w:numFmt w:val="decimal"/>
      <w:lvlText w:val="%4."/>
      <w:lvlJc w:val="left"/>
      <w:pPr>
        <w:ind w:left="1494" w:hanging="360"/>
      </w:pPr>
    </w:lvl>
    <w:lvl w:ilvl="4">
      <w:start w:val="1"/>
      <w:numFmt w:val="lowerLetter"/>
      <w:lvlText w:val="%5."/>
      <w:lvlJc w:val="left"/>
      <w:pPr>
        <w:ind w:left="2214" w:hanging="360"/>
      </w:pPr>
    </w:lvl>
    <w:lvl w:ilvl="5">
      <w:start w:val="1"/>
      <w:numFmt w:val="lowerRoman"/>
      <w:lvlText w:val="%6."/>
      <w:lvlJc w:val="right"/>
      <w:pPr>
        <w:ind w:left="2934" w:hanging="180"/>
      </w:pPr>
    </w:lvl>
    <w:lvl w:ilvl="6">
      <w:start w:val="1"/>
      <w:numFmt w:val="decimal"/>
      <w:lvlText w:val="%7."/>
      <w:lvlJc w:val="left"/>
      <w:pPr>
        <w:ind w:left="3654" w:hanging="360"/>
      </w:pPr>
    </w:lvl>
    <w:lvl w:ilvl="7">
      <w:start w:val="1"/>
      <w:numFmt w:val="lowerLetter"/>
      <w:lvlText w:val="%8."/>
      <w:lvlJc w:val="left"/>
      <w:pPr>
        <w:ind w:left="4374" w:hanging="360"/>
      </w:pPr>
    </w:lvl>
    <w:lvl w:ilvl="8">
      <w:start w:val="1"/>
      <w:numFmt w:val="lowerRoman"/>
      <w:lvlText w:val="%9."/>
      <w:lvlJc w:val="right"/>
      <w:pPr>
        <w:ind w:left="5094" w:hanging="180"/>
      </w:pPr>
    </w:lvl>
  </w:abstractNum>
  <w:num w:numId="1">
    <w:abstractNumId w:val="7"/>
  </w:num>
  <w:num w:numId="2">
    <w:abstractNumId w:val="12"/>
  </w:num>
  <w:num w:numId="3">
    <w:abstractNumId w:val="22"/>
  </w:num>
  <w:num w:numId="4">
    <w:abstractNumId w:val="4"/>
  </w:num>
  <w:num w:numId="5">
    <w:abstractNumId w:val="15"/>
  </w:num>
  <w:num w:numId="6">
    <w:abstractNumId w:val="23"/>
  </w:num>
  <w:num w:numId="7">
    <w:abstractNumId w:val="9"/>
  </w:num>
  <w:num w:numId="8">
    <w:abstractNumId w:val="5"/>
  </w:num>
  <w:num w:numId="9">
    <w:abstractNumId w:val="18"/>
  </w:num>
  <w:num w:numId="10">
    <w:abstractNumId w:val="3"/>
  </w:num>
  <w:num w:numId="11">
    <w:abstractNumId w:val="20"/>
  </w:num>
  <w:num w:numId="12">
    <w:abstractNumId w:val="16"/>
  </w:num>
  <w:num w:numId="13">
    <w:abstractNumId w:val="1"/>
  </w:num>
  <w:num w:numId="14">
    <w:abstractNumId w:val="0"/>
  </w:num>
  <w:num w:numId="15">
    <w:abstractNumId w:val="2"/>
  </w:num>
  <w:num w:numId="16">
    <w:abstractNumId w:val="14"/>
  </w:num>
  <w:num w:numId="17">
    <w:abstractNumId w:val="21"/>
  </w:num>
  <w:num w:numId="18">
    <w:abstractNumId w:val="10"/>
  </w:num>
  <w:num w:numId="19">
    <w:abstractNumId w:val="11"/>
  </w:num>
  <w:num w:numId="20">
    <w:abstractNumId w:val="19"/>
  </w:num>
  <w:num w:numId="21">
    <w:abstractNumId w:val="6"/>
  </w:num>
  <w:num w:numId="22">
    <w:abstractNumId w:val="17"/>
  </w:num>
  <w:num w:numId="23">
    <w:abstractNumId w:val="8"/>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compat/>
  <w:rsids>
    <w:rsidRoot w:val="00731EDC"/>
    <w:rsid w:val="00077871"/>
    <w:rsid w:val="001E0D27"/>
    <w:rsid w:val="00205376"/>
    <w:rsid w:val="0026623A"/>
    <w:rsid w:val="00347A76"/>
    <w:rsid w:val="00731EDC"/>
    <w:rsid w:val="00763C9B"/>
    <w:rsid w:val="00783C4E"/>
    <w:rsid w:val="007D79B3"/>
    <w:rsid w:val="00823BAB"/>
    <w:rsid w:val="009219ED"/>
    <w:rsid w:val="0093674D"/>
    <w:rsid w:val="009D4911"/>
    <w:rsid w:val="00BC6D64"/>
    <w:rsid w:val="00BD5875"/>
    <w:rsid w:val="00DB5422"/>
    <w:rsid w:val="00E92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1ED"/>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DC"/>
    <w:rPr>
      <w:rFonts w:ascii="Calibri" w:eastAsia="Calibri" w:hAnsi="Calibri"/>
      <w:sz w:val="22"/>
      <w:szCs w:val="22"/>
      <w:lang w:val="en-GB"/>
    </w:rPr>
  </w:style>
  <w:style w:type="paragraph" w:customStyle="1" w:styleId="ColorfulList-Accent11">
    <w:name w:val="Colorful List - Accent 11"/>
    <w:basedOn w:val="Normal"/>
    <w:uiPriority w:val="34"/>
    <w:qFormat/>
    <w:rsid w:val="0066159E"/>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500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80"/>
    <w:rPr>
      <w:rFonts w:ascii="Tahoma" w:hAnsi="Tahoma" w:cs="Tahoma"/>
      <w:sz w:val="16"/>
      <w:szCs w:val="16"/>
    </w:rPr>
  </w:style>
  <w:style w:type="character" w:styleId="CommentReference">
    <w:name w:val="annotation reference"/>
    <w:basedOn w:val="DefaultParagraphFont"/>
    <w:semiHidden/>
    <w:unhideWhenUsed/>
    <w:rsid w:val="00C50080"/>
    <w:rPr>
      <w:sz w:val="16"/>
      <w:szCs w:val="16"/>
    </w:rPr>
  </w:style>
  <w:style w:type="paragraph" w:styleId="CommentText">
    <w:name w:val="annotation text"/>
    <w:basedOn w:val="Normal"/>
    <w:link w:val="CommentTextChar"/>
    <w:semiHidden/>
    <w:unhideWhenUsed/>
    <w:rsid w:val="00C50080"/>
    <w:rPr>
      <w:sz w:val="20"/>
      <w:szCs w:val="20"/>
    </w:rPr>
  </w:style>
  <w:style w:type="character" w:customStyle="1" w:styleId="CommentTextChar">
    <w:name w:val="Comment Text Char"/>
    <w:basedOn w:val="DefaultParagraphFont"/>
    <w:link w:val="CommentText"/>
    <w:uiPriority w:val="99"/>
    <w:semiHidden/>
    <w:rsid w:val="00C50080"/>
  </w:style>
  <w:style w:type="paragraph" w:styleId="CommentSubject">
    <w:name w:val="annotation subject"/>
    <w:basedOn w:val="CommentText"/>
    <w:next w:val="CommentText"/>
    <w:link w:val="CommentSubjectChar"/>
    <w:semiHidden/>
    <w:unhideWhenUsed/>
    <w:rsid w:val="00C50080"/>
    <w:rPr>
      <w:b/>
      <w:bCs/>
    </w:rPr>
  </w:style>
  <w:style w:type="character" w:customStyle="1" w:styleId="CommentSubjectChar">
    <w:name w:val="Comment Subject Char"/>
    <w:basedOn w:val="CommentTextChar"/>
    <w:link w:val="CommentSubject"/>
    <w:uiPriority w:val="99"/>
    <w:semiHidden/>
    <w:rsid w:val="00C50080"/>
    <w:rPr>
      <w:b/>
      <w:bCs/>
    </w:rPr>
  </w:style>
  <w:style w:type="paragraph" w:styleId="ListParagraph">
    <w:name w:val="List Paragraph"/>
    <w:basedOn w:val="Normal"/>
    <w:uiPriority w:val="34"/>
    <w:qFormat/>
    <w:rsid w:val="00B02998"/>
    <w:pPr>
      <w:spacing w:line="276" w:lineRule="auto"/>
      <w:ind w:left="720"/>
      <w:contextualSpacing/>
    </w:pPr>
    <w:rPr>
      <w:rFonts w:ascii="Calibri" w:eastAsia="Calibri" w:hAnsi="Calibri"/>
      <w:sz w:val="22"/>
      <w:szCs w:val="22"/>
    </w:rPr>
  </w:style>
  <w:style w:type="paragraph" w:customStyle="1" w:styleId="Default">
    <w:name w:val="Default"/>
    <w:rsid w:val="00E92266"/>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divs>
    <w:div w:id="1623876350">
      <w:bodyDiv w:val="1"/>
      <w:marLeft w:val="0"/>
      <w:marRight w:val="0"/>
      <w:marTop w:val="0"/>
      <w:marBottom w:val="0"/>
      <w:divBdr>
        <w:top w:val="none" w:sz="0" w:space="0" w:color="auto"/>
        <w:left w:val="none" w:sz="0" w:space="0" w:color="auto"/>
        <w:bottom w:val="none" w:sz="0" w:space="0" w:color="auto"/>
        <w:right w:val="none" w:sz="0" w:space="0" w:color="auto"/>
      </w:divBdr>
    </w:div>
    <w:div w:id="17791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Lead Technical Advisor, Cambodian National REDD Roadmap</vt:lpstr>
    </vt:vector>
  </TitlesOfParts>
  <Company>WCC Cambodia Program</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Technical Advisor, Cambodian National REDD Roadmap</dc:title>
  <dc:creator>WCS Cambodia</dc:creator>
  <cp:lastModifiedBy>timothy.boyle</cp:lastModifiedBy>
  <cp:revision>2</cp:revision>
  <dcterms:created xsi:type="dcterms:W3CDTF">2013-02-02T04:34:00Z</dcterms:created>
  <dcterms:modified xsi:type="dcterms:W3CDTF">2013-02-02T04:34:00Z</dcterms:modified>
</cp:coreProperties>
</file>