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C62" w:rsidRDefault="00783428">
      <w:r>
        <w:rPr>
          <w:rFonts w:cs="FrutigerLT-Roman"/>
          <w:noProof/>
          <w:sz w:val="42"/>
          <w:szCs w:val="40"/>
        </w:rPr>
        <w:drawing>
          <wp:inline distT="0" distB="0" distL="0" distR="0">
            <wp:extent cx="1685925" cy="733425"/>
            <wp:effectExtent l="19050" t="0" r="9525" b="0"/>
            <wp:docPr id="1" name="Picture 2"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EDD logo"/>
                    <pic:cNvPicPr>
                      <a:picLocks noChangeAspect="1" noChangeArrowheads="1"/>
                    </pic:cNvPicPr>
                  </pic:nvPicPr>
                  <pic:blipFill>
                    <a:blip r:embed="rId7"/>
                    <a:srcRect/>
                    <a:stretch>
                      <a:fillRect/>
                    </a:stretch>
                  </pic:blipFill>
                  <pic:spPr bwMode="auto">
                    <a:xfrm>
                      <a:off x="0" y="0"/>
                      <a:ext cx="1685925" cy="733425"/>
                    </a:xfrm>
                    <a:prstGeom prst="rect">
                      <a:avLst/>
                    </a:prstGeom>
                    <a:noFill/>
                    <a:ln w="9525">
                      <a:noFill/>
                      <a:miter lim="800000"/>
                      <a:headEnd/>
                      <a:tailEnd/>
                    </a:ln>
                  </pic:spPr>
                </pic:pic>
              </a:graphicData>
            </a:graphic>
          </wp:inline>
        </w:drawing>
      </w:r>
      <w:r w:rsidR="00353C62">
        <w:rPr>
          <w:rFonts w:cs="FrutigerLT-Roman"/>
          <w:noProof/>
          <w:sz w:val="42"/>
          <w:szCs w:val="40"/>
        </w:rPr>
        <w:t xml:space="preserve">                        </w:t>
      </w:r>
      <w:r w:rsidR="00763C08">
        <w:rPr>
          <w:rFonts w:cs="FrutigerLT-Roman"/>
          <w:noProof/>
          <w:sz w:val="42"/>
          <w:szCs w:val="40"/>
        </w:rPr>
        <w:t xml:space="preserve">         </w:t>
      </w:r>
      <w:r w:rsidR="00353C62">
        <w:rPr>
          <w:rFonts w:cs="FrutigerLT-Roman"/>
          <w:noProof/>
          <w:sz w:val="42"/>
          <w:szCs w:val="40"/>
        </w:rPr>
        <w:t xml:space="preserve">      </w:t>
      </w:r>
      <w:r w:rsidR="00763C08" w:rsidRPr="00763C08">
        <w:rPr>
          <w:rFonts w:cs="FrutigerLT-Roman"/>
          <w:noProof/>
          <w:sz w:val="42"/>
          <w:szCs w:val="40"/>
        </w:rPr>
        <w:drawing>
          <wp:inline distT="0" distB="0" distL="0" distR="0">
            <wp:extent cx="1390650" cy="552450"/>
            <wp:effectExtent l="19050" t="0" r="0" b="0"/>
            <wp:docPr id="4" name="Picture 2" descr="FAO,UNEP and UNDP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O,UNEP and UNDP logos"/>
                    <pic:cNvPicPr>
                      <a:picLocks noChangeAspect="1" noChangeArrowheads="1"/>
                    </pic:cNvPicPr>
                  </pic:nvPicPr>
                  <pic:blipFill>
                    <a:blip r:embed="rId8" cstate="print"/>
                    <a:srcRect/>
                    <a:stretch>
                      <a:fillRect/>
                    </a:stretch>
                  </pic:blipFill>
                  <pic:spPr bwMode="auto">
                    <a:xfrm>
                      <a:off x="0" y="0"/>
                      <a:ext cx="1390650" cy="552450"/>
                    </a:xfrm>
                    <a:prstGeom prst="rect">
                      <a:avLst/>
                    </a:prstGeom>
                    <a:noFill/>
                    <a:ln w="9525">
                      <a:noFill/>
                      <a:miter lim="800000"/>
                      <a:headEnd/>
                      <a:tailEnd/>
                    </a:ln>
                  </pic:spPr>
                </pic:pic>
              </a:graphicData>
            </a:graphic>
          </wp:inline>
        </w:drawing>
      </w:r>
      <w:r w:rsidR="00353C62">
        <w:rPr>
          <w:rFonts w:cs="FrutigerLT-Roman"/>
          <w:noProof/>
          <w:sz w:val="42"/>
          <w:szCs w:val="40"/>
        </w:rPr>
        <w:t xml:space="preserve">   </w:t>
      </w:r>
    </w:p>
    <w:p w:rsidR="00353C62" w:rsidRDefault="00353C62">
      <w:pPr>
        <w:jc w:val="center"/>
        <w:rPr>
          <w:rFonts w:ascii="Arial" w:hAnsi="Arial"/>
          <w:b/>
        </w:rPr>
      </w:pPr>
    </w:p>
    <w:p w:rsidR="00353C62" w:rsidRDefault="00353C62">
      <w:pPr>
        <w:jc w:val="center"/>
        <w:rPr>
          <w:rFonts w:ascii="Arial" w:hAnsi="Arial"/>
          <w:b/>
        </w:rPr>
      </w:pPr>
    </w:p>
    <w:p w:rsidR="00353C62" w:rsidRDefault="00353C62">
      <w:pPr>
        <w:jc w:val="center"/>
        <w:rPr>
          <w:rFonts w:ascii="Arial" w:hAnsi="Arial"/>
          <w:b/>
        </w:rPr>
      </w:pPr>
    </w:p>
    <w:p w:rsidR="00353C62" w:rsidRDefault="00353C62">
      <w:pPr>
        <w:jc w:val="center"/>
        <w:rPr>
          <w:rFonts w:ascii="Arial" w:hAnsi="Arial"/>
          <w:b/>
        </w:rPr>
      </w:pPr>
      <w:r w:rsidRPr="00CB6F47">
        <w:rPr>
          <w:rFonts w:ascii="Arial" w:hAnsi="Arial"/>
          <w:b/>
        </w:rPr>
        <w:t xml:space="preserve">Annual Joint </w:t>
      </w:r>
      <w:proofErr w:type="spellStart"/>
      <w:r w:rsidRPr="00CB6F47">
        <w:rPr>
          <w:rFonts w:ascii="Arial" w:hAnsi="Arial"/>
          <w:b/>
        </w:rPr>
        <w:t>Programme</w:t>
      </w:r>
      <w:proofErr w:type="spellEnd"/>
      <w:r w:rsidRPr="00CB6F47">
        <w:rPr>
          <w:rFonts w:ascii="Arial" w:hAnsi="Arial"/>
          <w:b/>
        </w:rPr>
        <w:t xml:space="preserve"> Progress Report</w:t>
      </w:r>
    </w:p>
    <w:p w:rsidR="00353C62" w:rsidRDefault="00353C62">
      <w:pPr>
        <w:jc w:val="center"/>
        <w:rPr>
          <w:rFonts w:ascii="Arial" w:hAnsi="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98"/>
        <w:gridCol w:w="6345"/>
      </w:tblGrid>
      <w:tr w:rsidR="00353C62" w:rsidRPr="0077277E" w:rsidTr="0077277E">
        <w:tc>
          <w:tcPr>
            <w:tcW w:w="2898" w:type="dxa"/>
          </w:tcPr>
          <w:p w:rsidR="00353C62" w:rsidRPr="0077277E" w:rsidRDefault="00353C62" w:rsidP="004463A1">
            <w:pPr>
              <w:rPr>
                <w:rFonts w:ascii="Arial" w:hAnsi="Arial"/>
              </w:rPr>
            </w:pPr>
            <w:r w:rsidRPr="0077277E">
              <w:rPr>
                <w:rFonts w:ascii="Arial" w:hAnsi="Arial"/>
              </w:rPr>
              <w:t>Country/Global</w:t>
            </w:r>
          </w:p>
        </w:tc>
        <w:tc>
          <w:tcPr>
            <w:tcW w:w="6345" w:type="dxa"/>
          </w:tcPr>
          <w:p w:rsidR="00353C62" w:rsidRPr="0077277E" w:rsidRDefault="00353C62" w:rsidP="004463A1">
            <w:pPr>
              <w:rPr>
                <w:rFonts w:ascii="Arial" w:hAnsi="Arial"/>
                <w:b/>
              </w:rPr>
            </w:pPr>
            <w:smartTag w:uri="urn:schemas-microsoft-com:office:smarttags" w:element="country-region">
              <w:smartTag w:uri="urn:schemas-microsoft-com:office:smarttags" w:element="place">
                <w:r>
                  <w:rPr>
                    <w:rFonts w:ascii="Arial" w:hAnsi="Arial"/>
                    <w:b/>
                  </w:rPr>
                  <w:t>Zambia</w:t>
                </w:r>
              </w:smartTag>
            </w:smartTag>
          </w:p>
        </w:tc>
      </w:tr>
      <w:tr w:rsidR="00353C62" w:rsidRPr="0077277E" w:rsidTr="0077277E">
        <w:tc>
          <w:tcPr>
            <w:tcW w:w="2898" w:type="dxa"/>
          </w:tcPr>
          <w:p w:rsidR="00353C62" w:rsidRPr="0077277E" w:rsidRDefault="00353C62" w:rsidP="004463A1">
            <w:pPr>
              <w:rPr>
                <w:rFonts w:ascii="Arial" w:hAnsi="Arial"/>
              </w:rPr>
            </w:pPr>
            <w:r>
              <w:rPr>
                <w:rFonts w:ascii="Arial" w:hAnsi="Arial"/>
              </w:rPr>
              <w:t>Title</w:t>
            </w:r>
            <w:r w:rsidRPr="0077277E">
              <w:rPr>
                <w:rFonts w:ascii="Arial" w:hAnsi="Arial"/>
              </w:rPr>
              <w:t>:</w:t>
            </w:r>
          </w:p>
        </w:tc>
        <w:tc>
          <w:tcPr>
            <w:tcW w:w="6345" w:type="dxa"/>
          </w:tcPr>
          <w:p w:rsidR="00353C62" w:rsidRPr="0077277E" w:rsidRDefault="00353C62" w:rsidP="004463A1">
            <w:pPr>
              <w:rPr>
                <w:rFonts w:ascii="Arial" w:hAnsi="Arial"/>
                <w:b/>
              </w:rPr>
            </w:pPr>
            <w:r>
              <w:rPr>
                <w:rFonts w:ascii="Arial" w:hAnsi="Arial"/>
                <w:b/>
              </w:rPr>
              <w:t xml:space="preserve">UN-REDD </w:t>
            </w:r>
            <w:proofErr w:type="spellStart"/>
            <w:r>
              <w:rPr>
                <w:rFonts w:ascii="Arial" w:hAnsi="Arial"/>
                <w:b/>
              </w:rPr>
              <w:t>Programme</w:t>
            </w:r>
            <w:proofErr w:type="spellEnd"/>
            <w:r>
              <w:rPr>
                <w:rFonts w:ascii="Arial" w:hAnsi="Arial"/>
                <w:b/>
              </w:rPr>
              <w:t xml:space="preserve"> – </w:t>
            </w:r>
            <w:smartTag w:uri="urn:schemas-microsoft-com:office:smarttags" w:element="country-region">
              <w:smartTag w:uri="urn:schemas-microsoft-com:office:smarttags" w:element="place">
                <w:r>
                  <w:rPr>
                    <w:rFonts w:ascii="Arial" w:hAnsi="Arial"/>
                    <w:b/>
                  </w:rPr>
                  <w:t>Zambia</w:t>
                </w:r>
              </w:smartTag>
            </w:smartTag>
            <w:r>
              <w:rPr>
                <w:rFonts w:ascii="Arial" w:hAnsi="Arial"/>
                <w:b/>
              </w:rPr>
              <w:t xml:space="preserve"> Quick Start Initiative </w:t>
            </w:r>
          </w:p>
        </w:tc>
      </w:tr>
      <w:tr w:rsidR="00353C62" w:rsidRPr="0077277E" w:rsidTr="0077277E">
        <w:tc>
          <w:tcPr>
            <w:tcW w:w="2898" w:type="dxa"/>
          </w:tcPr>
          <w:p w:rsidR="00353C62" w:rsidRPr="0077277E" w:rsidRDefault="00353C62" w:rsidP="004463A1">
            <w:pPr>
              <w:rPr>
                <w:rFonts w:ascii="Arial" w:hAnsi="Arial"/>
              </w:rPr>
            </w:pPr>
            <w:r w:rsidRPr="0077277E">
              <w:rPr>
                <w:rFonts w:ascii="Arial" w:hAnsi="Arial"/>
              </w:rPr>
              <w:t>Reporting Period</w:t>
            </w:r>
          </w:p>
        </w:tc>
        <w:tc>
          <w:tcPr>
            <w:tcW w:w="6345" w:type="dxa"/>
          </w:tcPr>
          <w:p w:rsidR="00353C62" w:rsidRPr="0077277E" w:rsidRDefault="00353C62" w:rsidP="004463A1">
            <w:pPr>
              <w:rPr>
                <w:rFonts w:ascii="Arial" w:hAnsi="Arial"/>
                <w:b/>
              </w:rPr>
            </w:pPr>
            <w:r>
              <w:rPr>
                <w:rFonts w:ascii="Arial" w:hAnsi="Arial"/>
                <w:b/>
              </w:rPr>
              <w:t>1.1.2010 – 31.1.2010</w:t>
            </w:r>
          </w:p>
        </w:tc>
      </w:tr>
      <w:tr w:rsidR="00353C62" w:rsidRPr="0077277E" w:rsidTr="0077277E">
        <w:tc>
          <w:tcPr>
            <w:tcW w:w="2898" w:type="dxa"/>
          </w:tcPr>
          <w:p w:rsidR="00353C62" w:rsidRPr="0077277E" w:rsidRDefault="00353C62" w:rsidP="004463A1">
            <w:pPr>
              <w:rPr>
                <w:rFonts w:ascii="Arial" w:hAnsi="Arial"/>
              </w:rPr>
            </w:pPr>
            <w:r>
              <w:rPr>
                <w:rFonts w:ascii="Arial" w:hAnsi="Arial"/>
              </w:rPr>
              <w:t>Date of Submission</w:t>
            </w:r>
          </w:p>
        </w:tc>
        <w:tc>
          <w:tcPr>
            <w:tcW w:w="6345" w:type="dxa"/>
          </w:tcPr>
          <w:p w:rsidR="00353C62" w:rsidRPr="0077277E" w:rsidRDefault="00AB31F9" w:rsidP="00AB31F9">
            <w:pPr>
              <w:rPr>
                <w:rFonts w:ascii="Arial" w:hAnsi="Arial"/>
                <w:b/>
              </w:rPr>
            </w:pPr>
            <w:r>
              <w:rPr>
                <w:rFonts w:ascii="Arial" w:hAnsi="Arial"/>
                <w:b/>
              </w:rPr>
              <w:t xml:space="preserve">19 </w:t>
            </w:r>
            <w:r w:rsidR="0042348F">
              <w:rPr>
                <w:rFonts w:ascii="Arial" w:hAnsi="Arial"/>
                <w:b/>
              </w:rPr>
              <w:t>Jan</w:t>
            </w:r>
            <w:r>
              <w:rPr>
                <w:rFonts w:ascii="Arial" w:hAnsi="Arial"/>
                <w:b/>
              </w:rPr>
              <w:t>uary</w:t>
            </w:r>
            <w:r w:rsidR="0042348F">
              <w:rPr>
                <w:rFonts w:ascii="Arial" w:hAnsi="Arial"/>
                <w:b/>
              </w:rPr>
              <w:t xml:space="preserve"> 2011</w:t>
            </w:r>
          </w:p>
        </w:tc>
      </w:tr>
      <w:tr w:rsidR="00353C62" w:rsidRPr="007B5D31" w:rsidTr="0077277E">
        <w:tc>
          <w:tcPr>
            <w:tcW w:w="2898" w:type="dxa"/>
          </w:tcPr>
          <w:p w:rsidR="00353C62" w:rsidRPr="0077277E" w:rsidRDefault="00353C62" w:rsidP="004463A1">
            <w:pPr>
              <w:rPr>
                <w:rFonts w:ascii="Arial" w:hAnsi="Arial"/>
              </w:rPr>
            </w:pPr>
            <w:r w:rsidRPr="0077277E">
              <w:rPr>
                <w:rFonts w:ascii="Arial" w:hAnsi="Arial"/>
              </w:rPr>
              <w:t>Submitted by/contact information</w:t>
            </w:r>
          </w:p>
        </w:tc>
        <w:tc>
          <w:tcPr>
            <w:tcW w:w="6345" w:type="dxa"/>
          </w:tcPr>
          <w:p w:rsidR="0068458B" w:rsidRPr="007B5D31" w:rsidRDefault="0068458B" w:rsidP="0068458B">
            <w:pPr>
              <w:rPr>
                <w:rFonts w:ascii="Arial" w:hAnsi="Arial"/>
                <w:b/>
              </w:rPr>
            </w:pPr>
            <w:proofErr w:type="spellStart"/>
            <w:r w:rsidRPr="007B5D31">
              <w:rPr>
                <w:rFonts w:ascii="Arial" w:hAnsi="Arial"/>
                <w:b/>
              </w:rPr>
              <w:t>Katri</w:t>
            </w:r>
            <w:proofErr w:type="spellEnd"/>
            <w:r w:rsidRPr="007B5D31">
              <w:rPr>
                <w:rFonts w:ascii="Arial" w:hAnsi="Arial"/>
                <w:b/>
              </w:rPr>
              <w:t xml:space="preserve"> </w:t>
            </w:r>
            <w:proofErr w:type="spellStart"/>
            <w:r w:rsidRPr="007B5D31">
              <w:rPr>
                <w:rFonts w:ascii="Arial" w:hAnsi="Arial"/>
                <w:b/>
              </w:rPr>
              <w:t>Kallio-Koski</w:t>
            </w:r>
            <w:proofErr w:type="spellEnd"/>
            <w:r w:rsidRPr="007B5D31">
              <w:rPr>
                <w:rFonts w:ascii="Arial" w:hAnsi="Arial"/>
                <w:b/>
              </w:rPr>
              <w:t xml:space="preserve"> (UNDP)</w:t>
            </w:r>
          </w:p>
          <w:p w:rsidR="0042348F" w:rsidRPr="007B5D31" w:rsidRDefault="0068458B" w:rsidP="0068458B">
            <w:pPr>
              <w:rPr>
                <w:rFonts w:ascii="Arial" w:hAnsi="Arial"/>
                <w:b/>
              </w:rPr>
            </w:pPr>
            <w:r>
              <w:rPr>
                <w:rFonts w:ascii="Arial" w:hAnsi="Arial"/>
                <w:b/>
              </w:rPr>
              <w:t>k</w:t>
            </w:r>
            <w:r w:rsidRPr="007B5D31">
              <w:rPr>
                <w:rFonts w:ascii="Arial" w:hAnsi="Arial"/>
                <w:b/>
              </w:rPr>
              <w:t>atri.kallio-koski@undp.org</w:t>
            </w:r>
          </w:p>
        </w:tc>
      </w:tr>
    </w:tbl>
    <w:p w:rsidR="00353C62" w:rsidRPr="007B5D31" w:rsidRDefault="00353C62" w:rsidP="004463A1">
      <w:pPr>
        <w:rPr>
          <w:rFonts w:ascii="Arial" w:hAnsi="Arial"/>
          <w:b/>
        </w:rPr>
      </w:pPr>
    </w:p>
    <w:p w:rsidR="00353C62" w:rsidRPr="007B5D31" w:rsidRDefault="00353C62">
      <w:pPr>
        <w:rPr>
          <w:rFonts w:ascii="Arial" w:hAnsi="Arial"/>
          <w:b/>
        </w:rPr>
      </w:pPr>
    </w:p>
    <w:p w:rsidR="00353C62" w:rsidRDefault="00353C62">
      <w:pPr>
        <w:pStyle w:val="Heading3"/>
        <w:rPr>
          <w:b/>
          <w:bCs w:val="0"/>
        </w:rPr>
      </w:pPr>
      <w:r>
        <w:rPr>
          <w:b/>
          <w:bCs w:val="0"/>
        </w:rPr>
        <w:t>I.  PURPOSE</w:t>
      </w:r>
    </w:p>
    <w:p w:rsidR="00353C62" w:rsidRDefault="00353C62" w:rsidP="00587DAF">
      <w:pPr>
        <w:pStyle w:val="BodyText"/>
        <w:rPr>
          <w:rFonts w:ascii="Times New Roman" w:hAnsi="Times New Roman"/>
          <w:color w:val="000000"/>
          <w:sz w:val="24"/>
        </w:rPr>
      </w:pPr>
    </w:p>
    <w:p w:rsidR="00353C62" w:rsidRDefault="00353C62" w:rsidP="00A31C4A">
      <w:pPr>
        <w:widowControl/>
        <w:autoSpaceDE w:val="0"/>
        <w:autoSpaceDN w:val="0"/>
        <w:adjustRightInd w:val="0"/>
        <w:rPr>
          <w:b/>
          <w:bCs/>
          <w:szCs w:val="24"/>
          <w:lang w:val="en-ZA"/>
        </w:rPr>
      </w:pPr>
      <w:r w:rsidRPr="00A31C4A">
        <w:rPr>
          <w:b/>
          <w:bCs/>
          <w:szCs w:val="24"/>
          <w:lang w:val="en-ZA"/>
        </w:rPr>
        <w:t xml:space="preserve">Programme Goal: </w:t>
      </w:r>
    </w:p>
    <w:p w:rsidR="00173DB9" w:rsidRPr="00A31C4A" w:rsidRDefault="00173DB9" w:rsidP="00A31C4A">
      <w:pPr>
        <w:widowControl/>
        <w:autoSpaceDE w:val="0"/>
        <w:autoSpaceDN w:val="0"/>
        <w:adjustRightInd w:val="0"/>
        <w:rPr>
          <w:b/>
          <w:bCs/>
          <w:szCs w:val="24"/>
          <w:lang w:val="en-ZA"/>
        </w:rPr>
      </w:pPr>
    </w:p>
    <w:p w:rsidR="00353C62" w:rsidRPr="00A31C4A" w:rsidRDefault="00353C62" w:rsidP="00A31C4A">
      <w:pPr>
        <w:widowControl/>
        <w:autoSpaceDE w:val="0"/>
        <w:autoSpaceDN w:val="0"/>
        <w:adjustRightInd w:val="0"/>
        <w:rPr>
          <w:szCs w:val="24"/>
          <w:lang w:val="en-ZA"/>
        </w:rPr>
      </w:pPr>
      <w:proofErr w:type="gramStart"/>
      <w:r w:rsidRPr="00A31C4A">
        <w:rPr>
          <w:szCs w:val="24"/>
          <w:lang w:val="en-ZA"/>
        </w:rPr>
        <w:t>To prepare Zambian institutions and stakeholders for effective nationwide implementation of the REDD+ mechanism.</w:t>
      </w:r>
      <w:proofErr w:type="gramEnd"/>
    </w:p>
    <w:p w:rsidR="00353C62" w:rsidRPr="00A31C4A" w:rsidRDefault="00353C62" w:rsidP="00A31C4A">
      <w:pPr>
        <w:widowControl/>
        <w:autoSpaceDE w:val="0"/>
        <w:autoSpaceDN w:val="0"/>
        <w:adjustRightInd w:val="0"/>
        <w:rPr>
          <w:szCs w:val="24"/>
          <w:lang w:val="en-ZA"/>
        </w:rPr>
      </w:pPr>
    </w:p>
    <w:p w:rsidR="00353C62" w:rsidRDefault="00353C62" w:rsidP="00A31C4A">
      <w:pPr>
        <w:widowControl/>
        <w:autoSpaceDE w:val="0"/>
        <w:autoSpaceDN w:val="0"/>
        <w:adjustRightInd w:val="0"/>
        <w:rPr>
          <w:b/>
          <w:bCs/>
          <w:szCs w:val="24"/>
          <w:lang w:val="en-ZA"/>
        </w:rPr>
      </w:pPr>
      <w:r w:rsidRPr="00A31C4A">
        <w:rPr>
          <w:b/>
          <w:bCs/>
          <w:szCs w:val="24"/>
          <w:lang w:val="en-ZA"/>
        </w:rPr>
        <w:t>Programme Objectives:</w:t>
      </w:r>
    </w:p>
    <w:p w:rsidR="00173DB9" w:rsidRPr="00A31C4A" w:rsidRDefault="00173DB9" w:rsidP="00A31C4A">
      <w:pPr>
        <w:widowControl/>
        <w:autoSpaceDE w:val="0"/>
        <w:autoSpaceDN w:val="0"/>
        <w:adjustRightInd w:val="0"/>
        <w:rPr>
          <w:b/>
          <w:bCs/>
          <w:szCs w:val="24"/>
          <w:lang w:val="en-ZA"/>
        </w:rPr>
      </w:pPr>
    </w:p>
    <w:p w:rsidR="00353C62" w:rsidRPr="00A31C4A" w:rsidRDefault="00353C62" w:rsidP="00A31C4A">
      <w:pPr>
        <w:widowControl/>
        <w:autoSpaceDE w:val="0"/>
        <w:autoSpaceDN w:val="0"/>
        <w:adjustRightInd w:val="0"/>
        <w:rPr>
          <w:szCs w:val="24"/>
          <w:lang w:val="en-ZA"/>
        </w:rPr>
      </w:pPr>
      <w:proofErr w:type="spellStart"/>
      <w:r w:rsidRPr="00A31C4A">
        <w:rPr>
          <w:szCs w:val="24"/>
          <w:lang w:val="en-ZA"/>
        </w:rPr>
        <w:t>i</w:t>
      </w:r>
      <w:proofErr w:type="spellEnd"/>
      <w:r w:rsidRPr="00A31C4A">
        <w:rPr>
          <w:szCs w:val="24"/>
          <w:lang w:val="en-ZA"/>
        </w:rPr>
        <w:t>) Build institutional and stakeholder capacity to implement REDD+</w:t>
      </w:r>
      <w:r w:rsidR="00BD1DD8">
        <w:rPr>
          <w:szCs w:val="24"/>
          <w:lang w:val="en-ZA"/>
        </w:rPr>
        <w:t>.</w:t>
      </w:r>
    </w:p>
    <w:p w:rsidR="00353C62" w:rsidRPr="00A31C4A" w:rsidRDefault="00353C62" w:rsidP="00A31C4A">
      <w:pPr>
        <w:widowControl/>
        <w:autoSpaceDE w:val="0"/>
        <w:autoSpaceDN w:val="0"/>
        <w:adjustRightInd w:val="0"/>
        <w:rPr>
          <w:szCs w:val="24"/>
          <w:lang w:val="en-ZA"/>
        </w:rPr>
      </w:pPr>
      <w:r w:rsidRPr="00A31C4A">
        <w:rPr>
          <w:szCs w:val="24"/>
          <w:lang w:val="en-ZA"/>
        </w:rPr>
        <w:t>ii) Develop an enabling policy environment for REDD+</w:t>
      </w:r>
      <w:r w:rsidR="00BD1DD8">
        <w:rPr>
          <w:szCs w:val="24"/>
          <w:lang w:val="en-ZA"/>
        </w:rPr>
        <w:t>.</w:t>
      </w:r>
    </w:p>
    <w:p w:rsidR="00353C62" w:rsidRPr="00A31C4A" w:rsidRDefault="00353C62" w:rsidP="00A31C4A">
      <w:pPr>
        <w:widowControl/>
        <w:autoSpaceDE w:val="0"/>
        <w:autoSpaceDN w:val="0"/>
        <w:adjustRightInd w:val="0"/>
        <w:rPr>
          <w:szCs w:val="24"/>
          <w:lang w:val="en-ZA"/>
        </w:rPr>
      </w:pPr>
      <w:r w:rsidRPr="00A31C4A">
        <w:rPr>
          <w:szCs w:val="24"/>
          <w:lang w:val="en-ZA"/>
        </w:rPr>
        <w:t>iii) Develop REDD+ benefit-sharing models</w:t>
      </w:r>
      <w:r w:rsidR="00BD1DD8">
        <w:rPr>
          <w:szCs w:val="24"/>
          <w:lang w:val="en-ZA"/>
        </w:rPr>
        <w:t>.</w:t>
      </w:r>
    </w:p>
    <w:p w:rsidR="00353C62" w:rsidRPr="00A31C4A" w:rsidRDefault="00353C62" w:rsidP="00A31C4A">
      <w:pPr>
        <w:widowControl/>
        <w:autoSpaceDE w:val="0"/>
        <w:autoSpaceDN w:val="0"/>
        <w:adjustRightInd w:val="0"/>
        <w:rPr>
          <w:szCs w:val="24"/>
          <w:lang w:val="en-ZA"/>
        </w:rPr>
      </w:pPr>
      <w:proofErr w:type="gramStart"/>
      <w:r w:rsidRPr="00A31C4A">
        <w:rPr>
          <w:szCs w:val="24"/>
          <w:lang w:val="en-ZA"/>
        </w:rPr>
        <w:t>iv) Develop</w:t>
      </w:r>
      <w:proofErr w:type="gramEnd"/>
      <w:r w:rsidRPr="00A31C4A">
        <w:rPr>
          <w:szCs w:val="24"/>
          <w:lang w:val="en-ZA"/>
        </w:rPr>
        <w:t xml:space="preserve"> Monitoring, Reporting and Verification (MRV) systems for REDD+</w:t>
      </w:r>
      <w:r w:rsidR="00BD1DD8">
        <w:rPr>
          <w:szCs w:val="24"/>
          <w:lang w:val="en-ZA"/>
        </w:rPr>
        <w:t>.</w:t>
      </w:r>
    </w:p>
    <w:p w:rsidR="00353C62" w:rsidRPr="00A31C4A" w:rsidRDefault="00353C62" w:rsidP="00A31C4A">
      <w:pPr>
        <w:widowControl/>
        <w:autoSpaceDE w:val="0"/>
        <w:autoSpaceDN w:val="0"/>
        <w:adjustRightInd w:val="0"/>
        <w:rPr>
          <w:szCs w:val="24"/>
          <w:lang w:val="en-ZA"/>
        </w:rPr>
      </w:pPr>
    </w:p>
    <w:p w:rsidR="00353C62" w:rsidRDefault="00353C62" w:rsidP="00A31C4A">
      <w:pPr>
        <w:widowControl/>
        <w:autoSpaceDE w:val="0"/>
        <w:autoSpaceDN w:val="0"/>
        <w:adjustRightInd w:val="0"/>
        <w:rPr>
          <w:b/>
          <w:bCs/>
          <w:szCs w:val="24"/>
          <w:lang w:val="en-ZA"/>
        </w:rPr>
      </w:pPr>
      <w:r w:rsidRPr="00A31C4A">
        <w:rPr>
          <w:b/>
          <w:bCs/>
          <w:szCs w:val="24"/>
          <w:lang w:val="en-ZA"/>
        </w:rPr>
        <w:t>Programme Outcomes:</w:t>
      </w:r>
    </w:p>
    <w:p w:rsidR="00173DB9" w:rsidRPr="00A31C4A" w:rsidRDefault="00173DB9" w:rsidP="00A31C4A">
      <w:pPr>
        <w:widowControl/>
        <w:autoSpaceDE w:val="0"/>
        <w:autoSpaceDN w:val="0"/>
        <w:adjustRightInd w:val="0"/>
        <w:rPr>
          <w:b/>
          <w:bCs/>
          <w:szCs w:val="24"/>
          <w:lang w:val="en-ZA"/>
        </w:rPr>
      </w:pPr>
    </w:p>
    <w:p w:rsidR="00353C62" w:rsidRPr="00A31C4A" w:rsidRDefault="00353C62" w:rsidP="00A31C4A">
      <w:pPr>
        <w:widowControl/>
        <w:autoSpaceDE w:val="0"/>
        <w:autoSpaceDN w:val="0"/>
        <w:adjustRightInd w:val="0"/>
        <w:rPr>
          <w:szCs w:val="24"/>
          <w:lang w:val="en-ZA"/>
        </w:rPr>
      </w:pPr>
      <w:r w:rsidRPr="00A31C4A">
        <w:rPr>
          <w:b/>
          <w:bCs/>
          <w:szCs w:val="24"/>
          <w:lang w:val="en-ZA"/>
        </w:rPr>
        <w:t xml:space="preserve">Outcome 1: </w:t>
      </w:r>
      <w:r w:rsidRPr="00A31C4A">
        <w:rPr>
          <w:szCs w:val="24"/>
          <w:lang w:val="en-ZA"/>
        </w:rPr>
        <w:t>Capacity to manage REDD+ Readiness strengthened</w:t>
      </w:r>
      <w:r w:rsidR="00BD1DD8">
        <w:rPr>
          <w:szCs w:val="24"/>
          <w:lang w:val="en-ZA"/>
        </w:rPr>
        <w:t>.</w:t>
      </w:r>
    </w:p>
    <w:p w:rsidR="00353C62" w:rsidRPr="00A31C4A" w:rsidRDefault="00353C62" w:rsidP="00A31C4A">
      <w:pPr>
        <w:widowControl/>
        <w:autoSpaceDE w:val="0"/>
        <w:autoSpaceDN w:val="0"/>
        <w:adjustRightInd w:val="0"/>
        <w:rPr>
          <w:szCs w:val="24"/>
          <w:lang w:val="en-ZA"/>
        </w:rPr>
      </w:pPr>
      <w:r w:rsidRPr="00A31C4A">
        <w:rPr>
          <w:b/>
          <w:bCs/>
          <w:szCs w:val="24"/>
          <w:lang w:val="en-ZA"/>
        </w:rPr>
        <w:t xml:space="preserve">Outcome 2: </w:t>
      </w:r>
      <w:r w:rsidRPr="00A31C4A">
        <w:rPr>
          <w:szCs w:val="24"/>
          <w:lang w:val="en-ZA"/>
        </w:rPr>
        <w:t>Broad-based stakeholder support for REDD+ established</w:t>
      </w:r>
      <w:r w:rsidR="00BD1DD8">
        <w:rPr>
          <w:szCs w:val="24"/>
          <w:lang w:val="en-ZA"/>
        </w:rPr>
        <w:t>.</w:t>
      </w:r>
    </w:p>
    <w:p w:rsidR="00353C62" w:rsidRPr="00A31C4A" w:rsidRDefault="00353C62" w:rsidP="00A31C4A">
      <w:pPr>
        <w:widowControl/>
        <w:autoSpaceDE w:val="0"/>
        <w:autoSpaceDN w:val="0"/>
        <w:adjustRightInd w:val="0"/>
        <w:rPr>
          <w:szCs w:val="24"/>
          <w:lang w:val="en-ZA"/>
        </w:rPr>
      </w:pPr>
      <w:r w:rsidRPr="00A31C4A">
        <w:rPr>
          <w:b/>
          <w:bCs/>
          <w:szCs w:val="24"/>
          <w:lang w:val="en-ZA"/>
        </w:rPr>
        <w:t xml:space="preserve">Outcome 3: </w:t>
      </w:r>
      <w:r w:rsidRPr="00A31C4A">
        <w:rPr>
          <w:szCs w:val="24"/>
          <w:lang w:val="en-ZA"/>
        </w:rPr>
        <w:t>National governance framework and institutional capacities for the implementation of REDD+ strengthened</w:t>
      </w:r>
      <w:r w:rsidR="00BD1DD8">
        <w:rPr>
          <w:szCs w:val="24"/>
          <w:lang w:val="en-ZA"/>
        </w:rPr>
        <w:t>.</w:t>
      </w:r>
    </w:p>
    <w:p w:rsidR="00353C62" w:rsidRPr="00A31C4A" w:rsidRDefault="00353C62" w:rsidP="00A31C4A">
      <w:pPr>
        <w:widowControl/>
        <w:autoSpaceDE w:val="0"/>
        <w:autoSpaceDN w:val="0"/>
        <w:adjustRightInd w:val="0"/>
        <w:rPr>
          <w:szCs w:val="24"/>
          <w:lang w:val="en-ZA"/>
        </w:rPr>
      </w:pPr>
      <w:r w:rsidRPr="00A31C4A">
        <w:rPr>
          <w:b/>
          <w:bCs/>
          <w:szCs w:val="24"/>
          <w:lang w:val="en-ZA"/>
        </w:rPr>
        <w:t xml:space="preserve">Outcome 4: </w:t>
      </w:r>
      <w:r w:rsidRPr="00A31C4A">
        <w:rPr>
          <w:szCs w:val="24"/>
          <w:lang w:val="en-ZA"/>
        </w:rPr>
        <w:t>National REDD+ strategies identified</w:t>
      </w:r>
      <w:r w:rsidR="00BD1DD8">
        <w:rPr>
          <w:szCs w:val="24"/>
          <w:lang w:val="en-ZA"/>
        </w:rPr>
        <w:t>.</w:t>
      </w:r>
    </w:p>
    <w:p w:rsidR="00353C62" w:rsidRPr="00A31C4A" w:rsidRDefault="00353C62" w:rsidP="00A31C4A">
      <w:pPr>
        <w:widowControl/>
        <w:autoSpaceDE w:val="0"/>
        <w:autoSpaceDN w:val="0"/>
        <w:adjustRightInd w:val="0"/>
        <w:rPr>
          <w:szCs w:val="24"/>
          <w:lang w:val="en-ZA"/>
        </w:rPr>
      </w:pPr>
      <w:r w:rsidRPr="00A31C4A">
        <w:rPr>
          <w:b/>
          <w:bCs/>
          <w:szCs w:val="24"/>
          <w:lang w:val="en-ZA"/>
        </w:rPr>
        <w:t xml:space="preserve">Outcome 5: </w:t>
      </w:r>
      <w:r w:rsidRPr="00A31C4A">
        <w:rPr>
          <w:szCs w:val="24"/>
          <w:lang w:val="en-ZA"/>
        </w:rPr>
        <w:t>MRV capacity to implement REDD+ strengthened</w:t>
      </w:r>
      <w:r w:rsidR="00BD1DD8">
        <w:rPr>
          <w:szCs w:val="24"/>
          <w:lang w:val="en-ZA"/>
        </w:rPr>
        <w:t>.</w:t>
      </w:r>
    </w:p>
    <w:p w:rsidR="00353C62" w:rsidRPr="00A31C4A" w:rsidRDefault="00353C62" w:rsidP="00A31C4A">
      <w:pPr>
        <w:widowControl/>
        <w:autoSpaceDE w:val="0"/>
        <w:autoSpaceDN w:val="0"/>
        <w:adjustRightInd w:val="0"/>
        <w:rPr>
          <w:color w:val="000000"/>
          <w:szCs w:val="24"/>
        </w:rPr>
      </w:pPr>
      <w:r w:rsidRPr="00A31C4A">
        <w:rPr>
          <w:b/>
          <w:bCs/>
          <w:szCs w:val="24"/>
          <w:lang w:val="en-ZA"/>
        </w:rPr>
        <w:t xml:space="preserve">Outcome 6: </w:t>
      </w:r>
      <w:r w:rsidRPr="00A31C4A">
        <w:rPr>
          <w:szCs w:val="24"/>
          <w:lang w:val="en-ZA"/>
        </w:rPr>
        <w:t>Assessment of Reference Emission Level (REL) and Reference Level (RL) undertaken</w:t>
      </w:r>
      <w:r w:rsidR="00173DB9">
        <w:rPr>
          <w:szCs w:val="24"/>
          <w:lang w:val="en-ZA"/>
        </w:rPr>
        <w:t>.</w:t>
      </w:r>
    </w:p>
    <w:p w:rsidR="00353C62" w:rsidRPr="00A31C4A" w:rsidRDefault="00353C62" w:rsidP="00587DAF">
      <w:pPr>
        <w:pStyle w:val="BodyText"/>
        <w:rPr>
          <w:rFonts w:ascii="Times New Roman" w:hAnsi="Times New Roman"/>
          <w:color w:val="000000"/>
          <w:sz w:val="24"/>
          <w:szCs w:val="24"/>
        </w:rPr>
      </w:pPr>
    </w:p>
    <w:p w:rsidR="00353C62" w:rsidRDefault="00353C62" w:rsidP="00587DAF">
      <w:pPr>
        <w:pStyle w:val="BodyText"/>
        <w:rPr>
          <w:rFonts w:ascii="Times New Roman" w:hAnsi="Times New Roman"/>
          <w:sz w:val="24"/>
        </w:rPr>
      </w:pPr>
      <w:r>
        <w:rPr>
          <w:rFonts w:ascii="Times New Roman" w:hAnsi="Times New Roman"/>
          <w:sz w:val="24"/>
        </w:rPr>
        <w:t xml:space="preserve">The UN-REDD </w:t>
      </w:r>
      <w:proofErr w:type="spellStart"/>
      <w:r>
        <w:rPr>
          <w:rFonts w:ascii="Times New Roman" w:hAnsi="Times New Roman"/>
          <w:sz w:val="24"/>
        </w:rPr>
        <w:t>programme</w:t>
      </w:r>
      <w:proofErr w:type="spellEnd"/>
      <w:r>
        <w:rPr>
          <w:rFonts w:ascii="Times New Roman" w:hAnsi="Times New Roman"/>
          <w:sz w:val="24"/>
        </w:rPr>
        <w:t xml:space="preserve"> supports Zambia </w:t>
      </w:r>
      <w:r w:rsidR="00EE2FFF">
        <w:rPr>
          <w:rFonts w:ascii="Times New Roman" w:hAnsi="Times New Roman"/>
          <w:sz w:val="24"/>
        </w:rPr>
        <w:t xml:space="preserve">towards </w:t>
      </w:r>
      <w:r>
        <w:rPr>
          <w:rFonts w:ascii="Times New Roman" w:hAnsi="Times New Roman"/>
          <w:sz w:val="24"/>
        </w:rPr>
        <w:t>achiev</w:t>
      </w:r>
      <w:r w:rsidR="00EE2FFF">
        <w:rPr>
          <w:rFonts w:ascii="Times New Roman" w:hAnsi="Times New Roman"/>
          <w:sz w:val="24"/>
        </w:rPr>
        <w:t>ing</w:t>
      </w:r>
      <w:r>
        <w:rPr>
          <w:rFonts w:ascii="Times New Roman" w:hAnsi="Times New Roman"/>
          <w:sz w:val="24"/>
        </w:rPr>
        <w:t xml:space="preserve"> the Millennium Development Goals, especially MDG 7: “Ensure environmental sustainability” by integrating the principles of sustainable development into country policies and </w:t>
      </w:r>
      <w:proofErr w:type="spellStart"/>
      <w:r>
        <w:rPr>
          <w:rFonts w:ascii="Times New Roman" w:hAnsi="Times New Roman"/>
          <w:sz w:val="24"/>
        </w:rPr>
        <w:t>programmes</w:t>
      </w:r>
      <w:proofErr w:type="spellEnd"/>
      <w:r>
        <w:rPr>
          <w:rFonts w:ascii="Times New Roman" w:hAnsi="Times New Roman"/>
          <w:sz w:val="24"/>
        </w:rPr>
        <w:t xml:space="preserve"> and reversing the loss of environmental resources. </w:t>
      </w:r>
    </w:p>
    <w:p w:rsidR="00353C62" w:rsidRDefault="00353C62"/>
    <w:p w:rsidR="00353C62" w:rsidRDefault="00353C62">
      <w:r>
        <w:t xml:space="preserve">The main executing partner for UN-REDD in </w:t>
      </w:r>
      <w:smartTag w:uri="urn:schemas-microsoft-com:office:smarttags" w:element="country-region">
        <w:smartTag w:uri="urn:schemas-microsoft-com:office:smarttags" w:element="place">
          <w:r>
            <w:t>Zambia</w:t>
          </w:r>
        </w:smartTag>
      </w:smartTag>
      <w:r>
        <w:t xml:space="preserve"> is Forestry Department, Ministry of Tourism, Environment and Natural Resources.</w:t>
      </w:r>
    </w:p>
    <w:p w:rsidR="009262B0" w:rsidRDefault="009262B0"/>
    <w:p w:rsidR="00353C62" w:rsidRDefault="00353C62"/>
    <w:p w:rsidR="00353C62" w:rsidRDefault="00353C62">
      <w:pPr>
        <w:pStyle w:val="Heading3"/>
        <w:rPr>
          <w:b/>
          <w:bCs w:val="0"/>
        </w:rPr>
      </w:pPr>
      <w:r>
        <w:rPr>
          <w:b/>
          <w:bCs w:val="0"/>
        </w:rPr>
        <w:t>II</w:t>
      </w:r>
      <w:proofErr w:type="gramStart"/>
      <w:r>
        <w:rPr>
          <w:b/>
          <w:bCs w:val="0"/>
        </w:rPr>
        <w:t>.  RESOURCES</w:t>
      </w:r>
      <w:proofErr w:type="gramEnd"/>
    </w:p>
    <w:p w:rsidR="000B0E20" w:rsidRDefault="000B0E20">
      <w:pPr>
        <w:pStyle w:val="BodyText3"/>
        <w:jc w:val="left"/>
        <w:rPr>
          <w:highlight w:val="yellow"/>
        </w:rPr>
      </w:pPr>
    </w:p>
    <w:p w:rsidR="00912EC4" w:rsidRDefault="00912EC4">
      <w:pPr>
        <w:pStyle w:val="BodyText3"/>
        <w:jc w:val="left"/>
      </w:pPr>
      <w:r w:rsidRPr="00B471DE">
        <w:t xml:space="preserve">Zambia developed its national </w:t>
      </w:r>
      <w:r w:rsidR="00EE2FFF">
        <w:t>joint</w:t>
      </w:r>
      <w:r w:rsidR="00EE2FFF" w:rsidRPr="00B471DE">
        <w:t xml:space="preserve"> </w:t>
      </w:r>
      <w:proofErr w:type="spellStart"/>
      <w:r w:rsidRPr="00B471DE">
        <w:t>programme</w:t>
      </w:r>
      <w:proofErr w:type="spellEnd"/>
      <w:r w:rsidRPr="00B471DE">
        <w:t xml:space="preserve"> (NJP) </w:t>
      </w:r>
      <w:r w:rsidR="00EE2FFF">
        <w:t xml:space="preserve">with a total budget </w:t>
      </w:r>
      <w:r w:rsidRPr="00B471DE">
        <w:t>of US$ 4.49 million</w:t>
      </w:r>
      <w:r w:rsidR="00EE2FFF">
        <w:t>. The NJP</w:t>
      </w:r>
      <w:r w:rsidRPr="00B471DE">
        <w:t xml:space="preserve"> </w:t>
      </w:r>
      <w:r w:rsidR="00EE2FFF">
        <w:t>was</w:t>
      </w:r>
      <w:r w:rsidR="00EE2FFF" w:rsidRPr="00B471DE">
        <w:t xml:space="preserve"> </w:t>
      </w:r>
      <w:r w:rsidRPr="00EF37B1">
        <w:t>submitted to UN-REDD policy board and approved in March 2010.</w:t>
      </w:r>
      <w:r w:rsidR="00EF37B1">
        <w:t xml:space="preserve"> </w:t>
      </w:r>
    </w:p>
    <w:p w:rsidR="00A2565F" w:rsidRPr="00EF37B1" w:rsidRDefault="00A2565F" w:rsidP="00A2565F">
      <w:pPr>
        <w:pStyle w:val="BodyText2"/>
      </w:pPr>
      <w:r>
        <w:rPr>
          <w:rFonts w:ascii="Times New Roman" w:hAnsi="Times New Roman"/>
          <w:sz w:val="24"/>
        </w:rPr>
        <w:t xml:space="preserve">The UN-REDD </w:t>
      </w:r>
      <w:proofErr w:type="spellStart"/>
      <w:r>
        <w:rPr>
          <w:rFonts w:ascii="Times New Roman" w:hAnsi="Times New Roman"/>
          <w:sz w:val="24"/>
        </w:rPr>
        <w:t>programme</w:t>
      </w:r>
      <w:proofErr w:type="spellEnd"/>
      <w:r>
        <w:rPr>
          <w:rFonts w:ascii="Times New Roman" w:hAnsi="Times New Roman"/>
          <w:sz w:val="24"/>
        </w:rPr>
        <w:t xml:space="preserve"> document was signed in September 2010 by the participating UN Organizations and Government of Zambia.</w:t>
      </w:r>
    </w:p>
    <w:p w:rsidR="00EF37B1" w:rsidRPr="00EF37B1" w:rsidRDefault="00EF37B1">
      <w:pPr>
        <w:pStyle w:val="BodyText3"/>
        <w:jc w:val="left"/>
      </w:pPr>
    </w:p>
    <w:p w:rsidR="000B0E20" w:rsidRPr="00EF37B1" w:rsidRDefault="00EF37B1">
      <w:pPr>
        <w:pStyle w:val="BodyText3"/>
        <w:jc w:val="left"/>
      </w:pPr>
      <w:r w:rsidRPr="00EF37B1">
        <w:t>The</w:t>
      </w:r>
      <w:r>
        <w:t xml:space="preserve"> allocation of the total budget for the </w:t>
      </w:r>
      <w:r w:rsidR="00EE2FFF">
        <w:t xml:space="preserve">first </w:t>
      </w:r>
      <w:r>
        <w:t xml:space="preserve">year, 2011 (out of three) is </w:t>
      </w:r>
      <w:r w:rsidR="00EE2FFF">
        <w:t xml:space="preserve">outlined </w:t>
      </w:r>
      <w:r>
        <w:t xml:space="preserve">below. </w:t>
      </w:r>
    </w:p>
    <w:p w:rsidR="000B0E20" w:rsidRDefault="000B0E20">
      <w:pPr>
        <w:pStyle w:val="BodyText3"/>
        <w:jc w:val="left"/>
        <w:rPr>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09"/>
        <w:gridCol w:w="1439"/>
        <w:gridCol w:w="1592"/>
        <w:gridCol w:w="1422"/>
        <w:gridCol w:w="1373"/>
      </w:tblGrid>
      <w:tr w:rsidR="00BD1DD8" w:rsidRPr="00A46101" w:rsidTr="00BD1DD8">
        <w:tc>
          <w:tcPr>
            <w:tcW w:w="3309" w:type="dxa"/>
          </w:tcPr>
          <w:p w:rsidR="00BD1DD8" w:rsidRPr="00A46101" w:rsidRDefault="00BD1DD8" w:rsidP="008C5778">
            <w:pPr>
              <w:rPr>
                <w:szCs w:val="24"/>
              </w:rPr>
            </w:pPr>
            <w:r>
              <w:rPr>
                <w:szCs w:val="24"/>
              </w:rPr>
              <w:t>Outcomes</w:t>
            </w:r>
          </w:p>
        </w:tc>
        <w:tc>
          <w:tcPr>
            <w:tcW w:w="1439" w:type="dxa"/>
          </w:tcPr>
          <w:p w:rsidR="00BD1DD8" w:rsidRPr="00A46101" w:rsidRDefault="00BD1DD8" w:rsidP="008C5778">
            <w:pPr>
              <w:rPr>
                <w:szCs w:val="24"/>
              </w:rPr>
            </w:pPr>
            <w:r>
              <w:rPr>
                <w:szCs w:val="24"/>
              </w:rPr>
              <w:t>FAO</w:t>
            </w:r>
          </w:p>
        </w:tc>
        <w:tc>
          <w:tcPr>
            <w:tcW w:w="1592" w:type="dxa"/>
          </w:tcPr>
          <w:p w:rsidR="00BD1DD8" w:rsidRPr="00A46101" w:rsidRDefault="00BD1DD8" w:rsidP="008C5778">
            <w:pPr>
              <w:rPr>
                <w:szCs w:val="24"/>
              </w:rPr>
            </w:pPr>
            <w:r>
              <w:rPr>
                <w:szCs w:val="24"/>
              </w:rPr>
              <w:t>UNDP</w:t>
            </w:r>
          </w:p>
        </w:tc>
        <w:tc>
          <w:tcPr>
            <w:tcW w:w="1422" w:type="dxa"/>
          </w:tcPr>
          <w:p w:rsidR="00BD1DD8" w:rsidRPr="00A46101" w:rsidRDefault="00BD1DD8" w:rsidP="008C5778">
            <w:pPr>
              <w:rPr>
                <w:szCs w:val="24"/>
              </w:rPr>
            </w:pPr>
            <w:r>
              <w:rPr>
                <w:szCs w:val="24"/>
              </w:rPr>
              <w:t>UNEP</w:t>
            </w:r>
          </w:p>
        </w:tc>
        <w:tc>
          <w:tcPr>
            <w:tcW w:w="1373" w:type="dxa"/>
          </w:tcPr>
          <w:p w:rsidR="00BD1DD8" w:rsidRPr="00BD1DD8" w:rsidRDefault="00BD1DD8" w:rsidP="008C5778">
            <w:pPr>
              <w:rPr>
                <w:szCs w:val="24"/>
              </w:rPr>
            </w:pPr>
            <w:r w:rsidRPr="00BD1DD8">
              <w:rPr>
                <w:szCs w:val="24"/>
              </w:rPr>
              <w:t>T</w:t>
            </w:r>
            <w:r w:rsidR="00981D8A">
              <w:rPr>
                <w:szCs w:val="24"/>
              </w:rPr>
              <w:t>OTAL</w:t>
            </w:r>
          </w:p>
        </w:tc>
      </w:tr>
      <w:tr w:rsidR="00BD1DD8" w:rsidRPr="00A46101" w:rsidTr="00BD1DD8">
        <w:tc>
          <w:tcPr>
            <w:tcW w:w="3309" w:type="dxa"/>
          </w:tcPr>
          <w:p w:rsidR="00BD1DD8" w:rsidRPr="00A46101" w:rsidRDefault="00BD1DD8" w:rsidP="008C5778">
            <w:pPr>
              <w:rPr>
                <w:szCs w:val="24"/>
              </w:rPr>
            </w:pPr>
            <w:r w:rsidRPr="00F90E17">
              <w:rPr>
                <w:szCs w:val="24"/>
              </w:rPr>
              <w:t>1. Capacity to manage REDD+ Readiness strengthened.</w:t>
            </w:r>
          </w:p>
        </w:tc>
        <w:tc>
          <w:tcPr>
            <w:tcW w:w="1439" w:type="dxa"/>
          </w:tcPr>
          <w:p w:rsidR="00BD1DD8" w:rsidRDefault="00BD1DD8" w:rsidP="008C5778">
            <w:pPr>
              <w:rPr>
                <w:szCs w:val="24"/>
              </w:rPr>
            </w:pPr>
          </w:p>
        </w:tc>
        <w:tc>
          <w:tcPr>
            <w:tcW w:w="1592" w:type="dxa"/>
          </w:tcPr>
          <w:p w:rsidR="00BD1DD8" w:rsidRDefault="00BD1DD8" w:rsidP="00F46EBB">
            <w:pPr>
              <w:rPr>
                <w:szCs w:val="24"/>
              </w:rPr>
            </w:pPr>
            <w:r>
              <w:rPr>
                <w:szCs w:val="24"/>
              </w:rPr>
              <w:t xml:space="preserve">$345,796 </w:t>
            </w:r>
          </w:p>
        </w:tc>
        <w:tc>
          <w:tcPr>
            <w:tcW w:w="1422" w:type="dxa"/>
          </w:tcPr>
          <w:p w:rsidR="00BD1DD8" w:rsidRPr="00A46101" w:rsidRDefault="00BD1DD8" w:rsidP="00F46EBB">
            <w:pPr>
              <w:rPr>
                <w:szCs w:val="24"/>
              </w:rPr>
            </w:pPr>
            <w:r>
              <w:rPr>
                <w:szCs w:val="24"/>
              </w:rPr>
              <w:t xml:space="preserve">$56,075 </w:t>
            </w:r>
          </w:p>
        </w:tc>
        <w:tc>
          <w:tcPr>
            <w:tcW w:w="1373" w:type="dxa"/>
          </w:tcPr>
          <w:p w:rsidR="00BD1DD8" w:rsidRDefault="00981D8A" w:rsidP="00F46EBB">
            <w:pPr>
              <w:rPr>
                <w:szCs w:val="24"/>
              </w:rPr>
            </w:pPr>
            <w:r>
              <w:rPr>
                <w:szCs w:val="24"/>
              </w:rPr>
              <w:t>$401,844</w:t>
            </w:r>
          </w:p>
        </w:tc>
      </w:tr>
      <w:tr w:rsidR="00BD1DD8" w:rsidRPr="00A46101" w:rsidTr="00BD1DD8">
        <w:tc>
          <w:tcPr>
            <w:tcW w:w="3309" w:type="dxa"/>
          </w:tcPr>
          <w:p w:rsidR="00BD1DD8" w:rsidRPr="00A46101" w:rsidRDefault="00BD1DD8" w:rsidP="008C5778">
            <w:pPr>
              <w:rPr>
                <w:szCs w:val="24"/>
              </w:rPr>
            </w:pPr>
            <w:r w:rsidRPr="00F90E17">
              <w:rPr>
                <w:szCs w:val="24"/>
              </w:rPr>
              <w:t>2. Broad-based stakeholder support for REDD+ established.</w:t>
            </w:r>
          </w:p>
        </w:tc>
        <w:tc>
          <w:tcPr>
            <w:tcW w:w="1439" w:type="dxa"/>
          </w:tcPr>
          <w:p w:rsidR="00BD1DD8" w:rsidRDefault="00BD1DD8" w:rsidP="008C5778">
            <w:pPr>
              <w:rPr>
                <w:szCs w:val="24"/>
              </w:rPr>
            </w:pPr>
          </w:p>
        </w:tc>
        <w:tc>
          <w:tcPr>
            <w:tcW w:w="1592" w:type="dxa"/>
          </w:tcPr>
          <w:p w:rsidR="00BD1DD8" w:rsidRDefault="00BD1DD8" w:rsidP="00F46EBB">
            <w:pPr>
              <w:rPr>
                <w:szCs w:val="24"/>
              </w:rPr>
            </w:pPr>
            <w:r>
              <w:rPr>
                <w:szCs w:val="24"/>
              </w:rPr>
              <w:t xml:space="preserve">$112,149 </w:t>
            </w:r>
          </w:p>
        </w:tc>
        <w:tc>
          <w:tcPr>
            <w:tcW w:w="1422" w:type="dxa"/>
          </w:tcPr>
          <w:p w:rsidR="00BD1DD8" w:rsidRPr="00A46101" w:rsidRDefault="00BD1DD8" w:rsidP="008C5778">
            <w:pPr>
              <w:rPr>
                <w:szCs w:val="24"/>
              </w:rPr>
            </w:pPr>
          </w:p>
        </w:tc>
        <w:tc>
          <w:tcPr>
            <w:tcW w:w="1373" w:type="dxa"/>
          </w:tcPr>
          <w:p w:rsidR="00BD1DD8" w:rsidRPr="00A46101" w:rsidRDefault="00981D8A" w:rsidP="008C5778">
            <w:pPr>
              <w:rPr>
                <w:szCs w:val="24"/>
              </w:rPr>
            </w:pPr>
            <w:r>
              <w:rPr>
                <w:szCs w:val="24"/>
              </w:rPr>
              <w:t>$112,149</w:t>
            </w:r>
          </w:p>
        </w:tc>
      </w:tr>
      <w:tr w:rsidR="00BD1DD8" w:rsidRPr="00A46101" w:rsidTr="00BD1DD8">
        <w:tc>
          <w:tcPr>
            <w:tcW w:w="3309" w:type="dxa"/>
          </w:tcPr>
          <w:p w:rsidR="00BD1DD8" w:rsidRPr="00A46101" w:rsidRDefault="00BD1DD8" w:rsidP="008C5778">
            <w:pPr>
              <w:rPr>
                <w:szCs w:val="24"/>
              </w:rPr>
            </w:pPr>
            <w:r w:rsidRPr="00F90E17">
              <w:rPr>
                <w:szCs w:val="24"/>
              </w:rPr>
              <w:t>3. National governance framework and institutional capacities for the implementation of REDD+ strengthened.</w:t>
            </w:r>
          </w:p>
        </w:tc>
        <w:tc>
          <w:tcPr>
            <w:tcW w:w="1439" w:type="dxa"/>
          </w:tcPr>
          <w:p w:rsidR="00BD1DD8" w:rsidRDefault="00BD1DD8" w:rsidP="008C5778">
            <w:pPr>
              <w:rPr>
                <w:szCs w:val="24"/>
              </w:rPr>
            </w:pPr>
          </w:p>
        </w:tc>
        <w:tc>
          <w:tcPr>
            <w:tcW w:w="1592" w:type="dxa"/>
          </w:tcPr>
          <w:p w:rsidR="00BD1DD8" w:rsidRDefault="00BD1DD8" w:rsidP="00F46EBB">
            <w:pPr>
              <w:rPr>
                <w:szCs w:val="24"/>
              </w:rPr>
            </w:pPr>
            <w:r>
              <w:rPr>
                <w:szCs w:val="24"/>
              </w:rPr>
              <w:t xml:space="preserve">$163,549 </w:t>
            </w:r>
          </w:p>
        </w:tc>
        <w:tc>
          <w:tcPr>
            <w:tcW w:w="1422" w:type="dxa"/>
          </w:tcPr>
          <w:p w:rsidR="00BD1DD8" w:rsidRPr="00A46101" w:rsidRDefault="00BD1DD8" w:rsidP="008C5778">
            <w:pPr>
              <w:rPr>
                <w:szCs w:val="24"/>
              </w:rPr>
            </w:pPr>
          </w:p>
        </w:tc>
        <w:tc>
          <w:tcPr>
            <w:tcW w:w="1373" w:type="dxa"/>
          </w:tcPr>
          <w:p w:rsidR="00BD1DD8" w:rsidRPr="00A46101" w:rsidRDefault="00981D8A" w:rsidP="008C5778">
            <w:pPr>
              <w:rPr>
                <w:szCs w:val="24"/>
              </w:rPr>
            </w:pPr>
            <w:r>
              <w:rPr>
                <w:szCs w:val="24"/>
              </w:rPr>
              <w:t>$163,549</w:t>
            </w:r>
          </w:p>
        </w:tc>
      </w:tr>
      <w:tr w:rsidR="00BD1DD8" w:rsidRPr="00A46101" w:rsidTr="00BD1DD8">
        <w:tc>
          <w:tcPr>
            <w:tcW w:w="3309" w:type="dxa"/>
          </w:tcPr>
          <w:p w:rsidR="00BD1DD8" w:rsidRPr="00A46101" w:rsidRDefault="00BD1DD8" w:rsidP="008C5778">
            <w:pPr>
              <w:rPr>
                <w:szCs w:val="24"/>
              </w:rPr>
            </w:pPr>
            <w:r w:rsidRPr="00F90E17">
              <w:rPr>
                <w:szCs w:val="24"/>
              </w:rPr>
              <w:t>4. National REDD+ strategies identified.</w:t>
            </w:r>
          </w:p>
        </w:tc>
        <w:tc>
          <w:tcPr>
            <w:tcW w:w="1439" w:type="dxa"/>
          </w:tcPr>
          <w:p w:rsidR="00BD1DD8" w:rsidRPr="00A46101" w:rsidRDefault="00BD1DD8" w:rsidP="008C5778">
            <w:pPr>
              <w:rPr>
                <w:szCs w:val="24"/>
              </w:rPr>
            </w:pPr>
          </w:p>
        </w:tc>
        <w:tc>
          <w:tcPr>
            <w:tcW w:w="1592" w:type="dxa"/>
          </w:tcPr>
          <w:p w:rsidR="00BD1DD8" w:rsidRPr="00A46101" w:rsidRDefault="00BD1DD8" w:rsidP="008C5778">
            <w:pPr>
              <w:rPr>
                <w:szCs w:val="24"/>
              </w:rPr>
            </w:pPr>
          </w:p>
        </w:tc>
        <w:tc>
          <w:tcPr>
            <w:tcW w:w="1422" w:type="dxa"/>
          </w:tcPr>
          <w:p w:rsidR="00BD1DD8" w:rsidRPr="00A46101" w:rsidRDefault="00BD1DD8" w:rsidP="00F46EBB">
            <w:pPr>
              <w:rPr>
                <w:szCs w:val="24"/>
              </w:rPr>
            </w:pPr>
            <w:r>
              <w:rPr>
                <w:szCs w:val="24"/>
              </w:rPr>
              <w:t xml:space="preserve">$56,074 </w:t>
            </w:r>
          </w:p>
        </w:tc>
        <w:tc>
          <w:tcPr>
            <w:tcW w:w="1373" w:type="dxa"/>
          </w:tcPr>
          <w:p w:rsidR="00BD1DD8" w:rsidRDefault="00981D8A" w:rsidP="00F46EBB">
            <w:pPr>
              <w:rPr>
                <w:szCs w:val="24"/>
              </w:rPr>
            </w:pPr>
            <w:r>
              <w:rPr>
                <w:szCs w:val="24"/>
              </w:rPr>
              <w:t>$56,074</w:t>
            </w:r>
          </w:p>
          <w:p w:rsidR="00981D8A" w:rsidRDefault="00981D8A" w:rsidP="00F46EBB">
            <w:pPr>
              <w:rPr>
                <w:szCs w:val="24"/>
              </w:rPr>
            </w:pPr>
          </w:p>
        </w:tc>
      </w:tr>
      <w:tr w:rsidR="00BD1DD8" w:rsidRPr="00A46101" w:rsidTr="00BD1DD8">
        <w:tc>
          <w:tcPr>
            <w:tcW w:w="3309" w:type="dxa"/>
          </w:tcPr>
          <w:p w:rsidR="00BD1DD8" w:rsidRPr="00F90E17" w:rsidRDefault="00BD1DD8" w:rsidP="008C5778">
            <w:pPr>
              <w:rPr>
                <w:szCs w:val="24"/>
              </w:rPr>
            </w:pPr>
            <w:r w:rsidRPr="00F90E17">
              <w:rPr>
                <w:szCs w:val="24"/>
              </w:rPr>
              <w:t>5. MRV capacity to implement REDD+ strengthened.</w:t>
            </w:r>
          </w:p>
        </w:tc>
        <w:tc>
          <w:tcPr>
            <w:tcW w:w="1439" w:type="dxa"/>
          </w:tcPr>
          <w:p w:rsidR="00BD1DD8" w:rsidRPr="009C0CB2" w:rsidRDefault="00BD1DD8" w:rsidP="009C0CB2">
            <w:pPr>
              <w:rPr>
                <w:szCs w:val="24"/>
              </w:rPr>
            </w:pPr>
            <w:r>
              <w:rPr>
                <w:szCs w:val="24"/>
              </w:rPr>
              <w:t>$</w:t>
            </w:r>
            <w:r w:rsidRPr="009C0CB2">
              <w:rPr>
                <w:szCs w:val="24"/>
              </w:rPr>
              <w:t>531,801</w:t>
            </w:r>
          </w:p>
          <w:p w:rsidR="00BD1DD8" w:rsidRPr="00A46101" w:rsidRDefault="00BD1DD8" w:rsidP="008C5778">
            <w:pPr>
              <w:rPr>
                <w:szCs w:val="24"/>
              </w:rPr>
            </w:pPr>
          </w:p>
        </w:tc>
        <w:tc>
          <w:tcPr>
            <w:tcW w:w="1592" w:type="dxa"/>
          </w:tcPr>
          <w:p w:rsidR="00BD1DD8" w:rsidRPr="00A46101" w:rsidRDefault="00BD1DD8" w:rsidP="008C5778">
            <w:pPr>
              <w:rPr>
                <w:szCs w:val="24"/>
              </w:rPr>
            </w:pPr>
          </w:p>
        </w:tc>
        <w:tc>
          <w:tcPr>
            <w:tcW w:w="1422" w:type="dxa"/>
          </w:tcPr>
          <w:p w:rsidR="00BD1DD8" w:rsidRPr="00A46101" w:rsidRDefault="00BD1DD8" w:rsidP="008C5778">
            <w:pPr>
              <w:rPr>
                <w:szCs w:val="24"/>
              </w:rPr>
            </w:pPr>
          </w:p>
        </w:tc>
        <w:tc>
          <w:tcPr>
            <w:tcW w:w="1373" w:type="dxa"/>
          </w:tcPr>
          <w:p w:rsidR="00665C42" w:rsidRPr="009C0CB2" w:rsidRDefault="00665C42" w:rsidP="00665C42">
            <w:pPr>
              <w:rPr>
                <w:szCs w:val="24"/>
              </w:rPr>
            </w:pPr>
            <w:r>
              <w:rPr>
                <w:szCs w:val="24"/>
              </w:rPr>
              <w:t>$</w:t>
            </w:r>
            <w:r w:rsidRPr="009C0CB2">
              <w:rPr>
                <w:szCs w:val="24"/>
              </w:rPr>
              <w:t>531,801</w:t>
            </w:r>
          </w:p>
          <w:p w:rsidR="00BD1DD8" w:rsidRPr="00A46101" w:rsidRDefault="00BD1DD8" w:rsidP="008C5778">
            <w:pPr>
              <w:rPr>
                <w:szCs w:val="24"/>
              </w:rPr>
            </w:pPr>
          </w:p>
        </w:tc>
      </w:tr>
      <w:tr w:rsidR="00665C42" w:rsidRPr="00A46101" w:rsidTr="00BD1DD8">
        <w:tc>
          <w:tcPr>
            <w:tcW w:w="3309" w:type="dxa"/>
          </w:tcPr>
          <w:p w:rsidR="00665C42" w:rsidRPr="00F90E17" w:rsidRDefault="00665C42" w:rsidP="008C5778">
            <w:pPr>
              <w:rPr>
                <w:szCs w:val="24"/>
              </w:rPr>
            </w:pPr>
            <w:r w:rsidRPr="00F90E17">
              <w:rPr>
                <w:szCs w:val="24"/>
              </w:rPr>
              <w:t>6. Output. Assessment of Reference emission level (REL) and Reference level (RL)</w:t>
            </w:r>
            <w:r>
              <w:rPr>
                <w:szCs w:val="24"/>
              </w:rPr>
              <w:t>.</w:t>
            </w:r>
          </w:p>
        </w:tc>
        <w:tc>
          <w:tcPr>
            <w:tcW w:w="1439" w:type="dxa"/>
          </w:tcPr>
          <w:p w:rsidR="00665C42" w:rsidRPr="009C0CB2" w:rsidRDefault="00665C42" w:rsidP="009C0CB2">
            <w:pPr>
              <w:rPr>
                <w:szCs w:val="24"/>
              </w:rPr>
            </w:pPr>
            <w:r>
              <w:rPr>
                <w:szCs w:val="24"/>
              </w:rPr>
              <w:t>$</w:t>
            </w:r>
            <w:r w:rsidRPr="009C0CB2">
              <w:rPr>
                <w:szCs w:val="24"/>
              </w:rPr>
              <w:t>309,500</w:t>
            </w:r>
          </w:p>
          <w:p w:rsidR="00665C42" w:rsidRPr="00A46101" w:rsidRDefault="00665C42" w:rsidP="008C5778">
            <w:pPr>
              <w:rPr>
                <w:szCs w:val="24"/>
              </w:rPr>
            </w:pPr>
          </w:p>
        </w:tc>
        <w:tc>
          <w:tcPr>
            <w:tcW w:w="1592" w:type="dxa"/>
          </w:tcPr>
          <w:p w:rsidR="00665C42" w:rsidRPr="00A46101" w:rsidRDefault="00665C42" w:rsidP="008C5778">
            <w:pPr>
              <w:rPr>
                <w:szCs w:val="24"/>
              </w:rPr>
            </w:pPr>
          </w:p>
        </w:tc>
        <w:tc>
          <w:tcPr>
            <w:tcW w:w="1422" w:type="dxa"/>
          </w:tcPr>
          <w:p w:rsidR="00665C42" w:rsidRPr="00A46101" w:rsidRDefault="00665C42" w:rsidP="008C5778">
            <w:pPr>
              <w:rPr>
                <w:szCs w:val="24"/>
              </w:rPr>
            </w:pPr>
          </w:p>
        </w:tc>
        <w:tc>
          <w:tcPr>
            <w:tcW w:w="1373" w:type="dxa"/>
          </w:tcPr>
          <w:p w:rsidR="00665C42" w:rsidRPr="009C0CB2" w:rsidRDefault="00665C42" w:rsidP="00E02677">
            <w:pPr>
              <w:rPr>
                <w:szCs w:val="24"/>
              </w:rPr>
            </w:pPr>
            <w:r>
              <w:rPr>
                <w:szCs w:val="24"/>
              </w:rPr>
              <w:t>$</w:t>
            </w:r>
            <w:r w:rsidRPr="009C0CB2">
              <w:rPr>
                <w:szCs w:val="24"/>
              </w:rPr>
              <w:t>309,500</w:t>
            </w:r>
          </w:p>
          <w:p w:rsidR="00665C42" w:rsidRPr="00A46101" w:rsidRDefault="00665C42" w:rsidP="008C5778">
            <w:pPr>
              <w:rPr>
                <w:szCs w:val="24"/>
              </w:rPr>
            </w:pPr>
          </w:p>
        </w:tc>
      </w:tr>
      <w:tr w:rsidR="00665C42" w:rsidRPr="00A46101" w:rsidTr="00BD1DD8">
        <w:tc>
          <w:tcPr>
            <w:tcW w:w="3309" w:type="dxa"/>
          </w:tcPr>
          <w:p w:rsidR="00665C42" w:rsidRPr="00F90E17" w:rsidRDefault="00665C42" w:rsidP="008C5778">
            <w:pPr>
              <w:rPr>
                <w:szCs w:val="24"/>
              </w:rPr>
            </w:pPr>
            <w:r>
              <w:rPr>
                <w:szCs w:val="24"/>
              </w:rPr>
              <w:t>GMS 7%.</w:t>
            </w:r>
          </w:p>
        </w:tc>
        <w:tc>
          <w:tcPr>
            <w:tcW w:w="1439" w:type="dxa"/>
          </w:tcPr>
          <w:p w:rsidR="00665C42" w:rsidRPr="00A46101" w:rsidRDefault="00665C42" w:rsidP="00F46EBB">
            <w:pPr>
              <w:rPr>
                <w:szCs w:val="24"/>
              </w:rPr>
            </w:pPr>
            <w:r>
              <w:rPr>
                <w:szCs w:val="24"/>
              </w:rPr>
              <w:t xml:space="preserve">$58,891 </w:t>
            </w:r>
          </w:p>
        </w:tc>
        <w:tc>
          <w:tcPr>
            <w:tcW w:w="1592" w:type="dxa"/>
          </w:tcPr>
          <w:p w:rsidR="00665C42" w:rsidRPr="00A46101" w:rsidRDefault="00665C42" w:rsidP="00F46EBB">
            <w:pPr>
              <w:rPr>
                <w:szCs w:val="24"/>
              </w:rPr>
            </w:pPr>
            <w:r>
              <w:rPr>
                <w:szCs w:val="24"/>
              </w:rPr>
              <w:t xml:space="preserve">$43,504 </w:t>
            </w:r>
          </w:p>
        </w:tc>
        <w:tc>
          <w:tcPr>
            <w:tcW w:w="1422" w:type="dxa"/>
          </w:tcPr>
          <w:p w:rsidR="00665C42" w:rsidRPr="00A46101" w:rsidRDefault="00665C42" w:rsidP="00F46EBB">
            <w:pPr>
              <w:rPr>
                <w:szCs w:val="24"/>
              </w:rPr>
            </w:pPr>
            <w:r>
              <w:rPr>
                <w:szCs w:val="24"/>
              </w:rPr>
              <w:t xml:space="preserve">$7,850 </w:t>
            </w:r>
          </w:p>
        </w:tc>
        <w:tc>
          <w:tcPr>
            <w:tcW w:w="1373" w:type="dxa"/>
          </w:tcPr>
          <w:p w:rsidR="00665C42" w:rsidRDefault="00665C42" w:rsidP="00F46EBB">
            <w:pPr>
              <w:rPr>
                <w:szCs w:val="24"/>
              </w:rPr>
            </w:pPr>
            <w:r>
              <w:rPr>
                <w:szCs w:val="24"/>
              </w:rPr>
              <w:t>$110,245</w:t>
            </w:r>
          </w:p>
        </w:tc>
      </w:tr>
      <w:tr w:rsidR="00665C42" w:rsidRPr="00A46101" w:rsidTr="00BD1DD8">
        <w:tc>
          <w:tcPr>
            <w:tcW w:w="3309" w:type="dxa"/>
          </w:tcPr>
          <w:p w:rsidR="00665C42" w:rsidRPr="00C71433" w:rsidRDefault="00665C42" w:rsidP="008C5778">
            <w:pPr>
              <w:rPr>
                <w:b/>
                <w:szCs w:val="24"/>
              </w:rPr>
            </w:pPr>
            <w:r w:rsidRPr="00C71433">
              <w:rPr>
                <w:rFonts w:ascii="Calibri" w:hAnsi="Calibri"/>
                <w:b/>
                <w:color w:val="000000"/>
                <w:szCs w:val="24"/>
                <w:lang w:val="en-AU"/>
              </w:rPr>
              <w:t>Total Resources</w:t>
            </w:r>
            <w:r>
              <w:rPr>
                <w:rFonts w:ascii="Calibri" w:hAnsi="Calibri"/>
                <w:b/>
                <w:color w:val="000000"/>
                <w:szCs w:val="24"/>
                <w:lang w:val="en-AU"/>
              </w:rPr>
              <w:t>:</w:t>
            </w:r>
          </w:p>
        </w:tc>
        <w:tc>
          <w:tcPr>
            <w:tcW w:w="1439" w:type="dxa"/>
          </w:tcPr>
          <w:p w:rsidR="00665C42" w:rsidRPr="00C71433" w:rsidRDefault="00665C42" w:rsidP="00F46EBB">
            <w:pPr>
              <w:rPr>
                <w:b/>
                <w:szCs w:val="24"/>
              </w:rPr>
            </w:pPr>
            <w:r>
              <w:rPr>
                <w:b/>
                <w:bCs/>
                <w:szCs w:val="24"/>
              </w:rPr>
              <w:t>$</w:t>
            </w:r>
            <w:r w:rsidRPr="009C0CB2">
              <w:rPr>
                <w:b/>
                <w:bCs/>
                <w:szCs w:val="24"/>
              </w:rPr>
              <w:t xml:space="preserve">900,192 </w:t>
            </w:r>
          </w:p>
        </w:tc>
        <w:tc>
          <w:tcPr>
            <w:tcW w:w="1592" w:type="dxa"/>
          </w:tcPr>
          <w:p w:rsidR="00665C42" w:rsidRPr="00C71433" w:rsidRDefault="00665C42" w:rsidP="00F46EBB">
            <w:pPr>
              <w:rPr>
                <w:b/>
                <w:szCs w:val="24"/>
              </w:rPr>
            </w:pPr>
            <w:r>
              <w:rPr>
                <w:b/>
                <w:szCs w:val="24"/>
              </w:rPr>
              <w:t>$</w:t>
            </w:r>
            <w:r w:rsidRPr="00C71433">
              <w:rPr>
                <w:b/>
                <w:szCs w:val="24"/>
              </w:rPr>
              <w:t>664</w:t>
            </w:r>
            <w:r>
              <w:rPr>
                <w:b/>
                <w:szCs w:val="24"/>
              </w:rPr>
              <w:t>,</w:t>
            </w:r>
            <w:r w:rsidRPr="00C71433">
              <w:rPr>
                <w:b/>
                <w:szCs w:val="24"/>
              </w:rPr>
              <w:t xml:space="preserve">996 </w:t>
            </w:r>
          </w:p>
        </w:tc>
        <w:tc>
          <w:tcPr>
            <w:tcW w:w="1422" w:type="dxa"/>
          </w:tcPr>
          <w:p w:rsidR="00665C42" w:rsidRPr="00C71433" w:rsidRDefault="00665C42" w:rsidP="00F46EBB">
            <w:pPr>
              <w:rPr>
                <w:b/>
                <w:szCs w:val="24"/>
              </w:rPr>
            </w:pPr>
            <w:r>
              <w:rPr>
                <w:b/>
                <w:szCs w:val="24"/>
              </w:rPr>
              <w:t xml:space="preserve">$120,005 </w:t>
            </w:r>
          </w:p>
        </w:tc>
        <w:tc>
          <w:tcPr>
            <w:tcW w:w="1373" w:type="dxa"/>
          </w:tcPr>
          <w:p w:rsidR="00665C42" w:rsidRDefault="00665C42" w:rsidP="00F46EBB">
            <w:pPr>
              <w:rPr>
                <w:b/>
                <w:szCs w:val="24"/>
              </w:rPr>
            </w:pPr>
            <w:r>
              <w:rPr>
                <w:b/>
                <w:szCs w:val="24"/>
              </w:rPr>
              <w:t>$1.685,193</w:t>
            </w:r>
          </w:p>
        </w:tc>
      </w:tr>
    </w:tbl>
    <w:p w:rsidR="000B0E20" w:rsidRDefault="000B0E20" w:rsidP="00A46101">
      <w:pPr>
        <w:rPr>
          <w:szCs w:val="24"/>
        </w:rPr>
      </w:pPr>
    </w:p>
    <w:p w:rsidR="000B0E20" w:rsidRDefault="000B0E20" w:rsidP="00A46101">
      <w:pPr>
        <w:rPr>
          <w:szCs w:val="24"/>
        </w:rPr>
      </w:pPr>
    </w:p>
    <w:p w:rsidR="000B0E20" w:rsidRPr="00A46101" w:rsidRDefault="000B0E20" w:rsidP="000B0E20">
      <w:pPr>
        <w:rPr>
          <w:szCs w:val="24"/>
        </w:rPr>
      </w:pPr>
      <w:r>
        <w:rPr>
          <w:szCs w:val="24"/>
        </w:rPr>
        <w:t xml:space="preserve">Finland/FAO is implementing </w:t>
      </w:r>
      <w:r w:rsidR="00F46EBB">
        <w:rPr>
          <w:szCs w:val="24"/>
        </w:rPr>
        <w:t xml:space="preserve">the </w:t>
      </w:r>
      <w:r>
        <w:rPr>
          <w:szCs w:val="24"/>
        </w:rPr>
        <w:t xml:space="preserve">Integrated Land Use Assessment (ILUA) II from 2010-2013, which will </w:t>
      </w:r>
      <w:r w:rsidR="00F46EBB">
        <w:rPr>
          <w:szCs w:val="24"/>
        </w:rPr>
        <w:t xml:space="preserve">complement the UN-REDD </w:t>
      </w:r>
      <w:proofErr w:type="spellStart"/>
      <w:r w:rsidR="00F46EBB">
        <w:rPr>
          <w:szCs w:val="24"/>
        </w:rPr>
        <w:t>programme</w:t>
      </w:r>
      <w:proofErr w:type="spellEnd"/>
      <w:r w:rsidR="00F46EBB">
        <w:rPr>
          <w:szCs w:val="24"/>
        </w:rPr>
        <w:t xml:space="preserve"> and </w:t>
      </w:r>
      <w:r>
        <w:rPr>
          <w:szCs w:val="24"/>
        </w:rPr>
        <w:t xml:space="preserve">provide important data (emission factors and baseline information to assist in establishing reference emission levels). ILUA will have direct linkage with components 5 and 6 of the </w:t>
      </w:r>
      <w:proofErr w:type="spellStart"/>
      <w:r>
        <w:rPr>
          <w:szCs w:val="24"/>
        </w:rPr>
        <w:t>programme</w:t>
      </w:r>
      <w:proofErr w:type="spellEnd"/>
      <w:r>
        <w:rPr>
          <w:szCs w:val="24"/>
        </w:rPr>
        <w:t>.</w:t>
      </w:r>
    </w:p>
    <w:p w:rsidR="00353C62" w:rsidRDefault="00353C62">
      <w:pPr>
        <w:pStyle w:val="BodyText3"/>
        <w:jc w:val="left"/>
      </w:pPr>
    </w:p>
    <w:p w:rsidR="00353C62" w:rsidRDefault="00353C62"/>
    <w:p w:rsidR="00353C62" w:rsidRDefault="00353C62">
      <w:pPr>
        <w:pStyle w:val="Heading3"/>
        <w:rPr>
          <w:b/>
          <w:bCs w:val="0"/>
        </w:rPr>
      </w:pPr>
      <w:r>
        <w:rPr>
          <w:b/>
          <w:bCs w:val="0"/>
        </w:rPr>
        <w:t>III</w:t>
      </w:r>
      <w:proofErr w:type="gramStart"/>
      <w:r>
        <w:rPr>
          <w:b/>
          <w:bCs w:val="0"/>
        </w:rPr>
        <w:t>.  RESULTS</w:t>
      </w:r>
      <w:proofErr w:type="gramEnd"/>
    </w:p>
    <w:p w:rsidR="00353C62" w:rsidRDefault="00353C62">
      <w:pPr>
        <w:pStyle w:val="BodyText2"/>
        <w:rPr>
          <w:rFonts w:ascii="Times New Roman" w:hAnsi="Times New Roman"/>
          <w:sz w:val="24"/>
        </w:rPr>
      </w:pPr>
    </w:p>
    <w:p w:rsidR="00353C62" w:rsidRDefault="00353C62" w:rsidP="00EF37B1">
      <w:pPr>
        <w:pStyle w:val="BodyText2"/>
        <w:numPr>
          <w:ilvl w:val="0"/>
          <w:numId w:val="12"/>
        </w:numPr>
        <w:ind w:left="360"/>
        <w:rPr>
          <w:rFonts w:ascii="Times New Roman" w:hAnsi="Times New Roman"/>
          <w:sz w:val="24"/>
        </w:rPr>
      </w:pPr>
      <w:r w:rsidRPr="00EF37B1">
        <w:rPr>
          <w:rFonts w:ascii="Times New Roman" w:hAnsi="Times New Roman"/>
          <w:sz w:val="24"/>
        </w:rPr>
        <w:t xml:space="preserve">Several stakeholders meetings were held in 2010. One was to validate the NJP before its submission to the policy board in March 2010. </w:t>
      </w:r>
      <w:r w:rsidR="00EF37B1">
        <w:rPr>
          <w:rFonts w:ascii="Times New Roman" w:hAnsi="Times New Roman"/>
          <w:sz w:val="24"/>
        </w:rPr>
        <w:t>Another stakeholder meeting</w:t>
      </w:r>
      <w:r w:rsidR="00F46EBB">
        <w:rPr>
          <w:rFonts w:ascii="Times New Roman" w:hAnsi="Times New Roman"/>
          <w:sz w:val="24"/>
        </w:rPr>
        <w:t xml:space="preserve"> in August 2010</w:t>
      </w:r>
      <w:r w:rsidRPr="00EF37B1">
        <w:rPr>
          <w:rFonts w:ascii="Times New Roman" w:hAnsi="Times New Roman"/>
          <w:sz w:val="24"/>
        </w:rPr>
        <w:t xml:space="preserve"> review</w:t>
      </w:r>
      <w:r w:rsidR="00F46EBB">
        <w:rPr>
          <w:rFonts w:ascii="Times New Roman" w:hAnsi="Times New Roman"/>
          <w:sz w:val="24"/>
        </w:rPr>
        <w:t>ed</w:t>
      </w:r>
      <w:r w:rsidRPr="00EF37B1">
        <w:rPr>
          <w:rFonts w:ascii="Times New Roman" w:hAnsi="Times New Roman"/>
          <w:sz w:val="24"/>
        </w:rPr>
        <w:t xml:space="preserve"> the </w:t>
      </w:r>
      <w:proofErr w:type="spellStart"/>
      <w:r w:rsidRPr="00EF37B1">
        <w:rPr>
          <w:rFonts w:ascii="Times New Roman" w:hAnsi="Times New Roman"/>
          <w:sz w:val="24"/>
        </w:rPr>
        <w:t>programme</w:t>
      </w:r>
      <w:proofErr w:type="spellEnd"/>
      <w:r w:rsidRPr="00EF37B1">
        <w:rPr>
          <w:rFonts w:ascii="Times New Roman" w:hAnsi="Times New Roman"/>
          <w:sz w:val="24"/>
        </w:rPr>
        <w:t xml:space="preserve"> after incorporation of comments from</w:t>
      </w:r>
      <w:r w:rsidR="00007462">
        <w:rPr>
          <w:rFonts w:ascii="Times New Roman" w:hAnsi="Times New Roman"/>
          <w:sz w:val="24"/>
        </w:rPr>
        <w:t xml:space="preserve"> stakeholders, </w:t>
      </w:r>
      <w:r w:rsidRPr="00EF37B1">
        <w:rPr>
          <w:rFonts w:ascii="Times New Roman" w:hAnsi="Times New Roman"/>
          <w:sz w:val="24"/>
        </w:rPr>
        <w:t xml:space="preserve">policy board and reviewers. </w:t>
      </w:r>
    </w:p>
    <w:p w:rsidR="00051633" w:rsidRDefault="00051633" w:rsidP="00051633">
      <w:pPr>
        <w:pStyle w:val="BodyText2"/>
        <w:rPr>
          <w:rFonts w:ascii="Times New Roman" w:hAnsi="Times New Roman"/>
          <w:sz w:val="24"/>
        </w:rPr>
      </w:pPr>
    </w:p>
    <w:p w:rsidR="00051633" w:rsidRDefault="00051633" w:rsidP="00051633">
      <w:pPr>
        <w:pStyle w:val="BodyText2"/>
        <w:numPr>
          <w:ilvl w:val="0"/>
          <w:numId w:val="12"/>
        </w:numPr>
        <w:ind w:left="360"/>
        <w:rPr>
          <w:rFonts w:ascii="Times New Roman" w:hAnsi="Times New Roman"/>
          <w:sz w:val="24"/>
        </w:rPr>
      </w:pPr>
      <w:r w:rsidRPr="00051633">
        <w:rPr>
          <w:rFonts w:ascii="Times New Roman" w:hAnsi="Times New Roman"/>
          <w:sz w:val="24"/>
        </w:rPr>
        <w:t>The UN-REDD Policy Board approved the budget allocation of US$ 4</w:t>
      </w:r>
      <w:proofErr w:type="gramStart"/>
      <w:r w:rsidRPr="00051633">
        <w:rPr>
          <w:rFonts w:ascii="Times New Roman" w:hAnsi="Times New Roman"/>
          <w:sz w:val="24"/>
        </w:rPr>
        <w:t>,49</w:t>
      </w:r>
      <w:proofErr w:type="gramEnd"/>
      <w:r w:rsidRPr="00051633">
        <w:rPr>
          <w:rFonts w:ascii="Times New Roman" w:hAnsi="Times New Roman"/>
          <w:sz w:val="24"/>
        </w:rPr>
        <w:t xml:space="preserve"> million for Zambia </w:t>
      </w:r>
      <w:r w:rsidR="00F46EBB">
        <w:rPr>
          <w:rFonts w:ascii="Times New Roman" w:hAnsi="Times New Roman"/>
          <w:sz w:val="24"/>
        </w:rPr>
        <w:t xml:space="preserve">in March 20101 </w:t>
      </w:r>
      <w:r w:rsidRPr="00051633">
        <w:rPr>
          <w:rFonts w:ascii="Times New Roman" w:hAnsi="Times New Roman"/>
          <w:sz w:val="24"/>
        </w:rPr>
        <w:t xml:space="preserve">and tasked the country to </w:t>
      </w:r>
      <w:proofErr w:type="spellStart"/>
      <w:r w:rsidRPr="00051633">
        <w:rPr>
          <w:rFonts w:ascii="Times New Roman" w:hAnsi="Times New Roman"/>
          <w:sz w:val="24"/>
        </w:rPr>
        <w:t>finalise</w:t>
      </w:r>
      <w:proofErr w:type="spellEnd"/>
      <w:r w:rsidRPr="00051633">
        <w:rPr>
          <w:rFonts w:ascii="Times New Roman" w:hAnsi="Times New Roman"/>
          <w:sz w:val="24"/>
        </w:rPr>
        <w:t xml:space="preserve"> the UN-REDD </w:t>
      </w:r>
      <w:proofErr w:type="spellStart"/>
      <w:r w:rsidRPr="00051633">
        <w:rPr>
          <w:rFonts w:ascii="Times New Roman" w:hAnsi="Times New Roman"/>
          <w:sz w:val="24"/>
        </w:rPr>
        <w:t>Programme</w:t>
      </w:r>
      <w:proofErr w:type="spellEnd"/>
      <w:r w:rsidRPr="00051633">
        <w:rPr>
          <w:rFonts w:ascii="Times New Roman" w:hAnsi="Times New Roman"/>
          <w:sz w:val="24"/>
        </w:rPr>
        <w:t xml:space="preserve"> document based on comments</w:t>
      </w:r>
      <w:r w:rsidR="00F46EBB">
        <w:rPr>
          <w:rFonts w:ascii="Times New Roman" w:hAnsi="Times New Roman"/>
          <w:sz w:val="24"/>
        </w:rPr>
        <w:t xml:space="preserve"> provided</w:t>
      </w:r>
      <w:r>
        <w:rPr>
          <w:rFonts w:ascii="Times New Roman" w:hAnsi="Times New Roman"/>
          <w:sz w:val="24"/>
        </w:rPr>
        <w:t>.</w:t>
      </w:r>
    </w:p>
    <w:p w:rsidR="00EF37B1" w:rsidRDefault="00EF37B1" w:rsidP="00EF37B1">
      <w:pPr>
        <w:pStyle w:val="BodyText2"/>
        <w:ind w:left="360"/>
        <w:rPr>
          <w:rFonts w:ascii="Times New Roman" w:hAnsi="Times New Roman"/>
          <w:sz w:val="24"/>
        </w:rPr>
      </w:pPr>
    </w:p>
    <w:p w:rsidR="007444C0" w:rsidRDefault="00051633" w:rsidP="00051633">
      <w:pPr>
        <w:pStyle w:val="BodyText2"/>
        <w:numPr>
          <w:ilvl w:val="0"/>
          <w:numId w:val="12"/>
        </w:numPr>
        <w:ind w:left="360"/>
        <w:rPr>
          <w:rFonts w:ascii="Times New Roman" w:hAnsi="Times New Roman"/>
          <w:sz w:val="24"/>
        </w:rPr>
      </w:pPr>
      <w:r w:rsidRPr="00051633">
        <w:rPr>
          <w:rFonts w:ascii="Times New Roman" w:hAnsi="Times New Roman"/>
          <w:sz w:val="24"/>
        </w:rPr>
        <w:lastRenderedPageBreak/>
        <w:t>UNDP, UNEP</w:t>
      </w:r>
      <w:r>
        <w:rPr>
          <w:rFonts w:ascii="Times New Roman" w:hAnsi="Times New Roman"/>
          <w:sz w:val="24"/>
        </w:rPr>
        <w:t xml:space="preserve"> and </w:t>
      </w:r>
      <w:r w:rsidRPr="00051633">
        <w:rPr>
          <w:rFonts w:ascii="Times New Roman" w:hAnsi="Times New Roman"/>
          <w:sz w:val="24"/>
        </w:rPr>
        <w:t xml:space="preserve">FAO </w:t>
      </w:r>
      <w:proofErr w:type="spellStart"/>
      <w:r w:rsidRPr="00051633">
        <w:rPr>
          <w:rFonts w:ascii="Times New Roman" w:hAnsi="Times New Roman"/>
          <w:sz w:val="24"/>
        </w:rPr>
        <w:t>organised</w:t>
      </w:r>
      <w:proofErr w:type="spellEnd"/>
      <w:r w:rsidRPr="00051633">
        <w:rPr>
          <w:rFonts w:ascii="Times New Roman" w:hAnsi="Times New Roman"/>
          <w:sz w:val="24"/>
        </w:rPr>
        <w:t xml:space="preserve"> a joint mission to Zambia </w:t>
      </w:r>
      <w:r w:rsidR="00F46EBB">
        <w:rPr>
          <w:rFonts w:ascii="Times New Roman" w:hAnsi="Times New Roman"/>
          <w:sz w:val="24"/>
        </w:rPr>
        <w:t>in</w:t>
      </w:r>
      <w:r w:rsidR="00957DBC">
        <w:rPr>
          <w:rFonts w:ascii="Times New Roman" w:hAnsi="Times New Roman"/>
          <w:sz w:val="24"/>
        </w:rPr>
        <w:t xml:space="preserve"> </w:t>
      </w:r>
      <w:r w:rsidRPr="00051633">
        <w:rPr>
          <w:rFonts w:ascii="Times New Roman" w:hAnsi="Times New Roman"/>
          <w:sz w:val="24"/>
        </w:rPr>
        <w:t xml:space="preserve">June 2010, with a dual </w:t>
      </w:r>
      <w:proofErr w:type="gramStart"/>
      <w:r w:rsidRPr="00051633">
        <w:rPr>
          <w:rFonts w:ascii="Times New Roman" w:hAnsi="Times New Roman"/>
          <w:sz w:val="24"/>
        </w:rPr>
        <w:t>objective</w:t>
      </w:r>
      <w:proofErr w:type="gramEnd"/>
      <w:r w:rsidRPr="00051633">
        <w:rPr>
          <w:rFonts w:ascii="Times New Roman" w:hAnsi="Times New Roman"/>
          <w:sz w:val="24"/>
        </w:rPr>
        <w:t xml:space="preserve"> of ensuring the linkages with Zambia’s Integrated Land Use Assessment </w:t>
      </w:r>
      <w:proofErr w:type="spellStart"/>
      <w:r w:rsidRPr="00051633">
        <w:rPr>
          <w:rFonts w:ascii="Times New Roman" w:hAnsi="Times New Roman"/>
          <w:sz w:val="24"/>
        </w:rPr>
        <w:t>Programme</w:t>
      </w:r>
      <w:proofErr w:type="spellEnd"/>
      <w:r w:rsidRPr="00051633">
        <w:rPr>
          <w:rFonts w:ascii="Times New Roman" w:hAnsi="Times New Roman"/>
          <w:sz w:val="24"/>
        </w:rPr>
        <w:t xml:space="preserve"> and </w:t>
      </w:r>
      <w:proofErr w:type="spellStart"/>
      <w:r w:rsidR="00F46EBB">
        <w:rPr>
          <w:rFonts w:ascii="Times New Roman" w:hAnsi="Times New Roman"/>
          <w:sz w:val="24"/>
        </w:rPr>
        <w:t>finalising</w:t>
      </w:r>
      <w:proofErr w:type="spellEnd"/>
      <w:r w:rsidR="00F46EBB" w:rsidRPr="00051633">
        <w:rPr>
          <w:rFonts w:ascii="Times New Roman" w:hAnsi="Times New Roman"/>
          <w:sz w:val="24"/>
        </w:rPr>
        <w:t xml:space="preserve"> </w:t>
      </w:r>
      <w:r w:rsidRPr="00051633">
        <w:rPr>
          <w:rFonts w:ascii="Times New Roman" w:hAnsi="Times New Roman"/>
          <w:sz w:val="24"/>
        </w:rPr>
        <w:t xml:space="preserve">the UN-REDD </w:t>
      </w:r>
      <w:proofErr w:type="spellStart"/>
      <w:r w:rsidR="00F46EBB">
        <w:rPr>
          <w:rFonts w:ascii="Times New Roman" w:hAnsi="Times New Roman"/>
          <w:sz w:val="24"/>
        </w:rPr>
        <w:t>programme</w:t>
      </w:r>
      <w:proofErr w:type="spellEnd"/>
      <w:r w:rsidR="00F46EBB">
        <w:rPr>
          <w:rFonts w:ascii="Times New Roman" w:hAnsi="Times New Roman"/>
          <w:sz w:val="24"/>
        </w:rPr>
        <w:t xml:space="preserve"> document</w:t>
      </w:r>
      <w:r w:rsidRPr="00051633">
        <w:rPr>
          <w:rFonts w:ascii="Times New Roman" w:hAnsi="Times New Roman"/>
          <w:sz w:val="24"/>
        </w:rPr>
        <w:t xml:space="preserve">. The mission succeeded in strengthening the alignment of the UN-REDD </w:t>
      </w:r>
      <w:r w:rsidR="00F46EBB">
        <w:rPr>
          <w:rFonts w:ascii="Times New Roman" w:hAnsi="Times New Roman"/>
          <w:sz w:val="24"/>
        </w:rPr>
        <w:t>vis-à-vis</w:t>
      </w:r>
      <w:r w:rsidR="00F46EBB" w:rsidRPr="00051633">
        <w:rPr>
          <w:rFonts w:ascii="Times New Roman" w:hAnsi="Times New Roman"/>
          <w:sz w:val="24"/>
        </w:rPr>
        <w:t xml:space="preserve"> </w:t>
      </w:r>
      <w:r w:rsidRPr="00051633">
        <w:rPr>
          <w:rFonts w:ascii="Times New Roman" w:hAnsi="Times New Roman"/>
          <w:sz w:val="24"/>
        </w:rPr>
        <w:t xml:space="preserve">other environment and natural resources sector </w:t>
      </w:r>
      <w:proofErr w:type="spellStart"/>
      <w:r w:rsidRPr="00051633">
        <w:rPr>
          <w:rFonts w:ascii="Times New Roman" w:hAnsi="Times New Roman"/>
          <w:sz w:val="24"/>
        </w:rPr>
        <w:t>programmes</w:t>
      </w:r>
      <w:proofErr w:type="spellEnd"/>
      <w:r w:rsidR="00F46EBB">
        <w:rPr>
          <w:rFonts w:ascii="Times New Roman" w:hAnsi="Times New Roman"/>
          <w:sz w:val="24"/>
        </w:rPr>
        <w:t>,</w:t>
      </w:r>
      <w:r w:rsidRPr="00051633">
        <w:rPr>
          <w:rFonts w:ascii="Times New Roman" w:hAnsi="Times New Roman"/>
          <w:sz w:val="24"/>
        </w:rPr>
        <w:t xml:space="preserve"> and agreeing on common institutional arrangements.</w:t>
      </w:r>
    </w:p>
    <w:p w:rsidR="00051633" w:rsidRDefault="00051633" w:rsidP="00051633">
      <w:pPr>
        <w:pStyle w:val="ListParagraph"/>
      </w:pPr>
    </w:p>
    <w:p w:rsidR="00353C62" w:rsidRPr="007F0A9C" w:rsidRDefault="00353C62" w:rsidP="00E342C5">
      <w:pPr>
        <w:pStyle w:val="ListParagraph"/>
        <w:numPr>
          <w:ilvl w:val="0"/>
          <w:numId w:val="12"/>
        </w:numPr>
        <w:ind w:left="360"/>
        <w:jc w:val="both"/>
      </w:pPr>
      <w:r>
        <w:t xml:space="preserve">Building on the work </w:t>
      </w:r>
      <w:r w:rsidR="00F46EBB">
        <w:t>carried out during</w:t>
      </w:r>
      <w:r>
        <w:t xml:space="preserve"> the first phase of the Integrated Land Use Assessment (</w:t>
      </w:r>
      <w:hyperlink r:id="rId9" w:history="1">
        <w:r w:rsidRPr="002A636C">
          <w:t>ILUA</w:t>
        </w:r>
      </w:hyperlink>
      <w:r>
        <w:t xml:space="preserve">), 2005-2008, </w:t>
      </w:r>
      <w:r w:rsidR="001B50AA">
        <w:t xml:space="preserve">and the linkages with REDD, </w:t>
      </w:r>
      <w:r w:rsidRPr="005276B8">
        <w:t xml:space="preserve">the </w:t>
      </w:r>
      <w:r>
        <w:t xml:space="preserve">National Joint </w:t>
      </w:r>
      <w:proofErr w:type="spellStart"/>
      <w:r>
        <w:t>Programme</w:t>
      </w:r>
      <w:proofErr w:type="spellEnd"/>
      <w:r>
        <w:t xml:space="preserve"> </w:t>
      </w:r>
      <w:r w:rsidR="001B50AA">
        <w:t>(</w:t>
      </w:r>
      <w:hyperlink r:id="rId10" w:history="1">
        <w:r w:rsidRPr="002A636C">
          <w:t xml:space="preserve">UN-REDD </w:t>
        </w:r>
        <w:proofErr w:type="spellStart"/>
        <w:r w:rsidRPr="002A636C">
          <w:t>Programme</w:t>
        </w:r>
        <w:proofErr w:type="spellEnd"/>
        <w:r w:rsidR="001B50AA">
          <w:t xml:space="preserve">) </w:t>
        </w:r>
      </w:hyperlink>
      <w:r>
        <w:t xml:space="preserve">and the second phase of ILUA (ILUA </w:t>
      </w:r>
      <w:r w:rsidRPr="005276B8">
        <w:t>II</w:t>
      </w:r>
      <w:r>
        <w:t>)</w:t>
      </w:r>
      <w:r w:rsidRPr="005276B8">
        <w:t xml:space="preserve"> </w:t>
      </w:r>
      <w:r>
        <w:t>were jointly launched in Lusaka on November 23</w:t>
      </w:r>
      <w:r w:rsidRPr="00E342C5">
        <w:rPr>
          <w:vertAlign w:val="superscript"/>
        </w:rPr>
        <w:t>rd</w:t>
      </w:r>
      <w:r>
        <w:t xml:space="preserve"> 2010 by the Zambian Deputy Minister of Tourism Environment and Natural Resources, Ms Vera </w:t>
      </w:r>
      <w:proofErr w:type="spellStart"/>
      <w:r>
        <w:t>Tembo</w:t>
      </w:r>
      <w:proofErr w:type="spellEnd"/>
      <w:r w:rsidR="00675C91">
        <w:t xml:space="preserve">. The </w:t>
      </w:r>
      <w:r>
        <w:t xml:space="preserve">United Nations Resident Coordinator, Ms. </w:t>
      </w:r>
      <w:proofErr w:type="spellStart"/>
      <w:r>
        <w:t>Kanni</w:t>
      </w:r>
      <w:proofErr w:type="spellEnd"/>
      <w:r>
        <w:t xml:space="preserve"> </w:t>
      </w:r>
      <w:proofErr w:type="spellStart"/>
      <w:r>
        <w:t>Wignaraja</w:t>
      </w:r>
      <w:proofErr w:type="spellEnd"/>
      <w:r w:rsidR="00675C91">
        <w:t xml:space="preserve"> represented the UN System at the launch</w:t>
      </w:r>
      <w:r>
        <w:t xml:space="preserve">. </w:t>
      </w:r>
      <w:bookmarkStart w:id="0" w:name="OLE_LINK1"/>
      <w:r>
        <w:t xml:space="preserve">More than 70 </w:t>
      </w:r>
      <w:r w:rsidR="00AF76FE">
        <w:t xml:space="preserve">stakeholders </w:t>
      </w:r>
      <w:r>
        <w:t xml:space="preserve">from various organizations, NGOs, government ministries, academia, private sector, media, and civil society organizations participated in the </w:t>
      </w:r>
      <w:r w:rsidR="00F46EBB">
        <w:t>launch</w:t>
      </w:r>
      <w:r>
        <w:t>.</w:t>
      </w:r>
      <w:r w:rsidR="00504B83">
        <w:t xml:space="preserve"> The main message for stakeholders was that the UN</w:t>
      </w:r>
      <w:r w:rsidR="00F46EBB">
        <w:t>-</w:t>
      </w:r>
      <w:r w:rsidR="00504B83">
        <w:t>REDD should not be seen as a one off project/activity but a process and one of the strategies for sustainable forest management and community empowerment</w:t>
      </w:r>
      <w:r w:rsidR="00F46EBB">
        <w:t xml:space="preserve"> in the Zambia</w:t>
      </w:r>
      <w:r w:rsidR="00504B83">
        <w:t>.</w:t>
      </w:r>
    </w:p>
    <w:bookmarkEnd w:id="0"/>
    <w:p w:rsidR="00353C62" w:rsidRDefault="00353C62" w:rsidP="00E342C5">
      <w:pPr>
        <w:jc w:val="both"/>
      </w:pPr>
    </w:p>
    <w:p w:rsidR="00353C62" w:rsidRPr="00EF37B1" w:rsidRDefault="00AF76FE" w:rsidP="00EF37B1">
      <w:pPr>
        <w:pStyle w:val="ListParagraph"/>
        <w:numPr>
          <w:ilvl w:val="0"/>
          <w:numId w:val="12"/>
        </w:numPr>
        <w:ind w:left="360"/>
        <w:jc w:val="both"/>
      </w:pPr>
      <w:r>
        <w:t xml:space="preserve">The </w:t>
      </w:r>
      <w:r w:rsidR="00353C62" w:rsidRPr="002A636C">
        <w:t xml:space="preserve">UN agencies involved in the UN-REDD </w:t>
      </w:r>
      <w:proofErr w:type="spellStart"/>
      <w:r w:rsidR="00353C62" w:rsidRPr="002A636C">
        <w:t>Progra</w:t>
      </w:r>
      <w:r w:rsidR="00353C62">
        <w:t>mme</w:t>
      </w:r>
      <w:proofErr w:type="spellEnd"/>
      <w:r w:rsidR="00353C62">
        <w:t xml:space="preserve"> (FAO, UNEP and UNDP) </w:t>
      </w:r>
      <w:r>
        <w:t xml:space="preserve">had </w:t>
      </w:r>
      <w:r w:rsidR="00353C62" w:rsidRPr="002A636C">
        <w:t xml:space="preserve">a </w:t>
      </w:r>
      <w:r w:rsidR="00353C62">
        <w:t>four day mission during 22</w:t>
      </w:r>
      <w:r w:rsidR="00353C62" w:rsidRPr="00E342C5">
        <w:rPr>
          <w:vertAlign w:val="superscript"/>
        </w:rPr>
        <w:t>nd</w:t>
      </w:r>
      <w:r>
        <w:t xml:space="preserve"> to </w:t>
      </w:r>
      <w:r w:rsidR="00353C62">
        <w:t>25</w:t>
      </w:r>
      <w:r w:rsidR="00353C62" w:rsidRPr="00E342C5">
        <w:rPr>
          <w:vertAlign w:val="superscript"/>
        </w:rPr>
        <w:t>th</w:t>
      </w:r>
      <w:r w:rsidR="00353C62">
        <w:t xml:space="preserve"> November </w:t>
      </w:r>
      <w:r w:rsidR="00353C62" w:rsidRPr="002A636C">
        <w:t>to support the</w:t>
      </w:r>
      <w:r w:rsidR="00353C62">
        <w:t xml:space="preserve"> Forest</w:t>
      </w:r>
      <w:r>
        <w:t>ry</w:t>
      </w:r>
      <w:r w:rsidR="00353C62">
        <w:t xml:space="preserve"> Department with</w:t>
      </w:r>
      <w:r w:rsidR="00353C62" w:rsidRPr="002A636C">
        <w:t xml:space="preserve"> organization</w:t>
      </w:r>
      <w:r w:rsidR="00353C62">
        <w:t>s</w:t>
      </w:r>
      <w:r w:rsidR="00353C62" w:rsidRPr="002A636C">
        <w:t xml:space="preserve"> of the launch of the </w:t>
      </w:r>
      <w:proofErr w:type="spellStart"/>
      <w:r w:rsidR="00353C62" w:rsidRPr="002A636C">
        <w:t>programme</w:t>
      </w:r>
      <w:proofErr w:type="spellEnd"/>
      <w:r w:rsidR="00F46EBB">
        <w:t>,</w:t>
      </w:r>
      <w:r w:rsidR="00353C62" w:rsidRPr="002A636C">
        <w:t xml:space="preserve"> as well as</w:t>
      </w:r>
      <w:r w:rsidR="00353C62">
        <w:t xml:space="preserve"> to</w:t>
      </w:r>
      <w:r w:rsidR="00353C62" w:rsidRPr="002A636C">
        <w:t xml:space="preserve"> assist in preparation of the annual work plan</w:t>
      </w:r>
      <w:r w:rsidR="00353C62">
        <w:t xml:space="preserve"> for year one, 2011</w:t>
      </w:r>
      <w:r w:rsidR="00353C62" w:rsidRPr="002A636C">
        <w:t>.</w:t>
      </w:r>
    </w:p>
    <w:p w:rsidR="00353C62" w:rsidRDefault="00353C62" w:rsidP="00E342C5">
      <w:pPr>
        <w:jc w:val="both"/>
      </w:pPr>
    </w:p>
    <w:p w:rsidR="00353C62" w:rsidRPr="002A636C" w:rsidRDefault="00353C62" w:rsidP="00E342C5">
      <w:pPr>
        <w:pStyle w:val="ListParagraph"/>
        <w:numPr>
          <w:ilvl w:val="0"/>
          <w:numId w:val="12"/>
        </w:numPr>
        <w:ind w:left="360"/>
      </w:pPr>
      <w:r>
        <w:t>O</w:t>
      </w:r>
      <w:r w:rsidRPr="002A636C">
        <w:t>ne of the requi</w:t>
      </w:r>
      <w:r>
        <w:t>rements of the implementation was</w:t>
      </w:r>
      <w:r w:rsidRPr="002A636C">
        <w:t xml:space="preserve"> to undertake the harmonized </w:t>
      </w:r>
      <w:r w:rsidR="00AF76FE">
        <w:t xml:space="preserve">approach to </w:t>
      </w:r>
      <w:r w:rsidRPr="002A636C">
        <w:t>cash transfer (HACT) assessment for the implementing partner (Forest</w:t>
      </w:r>
      <w:r w:rsidR="00AF76FE">
        <w:t>ry</w:t>
      </w:r>
      <w:r w:rsidRPr="002A636C">
        <w:t xml:space="preserve"> Department). </w:t>
      </w:r>
      <w:r>
        <w:t>The first draft of the HACT assessment was delivered in late December 2010</w:t>
      </w:r>
      <w:r w:rsidR="00F46EBB">
        <w:t>,</w:t>
      </w:r>
      <w:r>
        <w:t xml:space="preserve"> and the assessment will be finalized by the end of January 2011.</w:t>
      </w:r>
    </w:p>
    <w:p w:rsidR="00353C62" w:rsidRDefault="00353C62" w:rsidP="002A636C">
      <w:pPr>
        <w:jc w:val="both"/>
      </w:pPr>
    </w:p>
    <w:p w:rsidR="00353C62" w:rsidRDefault="00353C62">
      <w:pPr>
        <w:pStyle w:val="BodyText2"/>
        <w:rPr>
          <w:rFonts w:ascii="Times New Roman" w:hAnsi="Times New Roman"/>
          <w:sz w:val="24"/>
        </w:rPr>
      </w:pPr>
    </w:p>
    <w:p w:rsidR="00353C62" w:rsidRDefault="00353C62">
      <w:pPr>
        <w:pStyle w:val="BodyText2"/>
        <w:rPr>
          <w:rFonts w:ascii="Times New Roman" w:hAnsi="Times New Roman"/>
          <w:sz w:val="24"/>
        </w:rPr>
      </w:pPr>
    </w:p>
    <w:p w:rsidR="00353C62" w:rsidRDefault="00353C62">
      <w:pPr>
        <w:pStyle w:val="Heading3"/>
        <w:rPr>
          <w:b/>
          <w:bCs w:val="0"/>
        </w:rPr>
      </w:pPr>
      <w:r>
        <w:rPr>
          <w:b/>
          <w:bCs w:val="0"/>
        </w:rPr>
        <w:t>IV</w:t>
      </w:r>
      <w:proofErr w:type="gramStart"/>
      <w:r>
        <w:rPr>
          <w:b/>
          <w:bCs w:val="0"/>
        </w:rPr>
        <w:t>.  FUTURE</w:t>
      </w:r>
      <w:proofErr w:type="gramEnd"/>
      <w:r>
        <w:rPr>
          <w:b/>
          <w:bCs w:val="0"/>
        </w:rPr>
        <w:t xml:space="preserve"> WORK PLAN</w:t>
      </w:r>
    </w:p>
    <w:p w:rsidR="00353C62" w:rsidRDefault="00353C62" w:rsidP="006D3E19">
      <w:pPr>
        <w:pStyle w:val="BodyText2"/>
        <w:rPr>
          <w:rFonts w:ascii="Times New Roman" w:hAnsi="Times New Roman"/>
          <w:sz w:val="24"/>
        </w:rPr>
      </w:pPr>
    </w:p>
    <w:p w:rsidR="00353C62" w:rsidRDefault="00353C62" w:rsidP="00E42728">
      <w:pPr>
        <w:pStyle w:val="BodyText2"/>
        <w:numPr>
          <w:ilvl w:val="0"/>
          <w:numId w:val="13"/>
        </w:numPr>
        <w:rPr>
          <w:rFonts w:ascii="Times New Roman" w:hAnsi="Times New Roman"/>
          <w:sz w:val="24"/>
        </w:rPr>
      </w:pPr>
      <w:r w:rsidRPr="00E42728">
        <w:rPr>
          <w:rFonts w:ascii="Times New Roman" w:hAnsi="Times New Roman"/>
          <w:sz w:val="24"/>
        </w:rPr>
        <w:t xml:space="preserve">The work plan and budget for the year 2011 was finalized by the FD and the involved UN agencies by the end of the year 2010. The first year work plan </w:t>
      </w:r>
      <w:r w:rsidR="00504B83">
        <w:rPr>
          <w:rFonts w:ascii="Times New Roman" w:hAnsi="Times New Roman"/>
          <w:sz w:val="24"/>
        </w:rPr>
        <w:t xml:space="preserve">focuses </w:t>
      </w:r>
      <w:r w:rsidRPr="00E42728">
        <w:rPr>
          <w:rFonts w:ascii="Times New Roman" w:hAnsi="Times New Roman"/>
          <w:sz w:val="24"/>
        </w:rPr>
        <w:t>on</w:t>
      </w:r>
      <w:r>
        <w:rPr>
          <w:rFonts w:ascii="Times New Roman" w:hAnsi="Times New Roman"/>
          <w:sz w:val="24"/>
        </w:rPr>
        <w:t>:</w:t>
      </w:r>
    </w:p>
    <w:p w:rsidR="00F46EBB" w:rsidRDefault="00F46EBB" w:rsidP="00E42728">
      <w:pPr>
        <w:pStyle w:val="BodyText2"/>
        <w:numPr>
          <w:ilvl w:val="0"/>
          <w:numId w:val="13"/>
        </w:numPr>
        <w:rPr>
          <w:rFonts w:ascii="Times New Roman" w:hAnsi="Times New Roman"/>
          <w:sz w:val="24"/>
        </w:rPr>
      </w:pPr>
    </w:p>
    <w:p w:rsidR="00353C62" w:rsidRDefault="00353C62" w:rsidP="00E42728">
      <w:pPr>
        <w:pStyle w:val="BodyText2"/>
        <w:numPr>
          <w:ilvl w:val="1"/>
          <w:numId w:val="13"/>
        </w:numPr>
        <w:rPr>
          <w:rFonts w:ascii="Times New Roman" w:hAnsi="Times New Roman"/>
          <w:sz w:val="24"/>
        </w:rPr>
      </w:pPr>
      <w:r w:rsidRPr="00E42728">
        <w:rPr>
          <w:rFonts w:ascii="Times New Roman" w:hAnsi="Times New Roman"/>
          <w:sz w:val="24"/>
        </w:rPr>
        <w:t>REDD+ Readiness coordination and management bodies to be established and functioning within the Forest Management Unit</w:t>
      </w:r>
      <w:r>
        <w:rPr>
          <w:rFonts w:ascii="Times New Roman" w:hAnsi="Times New Roman"/>
          <w:sz w:val="24"/>
        </w:rPr>
        <w:t>,</w:t>
      </w:r>
    </w:p>
    <w:p w:rsidR="00353C62" w:rsidRDefault="00F46EBB" w:rsidP="00E42728">
      <w:pPr>
        <w:pStyle w:val="BodyText2"/>
        <w:numPr>
          <w:ilvl w:val="1"/>
          <w:numId w:val="13"/>
        </w:numPr>
        <w:rPr>
          <w:rFonts w:ascii="Times New Roman" w:hAnsi="Times New Roman"/>
          <w:sz w:val="24"/>
        </w:rPr>
      </w:pPr>
      <w:r>
        <w:rPr>
          <w:rFonts w:ascii="Times New Roman" w:hAnsi="Times New Roman"/>
          <w:sz w:val="24"/>
        </w:rPr>
        <w:t>E</w:t>
      </w:r>
      <w:r w:rsidRPr="00E42728">
        <w:rPr>
          <w:rFonts w:ascii="Times New Roman" w:hAnsi="Times New Roman"/>
          <w:sz w:val="24"/>
        </w:rPr>
        <w:t xml:space="preserve">ngaging </w:t>
      </w:r>
      <w:r w:rsidR="00353C62" w:rsidRPr="00E42728">
        <w:rPr>
          <w:rFonts w:ascii="Times New Roman" w:hAnsi="Times New Roman"/>
          <w:sz w:val="24"/>
        </w:rPr>
        <w:t>stakeholders into the process and introducing REDD+ to the national planning processes</w:t>
      </w:r>
      <w:r w:rsidR="00353C62">
        <w:rPr>
          <w:rFonts w:ascii="Times New Roman" w:hAnsi="Times New Roman"/>
          <w:sz w:val="24"/>
        </w:rPr>
        <w:t>,</w:t>
      </w:r>
    </w:p>
    <w:p w:rsidR="00353C62" w:rsidRDefault="00353C62" w:rsidP="00E42728">
      <w:pPr>
        <w:pStyle w:val="BodyText2"/>
        <w:numPr>
          <w:ilvl w:val="1"/>
          <w:numId w:val="13"/>
        </w:numPr>
        <w:rPr>
          <w:rFonts w:ascii="Times New Roman" w:hAnsi="Times New Roman"/>
          <w:sz w:val="24"/>
        </w:rPr>
      </w:pPr>
      <w:r w:rsidRPr="00E42728">
        <w:rPr>
          <w:rFonts w:ascii="Times New Roman" w:hAnsi="Times New Roman"/>
          <w:sz w:val="24"/>
        </w:rPr>
        <w:t>REDD+ awareness raising and consultative studies in preparation to RED</w:t>
      </w:r>
      <w:r>
        <w:rPr>
          <w:rFonts w:ascii="Times New Roman" w:hAnsi="Times New Roman"/>
          <w:sz w:val="24"/>
        </w:rPr>
        <w:t>D+ readiness and implementation,</w:t>
      </w:r>
    </w:p>
    <w:p w:rsidR="00353C62" w:rsidRDefault="00353C62" w:rsidP="00E42728">
      <w:pPr>
        <w:pStyle w:val="BodyText2"/>
        <w:numPr>
          <w:ilvl w:val="1"/>
          <w:numId w:val="13"/>
        </w:numPr>
        <w:rPr>
          <w:rFonts w:ascii="Times New Roman" w:hAnsi="Times New Roman"/>
          <w:sz w:val="24"/>
        </w:rPr>
      </w:pPr>
      <w:r w:rsidRPr="00E42728">
        <w:rPr>
          <w:rFonts w:ascii="Times New Roman" w:hAnsi="Times New Roman"/>
          <w:sz w:val="24"/>
        </w:rPr>
        <w:t>Review</w:t>
      </w:r>
      <w:r>
        <w:rPr>
          <w:rFonts w:ascii="Times New Roman" w:hAnsi="Times New Roman"/>
          <w:sz w:val="24"/>
        </w:rPr>
        <w:t>ing of</w:t>
      </w:r>
      <w:r w:rsidRPr="00E42728">
        <w:rPr>
          <w:rFonts w:ascii="Times New Roman" w:hAnsi="Times New Roman"/>
          <w:sz w:val="24"/>
        </w:rPr>
        <w:t xml:space="preserve"> existing studies on driver</w:t>
      </w:r>
      <w:r w:rsidR="00F46EBB">
        <w:rPr>
          <w:rFonts w:ascii="Times New Roman" w:hAnsi="Times New Roman"/>
          <w:sz w:val="24"/>
        </w:rPr>
        <w:t>s</w:t>
      </w:r>
      <w:r w:rsidRPr="00E42728">
        <w:rPr>
          <w:rFonts w:ascii="Times New Roman" w:hAnsi="Times New Roman"/>
          <w:sz w:val="24"/>
        </w:rPr>
        <w:t xml:space="preserve"> of deforestation and underta</w:t>
      </w:r>
      <w:r>
        <w:rPr>
          <w:rFonts w:ascii="Times New Roman" w:hAnsi="Times New Roman"/>
          <w:sz w:val="24"/>
        </w:rPr>
        <w:t>ke required additional analysis,</w:t>
      </w:r>
    </w:p>
    <w:p w:rsidR="00353C62" w:rsidRDefault="008D2920" w:rsidP="00E42728">
      <w:pPr>
        <w:pStyle w:val="BodyText2"/>
        <w:numPr>
          <w:ilvl w:val="1"/>
          <w:numId w:val="13"/>
        </w:numPr>
        <w:rPr>
          <w:rFonts w:ascii="Times New Roman" w:hAnsi="Times New Roman"/>
          <w:sz w:val="24"/>
        </w:rPr>
      </w:pPr>
      <w:r>
        <w:rPr>
          <w:rFonts w:ascii="Times New Roman" w:hAnsi="Times New Roman"/>
          <w:sz w:val="24"/>
        </w:rPr>
        <w:t>G</w:t>
      </w:r>
      <w:r w:rsidRPr="00E42728">
        <w:rPr>
          <w:rFonts w:ascii="Times New Roman" w:hAnsi="Times New Roman"/>
          <w:sz w:val="24"/>
        </w:rPr>
        <w:t xml:space="preserve">lobal </w:t>
      </w:r>
      <w:r w:rsidR="00353C62" w:rsidRPr="00E42728">
        <w:rPr>
          <w:rFonts w:ascii="Times New Roman" w:hAnsi="Times New Roman"/>
          <w:sz w:val="24"/>
        </w:rPr>
        <w:t xml:space="preserve">good practices and the Zambian experiences for forest management and REDD+ activities </w:t>
      </w:r>
      <w:r>
        <w:rPr>
          <w:rFonts w:ascii="Times New Roman" w:hAnsi="Times New Roman"/>
          <w:sz w:val="24"/>
        </w:rPr>
        <w:t>to be</w:t>
      </w:r>
      <w:r w:rsidRPr="00E42728">
        <w:rPr>
          <w:rFonts w:ascii="Times New Roman" w:hAnsi="Times New Roman"/>
          <w:sz w:val="24"/>
        </w:rPr>
        <w:t xml:space="preserve"> </w:t>
      </w:r>
      <w:r w:rsidR="00353C62" w:rsidRPr="00E42728">
        <w:rPr>
          <w:rFonts w:ascii="Times New Roman" w:hAnsi="Times New Roman"/>
          <w:sz w:val="24"/>
        </w:rPr>
        <w:t xml:space="preserve">reviewed aimed at </w:t>
      </w:r>
      <w:r>
        <w:rPr>
          <w:rFonts w:ascii="Times New Roman" w:hAnsi="Times New Roman"/>
          <w:sz w:val="24"/>
        </w:rPr>
        <w:t>identifying</w:t>
      </w:r>
      <w:r w:rsidR="00353C62" w:rsidRPr="00E42728">
        <w:rPr>
          <w:rFonts w:ascii="Times New Roman" w:hAnsi="Times New Roman"/>
          <w:sz w:val="24"/>
        </w:rPr>
        <w:t xml:space="preserve"> ap</w:t>
      </w:r>
      <w:r w:rsidR="00353C62">
        <w:rPr>
          <w:rFonts w:ascii="Times New Roman" w:hAnsi="Times New Roman"/>
          <w:sz w:val="24"/>
        </w:rPr>
        <w:t>propriate approaches for Zambia,</w:t>
      </w:r>
    </w:p>
    <w:p w:rsidR="00353C62" w:rsidRDefault="008D2920" w:rsidP="00E42728">
      <w:pPr>
        <w:pStyle w:val="BodyText2"/>
        <w:numPr>
          <w:ilvl w:val="1"/>
          <w:numId w:val="13"/>
        </w:numPr>
        <w:rPr>
          <w:rFonts w:ascii="Times New Roman" w:hAnsi="Times New Roman"/>
          <w:sz w:val="24"/>
        </w:rPr>
      </w:pPr>
      <w:r>
        <w:rPr>
          <w:rFonts w:ascii="Times New Roman" w:hAnsi="Times New Roman"/>
          <w:sz w:val="24"/>
        </w:rPr>
        <w:t>D</w:t>
      </w:r>
      <w:r w:rsidRPr="00E42728">
        <w:rPr>
          <w:rFonts w:ascii="Times New Roman" w:hAnsi="Times New Roman"/>
          <w:sz w:val="24"/>
        </w:rPr>
        <w:t>evelop</w:t>
      </w:r>
      <w:r>
        <w:rPr>
          <w:rFonts w:ascii="Times New Roman" w:hAnsi="Times New Roman"/>
          <w:sz w:val="24"/>
        </w:rPr>
        <w:t>ing</w:t>
      </w:r>
      <w:r w:rsidRPr="00E42728">
        <w:rPr>
          <w:rFonts w:ascii="Times New Roman" w:hAnsi="Times New Roman"/>
          <w:sz w:val="24"/>
        </w:rPr>
        <w:t xml:space="preserve"> </w:t>
      </w:r>
      <w:r w:rsidR="00353C62" w:rsidRPr="00E42728">
        <w:rPr>
          <w:rFonts w:ascii="Times New Roman" w:hAnsi="Times New Roman"/>
          <w:sz w:val="24"/>
        </w:rPr>
        <w:t>a framework and roadmap for</w:t>
      </w:r>
      <w:r w:rsidR="00353C62">
        <w:rPr>
          <w:rFonts w:ascii="Times New Roman" w:hAnsi="Times New Roman"/>
          <w:sz w:val="24"/>
        </w:rPr>
        <w:t xml:space="preserve">  MRV</w:t>
      </w:r>
      <w:r>
        <w:rPr>
          <w:rFonts w:ascii="Times New Roman" w:hAnsi="Times New Roman"/>
          <w:sz w:val="24"/>
        </w:rPr>
        <w:t>, and</w:t>
      </w:r>
    </w:p>
    <w:p w:rsidR="00353C62" w:rsidRPr="00E42728" w:rsidRDefault="008D2920" w:rsidP="00E42728">
      <w:pPr>
        <w:pStyle w:val="BodyText2"/>
        <w:numPr>
          <w:ilvl w:val="1"/>
          <w:numId w:val="13"/>
        </w:numPr>
        <w:rPr>
          <w:rFonts w:ascii="Times New Roman" w:hAnsi="Times New Roman"/>
          <w:sz w:val="24"/>
        </w:rPr>
      </w:pPr>
      <w:r>
        <w:rPr>
          <w:rFonts w:ascii="Times New Roman" w:hAnsi="Times New Roman"/>
          <w:sz w:val="24"/>
        </w:rPr>
        <w:t>A</w:t>
      </w:r>
      <w:r w:rsidRPr="00E42728">
        <w:rPr>
          <w:rFonts w:ascii="Times New Roman" w:hAnsi="Times New Roman"/>
          <w:sz w:val="24"/>
        </w:rPr>
        <w:t xml:space="preserve">n </w:t>
      </w:r>
      <w:r w:rsidR="00353C62" w:rsidRPr="00E42728">
        <w:rPr>
          <w:rFonts w:ascii="Times New Roman" w:hAnsi="Times New Roman"/>
          <w:sz w:val="24"/>
        </w:rPr>
        <w:t>assessment of historical forest area change, GHG emissions at national level</w:t>
      </w:r>
      <w:r>
        <w:rPr>
          <w:rFonts w:ascii="Times New Roman" w:hAnsi="Times New Roman"/>
          <w:sz w:val="24"/>
        </w:rPr>
        <w:t>.</w:t>
      </w:r>
      <w:r w:rsidR="00353C62" w:rsidRPr="00E42728">
        <w:rPr>
          <w:rFonts w:ascii="Times New Roman" w:hAnsi="Times New Roman"/>
          <w:sz w:val="24"/>
        </w:rPr>
        <w:t xml:space="preserve"> </w:t>
      </w:r>
    </w:p>
    <w:p w:rsidR="00353C62" w:rsidRPr="00E42728" w:rsidRDefault="00353C62" w:rsidP="00E42728">
      <w:pPr>
        <w:pStyle w:val="BodyText2"/>
        <w:rPr>
          <w:rFonts w:ascii="Times New Roman" w:hAnsi="Times New Roman"/>
          <w:sz w:val="24"/>
        </w:rPr>
      </w:pPr>
    </w:p>
    <w:p w:rsidR="00353C62" w:rsidRDefault="00353C62" w:rsidP="00E342C5">
      <w:pPr>
        <w:pStyle w:val="BodyText2"/>
        <w:numPr>
          <w:ilvl w:val="0"/>
          <w:numId w:val="13"/>
        </w:numPr>
        <w:rPr>
          <w:rFonts w:ascii="Times New Roman" w:hAnsi="Times New Roman"/>
          <w:sz w:val="24"/>
        </w:rPr>
      </w:pPr>
      <w:r>
        <w:rPr>
          <w:rFonts w:ascii="Times New Roman" w:hAnsi="Times New Roman"/>
          <w:sz w:val="24"/>
        </w:rPr>
        <w:lastRenderedPageBreak/>
        <w:t>A s</w:t>
      </w:r>
      <w:r w:rsidRPr="00404694">
        <w:rPr>
          <w:rFonts w:ascii="Times New Roman" w:hAnsi="Times New Roman"/>
          <w:sz w:val="24"/>
        </w:rPr>
        <w:t>take</w:t>
      </w:r>
      <w:r>
        <w:rPr>
          <w:rFonts w:ascii="Times New Roman" w:hAnsi="Times New Roman"/>
          <w:sz w:val="24"/>
        </w:rPr>
        <w:t xml:space="preserve">holder consultative meeting </w:t>
      </w:r>
      <w:r w:rsidR="00B34799">
        <w:rPr>
          <w:rFonts w:ascii="Times New Roman" w:hAnsi="Times New Roman"/>
          <w:sz w:val="24"/>
        </w:rPr>
        <w:t>on the 2011 Work</w:t>
      </w:r>
      <w:r w:rsidR="00C574CE">
        <w:rPr>
          <w:rFonts w:ascii="Times New Roman" w:hAnsi="Times New Roman"/>
          <w:sz w:val="24"/>
        </w:rPr>
        <w:t xml:space="preserve"> </w:t>
      </w:r>
      <w:r w:rsidR="00B34799">
        <w:rPr>
          <w:rFonts w:ascii="Times New Roman" w:hAnsi="Times New Roman"/>
          <w:sz w:val="24"/>
        </w:rPr>
        <w:t xml:space="preserve">plan and Budget </w:t>
      </w:r>
      <w:r w:rsidR="008D2920">
        <w:rPr>
          <w:rFonts w:ascii="Times New Roman" w:hAnsi="Times New Roman"/>
          <w:sz w:val="24"/>
        </w:rPr>
        <w:t>was held on</w:t>
      </w:r>
      <w:r w:rsidRPr="00404694">
        <w:rPr>
          <w:rFonts w:ascii="Times New Roman" w:hAnsi="Times New Roman"/>
          <w:sz w:val="24"/>
        </w:rPr>
        <w:t xml:space="preserve"> 14 January 2011</w:t>
      </w:r>
      <w:r>
        <w:rPr>
          <w:rFonts w:ascii="Times New Roman" w:hAnsi="Times New Roman"/>
          <w:sz w:val="24"/>
        </w:rPr>
        <w:t xml:space="preserve"> in Lusaka. </w:t>
      </w:r>
      <w:r w:rsidR="00C574CE">
        <w:rPr>
          <w:rFonts w:ascii="Times New Roman" w:hAnsi="Times New Roman"/>
          <w:sz w:val="24"/>
        </w:rPr>
        <w:t xml:space="preserve">A number of </w:t>
      </w:r>
      <w:r w:rsidR="00B34799">
        <w:rPr>
          <w:rFonts w:ascii="Times New Roman" w:hAnsi="Times New Roman"/>
          <w:sz w:val="24"/>
        </w:rPr>
        <w:t xml:space="preserve">stakeholders </w:t>
      </w:r>
      <w:r>
        <w:rPr>
          <w:rFonts w:ascii="Times New Roman" w:hAnsi="Times New Roman"/>
          <w:sz w:val="24"/>
        </w:rPr>
        <w:t>representi</w:t>
      </w:r>
      <w:r w:rsidR="00B34799">
        <w:rPr>
          <w:rFonts w:ascii="Times New Roman" w:hAnsi="Times New Roman"/>
          <w:sz w:val="24"/>
        </w:rPr>
        <w:t>ng</w:t>
      </w:r>
      <w:r>
        <w:rPr>
          <w:rFonts w:ascii="Times New Roman" w:hAnsi="Times New Roman"/>
          <w:sz w:val="24"/>
        </w:rPr>
        <w:t xml:space="preserve"> different agencies</w:t>
      </w:r>
      <w:r w:rsidR="00B34799">
        <w:rPr>
          <w:rFonts w:ascii="Times New Roman" w:hAnsi="Times New Roman"/>
          <w:sz w:val="24"/>
        </w:rPr>
        <w:t xml:space="preserve"> including Government, Civil Society, Private Sector and Cooperating Partners </w:t>
      </w:r>
      <w:r w:rsidR="008D2920">
        <w:rPr>
          <w:rFonts w:ascii="Times New Roman" w:hAnsi="Times New Roman"/>
          <w:sz w:val="24"/>
        </w:rPr>
        <w:t>attended</w:t>
      </w:r>
      <w:r w:rsidR="00912C44">
        <w:rPr>
          <w:rFonts w:ascii="Times New Roman" w:hAnsi="Times New Roman"/>
          <w:sz w:val="24"/>
        </w:rPr>
        <w:t xml:space="preserve"> the meeting</w:t>
      </w:r>
      <w:r w:rsidR="00C574CE">
        <w:rPr>
          <w:rFonts w:ascii="Times New Roman" w:hAnsi="Times New Roman"/>
          <w:sz w:val="24"/>
        </w:rPr>
        <w:t xml:space="preserve">, </w:t>
      </w:r>
      <w:r w:rsidR="008D2920">
        <w:rPr>
          <w:rFonts w:ascii="Times New Roman" w:hAnsi="Times New Roman"/>
          <w:sz w:val="24"/>
        </w:rPr>
        <w:t>and provided</w:t>
      </w:r>
      <w:r w:rsidR="00C574CE">
        <w:rPr>
          <w:rFonts w:ascii="Times New Roman" w:hAnsi="Times New Roman"/>
          <w:sz w:val="24"/>
        </w:rPr>
        <w:t xml:space="preserve"> </w:t>
      </w:r>
      <w:r w:rsidRPr="00404694">
        <w:rPr>
          <w:rFonts w:ascii="Times New Roman" w:hAnsi="Times New Roman"/>
          <w:sz w:val="24"/>
        </w:rPr>
        <w:t>input into the general approach to the implementation</w:t>
      </w:r>
      <w:r w:rsidR="00BD1DD8">
        <w:rPr>
          <w:rFonts w:ascii="Times New Roman" w:hAnsi="Times New Roman"/>
          <w:sz w:val="24"/>
        </w:rPr>
        <w:t xml:space="preserve"> </w:t>
      </w:r>
      <w:r w:rsidRPr="00404694">
        <w:rPr>
          <w:rFonts w:ascii="Times New Roman" w:hAnsi="Times New Roman"/>
          <w:sz w:val="24"/>
        </w:rPr>
        <w:t>of the National Joint</w:t>
      </w:r>
      <w:r>
        <w:rPr>
          <w:rFonts w:ascii="Times New Roman" w:hAnsi="Times New Roman"/>
          <w:sz w:val="24"/>
        </w:rPr>
        <w:t xml:space="preserve"> </w:t>
      </w:r>
      <w:proofErr w:type="spellStart"/>
      <w:r>
        <w:rPr>
          <w:rFonts w:ascii="Times New Roman" w:hAnsi="Times New Roman"/>
          <w:sz w:val="24"/>
        </w:rPr>
        <w:t>Programme</w:t>
      </w:r>
      <w:proofErr w:type="spellEnd"/>
      <w:r>
        <w:rPr>
          <w:rFonts w:ascii="Times New Roman" w:hAnsi="Times New Roman"/>
          <w:sz w:val="24"/>
        </w:rPr>
        <w:t xml:space="preserve"> for the first year (annual w</w:t>
      </w:r>
      <w:r w:rsidRPr="00404694">
        <w:rPr>
          <w:rFonts w:ascii="Times New Roman" w:hAnsi="Times New Roman"/>
          <w:sz w:val="24"/>
        </w:rPr>
        <w:t>ork</w:t>
      </w:r>
      <w:r>
        <w:rPr>
          <w:rFonts w:ascii="Times New Roman" w:hAnsi="Times New Roman"/>
          <w:sz w:val="24"/>
        </w:rPr>
        <w:t xml:space="preserve"> plan and budget). The </w:t>
      </w:r>
      <w:r w:rsidR="00912C44">
        <w:rPr>
          <w:rFonts w:ascii="Times New Roman" w:hAnsi="Times New Roman"/>
          <w:sz w:val="24"/>
        </w:rPr>
        <w:t xml:space="preserve">process of consultation </w:t>
      </w:r>
      <w:r>
        <w:rPr>
          <w:rFonts w:ascii="Times New Roman" w:hAnsi="Times New Roman"/>
          <w:sz w:val="24"/>
        </w:rPr>
        <w:t>w</w:t>
      </w:r>
      <w:r w:rsidRPr="00404694">
        <w:rPr>
          <w:rFonts w:ascii="Times New Roman" w:hAnsi="Times New Roman"/>
          <w:sz w:val="24"/>
        </w:rPr>
        <w:t>ork</w:t>
      </w:r>
      <w:r>
        <w:rPr>
          <w:rFonts w:ascii="Times New Roman" w:hAnsi="Times New Roman"/>
          <w:sz w:val="24"/>
        </w:rPr>
        <w:t xml:space="preserve"> </w:t>
      </w:r>
      <w:r w:rsidRPr="00404694">
        <w:rPr>
          <w:rFonts w:ascii="Times New Roman" w:hAnsi="Times New Roman"/>
          <w:sz w:val="24"/>
        </w:rPr>
        <w:t>plan</w:t>
      </w:r>
      <w:r w:rsidR="00C574CE">
        <w:rPr>
          <w:rFonts w:ascii="Times New Roman" w:hAnsi="Times New Roman"/>
          <w:sz w:val="24"/>
        </w:rPr>
        <w:t>ning</w:t>
      </w:r>
      <w:r w:rsidRPr="00404694">
        <w:rPr>
          <w:rFonts w:ascii="Times New Roman" w:hAnsi="Times New Roman"/>
          <w:sz w:val="24"/>
        </w:rPr>
        <w:t xml:space="preserve"> will</w:t>
      </w:r>
      <w:r w:rsidR="00912C44">
        <w:rPr>
          <w:rFonts w:ascii="Times New Roman" w:hAnsi="Times New Roman"/>
          <w:sz w:val="24"/>
        </w:rPr>
        <w:t xml:space="preserve"> facilitate </w:t>
      </w:r>
      <w:r w:rsidRPr="00404694">
        <w:rPr>
          <w:rFonts w:ascii="Times New Roman" w:hAnsi="Times New Roman"/>
          <w:sz w:val="24"/>
        </w:rPr>
        <w:t>sign</w:t>
      </w:r>
      <w:r w:rsidR="00912C44">
        <w:rPr>
          <w:rFonts w:ascii="Times New Roman" w:hAnsi="Times New Roman"/>
          <w:sz w:val="24"/>
        </w:rPr>
        <w:t>ing</w:t>
      </w:r>
      <w:r w:rsidRPr="00404694">
        <w:rPr>
          <w:rFonts w:ascii="Times New Roman" w:hAnsi="Times New Roman"/>
          <w:sz w:val="24"/>
        </w:rPr>
        <w:t xml:space="preserve"> </w:t>
      </w:r>
      <w:r w:rsidR="00C574CE">
        <w:rPr>
          <w:rFonts w:ascii="Times New Roman" w:hAnsi="Times New Roman"/>
          <w:sz w:val="24"/>
        </w:rPr>
        <w:t>of the Annual W</w:t>
      </w:r>
      <w:r w:rsidR="00C574CE" w:rsidRPr="00404694">
        <w:rPr>
          <w:rFonts w:ascii="Times New Roman" w:hAnsi="Times New Roman"/>
          <w:sz w:val="24"/>
        </w:rPr>
        <w:t>ork</w:t>
      </w:r>
      <w:r w:rsidR="00C574CE">
        <w:rPr>
          <w:rFonts w:ascii="Times New Roman" w:hAnsi="Times New Roman"/>
          <w:sz w:val="24"/>
        </w:rPr>
        <w:t xml:space="preserve"> Plan and Budget</w:t>
      </w:r>
      <w:r w:rsidR="00C574CE" w:rsidRPr="00404694">
        <w:rPr>
          <w:rFonts w:ascii="Times New Roman" w:hAnsi="Times New Roman"/>
          <w:sz w:val="24"/>
        </w:rPr>
        <w:t xml:space="preserve"> </w:t>
      </w:r>
      <w:r w:rsidRPr="00404694">
        <w:rPr>
          <w:rFonts w:ascii="Times New Roman" w:hAnsi="Times New Roman"/>
          <w:sz w:val="24"/>
        </w:rPr>
        <w:t>and read</w:t>
      </w:r>
      <w:r w:rsidR="00C574CE">
        <w:rPr>
          <w:rFonts w:ascii="Times New Roman" w:hAnsi="Times New Roman"/>
          <w:sz w:val="24"/>
        </w:rPr>
        <w:t>iness</w:t>
      </w:r>
      <w:r w:rsidRPr="00404694">
        <w:rPr>
          <w:rFonts w:ascii="Times New Roman" w:hAnsi="Times New Roman"/>
          <w:sz w:val="24"/>
        </w:rPr>
        <w:t xml:space="preserve"> for implementation.</w:t>
      </w:r>
      <w:r>
        <w:rPr>
          <w:rFonts w:ascii="Times New Roman" w:hAnsi="Times New Roman"/>
          <w:sz w:val="24"/>
        </w:rPr>
        <w:t xml:space="preserve"> </w:t>
      </w:r>
    </w:p>
    <w:p w:rsidR="00353C62" w:rsidRDefault="00353C62">
      <w:pPr>
        <w:pStyle w:val="BodyText2"/>
        <w:rPr>
          <w:rFonts w:ascii="Times New Roman" w:hAnsi="Times New Roman"/>
          <w:sz w:val="24"/>
        </w:rPr>
      </w:pPr>
    </w:p>
    <w:p w:rsidR="00353C62" w:rsidRDefault="00353C62">
      <w:pPr>
        <w:pStyle w:val="BodyText2"/>
        <w:rPr>
          <w:rFonts w:ascii="Times New Roman" w:hAnsi="Times New Roman"/>
          <w:sz w:val="24"/>
        </w:rPr>
      </w:pPr>
    </w:p>
    <w:p w:rsidR="00353C62" w:rsidRDefault="00353C62">
      <w:pPr>
        <w:pStyle w:val="BodyText2"/>
        <w:rPr>
          <w:rFonts w:ascii="Times New Roman" w:hAnsi="Times New Roman"/>
          <w:sz w:val="24"/>
        </w:rPr>
      </w:pPr>
    </w:p>
    <w:p w:rsidR="00353C62" w:rsidRDefault="00353C62">
      <w:pPr>
        <w:pStyle w:val="Heading3"/>
        <w:rPr>
          <w:b/>
        </w:rPr>
      </w:pPr>
      <w:r>
        <w:rPr>
          <w:b/>
        </w:rPr>
        <w:t>V.  FINANCIAL IMPLEMENTATION</w:t>
      </w:r>
    </w:p>
    <w:p w:rsidR="00353C62" w:rsidRDefault="00353C62" w:rsidP="005F5AFC"/>
    <w:p w:rsidR="00353C62" w:rsidRDefault="00353C62" w:rsidP="005F5AFC"/>
    <w:p w:rsidR="00353C62" w:rsidRPr="005F5AFC" w:rsidRDefault="00353C62" w:rsidP="005F5AFC"/>
    <w:tbl>
      <w:tblPr>
        <w:tblW w:w="8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0"/>
        <w:gridCol w:w="2020"/>
        <w:gridCol w:w="1760"/>
        <w:gridCol w:w="2020"/>
      </w:tblGrid>
      <w:tr w:rsidR="00353C62" w:rsidRPr="005F5AFC" w:rsidTr="000B0E20">
        <w:trPr>
          <w:trHeight w:val="1245"/>
        </w:trPr>
        <w:tc>
          <w:tcPr>
            <w:tcW w:w="2320" w:type="dxa"/>
            <w:vMerge w:val="restart"/>
            <w:noWrap/>
          </w:tcPr>
          <w:p w:rsidR="00353C62" w:rsidRPr="005F5AFC" w:rsidRDefault="00353C62" w:rsidP="005F5AFC">
            <w:pPr>
              <w:widowControl/>
              <w:jc w:val="center"/>
              <w:rPr>
                <w:rFonts w:ascii="Arial" w:hAnsi="Arial" w:cs="Arial"/>
                <w:b/>
                <w:bCs/>
                <w:sz w:val="20"/>
              </w:rPr>
            </w:pPr>
            <w:r>
              <w:rPr>
                <w:rFonts w:ascii="Arial" w:hAnsi="Arial" w:cs="Arial"/>
                <w:b/>
                <w:bCs/>
                <w:sz w:val="20"/>
              </w:rPr>
              <w:t>Participating UN Org.</w:t>
            </w:r>
          </w:p>
        </w:tc>
        <w:tc>
          <w:tcPr>
            <w:tcW w:w="2020" w:type="dxa"/>
          </w:tcPr>
          <w:p w:rsidR="00353C62" w:rsidRPr="005F5AFC" w:rsidRDefault="00353C62" w:rsidP="009F1935">
            <w:pPr>
              <w:widowControl/>
              <w:jc w:val="center"/>
              <w:rPr>
                <w:rFonts w:ascii="Arial" w:hAnsi="Arial" w:cs="Arial"/>
                <w:b/>
                <w:bCs/>
                <w:sz w:val="20"/>
              </w:rPr>
            </w:pPr>
            <w:r w:rsidRPr="005F5AFC">
              <w:rPr>
                <w:rFonts w:ascii="Arial" w:hAnsi="Arial" w:cs="Arial"/>
                <w:b/>
                <w:bCs/>
                <w:sz w:val="20"/>
              </w:rPr>
              <w:t xml:space="preserve">Total Transferred  Up to </w:t>
            </w:r>
            <w:r>
              <w:rPr>
                <w:rFonts w:ascii="Arial" w:hAnsi="Arial" w:cs="Arial"/>
                <w:b/>
                <w:bCs/>
                <w:sz w:val="20"/>
              </w:rPr>
              <w:t>31 December</w:t>
            </w:r>
            <w:r w:rsidRPr="005F5AFC">
              <w:rPr>
                <w:rFonts w:ascii="Arial" w:hAnsi="Arial" w:cs="Arial"/>
                <w:b/>
                <w:bCs/>
                <w:sz w:val="20"/>
              </w:rPr>
              <w:t xml:space="preserve"> 20</w:t>
            </w:r>
            <w:r>
              <w:rPr>
                <w:rFonts w:ascii="Arial" w:hAnsi="Arial" w:cs="Arial"/>
                <w:b/>
                <w:bCs/>
                <w:sz w:val="20"/>
              </w:rPr>
              <w:t>10</w:t>
            </w:r>
          </w:p>
        </w:tc>
        <w:tc>
          <w:tcPr>
            <w:tcW w:w="3780" w:type="dxa"/>
            <w:gridSpan w:val="2"/>
          </w:tcPr>
          <w:p w:rsidR="00353C62" w:rsidRPr="005F5AFC" w:rsidRDefault="00353C62" w:rsidP="009F1935">
            <w:pPr>
              <w:widowControl/>
              <w:jc w:val="center"/>
              <w:rPr>
                <w:rFonts w:ascii="Arial" w:hAnsi="Arial" w:cs="Arial"/>
                <w:b/>
                <w:bCs/>
                <w:sz w:val="20"/>
              </w:rPr>
            </w:pPr>
            <w:r w:rsidRPr="005F5AFC">
              <w:rPr>
                <w:rFonts w:ascii="Arial" w:hAnsi="Arial" w:cs="Arial"/>
                <w:b/>
                <w:bCs/>
                <w:sz w:val="20"/>
              </w:rPr>
              <w:t>Cumulative</w:t>
            </w:r>
            <w:r w:rsidRPr="005F5AFC">
              <w:rPr>
                <w:rFonts w:ascii="Arial" w:hAnsi="Arial" w:cs="Arial"/>
                <w:b/>
                <w:bCs/>
                <w:sz w:val="20"/>
              </w:rPr>
              <w:br/>
              <w:t xml:space="preserve">Up to </w:t>
            </w:r>
            <w:r>
              <w:rPr>
                <w:rFonts w:ascii="Arial" w:hAnsi="Arial" w:cs="Arial"/>
                <w:b/>
                <w:bCs/>
                <w:sz w:val="20"/>
              </w:rPr>
              <w:t>31 December</w:t>
            </w:r>
            <w:r w:rsidRPr="005F5AFC">
              <w:rPr>
                <w:rFonts w:ascii="Arial" w:hAnsi="Arial" w:cs="Arial"/>
                <w:b/>
                <w:bCs/>
                <w:sz w:val="20"/>
              </w:rPr>
              <w:t xml:space="preserve"> 20</w:t>
            </w:r>
            <w:r>
              <w:rPr>
                <w:rFonts w:ascii="Arial" w:hAnsi="Arial" w:cs="Arial"/>
                <w:b/>
                <w:bCs/>
                <w:sz w:val="20"/>
              </w:rPr>
              <w:t>10</w:t>
            </w:r>
            <w:r w:rsidRPr="005F5AFC">
              <w:rPr>
                <w:rFonts w:ascii="Arial" w:hAnsi="Arial" w:cs="Arial"/>
                <w:b/>
                <w:bCs/>
                <w:sz w:val="20"/>
              </w:rPr>
              <w:br/>
              <w:t>ACTUALS</w:t>
            </w:r>
          </w:p>
        </w:tc>
      </w:tr>
      <w:tr w:rsidR="00353C62" w:rsidRPr="005F5AFC" w:rsidTr="000B0E20">
        <w:trPr>
          <w:trHeight w:val="750"/>
        </w:trPr>
        <w:tc>
          <w:tcPr>
            <w:tcW w:w="2320" w:type="dxa"/>
            <w:vMerge/>
          </w:tcPr>
          <w:p w:rsidR="00353C62" w:rsidRPr="005F5AFC" w:rsidRDefault="00353C62" w:rsidP="005F5AFC">
            <w:pPr>
              <w:widowControl/>
              <w:rPr>
                <w:rFonts w:ascii="Arial" w:hAnsi="Arial" w:cs="Arial"/>
                <w:b/>
                <w:bCs/>
                <w:sz w:val="20"/>
              </w:rPr>
            </w:pPr>
          </w:p>
        </w:tc>
        <w:tc>
          <w:tcPr>
            <w:tcW w:w="2020" w:type="dxa"/>
          </w:tcPr>
          <w:p w:rsidR="00353C62" w:rsidRPr="005F5AFC" w:rsidRDefault="00353C62" w:rsidP="005F5AFC">
            <w:pPr>
              <w:widowControl/>
              <w:rPr>
                <w:rFonts w:ascii="Arial" w:hAnsi="Arial" w:cs="Arial"/>
                <w:b/>
                <w:bCs/>
                <w:sz w:val="20"/>
              </w:rPr>
            </w:pPr>
            <w:r w:rsidRPr="005F5AFC">
              <w:rPr>
                <w:rFonts w:ascii="Arial" w:hAnsi="Arial" w:cs="Arial"/>
                <w:b/>
                <w:bCs/>
                <w:sz w:val="20"/>
              </w:rPr>
              <w:t> </w:t>
            </w:r>
          </w:p>
        </w:tc>
        <w:tc>
          <w:tcPr>
            <w:tcW w:w="1760" w:type="dxa"/>
          </w:tcPr>
          <w:p w:rsidR="00353C62" w:rsidRPr="005F5AFC" w:rsidRDefault="00353C62" w:rsidP="005F5AFC">
            <w:pPr>
              <w:widowControl/>
              <w:rPr>
                <w:rFonts w:ascii="Arial" w:hAnsi="Arial" w:cs="Arial"/>
                <w:b/>
                <w:bCs/>
                <w:sz w:val="20"/>
              </w:rPr>
            </w:pPr>
            <w:r w:rsidRPr="005F5AFC">
              <w:rPr>
                <w:rFonts w:ascii="Arial" w:hAnsi="Arial" w:cs="Arial"/>
                <w:b/>
                <w:bCs/>
                <w:sz w:val="20"/>
              </w:rPr>
              <w:t>Commitments</w:t>
            </w:r>
          </w:p>
        </w:tc>
        <w:tc>
          <w:tcPr>
            <w:tcW w:w="2020" w:type="dxa"/>
          </w:tcPr>
          <w:p w:rsidR="00353C62" w:rsidRPr="005F5AFC" w:rsidRDefault="00353C62" w:rsidP="005F5AFC">
            <w:pPr>
              <w:widowControl/>
              <w:rPr>
                <w:rFonts w:ascii="Arial" w:hAnsi="Arial" w:cs="Arial"/>
                <w:b/>
                <w:bCs/>
                <w:sz w:val="20"/>
              </w:rPr>
            </w:pPr>
            <w:r w:rsidRPr="005F5AFC">
              <w:rPr>
                <w:rFonts w:ascii="Arial" w:hAnsi="Arial" w:cs="Arial"/>
                <w:b/>
                <w:bCs/>
                <w:sz w:val="20"/>
              </w:rPr>
              <w:t>Disbursement</w:t>
            </w:r>
            <w:r w:rsidR="000B0E20">
              <w:rPr>
                <w:rFonts w:ascii="Arial" w:hAnsi="Arial" w:cs="Arial"/>
                <w:b/>
                <w:bCs/>
                <w:sz w:val="20"/>
              </w:rPr>
              <w:t>s</w:t>
            </w:r>
          </w:p>
        </w:tc>
      </w:tr>
      <w:tr w:rsidR="00353C62" w:rsidRPr="005F5AFC" w:rsidTr="000B0E20">
        <w:trPr>
          <w:trHeight w:val="315"/>
        </w:trPr>
        <w:tc>
          <w:tcPr>
            <w:tcW w:w="2320" w:type="dxa"/>
            <w:noWrap/>
          </w:tcPr>
          <w:p w:rsidR="00353C62" w:rsidRPr="005F5AFC" w:rsidRDefault="00353C62" w:rsidP="005F5AFC">
            <w:pPr>
              <w:widowControl/>
              <w:rPr>
                <w:rFonts w:ascii="Arial" w:hAnsi="Arial" w:cs="Arial"/>
                <w:b/>
                <w:bCs/>
                <w:sz w:val="20"/>
              </w:rPr>
            </w:pPr>
            <w:r>
              <w:rPr>
                <w:rFonts w:ascii="Arial" w:hAnsi="Arial" w:cs="Arial"/>
                <w:b/>
                <w:bCs/>
                <w:sz w:val="20"/>
              </w:rPr>
              <w:t>FAO</w:t>
            </w:r>
          </w:p>
        </w:tc>
        <w:tc>
          <w:tcPr>
            <w:tcW w:w="2020" w:type="dxa"/>
            <w:noWrap/>
          </w:tcPr>
          <w:p w:rsidR="00353C62" w:rsidRPr="005F5AFC" w:rsidRDefault="00353C62" w:rsidP="005F5AFC">
            <w:pPr>
              <w:widowControl/>
              <w:jc w:val="right"/>
              <w:rPr>
                <w:rFonts w:ascii="Arial" w:hAnsi="Arial" w:cs="Arial"/>
                <w:b/>
                <w:bCs/>
                <w:sz w:val="20"/>
              </w:rPr>
            </w:pPr>
            <w:r>
              <w:rPr>
                <w:rFonts w:ascii="Calibri" w:hAnsi="Calibri"/>
                <w:b/>
                <w:bCs/>
                <w:color w:val="000000"/>
                <w:sz w:val="22"/>
                <w:szCs w:val="22"/>
              </w:rPr>
              <w:t>USD 900,192.00</w:t>
            </w:r>
          </w:p>
        </w:tc>
        <w:tc>
          <w:tcPr>
            <w:tcW w:w="1760" w:type="dxa"/>
            <w:noWrap/>
          </w:tcPr>
          <w:p w:rsidR="00353C62" w:rsidRPr="005F5AFC" w:rsidRDefault="00353C62" w:rsidP="005F5AFC">
            <w:pPr>
              <w:widowControl/>
              <w:jc w:val="right"/>
              <w:rPr>
                <w:rFonts w:ascii="Arial Unicode MS" w:eastAsia="Arial Unicode MS" w:hAnsi="Arial Unicode MS" w:cs="Arial Unicode MS"/>
                <w:b/>
                <w:bCs/>
                <w:color w:val="000000"/>
                <w:sz w:val="20"/>
              </w:rPr>
            </w:pPr>
            <w:r>
              <w:rPr>
                <w:rFonts w:ascii="Calibri" w:hAnsi="Calibri"/>
                <w:b/>
                <w:bCs/>
                <w:color w:val="000000"/>
                <w:sz w:val="22"/>
                <w:szCs w:val="22"/>
              </w:rPr>
              <w:t>USD 0</w:t>
            </w:r>
          </w:p>
        </w:tc>
        <w:tc>
          <w:tcPr>
            <w:tcW w:w="2020" w:type="dxa"/>
            <w:noWrap/>
          </w:tcPr>
          <w:p w:rsidR="00353C62" w:rsidRPr="005F5AFC" w:rsidRDefault="00353C62" w:rsidP="005F5AFC">
            <w:pPr>
              <w:widowControl/>
              <w:jc w:val="right"/>
              <w:rPr>
                <w:rFonts w:ascii="Arial Unicode MS" w:eastAsia="Arial Unicode MS" w:hAnsi="Arial Unicode MS" w:cs="Arial Unicode MS"/>
                <w:b/>
                <w:bCs/>
                <w:color w:val="000000"/>
                <w:sz w:val="20"/>
              </w:rPr>
            </w:pPr>
            <w:r>
              <w:rPr>
                <w:rFonts w:ascii="Calibri" w:hAnsi="Calibri"/>
                <w:b/>
                <w:bCs/>
                <w:color w:val="000000"/>
                <w:sz w:val="22"/>
                <w:szCs w:val="22"/>
              </w:rPr>
              <w:t>USD 0</w:t>
            </w:r>
          </w:p>
        </w:tc>
      </w:tr>
      <w:tr w:rsidR="00353C62" w:rsidRPr="005F5AFC" w:rsidTr="000B0E20">
        <w:trPr>
          <w:trHeight w:val="300"/>
        </w:trPr>
        <w:tc>
          <w:tcPr>
            <w:tcW w:w="2320" w:type="dxa"/>
            <w:noWrap/>
          </w:tcPr>
          <w:p w:rsidR="00353C62" w:rsidRPr="005F5AFC" w:rsidRDefault="00353C62" w:rsidP="005F5AFC">
            <w:pPr>
              <w:widowControl/>
              <w:rPr>
                <w:rFonts w:ascii="Calibri" w:hAnsi="Calibri"/>
                <w:b/>
                <w:bCs/>
                <w:color w:val="000000"/>
                <w:szCs w:val="22"/>
              </w:rPr>
            </w:pPr>
            <w:r>
              <w:rPr>
                <w:rFonts w:ascii="Calibri" w:hAnsi="Calibri"/>
                <w:b/>
                <w:bCs/>
                <w:color w:val="000000"/>
                <w:sz w:val="22"/>
                <w:szCs w:val="22"/>
              </w:rPr>
              <w:t>UNDP</w:t>
            </w:r>
          </w:p>
        </w:tc>
        <w:tc>
          <w:tcPr>
            <w:tcW w:w="2020" w:type="dxa"/>
            <w:noWrap/>
          </w:tcPr>
          <w:p w:rsidR="00353C62" w:rsidRPr="005F5AFC" w:rsidRDefault="00353C62" w:rsidP="005F5AFC">
            <w:pPr>
              <w:widowControl/>
              <w:jc w:val="right"/>
              <w:rPr>
                <w:rFonts w:ascii="Calibri" w:hAnsi="Calibri"/>
                <w:b/>
                <w:bCs/>
                <w:szCs w:val="22"/>
              </w:rPr>
            </w:pPr>
            <w:r>
              <w:rPr>
                <w:rFonts w:ascii="Calibri" w:hAnsi="Calibri"/>
                <w:b/>
                <w:bCs/>
                <w:sz w:val="22"/>
                <w:szCs w:val="22"/>
              </w:rPr>
              <w:t>USD 664,997.00</w:t>
            </w:r>
          </w:p>
        </w:tc>
        <w:tc>
          <w:tcPr>
            <w:tcW w:w="1760" w:type="dxa"/>
            <w:noWrap/>
          </w:tcPr>
          <w:p w:rsidR="00353C62" w:rsidRPr="005F5AFC" w:rsidRDefault="00353C62" w:rsidP="002B2250">
            <w:pPr>
              <w:widowControl/>
              <w:jc w:val="right"/>
              <w:rPr>
                <w:rFonts w:ascii="Calibri" w:hAnsi="Calibri"/>
                <w:b/>
                <w:bCs/>
                <w:color w:val="000000"/>
                <w:szCs w:val="22"/>
              </w:rPr>
            </w:pPr>
            <w:r>
              <w:rPr>
                <w:rFonts w:ascii="Calibri" w:hAnsi="Calibri"/>
                <w:b/>
                <w:bCs/>
                <w:color w:val="000000"/>
                <w:sz w:val="22"/>
                <w:szCs w:val="22"/>
              </w:rPr>
              <w:t>USD 7600</w:t>
            </w:r>
          </w:p>
        </w:tc>
        <w:tc>
          <w:tcPr>
            <w:tcW w:w="2020" w:type="dxa"/>
            <w:noWrap/>
          </w:tcPr>
          <w:p w:rsidR="00353C62" w:rsidRPr="005F5AFC" w:rsidRDefault="00353C62" w:rsidP="005F5AFC">
            <w:pPr>
              <w:widowControl/>
              <w:jc w:val="right"/>
              <w:rPr>
                <w:rFonts w:ascii="Calibri" w:hAnsi="Calibri"/>
                <w:b/>
                <w:bCs/>
                <w:color w:val="000000"/>
                <w:szCs w:val="22"/>
              </w:rPr>
            </w:pPr>
            <w:r>
              <w:rPr>
                <w:rFonts w:ascii="Calibri" w:hAnsi="Calibri"/>
                <w:b/>
                <w:bCs/>
                <w:color w:val="000000"/>
                <w:sz w:val="22"/>
                <w:szCs w:val="22"/>
              </w:rPr>
              <w:t>USD 0</w:t>
            </w:r>
          </w:p>
        </w:tc>
      </w:tr>
      <w:tr w:rsidR="00353C62" w:rsidRPr="005F5AFC" w:rsidTr="000B0E20">
        <w:trPr>
          <w:trHeight w:val="300"/>
        </w:trPr>
        <w:tc>
          <w:tcPr>
            <w:tcW w:w="2320" w:type="dxa"/>
            <w:noWrap/>
          </w:tcPr>
          <w:p w:rsidR="00353C62" w:rsidRPr="005F5AFC" w:rsidRDefault="00353C62" w:rsidP="005F5AFC">
            <w:pPr>
              <w:widowControl/>
              <w:rPr>
                <w:rFonts w:ascii="Calibri" w:hAnsi="Calibri"/>
                <w:b/>
                <w:bCs/>
                <w:color w:val="000000"/>
                <w:szCs w:val="22"/>
              </w:rPr>
            </w:pPr>
            <w:r>
              <w:rPr>
                <w:rFonts w:ascii="Calibri" w:hAnsi="Calibri"/>
                <w:b/>
                <w:bCs/>
                <w:color w:val="000000"/>
                <w:sz w:val="22"/>
                <w:szCs w:val="22"/>
              </w:rPr>
              <w:t>UNEP</w:t>
            </w:r>
          </w:p>
        </w:tc>
        <w:tc>
          <w:tcPr>
            <w:tcW w:w="2020" w:type="dxa"/>
            <w:noWrap/>
          </w:tcPr>
          <w:p w:rsidR="00353C62" w:rsidRPr="005F5AFC" w:rsidRDefault="00353C62" w:rsidP="005F5AFC">
            <w:pPr>
              <w:widowControl/>
              <w:jc w:val="right"/>
              <w:rPr>
                <w:rFonts w:ascii="Calibri" w:hAnsi="Calibri"/>
                <w:b/>
                <w:bCs/>
                <w:color w:val="000000"/>
                <w:szCs w:val="22"/>
              </w:rPr>
            </w:pPr>
            <w:r>
              <w:rPr>
                <w:rFonts w:ascii="Calibri" w:hAnsi="Calibri"/>
                <w:b/>
                <w:bCs/>
                <w:sz w:val="22"/>
                <w:szCs w:val="22"/>
              </w:rPr>
              <w:t>USD 120,005.00</w:t>
            </w:r>
          </w:p>
        </w:tc>
        <w:tc>
          <w:tcPr>
            <w:tcW w:w="1760" w:type="dxa"/>
            <w:noWrap/>
          </w:tcPr>
          <w:p w:rsidR="00353C62" w:rsidRPr="005F5AFC" w:rsidRDefault="00353C62" w:rsidP="005F5AFC">
            <w:pPr>
              <w:widowControl/>
              <w:jc w:val="right"/>
              <w:rPr>
                <w:rFonts w:ascii="Calibri" w:hAnsi="Calibri"/>
                <w:b/>
                <w:bCs/>
                <w:color w:val="000000"/>
                <w:szCs w:val="22"/>
              </w:rPr>
            </w:pPr>
            <w:r>
              <w:rPr>
                <w:rFonts w:ascii="Calibri" w:hAnsi="Calibri"/>
                <w:b/>
                <w:bCs/>
                <w:color w:val="000000"/>
                <w:sz w:val="22"/>
                <w:szCs w:val="22"/>
              </w:rPr>
              <w:t>USD 0</w:t>
            </w:r>
          </w:p>
        </w:tc>
        <w:tc>
          <w:tcPr>
            <w:tcW w:w="2020" w:type="dxa"/>
            <w:noWrap/>
          </w:tcPr>
          <w:p w:rsidR="00353C62" w:rsidRPr="005F5AFC" w:rsidRDefault="00353C62" w:rsidP="005F5AFC">
            <w:pPr>
              <w:widowControl/>
              <w:jc w:val="right"/>
              <w:rPr>
                <w:rFonts w:ascii="Calibri" w:hAnsi="Calibri"/>
                <w:b/>
                <w:bCs/>
                <w:color w:val="000000"/>
                <w:szCs w:val="22"/>
              </w:rPr>
            </w:pPr>
            <w:r>
              <w:rPr>
                <w:rFonts w:ascii="Calibri" w:hAnsi="Calibri"/>
                <w:b/>
                <w:bCs/>
                <w:color w:val="000000"/>
                <w:sz w:val="22"/>
                <w:szCs w:val="22"/>
              </w:rPr>
              <w:t>USD 0</w:t>
            </w:r>
          </w:p>
        </w:tc>
      </w:tr>
      <w:tr w:rsidR="00353C62" w:rsidRPr="005F5AFC" w:rsidTr="000B0E20">
        <w:trPr>
          <w:trHeight w:val="300"/>
        </w:trPr>
        <w:tc>
          <w:tcPr>
            <w:tcW w:w="2320" w:type="dxa"/>
            <w:noWrap/>
          </w:tcPr>
          <w:p w:rsidR="00353C62" w:rsidRDefault="00353C62" w:rsidP="005F5AFC">
            <w:pPr>
              <w:widowControl/>
              <w:rPr>
                <w:rFonts w:ascii="Calibri" w:hAnsi="Calibri"/>
                <w:b/>
                <w:bCs/>
                <w:color w:val="000000"/>
                <w:szCs w:val="22"/>
              </w:rPr>
            </w:pPr>
            <w:r>
              <w:rPr>
                <w:rFonts w:ascii="Calibri" w:hAnsi="Calibri"/>
                <w:b/>
                <w:bCs/>
                <w:color w:val="000000"/>
                <w:sz w:val="22"/>
                <w:szCs w:val="22"/>
              </w:rPr>
              <w:t>Total</w:t>
            </w:r>
          </w:p>
        </w:tc>
        <w:tc>
          <w:tcPr>
            <w:tcW w:w="2020" w:type="dxa"/>
            <w:noWrap/>
          </w:tcPr>
          <w:p w:rsidR="00353C62" w:rsidRPr="005F5AFC" w:rsidRDefault="00353C62" w:rsidP="005F5AFC">
            <w:pPr>
              <w:widowControl/>
              <w:jc w:val="right"/>
              <w:rPr>
                <w:rFonts w:ascii="Calibri" w:hAnsi="Calibri"/>
                <w:b/>
                <w:bCs/>
                <w:color w:val="000000"/>
                <w:szCs w:val="22"/>
              </w:rPr>
            </w:pPr>
            <w:r>
              <w:rPr>
                <w:rFonts w:ascii="Calibri" w:hAnsi="Calibri"/>
                <w:b/>
                <w:bCs/>
                <w:color w:val="000000"/>
                <w:sz w:val="22"/>
                <w:szCs w:val="22"/>
              </w:rPr>
              <w:t>USD 1,685,194.00</w:t>
            </w:r>
          </w:p>
        </w:tc>
        <w:tc>
          <w:tcPr>
            <w:tcW w:w="1760" w:type="dxa"/>
            <w:noWrap/>
          </w:tcPr>
          <w:p w:rsidR="00353C62" w:rsidRPr="005F5AFC" w:rsidRDefault="00353C62" w:rsidP="005F5AFC">
            <w:pPr>
              <w:widowControl/>
              <w:jc w:val="right"/>
              <w:rPr>
                <w:rFonts w:ascii="Calibri" w:hAnsi="Calibri"/>
                <w:b/>
                <w:bCs/>
                <w:color w:val="000000"/>
                <w:szCs w:val="22"/>
              </w:rPr>
            </w:pPr>
          </w:p>
        </w:tc>
        <w:tc>
          <w:tcPr>
            <w:tcW w:w="2020" w:type="dxa"/>
            <w:noWrap/>
          </w:tcPr>
          <w:p w:rsidR="00353C62" w:rsidRPr="005F5AFC" w:rsidRDefault="00353C62" w:rsidP="005F5AFC">
            <w:pPr>
              <w:widowControl/>
              <w:jc w:val="right"/>
              <w:rPr>
                <w:rFonts w:ascii="Calibri" w:hAnsi="Calibri"/>
                <w:b/>
                <w:bCs/>
                <w:color w:val="000000"/>
                <w:szCs w:val="22"/>
              </w:rPr>
            </w:pPr>
          </w:p>
        </w:tc>
      </w:tr>
    </w:tbl>
    <w:p w:rsidR="00353C62" w:rsidRDefault="00353C62">
      <w:pPr>
        <w:pStyle w:val="BodyText2"/>
        <w:rPr>
          <w:rFonts w:ascii="Times New Roman" w:hAnsi="Times New Roman"/>
          <w:sz w:val="24"/>
        </w:rPr>
      </w:pPr>
    </w:p>
    <w:p w:rsidR="00353C62" w:rsidRDefault="00353C62" w:rsidP="00B73007">
      <w:pPr>
        <w:pStyle w:val="BodyText2"/>
        <w:rPr>
          <w:rFonts w:ascii="Times New Roman" w:hAnsi="Times New Roman"/>
          <w:sz w:val="24"/>
        </w:rPr>
      </w:pPr>
    </w:p>
    <w:p w:rsidR="00353C62" w:rsidRDefault="00353C62">
      <w:pPr>
        <w:pStyle w:val="BodyText2"/>
        <w:rPr>
          <w:rFonts w:ascii="Times New Roman" w:hAnsi="Times New Roman"/>
          <w:sz w:val="24"/>
        </w:rPr>
      </w:pPr>
      <w:r>
        <w:rPr>
          <w:rFonts w:ascii="Times New Roman" w:hAnsi="Times New Roman"/>
          <w:sz w:val="24"/>
        </w:rPr>
        <w:t>UNDP</w:t>
      </w:r>
      <w:r w:rsidR="008D2920">
        <w:rPr>
          <w:rFonts w:ascii="Times New Roman" w:hAnsi="Times New Roman"/>
          <w:sz w:val="24"/>
        </w:rPr>
        <w:t>:</w:t>
      </w:r>
      <w:r>
        <w:rPr>
          <w:rFonts w:ascii="Times New Roman" w:hAnsi="Times New Roman"/>
          <w:sz w:val="24"/>
        </w:rPr>
        <w:t xml:space="preserve"> </w:t>
      </w:r>
    </w:p>
    <w:p w:rsidR="008D2920" w:rsidRDefault="008D2920">
      <w:pPr>
        <w:pStyle w:val="BodyText2"/>
        <w:rPr>
          <w:rFonts w:ascii="Times New Roman" w:hAnsi="Times New Roman"/>
          <w:sz w:val="24"/>
        </w:rPr>
      </w:pPr>
    </w:p>
    <w:p w:rsidR="000B0E20" w:rsidRDefault="00B471DE" w:rsidP="000B0E20">
      <w:pPr>
        <w:pStyle w:val="BodyText2"/>
        <w:rPr>
          <w:rFonts w:ascii="Times New Roman" w:hAnsi="Times New Roman"/>
          <w:sz w:val="24"/>
        </w:rPr>
      </w:pPr>
      <w:r>
        <w:rPr>
          <w:rFonts w:ascii="Times New Roman" w:hAnsi="Times New Roman"/>
          <w:sz w:val="24"/>
        </w:rPr>
        <w:t>Funds were</w:t>
      </w:r>
      <w:r w:rsidR="000B0E20">
        <w:rPr>
          <w:rFonts w:ascii="Times New Roman" w:hAnsi="Times New Roman"/>
          <w:sz w:val="24"/>
        </w:rPr>
        <w:t xml:space="preserve"> received </w:t>
      </w:r>
      <w:r w:rsidR="00A2565F">
        <w:rPr>
          <w:rFonts w:ascii="Times New Roman" w:hAnsi="Times New Roman"/>
          <w:sz w:val="24"/>
        </w:rPr>
        <w:t xml:space="preserve">from the MDTF Office </w:t>
      </w:r>
      <w:r w:rsidR="000B0E20">
        <w:rPr>
          <w:rFonts w:ascii="Times New Roman" w:hAnsi="Times New Roman"/>
          <w:sz w:val="24"/>
        </w:rPr>
        <w:t xml:space="preserve">at UNDP HQ in October 2010. They </w:t>
      </w:r>
      <w:r>
        <w:rPr>
          <w:rFonts w:ascii="Times New Roman" w:hAnsi="Times New Roman"/>
          <w:sz w:val="24"/>
        </w:rPr>
        <w:t>were</w:t>
      </w:r>
      <w:r w:rsidR="000B0E20">
        <w:rPr>
          <w:rFonts w:ascii="Times New Roman" w:hAnsi="Times New Roman"/>
          <w:sz w:val="24"/>
        </w:rPr>
        <w:t xml:space="preserve"> released to UNDP Zambia country office </w:t>
      </w:r>
      <w:r w:rsidR="008D2920">
        <w:rPr>
          <w:rFonts w:ascii="Times New Roman" w:hAnsi="Times New Roman"/>
          <w:sz w:val="24"/>
        </w:rPr>
        <w:t xml:space="preserve">at </w:t>
      </w:r>
      <w:r w:rsidR="000B0E20">
        <w:rPr>
          <w:rFonts w:ascii="Times New Roman" w:hAnsi="Times New Roman"/>
          <w:sz w:val="24"/>
        </w:rPr>
        <w:t xml:space="preserve">the </w:t>
      </w:r>
      <w:r>
        <w:rPr>
          <w:rFonts w:ascii="Times New Roman" w:hAnsi="Times New Roman"/>
          <w:sz w:val="24"/>
        </w:rPr>
        <w:t>end of December 2010. The annual work plan for year 2011 was approved in Atlas in early January 2011.</w:t>
      </w:r>
      <w:r w:rsidR="000B0E20">
        <w:rPr>
          <w:rFonts w:ascii="Times New Roman" w:hAnsi="Times New Roman"/>
          <w:sz w:val="24"/>
        </w:rPr>
        <w:t xml:space="preserve"> </w:t>
      </w:r>
      <w:r>
        <w:rPr>
          <w:rFonts w:ascii="Times New Roman" w:hAnsi="Times New Roman"/>
          <w:sz w:val="24"/>
        </w:rPr>
        <w:t>T</w:t>
      </w:r>
      <w:r w:rsidR="000B0E20">
        <w:rPr>
          <w:rFonts w:ascii="Times New Roman" w:hAnsi="Times New Roman"/>
          <w:sz w:val="24"/>
        </w:rPr>
        <w:t>he delay was due to operational clearance and procedures needed to be established at country level.</w:t>
      </w:r>
    </w:p>
    <w:p w:rsidR="00353C62" w:rsidRDefault="00353C62">
      <w:pPr>
        <w:pStyle w:val="BodyText2"/>
        <w:rPr>
          <w:rFonts w:ascii="Times New Roman" w:hAnsi="Times New Roman"/>
          <w:sz w:val="24"/>
        </w:rPr>
      </w:pPr>
    </w:p>
    <w:p w:rsidR="00353C62" w:rsidRDefault="00353C62">
      <w:pPr>
        <w:pStyle w:val="BodyText2"/>
        <w:rPr>
          <w:rFonts w:ascii="Times New Roman" w:hAnsi="Times New Roman"/>
          <w:sz w:val="24"/>
        </w:rPr>
      </w:pPr>
      <w:r>
        <w:rPr>
          <w:rFonts w:ascii="Times New Roman" w:hAnsi="Times New Roman"/>
          <w:sz w:val="24"/>
        </w:rPr>
        <w:t>UNEP</w:t>
      </w:r>
      <w:r w:rsidR="008D2920">
        <w:rPr>
          <w:rFonts w:ascii="Times New Roman" w:hAnsi="Times New Roman"/>
          <w:sz w:val="24"/>
        </w:rPr>
        <w:t>:</w:t>
      </w:r>
    </w:p>
    <w:p w:rsidR="008D2920" w:rsidRDefault="008D2920">
      <w:pPr>
        <w:pStyle w:val="BodyText2"/>
        <w:rPr>
          <w:rFonts w:ascii="Times New Roman" w:hAnsi="Times New Roman"/>
          <w:sz w:val="24"/>
        </w:rPr>
      </w:pPr>
    </w:p>
    <w:p w:rsidR="00353C62" w:rsidRDefault="00353C62">
      <w:pPr>
        <w:pStyle w:val="BodyText2"/>
        <w:rPr>
          <w:rFonts w:ascii="Times New Roman" w:hAnsi="Times New Roman"/>
          <w:sz w:val="24"/>
        </w:rPr>
      </w:pPr>
      <w:r>
        <w:rPr>
          <w:rFonts w:ascii="Times New Roman" w:hAnsi="Times New Roman"/>
          <w:sz w:val="24"/>
        </w:rPr>
        <w:t>Funds received in mid</w:t>
      </w:r>
      <w:r w:rsidR="008D2920">
        <w:rPr>
          <w:rFonts w:ascii="Times New Roman" w:hAnsi="Times New Roman"/>
          <w:sz w:val="24"/>
        </w:rPr>
        <w:t>-</w:t>
      </w:r>
      <w:r>
        <w:rPr>
          <w:rFonts w:ascii="Times New Roman" w:hAnsi="Times New Roman"/>
          <w:sz w:val="24"/>
        </w:rPr>
        <w:t xml:space="preserve">October 2010. </w:t>
      </w:r>
    </w:p>
    <w:p w:rsidR="00353C62" w:rsidRDefault="00353C62">
      <w:pPr>
        <w:pStyle w:val="BodyText2"/>
        <w:rPr>
          <w:rFonts w:ascii="Times New Roman" w:hAnsi="Times New Roman"/>
          <w:sz w:val="24"/>
        </w:rPr>
      </w:pPr>
    </w:p>
    <w:p w:rsidR="00353C62" w:rsidRDefault="00353C62">
      <w:pPr>
        <w:pStyle w:val="BodyText2"/>
        <w:rPr>
          <w:rFonts w:ascii="Times New Roman" w:hAnsi="Times New Roman"/>
          <w:sz w:val="24"/>
        </w:rPr>
      </w:pPr>
      <w:r>
        <w:rPr>
          <w:rFonts w:ascii="Times New Roman" w:hAnsi="Times New Roman"/>
          <w:sz w:val="24"/>
        </w:rPr>
        <w:t>FAO</w:t>
      </w:r>
      <w:r w:rsidR="008D2920">
        <w:rPr>
          <w:rFonts w:ascii="Times New Roman" w:hAnsi="Times New Roman"/>
          <w:sz w:val="24"/>
        </w:rPr>
        <w:t>:</w:t>
      </w:r>
    </w:p>
    <w:p w:rsidR="00353C62" w:rsidRDefault="00353C62">
      <w:pPr>
        <w:pStyle w:val="BodyText2"/>
        <w:rPr>
          <w:rFonts w:ascii="Times New Roman" w:hAnsi="Times New Roman"/>
          <w:sz w:val="24"/>
        </w:rPr>
      </w:pPr>
      <w:r>
        <w:rPr>
          <w:rFonts w:ascii="Times New Roman" w:hAnsi="Times New Roman"/>
          <w:sz w:val="24"/>
        </w:rPr>
        <w:t xml:space="preserve">Funds </w:t>
      </w:r>
      <w:r w:rsidR="008D2920">
        <w:rPr>
          <w:rFonts w:ascii="Times New Roman" w:hAnsi="Times New Roman"/>
          <w:sz w:val="24"/>
        </w:rPr>
        <w:t xml:space="preserve">were </w:t>
      </w:r>
      <w:r>
        <w:rPr>
          <w:rFonts w:ascii="Times New Roman" w:hAnsi="Times New Roman"/>
          <w:sz w:val="24"/>
        </w:rPr>
        <w:t xml:space="preserve">received at FAO HQ in October 2010. They are to be released to FAO Zambia </w:t>
      </w:r>
      <w:r w:rsidR="007B5D31">
        <w:rPr>
          <w:rFonts w:ascii="Times New Roman" w:hAnsi="Times New Roman"/>
          <w:sz w:val="24"/>
        </w:rPr>
        <w:t>C</w:t>
      </w:r>
      <w:r>
        <w:rPr>
          <w:rFonts w:ascii="Times New Roman" w:hAnsi="Times New Roman"/>
          <w:sz w:val="24"/>
        </w:rPr>
        <w:t xml:space="preserve">ountry </w:t>
      </w:r>
      <w:r w:rsidR="007B5D31">
        <w:rPr>
          <w:rFonts w:ascii="Times New Roman" w:hAnsi="Times New Roman"/>
          <w:sz w:val="24"/>
        </w:rPr>
        <w:t>O</w:t>
      </w:r>
      <w:r>
        <w:rPr>
          <w:rFonts w:ascii="Times New Roman" w:hAnsi="Times New Roman"/>
          <w:sz w:val="24"/>
        </w:rPr>
        <w:t>ffice in early</w:t>
      </w:r>
      <w:r w:rsidR="00B471DE">
        <w:rPr>
          <w:rFonts w:ascii="Times New Roman" w:hAnsi="Times New Roman"/>
          <w:sz w:val="24"/>
        </w:rPr>
        <w:t xml:space="preserve"> </w:t>
      </w:r>
      <w:r>
        <w:rPr>
          <w:rFonts w:ascii="Times New Roman" w:hAnsi="Times New Roman"/>
          <w:sz w:val="24"/>
        </w:rPr>
        <w:t>January 2011</w:t>
      </w:r>
      <w:r w:rsidR="008D2920">
        <w:rPr>
          <w:rFonts w:ascii="Times New Roman" w:hAnsi="Times New Roman"/>
          <w:sz w:val="24"/>
        </w:rPr>
        <w:t>. T</w:t>
      </w:r>
      <w:r>
        <w:rPr>
          <w:rFonts w:ascii="Times New Roman" w:hAnsi="Times New Roman"/>
          <w:sz w:val="24"/>
        </w:rPr>
        <w:t>he delay was due to operational clearance and procedures needed to be established at country level.</w:t>
      </w:r>
    </w:p>
    <w:sectPr w:rsidR="00353C62" w:rsidSect="00B56B04">
      <w:endnotePr>
        <w:numFmt w:val="decimal"/>
      </w:endnotePr>
      <w:pgSz w:w="11907" w:h="16840"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9E9" w:rsidRDefault="002269E9">
      <w:r>
        <w:separator/>
      </w:r>
    </w:p>
  </w:endnote>
  <w:endnote w:type="continuationSeparator" w:id="0">
    <w:p w:rsidR="002269E9" w:rsidRDefault="002269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FrutigerLT-Roman">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9E9" w:rsidRDefault="002269E9">
      <w:r>
        <w:separator/>
      </w:r>
    </w:p>
  </w:footnote>
  <w:footnote w:type="continuationSeparator" w:id="0">
    <w:p w:rsidR="002269E9" w:rsidRDefault="002269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47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C2A68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5120B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5C30BE2"/>
    <w:multiLevelType w:val="hybridMultilevel"/>
    <w:tmpl w:val="FF4C982A"/>
    <w:lvl w:ilvl="0" w:tplc="F6FE1EFC">
      <w:numFmt w:val="bullet"/>
      <w:lvlText w:val="-"/>
      <w:lvlJc w:val="left"/>
      <w:pPr>
        <w:tabs>
          <w:tab w:val="num" w:pos="572"/>
        </w:tabs>
        <w:ind w:left="572"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E82784"/>
    <w:multiLevelType w:val="hybridMultilevel"/>
    <w:tmpl w:val="5FF0EC02"/>
    <w:lvl w:ilvl="0" w:tplc="94609128">
      <w:start w:val="1"/>
      <w:numFmt w:val="bullet"/>
      <w:lvlText w:val="–"/>
      <w:lvlJc w:val="left"/>
      <w:pPr>
        <w:tabs>
          <w:tab w:val="num" w:pos="360"/>
        </w:tabs>
        <w:ind w:left="360" w:hanging="360"/>
      </w:pPr>
      <w:rPr>
        <w:rFonts w:ascii="Arial" w:hAnsi="Arial" w:hint="default"/>
      </w:rPr>
    </w:lvl>
    <w:lvl w:ilvl="1" w:tplc="27E4E10C">
      <w:start w:val="1"/>
      <w:numFmt w:val="bullet"/>
      <w:lvlText w:val="–"/>
      <w:lvlJc w:val="left"/>
      <w:pPr>
        <w:tabs>
          <w:tab w:val="num" w:pos="1080"/>
        </w:tabs>
        <w:ind w:left="1080" w:hanging="360"/>
      </w:pPr>
      <w:rPr>
        <w:rFonts w:ascii="Arial" w:hAnsi="Arial" w:hint="default"/>
      </w:rPr>
    </w:lvl>
    <w:lvl w:ilvl="2" w:tplc="2E7A8C60" w:tentative="1">
      <w:start w:val="1"/>
      <w:numFmt w:val="bullet"/>
      <w:lvlText w:val="–"/>
      <w:lvlJc w:val="left"/>
      <w:pPr>
        <w:tabs>
          <w:tab w:val="num" w:pos="1800"/>
        </w:tabs>
        <w:ind w:left="1800" w:hanging="360"/>
      </w:pPr>
      <w:rPr>
        <w:rFonts w:ascii="Arial" w:hAnsi="Arial" w:hint="default"/>
      </w:rPr>
    </w:lvl>
    <w:lvl w:ilvl="3" w:tplc="A4386B6A" w:tentative="1">
      <w:start w:val="1"/>
      <w:numFmt w:val="bullet"/>
      <w:lvlText w:val="–"/>
      <w:lvlJc w:val="left"/>
      <w:pPr>
        <w:tabs>
          <w:tab w:val="num" w:pos="2520"/>
        </w:tabs>
        <w:ind w:left="2520" w:hanging="360"/>
      </w:pPr>
      <w:rPr>
        <w:rFonts w:ascii="Arial" w:hAnsi="Arial" w:hint="default"/>
      </w:rPr>
    </w:lvl>
    <w:lvl w:ilvl="4" w:tplc="593CD58C" w:tentative="1">
      <w:start w:val="1"/>
      <w:numFmt w:val="bullet"/>
      <w:lvlText w:val="–"/>
      <w:lvlJc w:val="left"/>
      <w:pPr>
        <w:tabs>
          <w:tab w:val="num" w:pos="3240"/>
        </w:tabs>
        <w:ind w:left="3240" w:hanging="360"/>
      </w:pPr>
      <w:rPr>
        <w:rFonts w:ascii="Arial" w:hAnsi="Arial" w:hint="default"/>
      </w:rPr>
    </w:lvl>
    <w:lvl w:ilvl="5" w:tplc="1660DB8E" w:tentative="1">
      <w:start w:val="1"/>
      <w:numFmt w:val="bullet"/>
      <w:lvlText w:val="–"/>
      <w:lvlJc w:val="left"/>
      <w:pPr>
        <w:tabs>
          <w:tab w:val="num" w:pos="3960"/>
        </w:tabs>
        <w:ind w:left="3960" w:hanging="360"/>
      </w:pPr>
      <w:rPr>
        <w:rFonts w:ascii="Arial" w:hAnsi="Arial" w:hint="default"/>
      </w:rPr>
    </w:lvl>
    <w:lvl w:ilvl="6" w:tplc="96DABCB8" w:tentative="1">
      <w:start w:val="1"/>
      <w:numFmt w:val="bullet"/>
      <w:lvlText w:val="–"/>
      <w:lvlJc w:val="left"/>
      <w:pPr>
        <w:tabs>
          <w:tab w:val="num" w:pos="4680"/>
        </w:tabs>
        <w:ind w:left="4680" w:hanging="360"/>
      </w:pPr>
      <w:rPr>
        <w:rFonts w:ascii="Arial" w:hAnsi="Arial" w:hint="default"/>
      </w:rPr>
    </w:lvl>
    <w:lvl w:ilvl="7" w:tplc="811696F4" w:tentative="1">
      <w:start w:val="1"/>
      <w:numFmt w:val="bullet"/>
      <w:lvlText w:val="–"/>
      <w:lvlJc w:val="left"/>
      <w:pPr>
        <w:tabs>
          <w:tab w:val="num" w:pos="5400"/>
        </w:tabs>
        <w:ind w:left="5400" w:hanging="360"/>
      </w:pPr>
      <w:rPr>
        <w:rFonts w:ascii="Arial" w:hAnsi="Arial" w:hint="default"/>
      </w:rPr>
    </w:lvl>
    <w:lvl w:ilvl="8" w:tplc="7E96D244" w:tentative="1">
      <w:start w:val="1"/>
      <w:numFmt w:val="bullet"/>
      <w:lvlText w:val="–"/>
      <w:lvlJc w:val="left"/>
      <w:pPr>
        <w:tabs>
          <w:tab w:val="num" w:pos="6120"/>
        </w:tabs>
        <w:ind w:left="6120" w:hanging="360"/>
      </w:pPr>
      <w:rPr>
        <w:rFonts w:ascii="Arial" w:hAnsi="Arial" w:hint="default"/>
      </w:rPr>
    </w:lvl>
  </w:abstractNum>
  <w:abstractNum w:abstractNumId="5">
    <w:nsid w:val="223B69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35A4E1A"/>
    <w:multiLevelType w:val="hybridMultilevel"/>
    <w:tmpl w:val="20EC819A"/>
    <w:lvl w:ilvl="0" w:tplc="5C48AE12">
      <w:start w:val="1"/>
      <w:numFmt w:val="bullet"/>
      <w:lvlText w:val="–"/>
      <w:lvlJc w:val="left"/>
      <w:pPr>
        <w:tabs>
          <w:tab w:val="num" w:pos="720"/>
        </w:tabs>
        <w:ind w:left="720" w:hanging="360"/>
      </w:pPr>
      <w:rPr>
        <w:rFonts w:ascii="Arial" w:hAnsi="Arial" w:hint="default"/>
      </w:rPr>
    </w:lvl>
    <w:lvl w:ilvl="1" w:tplc="5DF29B8E">
      <w:start w:val="1"/>
      <w:numFmt w:val="bullet"/>
      <w:lvlText w:val="–"/>
      <w:lvlJc w:val="left"/>
      <w:pPr>
        <w:tabs>
          <w:tab w:val="num" w:pos="1440"/>
        </w:tabs>
        <w:ind w:left="1440" w:hanging="360"/>
      </w:pPr>
      <w:rPr>
        <w:rFonts w:ascii="Arial" w:hAnsi="Arial" w:hint="default"/>
      </w:rPr>
    </w:lvl>
    <w:lvl w:ilvl="2" w:tplc="2D0C6DE4" w:tentative="1">
      <w:start w:val="1"/>
      <w:numFmt w:val="bullet"/>
      <w:lvlText w:val="–"/>
      <w:lvlJc w:val="left"/>
      <w:pPr>
        <w:tabs>
          <w:tab w:val="num" w:pos="2160"/>
        </w:tabs>
        <w:ind w:left="2160" w:hanging="360"/>
      </w:pPr>
      <w:rPr>
        <w:rFonts w:ascii="Arial" w:hAnsi="Arial" w:hint="default"/>
      </w:rPr>
    </w:lvl>
    <w:lvl w:ilvl="3" w:tplc="3EBE6A34" w:tentative="1">
      <w:start w:val="1"/>
      <w:numFmt w:val="bullet"/>
      <w:lvlText w:val="–"/>
      <w:lvlJc w:val="left"/>
      <w:pPr>
        <w:tabs>
          <w:tab w:val="num" w:pos="2880"/>
        </w:tabs>
        <w:ind w:left="2880" w:hanging="360"/>
      </w:pPr>
      <w:rPr>
        <w:rFonts w:ascii="Arial" w:hAnsi="Arial" w:hint="default"/>
      </w:rPr>
    </w:lvl>
    <w:lvl w:ilvl="4" w:tplc="BAC46FE0" w:tentative="1">
      <w:start w:val="1"/>
      <w:numFmt w:val="bullet"/>
      <w:lvlText w:val="–"/>
      <w:lvlJc w:val="left"/>
      <w:pPr>
        <w:tabs>
          <w:tab w:val="num" w:pos="3600"/>
        </w:tabs>
        <w:ind w:left="3600" w:hanging="360"/>
      </w:pPr>
      <w:rPr>
        <w:rFonts w:ascii="Arial" w:hAnsi="Arial" w:hint="default"/>
      </w:rPr>
    </w:lvl>
    <w:lvl w:ilvl="5" w:tplc="52141992" w:tentative="1">
      <w:start w:val="1"/>
      <w:numFmt w:val="bullet"/>
      <w:lvlText w:val="–"/>
      <w:lvlJc w:val="left"/>
      <w:pPr>
        <w:tabs>
          <w:tab w:val="num" w:pos="4320"/>
        </w:tabs>
        <w:ind w:left="4320" w:hanging="360"/>
      </w:pPr>
      <w:rPr>
        <w:rFonts w:ascii="Arial" w:hAnsi="Arial" w:hint="default"/>
      </w:rPr>
    </w:lvl>
    <w:lvl w:ilvl="6" w:tplc="51B4FEA4" w:tentative="1">
      <w:start w:val="1"/>
      <w:numFmt w:val="bullet"/>
      <w:lvlText w:val="–"/>
      <w:lvlJc w:val="left"/>
      <w:pPr>
        <w:tabs>
          <w:tab w:val="num" w:pos="5040"/>
        </w:tabs>
        <w:ind w:left="5040" w:hanging="360"/>
      </w:pPr>
      <w:rPr>
        <w:rFonts w:ascii="Arial" w:hAnsi="Arial" w:hint="default"/>
      </w:rPr>
    </w:lvl>
    <w:lvl w:ilvl="7" w:tplc="A4D8681A" w:tentative="1">
      <w:start w:val="1"/>
      <w:numFmt w:val="bullet"/>
      <w:lvlText w:val="–"/>
      <w:lvlJc w:val="left"/>
      <w:pPr>
        <w:tabs>
          <w:tab w:val="num" w:pos="5760"/>
        </w:tabs>
        <w:ind w:left="5760" w:hanging="360"/>
      </w:pPr>
      <w:rPr>
        <w:rFonts w:ascii="Arial" w:hAnsi="Arial" w:hint="default"/>
      </w:rPr>
    </w:lvl>
    <w:lvl w:ilvl="8" w:tplc="13E23354" w:tentative="1">
      <w:start w:val="1"/>
      <w:numFmt w:val="bullet"/>
      <w:lvlText w:val="–"/>
      <w:lvlJc w:val="left"/>
      <w:pPr>
        <w:tabs>
          <w:tab w:val="num" w:pos="6480"/>
        </w:tabs>
        <w:ind w:left="6480" w:hanging="360"/>
      </w:pPr>
      <w:rPr>
        <w:rFonts w:ascii="Arial" w:hAnsi="Arial" w:hint="default"/>
      </w:rPr>
    </w:lvl>
  </w:abstractNum>
  <w:abstractNum w:abstractNumId="7">
    <w:nsid w:val="37E91BBE"/>
    <w:multiLevelType w:val="hybridMultilevel"/>
    <w:tmpl w:val="06C04FAC"/>
    <w:lvl w:ilvl="0" w:tplc="F6FE1EFC">
      <w:numFmt w:val="bullet"/>
      <w:lvlText w:val="-"/>
      <w:lvlJc w:val="left"/>
      <w:pPr>
        <w:tabs>
          <w:tab w:val="num" w:pos="1112"/>
        </w:tabs>
        <w:ind w:left="1112"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3E4B7DAA"/>
    <w:multiLevelType w:val="hybridMultilevel"/>
    <w:tmpl w:val="B1BC2630"/>
    <w:lvl w:ilvl="0" w:tplc="F6B666B2">
      <w:start w:val="1"/>
      <w:numFmt w:val="decimal"/>
      <w:lvlText w:val="%1)"/>
      <w:lvlJc w:val="left"/>
      <w:pPr>
        <w:tabs>
          <w:tab w:val="num" w:pos="1440"/>
        </w:tabs>
        <w:ind w:left="1440" w:hanging="360"/>
      </w:pPr>
      <w:rPr>
        <w:rFonts w:cs="Times New Roman" w:hint="default"/>
      </w:rPr>
    </w:lvl>
    <w:lvl w:ilvl="1" w:tplc="4B64BA82" w:tentative="1">
      <w:start w:val="1"/>
      <w:numFmt w:val="lowerLetter"/>
      <w:lvlText w:val="%2."/>
      <w:lvlJc w:val="left"/>
      <w:pPr>
        <w:tabs>
          <w:tab w:val="num" w:pos="2160"/>
        </w:tabs>
        <w:ind w:left="2160" w:hanging="360"/>
      </w:pPr>
      <w:rPr>
        <w:rFonts w:cs="Times New Roman"/>
      </w:rPr>
    </w:lvl>
    <w:lvl w:ilvl="2" w:tplc="B082E05A" w:tentative="1">
      <w:start w:val="1"/>
      <w:numFmt w:val="lowerRoman"/>
      <w:lvlText w:val="%3."/>
      <w:lvlJc w:val="right"/>
      <w:pPr>
        <w:tabs>
          <w:tab w:val="num" w:pos="2880"/>
        </w:tabs>
        <w:ind w:left="2880" w:hanging="180"/>
      </w:pPr>
      <w:rPr>
        <w:rFonts w:cs="Times New Roman"/>
      </w:rPr>
    </w:lvl>
    <w:lvl w:ilvl="3" w:tplc="6BD2F754" w:tentative="1">
      <w:start w:val="1"/>
      <w:numFmt w:val="decimal"/>
      <w:lvlText w:val="%4."/>
      <w:lvlJc w:val="left"/>
      <w:pPr>
        <w:tabs>
          <w:tab w:val="num" w:pos="3600"/>
        </w:tabs>
        <w:ind w:left="3600" w:hanging="360"/>
      </w:pPr>
      <w:rPr>
        <w:rFonts w:cs="Times New Roman"/>
      </w:rPr>
    </w:lvl>
    <w:lvl w:ilvl="4" w:tplc="D55A7CB6" w:tentative="1">
      <w:start w:val="1"/>
      <w:numFmt w:val="lowerLetter"/>
      <w:lvlText w:val="%5."/>
      <w:lvlJc w:val="left"/>
      <w:pPr>
        <w:tabs>
          <w:tab w:val="num" w:pos="4320"/>
        </w:tabs>
        <w:ind w:left="4320" w:hanging="360"/>
      </w:pPr>
      <w:rPr>
        <w:rFonts w:cs="Times New Roman"/>
      </w:rPr>
    </w:lvl>
    <w:lvl w:ilvl="5" w:tplc="E62E242C" w:tentative="1">
      <w:start w:val="1"/>
      <w:numFmt w:val="lowerRoman"/>
      <w:lvlText w:val="%6."/>
      <w:lvlJc w:val="right"/>
      <w:pPr>
        <w:tabs>
          <w:tab w:val="num" w:pos="5040"/>
        </w:tabs>
        <w:ind w:left="5040" w:hanging="180"/>
      </w:pPr>
      <w:rPr>
        <w:rFonts w:cs="Times New Roman"/>
      </w:rPr>
    </w:lvl>
    <w:lvl w:ilvl="6" w:tplc="0216700C" w:tentative="1">
      <w:start w:val="1"/>
      <w:numFmt w:val="decimal"/>
      <w:lvlText w:val="%7."/>
      <w:lvlJc w:val="left"/>
      <w:pPr>
        <w:tabs>
          <w:tab w:val="num" w:pos="5760"/>
        </w:tabs>
        <w:ind w:left="5760" w:hanging="360"/>
      </w:pPr>
      <w:rPr>
        <w:rFonts w:cs="Times New Roman"/>
      </w:rPr>
    </w:lvl>
    <w:lvl w:ilvl="7" w:tplc="DA242B42" w:tentative="1">
      <w:start w:val="1"/>
      <w:numFmt w:val="lowerLetter"/>
      <w:lvlText w:val="%8."/>
      <w:lvlJc w:val="left"/>
      <w:pPr>
        <w:tabs>
          <w:tab w:val="num" w:pos="6480"/>
        </w:tabs>
        <w:ind w:left="6480" w:hanging="360"/>
      </w:pPr>
      <w:rPr>
        <w:rFonts w:cs="Times New Roman"/>
      </w:rPr>
    </w:lvl>
    <w:lvl w:ilvl="8" w:tplc="EFA04C24" w:tentative="1">
      <w:start w:val="1"/>
      <w:numFmt w:val="lowerRoman"/>
      <w:lvlText w:val="%9."/>
      <w:lvlJc w:val="right"/>
      <w:pPr>
        <w:tabs>
          <w:tab w:val="num" w:pos="7200"/>
        </w:tabs>
        <w:ind w:left="7200" w:hanging="180"/>
      </w:pPr>
      <w:rPr>
        <w:rFonts w:cs="Times New Roman"/>
      </w:rPr>
    </w:lvl>
  </w:abstractNum>
  <w:abstractNum w:abstractNumId="9">
    <w:nsid w:val="47553D98"/>
    <w:multiLevelType w:val="hybridMultilevel"/>
    <w:tmpl w:val="D662E700"/>
    <w:lvl w:ilvl="0" w:tplc="8884C6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1651B5"/>
    <w:multiLevelType w:val="hybridMultilevel"/>
    <w:tmpl w:val="8A6E1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56B51D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590321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AE602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686D679C"/>
    <w:multiLevelType w:val="hybridMultilevel"/>
    <w:tmpl w:val="BBC408F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nsid w:val="74D14FD5"/>
    <w:multiLevelType w:val="hybridMultilevel"/>
    <w:tmpl w:val="06C04FAC"/>
    <w:lvl w:ilvl="0" w:tplc="6A00F7F2">
      <w:start w:val="16"/>
      <w:numFmt w:val="bullet"/>
      <w:lvlText w:val=""/>
      <w:lvlJc w:val="left"/>
      <w:pPr>
        <w:tabs>
          <w:tab w:val="num" w:pos="1472"/>
        </w:tabs>
        <w:ind w:left="1472" w:hanging="720"/>
      </w:pPr>
      <w:rPr>
        <w:rFonts w:ascii="Symbol" w:eastAsia="Times New Roman"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7D3F3817"/>
    <w:multiLevelType w:val="hybridMultilevel"/>
    <w:tmpl w:val="29EA66A4"/>
    <w:lvl w:ilvl="0" w:tplc="119CFF6E">
      <w:start w:val="1"/>
      <w:numFmt w:val="bullet"/>
      <w:lvlText w:val="–"/>
      <w:lvlJc w:val="left"/>
      <w:pPr>
        <w:tabs>
          <w:tab w:val="num" w:pos="720"/>
        </w:tabs>
        <w:ind w:left="720" w:hanging="360"/>
      </w:pPr>
      <w:rPr>
        <w:rFonts w:ascii="Arial" w:hAnsi="Arial" w:hint="default"/>
      </w:rPr>
    </w:lvl>
    <w:lvl w:ilvl="1" w:tplc="DC80AFCA">
      <w:start w:val="1"/>
      <w:numFmt w:val="bullet"/>
      <w:lvlText w:val="–"/>
      <w:lvlJc w:val="left"/>
      <w:pPr>
        <w:tabs>
          <w:tab w:val="num" w:pos="1440"/>
        </w:tabs>
        <w:ind w:left="1440" w:hanging="360"/>
      </w:pPr>
      <w:rPr>
        <w:rFonts w:ascii="Arial" w:hAnsi="Arial" w:hint="default"/>
      </w:rPr>
    </w:lvl>
    <w:lvl w:ilvl="2" w:tplc="642C7AF6" w:tentative="1">
      <w:start w:val="1"/>
      <w:numFmt w:val="bullet"/>
      <w:lvlText w:val="–"/>
      <w:lvlJc w:val="left"/>
      <w:pPr>
        <w:tabs>
          <w:tab w:val="num" w:pos="2160"/>
        </w:tabs>
        <w:ind w:left="2160" w:hanging="360"/>
      </w:pPr>
      <w:rPr>
        <w:rFonts w:ascii="Arial" w:hAnsi="Arial" w:hint="default"/>
      </w:rPr>
    </w:lvl>
    <w:lvl w:ilvl="3" w:tplc="D0A02BFA" w:tentative="1">
      <w:start w:val="1"/>
      <w:numFmt w:val="bullet"/>
      <w:lvlText w:val="–"/>
      <w:lvlJc w:val="left"/>
      <w:pPr>
        <w:tabs>
          <w:tab w:val="num" w:pos="2880"/>
        </w:tabs>
        <w:ind w:left="2880" w:hanging="360"/>
      </w:pPr>
      <w:rPr>
        <w:rFonts w:ascii="Arial" w:hAnsi="Arial" w:hint="default"/>
      </w:rPr>
    </w:lvl>
    <w:lvl w:ilvl="4" w:tplc="80A26668" w:tentative="1">
      <w:start w:val="1"/>
      <w:numFmt w:val="bullet"/>
      <w:lvlText w:val="–"/>
      <w:lvlJc w:val="left"/>
      <w:pPr>
        <w:tabs>
          <w:tab w:val="num" w:pos="3600"/>
        </w:tabs>
        <w:ind w:left="3600" w:hanging="360"/>
      </w:pPr>
      <w:rPr>
        <w:rFonts w:ascii="Arial" w:hAnsi="Arial" w:hint="default"/>
      </w:rPr>
    </w:lvl>
    <w:lvl w:ilvl="5" w:tplc="22C69170" w:tentative="1">
      <w:start w:val="1"/>
      <w:numFmt w:val="bullet"/>
      <w:lvlText w:val="–"/>
      <w:lvlJc w:val="left"/>
      <w:pPr>
        <w:tabs>
          <w:tab w:val="num" w:pos="4320"/>
        </w:tabs>
        <w:ind w:left="4320" w:hanging="360"/>
      </w:pPr>
      <w:rPr>
        <w:rFonts w:ascii="Arial" w:hAnsi="Arial" w:hint="default"/>
      </w:rPr>
    </w:lvl>
    <w:lvl w:ilvl="6" w:tplc="F13A01B6" w:tentative="1">
      <w:start w:val="1"/>
      <w:numFmt w:val="bullet"/>
      <w:lvlText w:val="–"/>
      <w:lvlJc w:val="left"/>
      <w:pPr>
        <w:tabs>
          <w:tab w:val="num" w:pos="5040"/>
        </w:tabs>
        <w:ind w:left="5040" w:hanging="360"/>
      </w:pPr>
      <w:rPr>
        <w:rFonts w:ascii="Arial" w:hAnsi="Arial" w:hint="default"/>
      </w:rPr>
    </w:lvl>
    <w:lvl w:ilvl="7" w:tplc="EEE2F522" w:tentative="1">
      <w:start w:val="1"/>
      <w:numFmt w:val="bullet"/>
      <w:lvlText w:val="–"/>
      <w:lvlJc w:val="left"/>
      <w:pPr>
        <w:tabs>
          <w:tab w:val="num" w:pos="5760"/>
        </w:tabs>
        <w:ind w:left="5760" w:hanging="360"/>
      </w:pPr>
      <w:rPr>
        <w:rFonts w:ascii="Arial" w:hAnsi="Arial" w:hint="default"/>
      </w:rPr>
    </w:lvl>
    <w:lvl w:ilvl="8" w:tplc="9DE25C2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5"/>
  </w:num>
  <w:num w:numId="4">
    <w:abstractNumId w:val="2"/>
  </w:num>
  <w:num w:numId="5">
    <w:abstractNumId w:val="11"/>
  </w:num>
  <w:num w:numId="6">
    <w:abstractNumId w:val="13"/>
  </w:num>
  <w:num w:numId="7">
    <w:abstractNumId w:val="1"/>
  </w:num>
  <w:num w:numId="8">
    <w:abstractNumId w:val="12"/>
  </w:num>
  <w:num w:numId="9">
    <w:abstractNumId w:val="3"/>
  </w:num>
  <w:num w:numId="10">
    <w:abstractNumId w:val="7"/>
  </w:num>
  <w:num w:numId="11">
    <w:abstractNumId w:val="15"/>
  </w:num>
  <w:num w:numId="12">
    <w:abstractNumId w:val="10"/>
  </w:num>
  <w:num w:numId="13">
    <w:abstractNumId w:val="14"/>
  </w:num>
  <w:num w:numId="14">
    <w:abstractNumId w:val="4"/>
  </w:num>
  <w:num w:numId="15">
    <w:abstractNumId w:val="6"/>
  </w:num>
  <w:num w:numId="16">
    <w:abstractNumId w:val="1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numFmt w:val="decimal"/>
    <w:endnote w:id="-1"/>
    <w:endnote w:id="0"/>
  </w:endnotePr>
  <w:compat/>
  <w:rsids>
    <w:rsidRoot w:val="000A1EFA"/>
    <w:rsid w:val="00001B0A"/>
    <w:rsid w:val="00007462"/>
    <w:rsid w:val="00013433"/>
    <w:rsid w:val="00031B2C"/>
    <w:rsid w:val="00051633"/>
    <w:rsid w:val="00067099"/>
    <w:rsid w:val="000857DA"/>
    <w:rsid w:val="00086888"/>
    <w:rsid w:val="000A1EFA"/>
    <w:rsid w:val="000B0E20"/>
    <w:rsid w:val="000D63C8"/>
    <w:rsid w:val="00117759"/>
    <w:rsid w:val="00123126"/>
    <w:rsid w:val="00140A3D"/>
    <w:rsid w:val="00155FB0"/>
    <w:rsid w:val="00173DB9"/>
    <w:rsid w:val="00182B67"/>
    <w:rsid w:val="0019142D"/>
    <w:rsid w:val="00193BD7"/>
    <w:rsid w:val="001A739E"/>
    <w:rsid w:val="001B50AA"/>
    <w:rsid w:val="001C61D0"/>
    <w:rsid w:val="001D6861"/>
    <w:rsid w:val="002269E9"/>
    <w:rsid w:val="00237C86"/>
    <w:rsid w:val="002A636C"/>
    <w:rsid w:val="002B2250"/>
    <w:rsid w:val="002F133C"/>
    <w:rsid w:val="003202C7"/>
    <w:rsid w:val="00341685"/>
    <w:rsid w:val="00353C62"/>
    <w:rsid w:val="00364A74"/>
    <w:rsid w:val="003D5557"/>
    <w:rsid w:val="00404694"/>
    <w:rsid w:val="004150FF"/>
    <w:rsid w:val="00416D39"/>
    <w:rsid w:val="0042348F"/>
    <w:rsid w:val="004254F8"/>
    <w:rsid w:val="00443507"/>
    <w:rsid w:val="004463A1"/>
    <w:rsid w:val="004851DA"/>
    <w:rsid w:val="004B18BB"/>
    <w:rsid w:val="004B7D5C"/>
    <w:rsid w:val="004E20DE"/>
    <w:rsid w:val="004E5C25"/>
    <w:rsid w:val="004E6607"/>
    <w:rsid w:val="004F09A1"/>
    <w:rsid w:val="004F72B4"/>
    <w:rsid w:val="00501F72"/>
    <w:rsid w:val="00504148"/>
    <w:rsid w:val="00504B83"/>
    <w:rsid w:val="005276B8"/>
    <w:rsid w:val="00532812"/>
    <w:rsid w:val="00546B51"/>
    <w:rsid w:val="00547D8B"/>
    <w:rsid w:val="00556776"/>
    <w:rsid w:val="005613E4"/>
    <w:rsid w:val="00582CAB"/>
    <w:rsid w:val="00587DAF"/>
    <w:rsid w:val="00593C55"/>
    <w:rsid w:val="005F16C5"/>
    <w:rsid w:val="005F5AFC"/>
    <w:rsid w:val="00605FBF"/>
    <w:rsid w:val="00665C42"/>
    <w:rsid w:val="0067147D"/>
    <w:rsid w:val="00675C91"/>
    <w:rsid w:val="0068458B"/>
    <w:rsid w:val="006C455D"/>
    <w:rsid w:val="006C6E74"/>
    <w:rsid w:val="006D3E19"/>
    <w:rsid w:val="007147AC"/>
    <w:rsid w:val="00723DA7"/>
    <w:rsid w:val="007416FF"/>
    <w:rsid w:val="00743CA6"/>
    <w:rsid w:val="007444C0"/>
    <w:rsid w:val="00763B09"/>
    <w:rsid w:val="00763C08"/>
    <w:rsid w:val="0077277E"/>
    <w:rsid w:val="007732E0"/>
    <w:rsid w:val="00783428"/>
    <w:rsid w:val="007A641F"/>
    <w:rsid w:val="007B5D31"/>
    <w:rsid w:val="007C1BDF"/>
    <w:rsid w:val="007D2202"/>
    <w:rsid w:val="007D6715"/>
    <w:rsid w:val="007F0A9C"/>
    <w:rsid w:val="007F30D9"/>
    <w:rsid w:val="008B0298"/>
    <w:rsid w:val="008C48FC"/>
    <w:rsid w:val="008C5778"/>
    <w:rsid w:val="008D2920"/>
    <w:rsid w:val="00912C44"/>
    <w:rsid w:val="00912EC4"/>
    <w:rsid w:val="0092463A"/>
    <w:rsid w:val="009262B0"/>
    <w:rsid w:val="009500E5"/>
    <w:rsid w:val="00957DBC"/>
    <w:rsid w:val="0097040B"/>
    <w:rsid w:val="00981D8A"/>
    <w:rsid w:val="00994A96"/>
    <w:rsid w:val="009A2936"/>
    <w:rsid w:val="009A5139"/>
    <w:rsid w:val="009B07F5"/>
    <w:rsid w:val="009C0CB2"/>
    <w:rsid w:val="009C4847"/>
    <w:rsid w:val="009C7F9E"/>
    <w:rsid w:val="009D564A"/>
    <w:rsid w:val="009F1935"/>
    <w:rsid w:val="009F19F0"/>
    <w:rsid w:val="00A2565F"/>
    <w:rsid w:val="00A31C4A"/>
    <w:rsid w:val="00A46101"/>
    <w:rsid w:val="00A62C57"/>
    <w:rsid w:val="00A738B4"/>
    <w:rsid w:val="00AB31F9"/>
    <w:rsid w:val="00AE4CA6"/>
    <w:rsid w:val="00AF2D30"/>
    <w:rsid w:val="00AF76FE"/>
    <w:rsid w:val="00B31926"/>
    <w:rsid w:val="00B34799"/>
    <w:rsid w:val="00B419D2"/>
    <w:rsid w:val="00B471DE"/>
    <w:rsid w:val="00B53016"/>
    <w:rsid w:val="00B56B04"/>
    <w:rsid w:val="00B73007"/>
    <w:rsid w:val="00B9684E"/>
    <w:rsid w:val="00B96B74"/>
    <w:rsid w:val="00B96C10"/>
    <w:rsid w:val="00BB13B3"/>
    <w:rsid w:val="00BD1DD8"/>
    <w:rsid w:val="00C025AC"/>
    <w:rsid w:val="00C205AC"/>
    <w:rsid w:val="00C574CE"/>
    <w:rsid w:val="00C71433"/>
    <w:rsid w:val="00C94E57"/>
    <w:rsid w:val="00CA27D4"/>
    <w:rsid w:val="00CB6F47"/>
    <w:rsid w:val="00CD7917"/>
    <w:rsid w:val="00D12E00"/>
    <w:rsid w:val="00D26093"/>
    <w:rsid w:val="00D60B92"/>
    <w:rsid w:val="00DA408D"/>
    <w:rsid w:val="00DC6C0E"/>
    <w:rsid w:val="00DE5298"/>
    <w:rsid w:val="00E24D4F"/>
    <w:rsid w:val="00E323AB"/>
    <w:rsid w:val="00E342C5"/>
    <w:rsid w:val="00E42728"/>
    <w:rsid w:val="00E6740C"/>
    <w:rsid w:val="00E70D42"/>
    <w:rsid w:val="00EE2FFF"/>
    <w:rsid w:val="00EF37B1"/>
    <w:rsid w:val="00F00745"/>
    <w:rsid w:val="00F20C41"/>
    <w:rsid w:val="00F46EBB"/>
    <w:rsid w:val="00F70D76"/>
    <w:rsid w:val="00F90E17"/>
    <w:rsid w:val="00FB3E4E"/>
    <w:rsid w:val="00FB62BB"/>
    <w:rsid w:val="00FE1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B04"/>
    <w:pPr>
      <w:widowControl w:val="0"/>
    </w:pPr>
    <w:rPr>
      <w:sz w:val="24"/>
    </w:rPr>
  </w:style>
  <w:style w:type="paragraph" w:styleId="Heading3">
    <w:name w:val="heading 3"/>
    <w:basedOn w:val="Normal"/>
    <w:next w:val="Normal"/>
    <w:link w:val="Heading3Char"/>
    <w:uiPriority w:val="99"/>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uiPriority w:val="99"/>
    <w:qFormat/>
    <w:rsid w:val="00B56B04"/>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D60B9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60B92"/>
    <w:rPr>
      <w:rFonts w:ascii="Calibri" w:hAnsi="Calibri" w:cs="Times New Roman"/>
      <w:b/>
      <w:bCs/>
      <w:sz w:val="28"/>
      <w:szCs w:val="28"/>
    </w:rPr>
  </w:style>
  <w:style w:type="paragraph" w:styleId="BodyText">
    <w:name w:val="Body Text"/>
    <w:basedOn w:val="Normal"/>
    <w:link w:val="BodyTextChar"/>
    <w:uiPriority w:val="99"/>
    <w:semiHidden/>
    <w:rsid w:val="00B56B04"/>
    <w:pPr>
      <w:widowControl/>
    </w:pPr>
    <w:rPr>
      <w:rFonts w:ascii="Univers" w:hAnsi="Univers"/>
      <w:sz w:val="22"/>
    </w:rPr>
  </w:style>
  <w:style w:type="character" w:customStyle="1" w:styleId="BodyTextChar">
    <w:name w:val="Body Text Char"/>
    <w:basedOn w:val="DefaultParagraphFont"/>
    <w:link w:val="BodyText"/>
    <w:uiPriority w:val="99"/>
    <w:semiHidden/>
    <w:locked/>
    <w:rsid w:val="00D60B92"/>
    <w:rPr>
      <w:rFonts w:cs="Times New Roman"/>
      <w:sz w:val="20"/>
      <w:szCs w:val="20"/>
    </w:rPr>
  </w:style>
  <w:style w:type="paragraph" w:styleId="BodyText2">
    <w:name w:val="Body Text 2"/>
    <w:basedOn w:val="Normal"/>
    <w:link w:val="BodyText2Char"/>
    <w:uiPriority w:val="99"/>
    <w:semiHidden/>
    <w:rsid w:val="00B56B04"/>
    <w:pPr>
      <w:widowControl/>
    </w:pPr>
    <w:rPr>
      <w:rFonts w:ascii="Arial" w:hAnsi="Arial"/>
      <w:sz w:val="20"/>
    </w:rPr>
  </w:style>
  <w:style w:type="character" w:customStyle="1" w:styleId="BodyText2Char">
    <w:name w:val="Body Text 2 Char"/>
    <w:basedOn w:val="DefaultParagraphFont"/>
    <w:link w:val="BodyText2"/>
    <w:uiPriority w:val="99"/>
    <w:semiHidden/>
    <w:locked/>
    <w:rsid w:val="00D60B92"/>
    <w:rPr>
      <w:rFonts w:cs="Times New Roman"/>
      <w:sz w:val="20"/>
      <w:szCs w:val="20"/>
    </w:rPr>
  </w:style>
  <w:style w:type="paragraph" w:styleId="BodyText3">
    <w:name w:val="Body Text 3"/>
    <w:basedOn w:val="Normal"/>
    <w:link w:val="BodyText3Char"/>
    <w:uiPriority w:val="99"/>
    <w:semiHidden/>
    <w:rsid w:val="00B56B04"/>
    <w:pPr>
      <w:jc w:val="both"/>
    </w:pPr>
    <w:rPr>
      <w:szCs w:val="24"/>
    </w:rPr>
  </w:style>
  <w:style w:type="character" w:customStyle="1" w:styleId="BodyText3Char">
    <w:name w:val="Body Text 3 Char"/>
    <w:basedOn w:val="DefaultParagraphFont"/>
    <w:link w:val="BodyText3"/>
    <w:uiPriority w:val="99"/>
    <w:semiHidden/>
    <w:locked/>
    <w:rsid w:val="00D60B92"/>
    <w:rPr>
      <w:rFonts w:cs="Times New Roman"/>
      <w:sz w:val="16"/>
      <w:szCs w:val="16"/>
    </w:rPr>
  </w:style>
  <w:style w:type="paragraph" w:styleId="Header">
    <w:name w:val="header"/>
    <w:basedOn w:val="Normal"/>
    <w:link w:val="HeaderChar"/>
    <w:uiPriority w:val="99"/>
    <w:semiHidden/>
    <w:rsid w:val="00B56B04"/>
    <w:pPr>
      <w:tabs>
        <w:tab w:val="center" w:pos="4320"/>
        <w:tab w:val="right" w:pos="8640"/>
      </w:tabs>
    </w:pPr>
  </w:style>
  <w:style w:type="character" w:customStyle="1" w:styleId="HeaderChar">
    <w:name w:val="Header Char"/>
    <w:basedOn w:val="DefaultParagraphFont"/>
    <w:link w:val="Header"/>
    <w:uiPriority w:val="99"/>
    <w:semiHidden/>
    <w:locked/>
    <w:rsid w:val="00D60B92"/>
    <w:rPr>
      <w:rFonts w:cs="Times New Roman"/>
      <w:sz w:val="20"/>
      <w:szCs w:val="20"/>
    </w:rPr>
  </w:style>
  <w:style w:type="paragraph" w:styleId="Footer">
    <w:name w:val="footer"/>
    <w:basedOn w:val="Normal"/>
    <w:link w:val="FooterChar"/>
    <w:uiPriority w:val="99"/>
    <w:semiHidden/>
    <w:rsid w:val="00B56B04"/>
    <w:pPr>
      <w:tabs>
        <w:tab w:val="center" w:pos="4320"/>
        <w:tab w:val="right" w:pos="8640"/>
      </w:tabs>
    </w:pPr>
  </w:style>
  <w:style w:type="character" w:customStyle="1" w:styleId="FooterChar">
    <w:name w:val="Footer Char"/>
    <w:basedOn w:val="DefaultParagraphFont"/>
    <w:link w:val="Footer"/>
    <w:uiPriority w:val="99"/>
    <w:semiHidden/>
    <w:locked/>
    <w:rsid w:val="00D60B92"/>
    <w:rPr>
      <w:rFonts w:cs="Times New Roman"/>
      <w:sz w:val="20"/>
      <w:szCs w:val="20"/>
    </w:rPr>
  </w:style>
  <w:style w:type="paragraph" w:styleId="BalloonText">
    <w:name w:val="Balloon Text"/>
    <w:basedOn w:val="Normal"/>
    <w:link w:val="BalloonTextChar"/>
    <w:uiPriority w:val="99"/>
    <w:semiHidden/>
    <w:rsid w:val="00DE52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5298"/>
    <w:rPr>
      <w:rFonts w:ascii="Tahoma" w:hAnsi="Tahoma" w:cs="Tahoma"/>
      <w:sz w:val="16"/>
      <w:szCs w:val="16"/>
    </w:rPr>
  </w:style>
  <w:style w:type="table" w:styleId="TableGrid">
    <w:name w:val="Table Grid"/>
    <w:basedOn w:val="TableNormal"/>
    <w:uiPriority w:val="99"/>
    <w:rsid w:val="004463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463A1"/>
    <w:rPr>
      <w:rFonts w:cs="Times New Roman"/>
      <w:sz w:val="16"/>
      <w:szCs w:val="16"/>
    </w:rPr>
  </w:style>
  <w:style w:type="paragraph" w:styleId="CommentText">
    <w:name w:val="annotation text"/>
    <w:basedOn w:val="Normal"/>
    <w:link w:val="CommentTextChar"/>
    <w:uiPriority w:val="99"/>
    <w:semiHidden/>
    <w:rsid w:val="004463A1"/>
    <w:rPr>
      <w:sz w:val="20"/>
    </w:rPr>
  </w:style>
  <w:style w:type="character" w:customStyle="1" w:styleId="CommentTextChar">
    <w:name w:val="Comment Text Char"/>
    <w:basedOn w:val="DefaultParagraphFont"/>
    <w:link w:val="CommentText"/>
    <w:uiPriority w:val="99"/>
    <w:semiHidden/>
    <w:locked/>
    <w:rsid w:val="004463A1"/>
    <w:rPr>
      <w:rFonts w:cs="Times New Roman"/>
    </w:rPr>
  </w:style>
  <w:style w:type="paragraph" w:styleId="CommentSubject">
    <w:name w:val="annotation subject"/>
    <w:basedOn w:val="CommentText"/>
    <w:next w:val="CommentText"/>
    <w:link w:val="CommentSubjectChar"/>
    <w:uiPriority w:val="99"/>
    <w:semiHidden/>
    <w:rsid w:val="004463A1"/>
    <w:rPr>
      <w:b/>
      <w:bCs/>
    </w:rPr>
  </w:style>
  <w:style w:type="character" w:customStyle="1" w:styleId="CommentSubjectChar">
    <w:name w:val="Comment Subject Char"/>
    <w:basedOn w:val="CommentTextChar"/>
    <w:link w:val="CommentSubject"/>
    <w:uiPriority w:val="99"/>
    <w:semiHidden/>
    <w:locked/>
    <w:rsid w:val="004463A1"/>
    <w:rPr>
      <w:b/>
      <w:bCs/>
    </w:rPr>
  </w:style>
  <w:style w:type="character" w:styleId="Hyperlink">
    <w:name w:val="Hyperlink"/>
    <w:basedOn w:val="DefaultParagraphFont"/>
    <w:uiPriority w:val="99"/>
    <w:rsid w:val="00587DAF"/>
    <w:rPr>
      <w:rFonts w:cs="Times New Roman"/>
      <w:color w:val="0000FF"/>
      <w:u w:val="single"/>
    </w:rPr>
  </w:style>
  <w:style w:type="paragraph" w:styleId="ListParagraph">
    <w:name w:val="List Paragraph"/>
    <w:basedOn w:val="Normal"/>
    <w:uiPriority w:val="99"/>
    <w:qFormat/>
    <w:rsid w:val="00E342C5"/>
    <w:pPr>
      <w:ind w:left="720"/>
      <w:contextualSpacing/>
    </w:pPr>
  </w:style>
</w:styles>
</file>

<file path=word/webSettings.xml><?xml version="1.0" encoding="utf-8"?>
<w:webSettings xmlns:r="http://schemas.openxmlformats.org/officeDocument/2006/relationships" xmlns:w="http://schemas.openxmlformats.org/wordprocessingml/2006/main">
  <w:divs>
    <w:div w:id="60368610">
      <w:bodyDiv w:val="1"/>
      <w:marLeft w:val="0"/>
      <w:marRight w:val="0"/>
      <w:marTop w:val="0"/>
      <w:marBottom w:val="0"/>
      <w:divBdr>
        <w:top w:val="none" w:sz="0" w:space="0" w:color="auto"/>
        <w:left w:val="none" w:sz="0" w:space="0" w:color="auto"/>
        <w:bottom w:val="none" w:sz="0" w:space="0" w:color="auto"/>
        <w:right w:val="none" w:sz="0" w:space="0" w:color="auto"/>
      </w:divBdr>
    </w:div>
    <w:div w:id="443615191">
      <w:bodyDiv w:val="1"/>
      <w:marLeft w:val="0"/>
      <w:marRight w:val="0"/>
      <w:marTop w:val="0"/>
      <w:marBottom w:val="0"/>
      <w:divBdr>
        <w:top w:val="none" w:sz="0" w:space="0" w:color="auto"/>
        <w:left w:val="none" w:sz="0" w:space="0" w:color="auto"/>
        <w:bottom w:val="none" w:sz="0" w:space="0" w:color="auto"/>
        <w:right w:val="none" w:sz="0" w:space="0" w:color="auto"/>
      </w:divBdr>
    </w:div>
    <w:div w:id="542522876">
      <w:marLeft w:val="0"/>
      <w:marRight w:val="0"/>
      <w:marTop w:val="0"/>
      <w:marBottom w:val="0"/>
      <w:divBdr>
        <w:top w:val="none" w:sz="0" w:space="0" w:color="auto"/>
        <w:left w:val="none" w:sz="0" w:space="0" w:color="auto"/>
        <w:bottom w:val="none" w:sz="0" w:space="0" w:color="auto"/>
        <w:right w:val="none" w:sz="0" w:space="0" w:color="auto"/>
      </w:divBdr>
      <w:divsChild>
        <w:div w:id="542522871">
          <w:marLeft w:val="1166"/>
          <w:marRight w:val="0"/>
          <w:marTop w:val="134"/>
          <w:marBottom w:val="0"/>
          <w:divBdr>
            <w:top w:val="none" w:sz="0" w:space="0" w:color="auto"/>
            <w:left w:val="none" w:sz="0" w:space="0" w:color="auto"/>
            <w:bottom w:val="none" w:sz="0" w:space="0" w:color="auto"/>
            <w:right w:val="none" w:sz="0" w:space="0" w:color="auto"/>
          </w:divBdr>
        </w:div>
        <w:div w:id="542522873">
          <w:marLeft w:val="1166"/>
          <w:marRight w:val="0"/>
          <w:marTop w:val="134"/>
          <w:marBottom w:val="0"/>
          <w:divBdr>
            <w:top w:val="none" w:sz="0" w:space="0" w:color="auto"/>
            <w:left w:val="none" w:sz="0" w:space="0" w:color="auto"/>
            <w:bottom w:val="none" w:sz="0" w:space="0" w:color="auto"/>
            <w:right w:val="none" w:sz="0" w:space="0" w:color="auto"/>
          </w:divBdr>
        </w:div>
        <w:div w:id="542522874">
          <w:marLeft w:val="1166"/>
          <w:marRight w:val="0"/>
          <w:marTop w:val="134"/>
          <w:marBottom w:val="0"/>
          <w:divBdr>
            <w:top w:val="none" w:sz="0" w:space="0" w:color="auto"/>
            <w:left w:val="none" w:sz="0" w:space="0" w:color="auto"/>
            <w:bottom w:val="none" w:sz="0" w:space="0" w:color="auto"/>
            <w:right w:val="none" w:sz="0" w:space="0" w:color="auto"/>
          </w:divBdr>
        </w:div>
        <w:div w:id="542522880">
          <w:marLeft w:val="1166"/>
          <w:marRight w:val="0"/>
          <w:marTop w:val="134"/>
          <w:marBottom w:val="0"/>
          <w:divBdr>
            <w:top w:val="none" w:sz="0" w:space="0" w:color="auto"/>
            <w:left w:val="none" w:sz="0" w:space="0" w:color="auto"/>
            <w:bottom w:val="none" w:sz="0" w:space="0" w:color="auto"/>
            <w:right w:val="none" w:sz="0" w:space="0" w:color="auto"/>
          </w:divBdr>
        </w:div>
      </w:divsChild>
    </w:div>
    <w:div w:id="542522877">
      <w:marLeft w:val="0"/>
      <w:marRight w:val="0"/>
      <w:marTop w:val="0"/>
      <w:marBottom w:val="0"/>
      <w:divBdr>
        <w:top w:val="none" w:sz="0" w:space="0" w:color="auto"/>
        <w:left w:val="none" w:sz="0" w:space="0" w:color="auto"/>
        <w:bottom w:val="none" w:sz="0" w:space="0" w:color="auto"/>
        <w:right w:val="none" w:sz="0" w:space="0" w:color="auto"/>
      </w:divBdr>
    </w:div>
    <w:div w:id="542522879">
      <w:marLeft w:val="0"/>
      <w:marRight w:val="0"/>
      <w:marTop w:val="0"/>
      <w:marBottom w:val="0"/>
      <w:divBdr>
        <w:top w:val="none" w:sz="0" w:space="0" w:color="auto"/>
        <w:left w:val="none" w:sz="0" w:space="0" w:color="auto"/>
        <w:bottom w:val="none" w:sz="0" w:space="0" w:color="auto"/>
        <w:right w:val="none" w:sz="0" w:space="0" w:color="auto"/>
      </w:divBdr>
    </w:div>
    <w:div w:id="542522881">
      <w:marLeft w:val="0"/>
      <w:marRight w:val="0"/>
      <w:marTop w:val="0"/>
      <w:marBottom w:val="0"/>
      <w:divBdr>
        <w:top w:val="none" w:sz="0" w:space="0" w:color="auto"/>
        <w:left w:val="none" w:sz="0" w:space="0" w:color="auto"/>
        <w:bottom w:val="none" w:sz="0" w:space="0" w:color="auto"/>
        <w:right w:val="none" w:sz="0" w:space="0" w:color="auto"/>
      </w:divBdr>
      <w:divsChild>
        <w:div w:id="542522872">
          <w:marLeft w:val="1166"/>
          <w:marRight w:val="0"/>
          <w:marTop w:val="134"/>
          <w:marBottom w:val="0"/>
          <w:divBdr>
            <w:top w:val="none" w:sz="0" w:space="0" w:color="auto"/>
            <w:left w:val="none" w:sz="0" w:space="0" w:color="auto"/>
            <w:bottom w:val="none" w:sz="0" w:space="0" w:color="auto"/>
            <w:right w:val="none" w:sz="0" w:space="0" w:color="auto"/>
          </w:divBdr>
        </w:div>
      </w:divsChild>
    </w:div>
    <w:div w:id="542522882">
      <w:marLeft w:val="0"/>
      <w:marRight w:val="0"/>
      <w:marTop w:val="0"/>
      <w:marBottom w:val="0"/>
      <w:divBdr>
        <w:top w:val="none" w:sz="0" w:space="0" w:color="auto"/>
        <w:left w:val="none" w:sz="0" w:space="0" w:color="auto"/>
        <w:bottom w:val="none" w:sz="0" w:space="0" w:color="auto"/>
        <w:right w:val="none" w:sz="0" w:space="0" w:color="auto"/>
      </w:divBdr>
      <w:divsChild>
        <w:div w:id="542522875">
          <w:marLeft w:val="1166"/>
          <w:marRight w:val="0"/>
          <w:marTop w:val="134"/>
          <w:marBottom w:val="0"/>
          <w:divBdr>
            <w:top w:val="none" w:sz="0" w:space="0" w:color="auto"/>
            <w:left w:val="none" w:sz="0" w:space="0" w:color="auto"/>
            <w:bottom w:val="none" w:sz="0" w:space="0" w:color="auto"/>
            <w:right w:val="none" w:sz="0" w:space="0" w:color="auto"/>
          </w:divBdr>
        </w:div>
        <w:div w:id="542522878">
          <w:marLeft w:val="1166"/>
          <w:marRight w:val="0"/>
          <w:marTop w:val="134"/>
          <w:marBottom w:val="0"/>
          <w:divBdr>
            <w:top w:val="none" w:sz="0" w:space="0" w:color="auto"/>
            <w:left w:val="none" w:sz="0" w:space="0" w:color="auto"/>
            <w:bottom w:val="none" w:sz="0" w:space="0" w:color="auto"/>
            <w:right w:val="none" w:sz="0" w:space="0" w:color="auto"/>
          </w:divBdr>
        </w:div>
      </w:divsChild>
    </w:div>
    <w:div w:id="542522883">
      <w:marLeft w:val="0"/>
      <w:marRight w:val="0"/>
      <w:marTop w:val="0"/>
      <w:marBottom w:val="0"/>
      <w:divBdr>
        <w:top w:val="none" w:sz="0" w:space="0" w:color="auto"/>
        <w:left w:val="none" w:sz="0" w:space="0" w:color="auto"/>
        <w:bottom w:val="none" w:sz="0" w:space="0" w:color="auto"/>
        <w:right w:val="none" w:sz="0" w:space="0" w:color="auto"/>
      </w:divBdr>
    </w:div>
    <w:div w:id="1379209171">
      <w:bodyDiv w:val="1"/>
      <w:marLeft w:val="0"/>
      <w:marRight w:val="0"/>
      <w:marTop w:val="0"/>
      <w:marBottom w:val="0"/>
      <w:divBdr>
        <w:top w:val="none" w:sz="0" w:space="0" w:color="auto"/>
        <w:left w:val="none" w:sz="0" w:space="0" w:color="auto"/>
        <w:bottom w:val="none" w:sz="0" w:space="0" w:color="auto"/>
        <w:right w:val="none" w:sz="0" w:space="0" w:color="auto"/>
      </w:divBdr>
    </w:div>
    <w:div w:id="21051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n-redd.org/UNREDDProgramme/CountryActions/zambia/tabid/1029/language/en-US/Default.aspx" TargetMode="External"/><Relationship Id="rId4" Type="http://schemas.openxmlformats.org/officeDocument/2006/relationships/webSettings" Target="webSettings.xml"/><Relationship Id="rId9" Type="http://schemas.openxmlformats.org/officeDocument/2006/relationships/hyperlink" Target="http://www.fao.org/forestry/17847/en/z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Country:</vt:lpstr>
    </vt:vector>
  </TitlesOfParts>
  <Company>UNDP</Company>
  <LinksUpToDate>false</LinksUpToDate>
  <CharactersWithSpaces>7934</CharactersWithSpaces>
  <SharedDoc>false</SharedDoc>
  <HLinks>
    <vt:vector size="12" baseType="variant">
      <vt:variant>
        <vt:i4>3866681</vt:i4>
      </vt:variant>
      <vt:variant>
        <vt:i4>3</vt:i4>
      </vt:variant>
      <vt:variant>
        <vt:i4>0</vt:i4>
      </vt:variant>
      <vt:variant>
        <vt:i4>5</vt:i4>
      </vt:variant>
      <vt:variant>
        <vt:lpwstr>http://www.un-redd.org/UNREDDProgramme/CountryActions/zambia/tabid/1029/language/en-US/Default.aspx</vt:lpwstr>
      </vt:variant>
      <vt:variant>
        <vt:lpwstr/>
      </vt:variant>
      <vt:variant>
        <vt:i4>4849756</vt:i4>
      </vt:variant>
      <vt:variant>
        <vt:i4>0</vt:i4>
      </vt:variant>
      <vt:variant>
        <vt:i4>0</vt:i4>
      </vt:variant>
      <vt:variant>
        <vt:i4>5</vt:i4>
      </vt:variant>
      <vt:variant>
        <vt:lpwstr>http://www.fao.org/forestry/17847/en/zmb/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creator>DGO</dc:creator>
  <cp:lastModifiedBy>tim.clairs</cp:lastModifiedBy>
  <cp:revision>2</cp:revision>
  <cp:lastPrinted>2011-01-18T15:43:00Z</cp:lastPrinted>
  <dcterms:created xsi:type="dcterms:W3CDTF">2011-01-21T12:05:00Z</dcterms:created>
  <dcterms:modified xsi:type="dcterms:W3CDTF">2011-01-21T12:05:00Z</dcterms:modified>
</cp:coreProperties>
</file>